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EC725" w14:textId="77777777" w:rsidR="00496A42" w:rsidRPr="00DB0409" w:rsidRDefault="009F04AF" w:rsidP="005E16CF">
      <w:pPr>
        <w:spacing w:line="480" w:lineRule="auto"/>
        <w:rPr>
          <w:rFonts w:ascii="Times New Roman" w:hAnsi="Times New Roman" w:cs="Times New Roman"/>
          <w:b/>
        </w:rPr>
      </w:pPr>
      <w:r w:rsidRPr="00DB0409">
        <w:rPr>
          <w:rFonts w:ascii="Times New Roman" w:hAnsi="Times New Roman" w:cs="Times New Roman"/>
          <w:b/>
        </w:rPr>
        <w:t xml:space="preserve">Identifying </w:t>
      </w:r>
      <w:r w:rsidR="00AD7617" w:rsidRPr="00DB0409">
        <w:rPr>
          <w:rFonts w:ascii="Times New Roman" w:hAnsi="Times New Roman" w:cs="Times New Roman"/>
          <w:b/>
        </w:rPr>
        <w:t>patients who will not re</w:t>
      </w:r>
      <w:r w:rsidR="00DB0409">
        <w:rPr>
          <w:rFonts w:ascii="Times New Roman" w:hAnsi="Times New Roman" w:cs="Times New Roman"/>
          <w:b/>
        </w:rPr>
        <w:t>-</w:t>
      </w:r>
      <w:r w:rsidR="00AD7617" w:rsidRPr="00DB0409">
        <w:rPr>
          <w:rFonts w:ascii="Times New Roman" w:hAnsi="Times New Roman" w:cs="Times New Roman"/>
          <w:b/>
        </w:rPr>
        <w:t>achieve remission</w:t>
      </w:r>
      <w:r w:rsidRPr="00DB0409">
        <w:rPr>
          <w:rFonts w:ascii="Times New Roman" w:hAnsi="Times New Roman" w:cs="Times New Roman"/>
          <w:b/>
        </w:rPr>
        <w:t xml:space="preserve"> after breakthrough seizures</w:t>
      </w:r>
    </w:p>
    <w:p w14:paraId="3E7ACBA1" w14:textId="524E9B17" w:rsidR="009F04AF" w:rsidRPr="00DB0409" w:rsidRDefault="009F04AF" w:rsidP="005E16CF">
      <w:pPr>
        <w:spacing w:line="480" w:lineRule="auto"/>
        <w:rPr>
          <w:rFonts w:ascii="Times New Roman" w:eastAsia="Times New Roman" w:hAnsi="Times New Roman" w:cs="Times New Roman"/>
        </w:rPr>
      </w:pPr>
      <w:r w:rsidRPr="00DB0409">
        <w:rPr>
          <w:rFonts w:ascii="Times New Roman" w:hAnsi="Times New Roman" w:cs="Times New Roman"/>
        </w:rPr>
        <w:t>David M Hughes</w:t>
      </w:r>
      <w:r w:rsidR="006F1716" w:rsidRPr="00DB0409">
        <w:rPr>
          <w:rFonts w:ascii="Times New Roman" w:hAnsi="Times New Roman" w:cs="Times New Roman"/>
        </w:rPr>
        <w:t xml:space="preserve"> (</w:t>
      </w:r>
      <w:proofErr w:type="gramStart"/>
      <w:r w:rsidR="006F1716" w:rsidRPr="00DB0409">
        <w:rPr>
          <w:rFonts w:ascii="Times New Roman" w:hAnsi="Times New Roman" w:cs="Times New Roman"/>
        </w:rPr>
        <w:t>PhD)</w:t>
      </w:r>
      <w:r w:rsidRPr="00DB0409">
        <w:rPr>
          <w:rFonts w:ascii="Times New Roman" w:hAnsi="Times New Roman" w:cs="Times New Roman"/>
          <w:vertAlign w:val="superscript"/>
        </w:rPr>
        <w:t>1</w:t>
      </w:r>
      <w:proofErr w:type="gramEnd"/>
      <w:r w:rsidRPr="00DB0409">
        <w:rPr>
          <w:rFonts w:ascii="Times New Roman" w:hAnsi="Times New Roman" w:cs="Times New Roman"/>
        </w:rPr>
        <w:t xml:space="preserve">, Laura J </w:t>
      </w:r>
      <w:proofErr w:type="spellStart"/>
      <w:r w:rsidRPr="00DB0409">
        <w:rPr>
          <w:rFonts w:ascii="Times New Roman" w:hAnsi="Times New Roman" w:cs="Times New Roman"/>
        </w:rPr>
        <w:t>Bonnett</w:t>
      </w:r>
      <w:proofErr w:type="spellEnd"/>
      <w:r w:rsidR="006F1716" w:rsidRPr="00DB0409">
        <w:rPr>
          <w:rFonts w:ascii="Times New Roman" w:hAnsi="Times New Roman" w:cs="Times New Roman"/>
        </w:rPr>
        <w:t xml:space="preserve"> (PhD)</w:t>
      </w:r>
      <w:r w:rsidRPr="00DB0409">
        <w:rPr>
          <w:rFonts w:ascii="Times New Roman" w:hAnsi="Times New Roman" w:cs="Times New Roman"/>
          <w:vertAlign w:val="superscript"/>
        </w:rPr>
        <w:t>1</w:t>
      </w:r>
      <w:r w:rsidRPr="00DB0409">
        <w:rPr>
          <w:rFonts w:ascii="Times New Roman" w:hAnsi="Times New Roman" w:cs="Times New Roman"/>
        </w:rPr>
        <w:t xml:space="preserve">, Anthony G </w:t>
      </w:r>
      <w:proofErr w:type="spellStart"/>
      <w:r w:rsidRPr="00DB0409">
        <w:rPr>
          <w:rFonts w:ascii="Times New Roman" w:hAnsi="Times New Roman" w:cs="Times New Roman"/>
        </w:rPr>
        <w:t>Marson</w:t>
      </w:r>
      <w:proofErr w:type="spellEnd"/>
      <w:r w:rsidR="006F1716" w:rsidRPr="00DB0409">
        <w:rPr>
          <w:rFonts w:ascii="Times New Roman" w:hAnsi="Times New Roman" w:cs="Times New Roman"/>
        </w:rPr>
        <w:t xml:space="preserve"> (MD, PhD)</w:t>
      </w:r>
      <w:r w:rsidRPr="00DB0409">
        <w:rPr>
          <w:rFonts w:ascii="Times New Roman" w:hAnsi="Times New Roman" w:cs="Times New Roman"/>
          <w:vertAlign w:val="superscript"/>
        </w:rPr>
        <w:t>2</w:t>
      </w:r>
      <w:r w:rsidRPr="00DB0409">
        <w:rPr>
          <w:rFonts w:ascii="Times New Roman" w:hAnsi="Times New Roman" w:cs="Times New Roman"/>
        </w:rPr>
        <w:t xml:space="preserve"> &amp; Marta </w:t>
      </w:r>
      <w:r w:rsidRPr="00DB0409">
        <w:rPr>
          <w:rFonts w:ascii="Times New Roman" w:eastAsia="Times New Roman" w:hAnsi="Times New Roman" w:cs="Times New Roman"/>
        </w:rPr>
        <w:t>García-Fiñana</w:t>
      </w:r>
      <w:r w:rsidR="006F1716" w:rsidRPr="00DB0409">
        <w:rPr>
          <w:rFonts w:ascii="Times New Roman" w:eastAsia="Times New Roman" w:hAnsi="Times New Roman" w:cs="Times New Roman"/>
        </w:rPr>
        <w:t xml:space="preserve"> </w:t>
      </w:r>
      <w:r w:rsidR="006F1716" w:rsidRPr="00DB0409">
        <w:rPr>
          <w:rFonts w:ascii="Times New Roman" w:hAnsi="Times New Roman" w:cs="Times New Roman"/>
        </w:rPr>
        <w:t>(PhD)</w:t>
      </w:r>
      <w:r w:rsidRPr="00DB0409">
        <w:rPr>
          <w:rFonts w:ascii="Times New Roman" w:eastAsia="Times New Roman" w:hAnsi="Times New Roman" w:cs="Times New Roman"/>
          <w:vertAlign w:val="superscript"/>
        </w:rPr>
        <w:t>1</w:t>
      </w:r>
    </w:p>
    <w:p w14:paraId="0E815541" w14:textId="3C2966E5" w:rsidR="00EC6F5A" w:rsidRPr="00136991" w:rsidRDefault="006F1716" w:rsidP="005E16CF">
      <w:pPr>
        <w:pStyle w:val="ListParagraph"/>
        <w:numPr>
          <w:ilvl w:val="0"/>
          <w:numId w:val="1"/>
        </w:numPr>
        <w:spacing w:line="480" w:lineRule="auto"/>
        <w:rPr>
          <w:rFonts w:ascii="Times New Roman" w:hAnsi="Times New Roman" w:cs="Times New Roman"/>
        </w:rPr>
      </w:pPr>
      <w:r w:rsidRPr="00DB0409">
        <w:rPr>
          <w:rFonts w:ascii="Times New Roman" w:hAnsi="Times New Roman" w:cs="Times New Roman"/>
        </w:rPr>
        <w:t xml:space="preserve"> Department of Biostatistics</w:t>
      </w:r>
      <w:r w:rsidRPr="00136991">
        <w:rPr>
          <w:rFonts w:ascii="Times New Roman" w:hAnsi="Times New Roman" w:cs="Times New Roman"/>
        </w:rPr>
        <w:t>, Institute of Translational Medicine, University of Liverpool, UK.</w:t>
      </w:r>
    </w:p>
    <w:p w14:paraId="02F67BF9" w14:textId="4E49A4F7" w:rsidR="00EC6F5A" w:rsidRPr="00981D03" w:rsidRDefault="006F1716" w:rsidP="00981D03">
      <w:pPr>
        <w:pStyle w:val="ListParagraph"/>
        <w:numPr>
          <w:ilvl w:val="0"/>
          <w:numId w:val="1"/>
        </w:numPr>
        <w:spacing w:line="480" w:lineRule="auto"/>
        <w:rPr>
          <w:rFonts w:ascii="Times New Roman" w:eastAsia="Times New Roman" w:hAnsi="Times New Roman" w:cs="Times New Roman"/>
        </w:rPr>
      </w:pPr>
      <w:r w:rsidRPr="00981D03">
        <w:rPr>
          <w:rFonts w:ascii="Times New Roman" w:hAnsi="Times New Roman" w:cs="Times New Roman"/>
        </w:rPr>
        <w:t>Department of Molecular and Clinical Pharmacology, Institute of Translational Medicine, University of Liverpool</w:t>
      </w:r>
      <w:r w:rsidR="00EC6F5A" w:rsidRPr="00981D03">
        <w:rPr>
          <w:rFonts w:ascii="Times New Roman" w:hAnsi="Times New Roman" w:cs="Times New Roman"/>
        </w:rPr>
        <w:t xml:space="preserve"> a</w:t>
      </w:r>
      <w:r w:rsidR="00EC6F5A" w:rsidRPr="00981D03">
        <w:rPr>
          <w:rFonts w:ascii="Times New Roman" w:eastAsia="Times New Roman" w:hAnsi="Times New Roman" w:cs="Times New Roman"/>
          <w:color w:val="000000"/>
        </w:rPr>
        <w:t>nd The Walton Centre NHS Foundation Trust, members of Liverpool Health Partners</w:t>
      </w:r>
      <w:r w:rsidR="00981D03">
        <w:rPr>
          <w:rFonts w:ascii="Times New Roman" w:eastAsia="Times New Roman" w:hAnsi="Times New Roman" w:cs="Times New Roman"/>
          <w:color w:val="000000"/>
        </w:rPr>
        <w:t>.</w:t>
      </w:r>
    </w:p>
    <w:p w14:paraId="6B20EB3B" w14:textId="6008F49B" w:rsidR="001F2F2A" w:rsidRPr="00981D03" w:rsidRDefault="001F2F2A" w:rsidP="00981D03">
      <w:pPr>
        <w:spacing w:line="480" w:lineRule="auto"/>
        <w:rPr>
          <w:rFonts w:ascii="Times New Roman" w:hAnsi="Times New Roman" w:cs="Times New Roman"/>
        </w:rPr>
      </w:pPr>
    </w:p>
    <w:p w14:paraId="47714704" w14:textId="77777777" w:rsidR="006F1716" w:rsidRPr="00F94B4A" w:rsidRDefault="006F1716" w:rsidP="005E16CF">
      <w:pPr>
        <w:spacing w:line="480" w:lineRule="auto"/>
        <w:rPr>
          <w:rFonts w:ascii="Times New Roman" w:hAnsi="Times New Roman" w:cs="Times New Roman"/>
          <w:b/>
        </w:rPr>
      </w:pPr>
      <w:r w:rsidRPr="00F94B4A">
        <w:rPr>
          <w:rFonts w:ascii="Times New Roman" w:hAnsi="Times New Roman" w:cs="Times New Roman"/>
          <w:b/>
        </w:rPr>
        <w:t>Corresponding author:</w:t>
      </w:r>
      <w:bookmarkStart w:id="0" w:name="_GoBack"/>
      <w:bookmarkEnd w:id="0"/>
    </w:p>
    <w:p w14:paraId="5FBE4329" w14:textId="529CC901" w:rsidR="006F1716" w:rsidRPr="00DB0409" w:rsidRDefault="00406FEB" w:rsidP="005E16CF">
      <w:pPr>
        <w:spacing w:line="480" w:lineRule="auto"/>
        <w:rPr>
          <w:rFonts w:ascii="Times New Roman" w:hAnsi="Times New Roman" w:cs="Times New Roman"/>
        </w:rPr>
      </w:pPr>
      <w:r>
        <w:rPr>
          <w:rFonts w:ascii="Times New Roman" w:hAnsi="Times New Roman" w:cs="Times New Roman"/>
        </w:rPr>
        <w:t>Professor</w:t>
      </w:r>
      <w:r w:rsidR="006F1716" w:rsidRPr="00DB0409">
        <w:rPr>
          <w:rFonts w:ascii="Times New Roman" w:hAnsi="Times New Roman" w:cs="Times New Roman"/>
        </w:rPr>
        <w:t xml:space="preserve"> Marta García-Fiñana,</w:t>
      </w:r>
    </w:p>
    <w:p w14:paraId="21236C84"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Department of Biostatistics,</w:t>
      </w:r>
    </w:p>
    <w:p w14:paraId="6706B7A7"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Institute of Translational Medicine,</w:t>
      </w:r>
    </w:p>
    <w:p w14:paraId="07C06840"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University of Liverpool,</w:t>
      </w:r>
    </w:p>
    <w:p w14:paraId="7B6C05E9"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Block F, Waterhouse Bld.</w:t>
      </w:r>
    </w:p>
    <w:p w14:paraId="7A2BB15B"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1-5 Brownlow Street</w:t>
      </w:r>
      <w:r w:rsidR="00FF5D5A">
        <w:rPr>
          <w:rFonts w:ascii="Times New Roman" w:hAnsi="Times New Roman" w:cs="Times New Roman"/>
        </w:rPr>
        <w:t xml:space="preserve">, </w:t>
      </w:r>
      <w:r w:rsidRPr="00DB0409">
        <w:rPr>
          <w:rFonts w:ascii="Times New Roman" w:hAnsi="Times New Roman" w:cs="Times New Roman"/>
        </w:rPr>
        <w:t>Liverpool,</w:t>
      </w:r>
    </w:p>
    <w:p w14:paraId="793FD7AE"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L69 3GL,</w:t>
      </w:r>
      <w:r w:rsidR="00036662">
        <w:rPr>
          <w:rFonts w:ascii="Times New Roman" w:hAnsi="Times New Roman" w:cs="Times New Roman"/>
        </w:rPr>
        <w:t xml:space="preserve"> </w:t>
      </w:r>
      <w:r w:rsidRPr="00DB0409">
        <w:rPr>
          <w:rFonts w:ascii="Times New Roman" w:hAnsi="Times New Roman" w:cs="Times New Roman"/>
        </w:rPr>
        <w:t>UK</w:t>
      </w:r>
    </w:p>
    <w:p w14:paraId="21423682" w14:textId="77777777" w:rsidR="006F1716" w:rsidRPr="00DB0409" w:rsidRDefault="005E16CF" w:rsidP="005E16CF">
      <w:pPr>
        <w:spacing w:line="480" w:lineRule="auto"/>
        <w:rPr>
          <w:rFonts w:ascii="Times New Roman" w:hAnsi="Times New Roman" w:cs="Times New Roman"/>
        </w:rPr>
      </w:pPr>
      <w:r w:rsidRPr="00DB0409">
        <w:rPr>
          <w:rStyle w:val="Hyperlink"/>
          <w:rFonts w:ascii="Times New Roman" w:hAnsi="Times New Roman" w:cs="Times New Roman"/>
        </w:rPr>
        <w:t>martaf@liverpool.ac.uk</w:t>
      </w:r>
      <w:hyperlink r:id="rId9" w:history="1"/>
    </w:p>
    <w:p w14:paraId="0431DC4B" w14:textId="77777777" w:rsidR="006F1716" w:rsidRPr="00DB0409" w:rsidRDefault="006F1716" w:rsidP="005E16CF">
      <w:pPr>
        <w:spacing w:line="480" w:lineRule="auto"/>
        <w:rPr>
          <w:rFonts w:ascii="Times New Roman" w:hAnsi="Times New Roman" w:cs="Times New Roman"/>
        </w:rPr>
      </w:pPr>
      <w:r w:rsidRPr="00DB0409">
        <w:rPr>
          <w:rFonts w:ascii="Times New Roman" w:hAnsi="Times New Roman" w:cs="Times New Roman"/>
        </w:rPr>
        <w:t>0151 794 9755</w:t>
      </w:r>
    </w:p>
    <w:p w14:paraId="07DCCC2B" w14:textId="77777777" w:rsidR="00E14044" w:rsidRPr="00036662" w:rsidRDefault="00F94B4A" w:rsidP="005E16CF">
      <w:pPr>
        <w:spacing w:line="480" w:lineRule="auto"/>
        <w:rPr>
          <w:rFonts w:ascii="Times New Roman" w:hAnsi="Times New Roman" w:cs="Times New Roman"/>
        </w:rPr>
      </w:pPr>
      <w:r>
        <w:rPr>
          <w:rFonts w:ascii="Times New Roman" w:hAnsi="Times New Roman" w:cs="Times New Roman"/>
        </w:rPr>
        <w:t>Keywords:</w:t>
      </w:r>
      <w:r w:rsidR="00E14044">
        <w:rPr>
          <w:rFonts w:ascii="Times New Roman" w:hAnsi="Times New Roman" w:cs="Times New Roman"/>
        </w:rPr>
        <w:t xml:space="preserve"> Epilepsy; Remission; Breakthrough</w:t>
      </w:r>
      <w:r w:rsidR="00036662">
        <w:rPr>
          <w:rFonts w:ascii="Times New Roman" w:hAnsi="Times New Roman" w:cs="Times New Roman"/>
        </w:rPr>
        <w:t xml:space="preserve">; </w:t>
      </w:r>
      <w:r w:rsidR="00036662" w:rsidRPr="00036662">
        <w:rPr>
          <w:rFonts w:ascii="Times New Roman" w:eastAsia="Times New Roman" w:hAnsi="Times New Roman" w:cs="Times New Roman"/>
        </w:rPr>
        <w:t>focal; generalised; dynamic classification</w:t>
      </w:r>
    </w:p>
    <w:p w14:paraId="3C913376" w14:textId="77777777" w:rsidR="00F94B4A" w:rsidRDefault="00F94B4A" w:rsidP="005E16CF">
      <w:pPr>
        <w:spacing w:line="480" w:lineRule="auto"/>
        <w:rPr>
          <w:rFonts w:ascii="Times New Roman" w:hAnsi="Times New Roman" w:cs="Times New Roman"/>
        </w:rPr>
      </w:pPr>
      <w:r>
        <w:rPr>
          <w:rFonts w:ascii="Times New Roman" w:hAnsi="Times New Roman" w:cs="Times New Roman"/>
        </w:rPr>
        <w:t>Number of Pages:</w:t>
      </w:r>
      <w:r w:rsidR="004B01FE">
        <w:rPr>
          <w:rFonts w:ascii="Times New Roman" w:hAnsi="Times New Roman" w:cs="Times New Roman"/>
        </w:rPr>
        <w:t xml:space="preserve"> 23</w:t>
      </w:r>
    </w:p>
    <w:p w14:paraId="2970054B" w14:textId="632318FE" w:rsidR="00F94B4A" w:rsidRDefault="00F94B4A" w:rsidP="005E16CF">
      <w:pPr>
        <w:spacing w:line="480" w:lineRule="auto"/>
        <w:rPr>
          <w:rFonts w:ascii="Times New Roman" w:hAnsi="Times New Roman" w:cs="Times New Roman"/>
        </w:rPr>
      </w:pPr>
      <w:r>
        <w:rPr>
          <w:rFonts w:ascii="Times New Roman" w:hAnsi="Times New Roman" w:cs="Times New Roman"/>
        </w:rPr>
        <w:t>Number of Words:</w:t>
      </w:r>
      <w:r w:rsidR="004B01FE">
        <w:rPr>
          <w:rFonts w:ascii="Times New Roman" w:hAnsi="Times New Roman" w:cs="Times New Roman"/>
        </w:rPr>
        <w:t xml:space="preserve"> 3</w:t>
      </w:r>
      <w:r w:rsidR="00D8322E">
        <w:rPr>
          <w:rFonts w:ascii="Times New Roman" w:hAnsi="Times New Roman" w:cs="Times New Roman"/>
        </w:rPr>
        <w:t>974</w:t>
      </w:r>
    </w:p>
    <w:p w14:paraId="4987D667" w14:textId="5482C15B" w:rsidR="00F94B4A" w:rsidRDefault="00F94B4A" w:rsidP="005E16CF">
      <w:pPr>
        <w:spacing w:line="480" w:lineRule="auto"/>
        <w:rPr>
          <w:rFonts w:ascii="Times New Roman" w:hAnsi="Times New Roman" w:cs="Times New Roman"/>
        </w:rPr>
      </w:pPr>
      <w:r>
        <w:rPr>
          <w:rFonts w:ascii="Times New Roman" w:hAnsi="Times New Roman" w:cs="Times New Roman"/>
        </w:rPr>
        <w:t>Number of References:</w:t>
      </w:r>
      <w:r w:rsidR="00E14044">
        <w:rPr>
          <w:rFonts w:ascii="Times New Roman" w:hAnsi="Times New Roman" w:cs="Times New Roman"/>
        </w:rPr>
        <w:t xml:space="preserve"> </w:t>
      </w:r>
      <w:r w:rsidR="004B01FE">
        <w:rPr>
          <w:rFonts w:ascii="Times New Roman" w:hAnsi="Times New Roman" w:cs="Times New Roman"/>
        </w:rPr>
        <w:t>2</w:t>
      </w:r>
      <w:r w:rsidR="00D8322E">
        <w:rPr>
          <w:rFonts w:ascii="Times New Roman" w:hAnsi="Times New Roman" w:cs="Times New Roman"/>
        </w:rPr>
        <w:t>3</w:t>
      </w:r>
    </w:p>
    <w:p w14:paraId="7B39042F" w14:textId="77777777" w:rsidR="00F94B4A" w:rsidRDefault="00F94B4A" w:rsidP="005E16CF">
      <w:pPr>
        <w:spacing w:line="480" w:lineRule="auto"/>
        <w:rPr>
          <w:rFonts w:ascii="Times New Roman" w:hAnsi="Times New Roman" w:cs="Times New Roman"/>
        </w:rPr>
      </w:pPr>
      <w:r>
        <w:rPr>
          <w:rFonts w:ascii="Times New Roman" w:hAnsi="Times New Roman" w:cs="Times New Roman"/>
        </w:rPr>
        <w:lastRenderedPageBreak/>
        <w:t>Number of Figures:</w:t>
      </w:r>
      <w:r w:rsidR="00C75513">
        <w:rPr>
          <w:rFonts w:ascii="Times New Roman" w:hAnsi="Times New Roman" w:cs="Times New Roman"/>
        </w:rPr>
        <w:t xml:space="preserve"> 3</w:t>
      </w:r>
    </w:p>
    <w:p w14:paraId="556265F3" w14:textId="77777777" w:rsidR="00F94B4A" w:rsidRPr="00DB0409" w:rsidRDefault="00F94B4A" w:rsidP="005E16CF">
      <w:pPr>
        <w:spacing w:line="480" w:lineRule="auto"/>
        <w:rPr>
          <w:rFonts w:ascii="Times New Roman" w:hAnsi="Times New Roman" w:cs="Times New Roman"/>
        </w:rPr>
      </w:pPr>
      <w:r>
        <w:rPr>
          <w:rFonts w:ascii="Times New Roman" w:hAnsi="Times New Roman" w:cs="Times New Roman"/>
        </w:rPr>
        <w:t>Number of Tables:</w:t>
      </w:r>
      <w:r w:rsidR="00E14044">
        <w:rPr>
          <w:rFonts w:ascii="Times New Roman" w:hAnsi="Times New Roman" w:cs="Times New Roman"/>
        </w:rPr>
        <w:t xml:space="preserve"> 3</w:t>
      </w:r>
    </w:p>
    <w:p w14:paraId="3AEE0441" w14:textId="77777777" w:rsidR="006F1716" w:rsidRPr="00DB0409" w:rsidRDefault="006F1716" w:rsidP="005E16CF">
      <w:pPr>
        <w:spacing w:line="480" w:lineRule="auto"/>
        <w:rPr>
          <w:rFonts w:ascii="Times New Roman" w:hAnsi="Times New Roman" w:cs="Times New Roman"/>
        </w:rPr>
      </w:pPr>
    </w:p>
    <w:p w14:paraId="5825F772" w14:textId="77777777" w:rsidR="003E6DE0" w:rsidRPr="00DB0409" w:rsidRDefault="00F94B4A" w:rsidP="005E16CF">
      <w:pPr>
        <w:spacing w:after="120" w:line="480" w:lineRule="auto"/>
        <w:rPr>
          <w:rFonts w:ascii="Times New Roman" w:hAnsi="Times New Roman" w:cs="Times New Roman"/>
        </w:rPr>
      </w:pPr>
      <w:r w:rsidRPr="00E44D13">
        <w:rPr>
          <w:rFonts w:ascii="Times New Roman" w:hAnsi="Times New Roman" w:cs="Times New Roman"/>
          <w:b/>
        </w:rPr>
        <w:t>Summary</w:t>
      </w:r>
    </w:p>
    <w:p w14:paraId="4392B558" w14:textId="77777777" w:rsidR="001F0F29" w:rsidRPr="00DB0409" w:rsidRDefault="001F0F29" w:rsidP="005E16CF">
      <w:pPr>
        <w:spacing w:line="480" w:lineRule="auto"/>
        <w:rPr>
          <w:rFonts w:ascii="Times New Roman" w:hAnsi="Times New Roman" w:cs="Times New Roman"/>
        </w:rPr>
      </w:pPr>
      <w:r w:rsidRPr="00DB0409">
        <w:rPr>
          <w:rFonts w:ascii="Times New Roman" w:hAnsi="Times New Roman" w:cs="Times New Roman"/>
          <w:b/>
        </w:rPr>
        <w:t>Objective:</w:t>
      </w:r>
      <w:r w:rsidRPr="00DB0409">
        <w:rPr>
          <w:rFonts w:ascii="Times New Roman" w:hAnsi="Times New Roman" w:cs="Times New Roman"/>
        </w:rPr>
        <w:t xml:space="preserve"> We aim to identify </w:t>
      </w:r>
      <w:r w:rsidR="005E16CF" w:rsidRPr="00DB0409">
        <w:rPr>
          <w:rFonts w:ascii="Times New Roman" w:hAnsi="Times New Roman" w:cs="Times New Roman"/>
        </w:rPr>
        <w:t>people with epilepsy</w:t>
      </w:r>
      <w:r w:rsidR="00207CFA">
        <w:rPr>
          <w:rFonts w:ascii="Times New Roman" w:hAnsi="Times New Roman" w:cs="Times New Roman"/>
        </w:rPr>
        <w:t xml:space="preserve"> </w:t>
      </w:r>
      <w:r w:rsidRPr="00DB0409">
        <w:rPr>
          <w:rFonts w:ascii="Times New Roman" w:hAnsi="Times New Roman" w:cs="Times New Roman"/>
        </w:rPr>
        <w:t xml:space="preserve">who </w:t>
      </w:r>
      <w:r w:rsidR="00207CFA">
        <w:rPr>
          <w:rFonts w:ascii="Times New Roman" w:hAnsi="Times New Roman" w:cs="Times New Roman"/>
        </w:rPr>
        <w:t xml:space="preserve">are </w:t>
      </w:r>
      <w:r w:rsidRPr="00DB0409">
        <w:rPr>
          <w:rFonts w:ascii="Times New Roman" w:hAnsi="Times New Roman" w:cs="Times New Roman"/>
        </w:rPr>
        <w:t>unlikely to re-achieve</w:t>
      </w:r>
      <w:r w:rsidR="00E325FC">
        <w:rPr>
          <w:rFonts w:ascii="Times New Roman" w:hAnsi="Times New Roman" w:cs="Times New Roman"/>
        </w:rPr>
        <w:t xml:space="preserve"> a 12 month</w:t>
      </w:r>
      <w:r w:rsidRPr="00DB0409">
        <w:rPr>
          <w:rFonts w:ascii="Times New Roman" w:hAnsi="Times New Roman" w:cs="Times New Roman"/>
        </w:rPr>
        <w:t xml:space="preserve"> remission within 2 years </w:t>
      </w:r>
      <w:r w:rsidR="00207CFA">
        <w:rPr>
          <w:rFonts w:ascii="Times New Roman" w:hAnsi="Times New Roman" w:cs="Times New Roman"/>
        </w:rPr>
        <w:t xml:space="preserve">after experiencing </w:t>
      </w:r>
      <w:r w:rsidR="00207CFA" w:rsidRPr="00DB0409">
        <w:rPr>
          <w:rFonts w:ascii="Times New Roman" w:hAnsi="Times New Roman" w:cs="Times New Roman"/>
        </w:rPr>
        <w:t xml:space="preserve">a breakthrough seizure following </w:t>
      </w:r>
      <w:r w:rsidR="006F7A0B">
        <w:rPr>
          <w:rFonts w:ascii="Times New Roman" w:hAnsi="Times New Roman" w:cs="Times New Roman"/>
        </w:rPr>
        <w:t>an initial 12 month remission.</w:t>
      </w:r>
    </w:p>
    <w:p w14:paraId="6E43BE24" w14:textId="77777777" w:rsidR="006F7A0B" w:rsidRDefault="001F0F29" w:rsidP="006F7A0B">
      <w:pPr>
        <w:spacing w:line="480" w:lineRule="auto"/>
        <w:rPr>
          <w:rFonts w:ascii="Times New Roman" w:hAnsi="Times New Roman" w:cs="Times New Roman"/>
        </w:rPr>
      </w:pPr>
      <w:r w:rsidRPr="005035CB">
        <w:rPr>
          <w:rFonts w:ascii="Times New Roman" w:hAnsi="Times New Roman" w:cs="Times New Roman"/>
          <w:b/>
        </w:rPr>
        <w:t>Methods:</w:t>
      </w:r>
      <w:r w:rsidRPr="005035CB">
        <w:rPr>
          <w:rFonts w:ascii="Times New Roman" w:hAnsi="Times New Roman" w:cs="Times New Roman"/>
        </w:rPr>
        <w:t xml:space="preserve"> </w:t>
      </w:r>
      <w:r w:rsidR="006F7A0B" w:rsidRPr="005035CB">
        <w:rPr>
          <w:rFonts w:ascii="Times New Roman" w:hAnsi="Times New Roman" w:cs="Times New Roman"/>
        </w:rPr>
        <w:t>We apply a novel longitudinal discriminant approach to data from the SANAD study to dynamically predict the risk of a patient not achieving a second remission after a breakthrough seizure by combining both baseline covariates (</w:t>
      </w:r>
      <w:r w:rsidR="00355F67" w:rsidRPr="005035CB">
        <w:rPr>
          <w:rFonts w:ascii="Times New Roman" w:hAnsi="Times New Roman" w:cs="Times New Roman"/>
        </w:rPr>
        <w:t>collected</w:t>
      </w:r>
      <w:r w:rsidR="006F7A0B" w:rsidRPr="005035CB">
        <w:rPr>
          <w:rFonts w:ascii="Times New Roman" w:hAnsi="Times New Roman" w:cs="Times New Roman"/>
        </w:rPr>
        <w:t xml:space="preserve"> at the time of breakthrough seizure) and follow-up data.</w:t>
      </w:r>
    </w:p>
    <w:p w14:paraId="37E26EBA" w14:textId="77777777" w:rsidR="00315340" w:rsidRDefault="001F0F29" w:rsidP="005E16CF">
      <w:pPr>
        <w:spacing w:line="480" w:lineRule="auto"/>
        <w:rPr>
          <w:rFonts w:ascii="Times New Roman" w:hAnsi="Times New Roman" w:cs="Times New Roman"/>
        </w:rPr>
      </w:pPr>
      <w:r w:rsidRPr="00DB0409">
        <w:rPr>
          <w:rFonts w:ascii="Times New Roman" w:hAnsi="Times New Roman" w:cs="Times New Roman"/>
          <w:b/>
        </w:rPr>
        <w:t>Results:</w:t>
      </w:r>
      <w:r w:rsidRPr="00DB0409">
        <w:rPr>
          <w:rFonts w:ascii="Times New Roman" w:hAnsi="Times New Roman" w:cs="Times New Roman"/>
        </w:rPr>
        <w:t xml:space="preserve"> The model </w:t>
      </w:r>
      <w:r w:rsidR="00496535">
        <w:rPr>
          <w:rFonts w:ascii="Times New Roman" w:hAnsi="Times New Roman" w:cs="Times New Roman"/>
        </w:rPr>
        <w:t xml:space="preserve">classifies </w:t>
      </w:r>
      <w:r w:rsidRPr="00DB0409">
        <w:rPr>
          <w:rFonts w:ascii="Times New Roman" w:hAnsi="Times New Roman" w:cs="Times New Roman"/>
        </w:rPr>
        <w:t>83% of patients. Of these, 73% of patients (95% CI:</w:t>
      </w:r>
      <w:r w:rsidR="00496535">
        <w:rPr>
          <w:rFonts w:ascii="Times New Roman" w:hAnsi="Times New Roman" w:cs="Times New Roman"/>
        </w:rPr>
        <w:t xml:space="preserve"> </w:t>
      </w:r>
      <w:r w:rsidR="00AE1360">
        <w:rPr>
          <w:rFonts w:ascii="Times New Roman" w:hAnsi="Times New Roman" w:cs="Times New Roman"/>
        </w:rPr>
        <w:t>58</w:t>
      </w:r>
      <w:r w:rsidRPr="00DB0409">
        <w:rPr>
          <w:rFonts w:ascii="Times New Roman" w:hAnsi="Times New Roman" w:cs="Times New Roman"/>
        </w:rPr>
        <w:t>%</w:t>
      </w:r>
      <w:r w:rsidR="00031CD4">
        <w:rPr>
          <w:rFonts w:ascii="Times New Roman" w:hAnsi="Times New Roman" w:cs="Times New Roman"/>
        </w:rPr>
        <w:softHyphen/>
      </w:r>
      <w:r w:rsidR="00031CD4">
        <w:rPr>
          <w:rFonts w:ascii="Times New Roman" w:hAnsi="Times New Roman" w:cs="Times New Roman"/>
        </w:rPr>
        <w:sym w:font="Symbol" w:char="F02D"/>
      </w:r>
      <w:r w:rsidR="00AE1360">
        <w:rPr>
          <w:rFonts w:ascii="Times New Roman" w:hAnsi="Times New Roman" w:cs="Times New Roman"/>
        </w:rPr>
        <w:t>88</w:t>
      </w:r>
      <w:r w:rsidRPr="00DB0409">
        <w:rPr>
          <w:rFonts w:ascii="Times New Roman" w:hAnsi="Times New Roman" w:cs="Times New Roman"/>
        </w:rPr>
        <w:t>%</w:t>
      </w:r>
      <w:r w:rsidR="00E325FC">
        <w:rPr>
          <w:rFonts w:ascii="Times New Roman" w:hAnsi="Times New Roman" w:cs="Times New Roman"/>
        </w:rPr>
        <w:t>)</w:t>
      </w:r>
      <w:r w:rsidRPr="00DB0409">
        <w:rPr>
          <w:rFonts w:ascii="Times New Roman" w:hAnsi="Times New Roman" w:cs="Times New Roman"/>
        </w:rPr>
        <w:t xml:space="preserve"> who </w:t>
      </w:r>
      <w:r w:rsidR="005E16CF" w:rsidRPr="00DB0409">
        <w:rPr>
          <w:rFonts w:ascii="Times New Roman" w:hAnsi="Times New Roman" w:cs="Times New Roman"/>
        </w:rPr>
        <w:t xml:space="preserve">did </w:t>
      </w:r>
      <w:r w:rsidRPr="00DB0409">
        <w:rPr>
          <w:rFonts w:ascii="Times New Roman" w:hAnsi="Times New Roman" w:cs="Times New Roman"/>
        </w:rPr>
        <w:t xml:space="preserve">not achieve a second remission were correctly identified (sensitivity), whilst 84% of patients (95% CI: </w:t>
      </w:r>
      <w:r w:rsidR="00AE1360">
        <w:rPr>
          <w:rFonts w:ascii="Times New Roman" w:hAnsi="Times New Roman" w:cs="Times New Roman"/>
        </w:rPr>
        <w:t>69</w:t>
      </w:r>
      <w:r w:rsidRPr="00DB0409">
        <w:rPr>
          <w:rFonts w:ascii="Times New Roman" w:hAnsi="Times New Roman" w:cs="Times New Roman"/>
        </w:rPr>
        <w:t>%</w:t>
      </w:r>
      <w:r w:rsidR="004D007E">
        <w:rPr>
          <w:rFonts w:ascii="Times New Roman" w:hAnsi="Times New Roman" w:cs="Times New Roman"/>
        </w:rPr>
        <w:sym w:font="Symbol" w:char="F02D"/>
      </w:r>
      <w:r w:rsidR="00AE1360">
        <w:rPr>
          <w:rFonts w:ascii="Times New Roman" w:hAnsi="Times New Roman" w:cs="Times New Roman"/>
        </w:rPr>
        <w:t>96</w:t>
      </w:r>
      <w:r w:rsidRPr="00DB0409">
        <w:rPr>
          <w:rFonts w:ascii="Times New Roman" w:hAnsi="Times New Roman" w:cs="Times New Roman"/>
        </w:rPr>
        <w:t xml:space="preserve">%) who achieved a second remission were correctly identified (specificity). The area under curve (AUC) from our model was 87% (95% CI: </w:t>
      </w:r>
      <w:r w:rsidR="00AE1360">
        <w:rPr>
          <w:rFonts w:ascii="Times New Roman" w:hAnsi="Times New Roman" w:cs="Times New Roman"/>
        </w:rPr>
        <w:t>80</w:t>
      </w:r>
      <w:r w:rsidRPr="00DB0409">
        <w:rPr>
          <w:rFonts w:ascii="Times New Roman" w:hAnsi="Times New Roman" w:cs="Times New Roman"/>
        </w:rPr>
        <w:t>%</w:t>
      </w:r>
      <w:r w:rsidR="004D007E">
        <w:rPr>
          <w:rFonts w:ascii="Times New Roman" w:hAnsi="Times New Roman" w:cs="Times New Roman"/>
        </w:rPr>
        <w:sym w:font="Symbol" w:char="F02D"/>
      </w:r>
      <w:r w:rsidR="00AE1360">
        <w:rPr>
          <w:rFonts w:ascii="Times New Roman" w:hAnsi="Times New Roman" w:cs="Times New Roman"/>
        </w:rPr>
        <w:t>94</w:t>
      </w:r>
      <w:r w:rsidRPr="00DB0409">
        <w:rPr>
          <w:rFonts w:ascii="Times New Roman" w:hAnsi="Times New Roman" w:cs="Times New Roman"/>
        </w:rPr>
        <w:t>%).</w:t>
      </w:r>
      <w:r w:rsidR="00E325FC">
        <w:rPr>
          <w:rFonts w:ascii="Times New Roman" w:hAnsi="Times New Roman" w:cs="Times New Roman"/>
        </w:rPr>
        <w:t xml:space="preserve"> </w:t>
      </w:r>
      <w:r w:rsidR="00315340">
        <w:rPr>
          <w:rFonts w:ascii="Times New Roman" w:hAnsi="Times New Roman" w:cs="Times New Roman"/>
        </w:rPr>
        <w:t xml:space="preserve">Patients who did not achieve a second remission were correctly identified on average </w:t>
      </w:r>
      <w:r w:rsidR="00071539">
        <w:rPr>
          <w:rFonts w:ascii="Times New Roman" w:hAnsi="Times New Roman" w:cs="Times New Roman"/>
        </w:rPr>
        <w:t xml:space="preserve">after </w:t>
      </w:r>
      <w:r w:rsidR="00315340">
        <w:rPr>
          <w:rFonts w:ascii="Times New Roman" w:hAnsi="Times New Roman" w:cs="Times New Roman"/>
        </w:rPr>
        <w:t>10 months of observation post-breakthrough.</w:t>
      </w:r>
    </w:p>
    <w:p w14:paraId="04BEB4F5" w14:textId="77777777" w:rsidR="001F0F29" w:rsidRPr="00DB0409" w:rsidRDefault="00E14044" w:rsidP="005E16CF">
      <w:pPr>
        <w:spacing w:line="480" w:lineRule="auto"/>
        <w:rPr>
          <w:rFonts w:ascii="Times New Roman" w:hAnsi="Times New Roman" w:cs="Times New Roman"/>
        </w:rPr>
      </w:pPr>
      <w:r>
        <w:rPr>
          <w:rFonts w:ascii="Times New Roman" w:hAnsi="Times New Roman" w:cs="Times New Roman"/>
        </w:rPr>
        <w:t>Occurrence</w:t>
      </w:r>
      <w:r w:rsidR="00A45B05" w:rsidRPr="00DB0409">
        <w:rPr>
          <w:rFonts w:ascii="Times New Roman" w:hAnsi="Times New Roman" w:cs="Times New Roman"/>
        </w:rPr>
        <w:t xml:space="preserve"> </w:t>
      </w:r>
      <w:r w:rsidR="001F0F29" w:rsidRPr="00DB0409">
        <w:rPr>
          <w:rFonts w:ascii="Times New Roman" w:hAnsi="Times New Roman" w:cs="Times New Roman"/>
        </w:rPr>
        <w:t>of seizures</w:t>
      </w:r>
      <w:r w:rsidR="005E16CF" w:rsidRPr="00DB0409">
        <w:rPr>
          <w:rFonts w:ascii="Times New Roman" w:hAnsi="Times New Roman" w:cs="Times New Roman"/>
        </w:rPr>
        <w:t xml:space="preserve"> after breakthrough</w:t>
      </w:r>
      <w:r w:rsidR="001F0F29" w:rsidRPr="00DB0409">
        <w:rPr>
          <w:rFonts w:ascii="Times New Roman" w:hAnsi="Times New Roman" w:cs="Times New Roman"/>
        </w:rPr>
        <w:t xml:space="preserve"> and the number of seizures experienced were the most informative longitudinal variables. These longitudinal profiles were influenced by the following baseline covariates: Age at Breakthrough seizure, presence of neurological insult and number of AED’s required to achieve first remission.</w:t>
      </w:r>
    </w:p>
    <w:p w14:paraId="2330D740" w14:textId="77777777" w:rsidR="001F0F29" w:rsidRPr="00DB0409" w:rsidRDefault="00F94B4A" w:rsidP="005E16CF">
      <w:pPr>
        <w:spacing w:line="480" w:lineRule="auto"/>
        <w:rPr>
          <w:rFonts w:ascii="Times New Roman" w:hAnsi="Times New Roman" w:cs="Times New Roman"/>
        </w:rPr>
      </w:pPr>
      <w:r>
        <w:rPr>
          <w:rFonts w:ascii="Times New Roman" w:hAnsi="Times New Roman" w:cs="Times New Roman"/>
          <w:b/>
        </w:rPr>
        <w:t>Significance</w:t>
      </w:r>
      <w:r w:rsidR="001F0F29" w:rsidRPr="00DB0409">
        <w:rPr>
          <w:rFonts w:ascii="Times New Roman" w:hAnsi="Times New Roman" w:cs="Times New Roman"/>
          <w:b/>
        </w:rPr>
        <w:t>:</w:t>
      </w:r>
      <w:r w:rsidR="001F0F29" w:rsidRPr="00DB0409">
        <w:rPr>
          <w:rFonts w:ascii="Times New Roman" w:hAnsi="Times New Roman" w:cs="Times New Roman"/>
        </w:rPr>
        <w:t xml:space="preserve"> Using longitudinal data gathered during patient follow up allows more accurate predictions than using baseline covariates in a standard </w:t>
      </w:r>
      <w:r w:rsidR="005E16CF" w:rsidRPr="00DB0409">
        <w:rPr>
          <w:rFonts w:ascii="Times New Roman" w:hAnsi="Times New Roman" w:cs="Times New Roman"/>
        </w:rPr>
        <w:t>C</w:t>
      </w:r>
      <w:r w:rsidR="001F0F29" w:rsidRPr="00DB0409">
        <w:rPr>
          <w:rFonts w:ascii="Times New Roman" w:hAnsi="Times New Roman" w:cs="Times New Roman"/>
        </w:rPr>
        <w:t xml:space="preserve">ox model. The </w:t>
      </w:r>
      <w:r w:rsidR="001F0F29" w:rsidRPr="00DB0409">
        <w:rPr>
          <w:rFonts w:ascii="Times New Roman" w:hAnsi="Times New Roman" w:cs="Times New Roman"/>
        </w:rPr>
        <w:lastRenderedPageBreak/>
        <w:t xml:space="preserve">model developed in this paper is a useful first step in developing a tool for identifying patients who develop drug-resistance after an initial remission. </w:t>
      </w:r>
    </w:p>
    <w:p w14:paraId="1AA2CC4A" w14:textId="77777777" w:rsidR="00A45B05" w:rsidRDefault="00F94B4A" w:rsidP="005E16CF">
      <w:pPr>
        <w:spacing w:line="480" w:lineRule="auto"/>
        <w:rPr>
          <w:rFonts w:ascii="Times New Roman" w:hAnsi="Times New Roman" w:cs="Times New Roman"/>
        </w:rPr>
      </w:pPr>
      <w:r>
        <w:rPr>
          <w:rFonts w:ascii="Times New Roman" w:hAnsi="Times New Roman" w:cs="Times New Roman"/>
        </w:rPr>
        <w:t xml:space="preserve">Key Points </w:t>
      </w:r>
    </w:p>
    <w:p w14:paraId="728404ED" w14:textId="77777777" w:rsidR="00036662" w:rsidRPr="00036662" w:rsidRDefault="00E25080" w:rsidP="00036662">
      <w:pPr>
        <w:pStyle w:val="ListParagraph"/>
        <w:numPr>
          <w:ilvl w:val="0"/>
          <w:numId w:val="7"/>
        </w:numPr>
        <w:spacing w:line="480" w:lineRule="auto"/>
        <w:rPr>
          <w:rFonts w:ascii="Times New Roman" w:eastAsia="Times New Roman" w:hAnsi="Times New Roman" w:cs="Times New Roman"/>
        </w:rPr>
      </w:pPr>
      <w:r w:rsidRPr="00036662">
        <w:rPr>
          <w:rFonts w:ascii="Times New Roman" w:eastAsia="Times New Roman" w:hAnsi="Times New Roman" w:cs="Times New Roman"/>
        </w:rPr>
        <w:t>The presence and number of post-breakthrough seizures are the most informative variables for predicting poor outcome following first breakthrough.</w:t>
      </w:r>
      <w:r w:rsidRPr="00036662">
        <w:rPr>
          <w:rStyle w:val="xapple-converted-space"/>
          <w:rFonts w:ascii="Times New Roman" w:eastAsia="Times New Roman" w:hAnsi="Times New Roman" w:cs="Times New Roman"/>
        </w:rPr>
        <w:t> </w:t>
      </w:r>
      <w:r w:rsidRPr="00036662" w:rsidDel="00E25080">
        <w:rPr>
          <w:rFonts w:ascii="Times New Roman" w:eastAsia="Times New Roman" w:hAnsi="Times New Roman" w:cs="Times New Roman"/>
          <w:i/>
          <w:iCs/>
        </w:rPr>
        <w:t xml:space="preserve"> </w:t>
      </w:r>
    </w:p>
    <w:p w14:paraId="4DBDF454" w14:textId="77777777" w:rsidR="00E25080" w:rsidRPr="00036662" w:rsidRDefault="00E25080" w:rsidP="00036662">
      <w:pPr>
        <w:pStyle w:val="ListParagraph"/>
        <w:numPr>
          <w:ilvl w:val="0"/>
          <w:numId w:val="7"/>
        </w:numPr>
        <w:spacing w:line="480" w:lineRule="auto"/>
        <w:rPr>
          <w:rFonts w:ascii="Times New Roman" w:eastAsia="Times New Roman" w:hAnsi="Times New Roman" w:cs="Times New Roman"/>
        </w:rPr>
      </w:pPr>
      <w:r w:rsidRPr="00036662">
        <w:rPr>
          <w:rFonts w:ascii="Times New Roman" w:eastAsia="Times New Roman" w:hAnsi="Times New Roman" w:cs="Times New Roman"/>
        </w:rPr>
        <w:t>Age at breakthrough seizure, neurological insult and numbers of treatments required to achieve first 12-month remission are also influential.</w:t>
      </w:r>
    </w:p>
    <w:p w14:paraId="0B531AA7" w14:textId="3740AE47" w:rsidR="00E25080" w:rsidRPr="00036662" w:rsidRDefault="00E25080" w:rsidP="00036662">
      <w:pPr>
        <w:pStyle w:val="ListParagraph"/>
        <w:numPr>
          <w:ilvl w:val="0"/>
          <w:numId w:val="7"/>
        </w:numPr>
        <w:spacing w:line="480" w:lineRule="auto"/>
        <w:rPr>
          <w:rFonts w:ascii="Times New Roman" w:eastAsia="Times New Roman" w:hAnsi="Times New Roman" w:cs="Times New Roman"/>
          <w:sz w:val="22"/>
          <w:szCs w:val="22"/>
        </w:rPr>
      </w:pPr>
      <w:r w:rsidRPr="00036662">
        <w:rPr>
          <w:rFonts w:ascii="Times New Roman" w:eastAsia="Times New Roman" w:hAnsi="Times New Roman" w:cs="Times New Roman"/>
        </w:rPr>
        <w:t xml:space="preserve">Real time monitoring of seizure history leads to more accurate predictions than those estimated from existing models </w:t>
      </w:r>
      <w:r w:rsidR="00315340">
        <w:rPr>
          <w:rFonts w:ascii="Times New Roman" w:eastAsia="Times New Roman" w:hAnsi="Times New Roman" w:cs="Times New Roman"/>
        </w:rPr>
        <w:t xml:space="preserve">at baseline, with approximately 10 months of observation required on average </w:t>
      </w:r>
      <w:r w:rsidR="00071539">
        <w:rPr>
          <w:rFonts w:ascii="Times New Roman" w:eastAsia="Times New Roman" w:hAnsi="Times New Roman" w:cs="Times New Roman"/>
        </w:rPr>
        <w:t xml:space="preserve">to </w:t>
      </w:r>
      <w:r w:rsidR="00315340">
        <w:rPr>
          <w:rFonts w:ascii="Times New Roman" w:eastAsia="Times New Roman" w:hAnsi="Times New Roman" w:cs="Times New Roman"/>
        </w:rPr>
        <w:t>correctly identify patients who do no</w:t>
      </w:r>
      <w:r w:rsidR="00841C96">
        <w:rPr>
          <w:rFonts w:ascii="Times New Roman" w:eastAsia="Times New Roman" w:hAnsi="Times New Roman" w:cs="Times New Roman"/>
        </w:rPr>
        <w:t>t</w:t>
      </w:r>
      <w:r w:rsidR="00315340">
        <w:rPr>
          <w:rFonts w:ascii="Times New Roman" w:eastAsia="Times New Roman" w:hAnsi="Times New Roman" w:cs="Times New Roman"/>
        </w:rPr>
        <w:t xml:space="preserve"> re-achieve remission.</w:t>
      </w:r>
    </w:p>
    <w:p w14:paraId="0E322DDF" w14:textId="77777777" w:rsidR="0077236D" w:rsidRDefault="0077236D" w:rsidP="005E16CF">
      <w:pPr>
        <w:spacing w:line="480" w:lineRule="auto"/>
        <w:rPr>
          <w:rFonts w:ascii="Times New Roman" w:hAnsi="Times New Roman" w:cs="Times New Roman"/>
          <w:b/>
        </w:rPr>
      </w:pPr>
    </w:p>
    <w:p w14:paraId="36167624" w14:textId="77777777" w:rsidR="007219A8" w:rsidRPr="00DB0409" w:rsidRDefault="00AF0478" w:rsidP="005E16CF">
      <w:pPr>
        <w:spacing w:line="480" w:lineRule="auto"/>
        <w:rPr>
          <w:rFonts w:ascii="Times New Roman" w:hAnsi="Times New Roman" w:cs="Times New Roman"/>
        </w:rPr>
      </w:pPr>
      <w:r w:rsidRPr="00DB0409">
        <w:rPr>
          <w:rFonts w:ascii="Times New Roman" w:hAnsi="Times New Roman" w:cs="Times New Roman"/>
          <w:b/>
        </w:rPr>
        <w:t>INTRODUCTION</w:t>
      </w:r>
    </w:p>
    <w:p w14:paraId="16BF0A6A" w14:textId="6D2FC714" w:rsidR="00E325FC" w:rsidRPr="00DB0409" w:rsidRDefault="007219A8" w:rsidP="005E16CF">
      <w:pPr>
        <w:spacing w:after="120" w:line="480" w:lineRule="auto"/>
        <w:rPr>
          <w:rFonts w:ascii="Times New Roman" w:hAnsi="Times New Roman" w:cs="Times New Roman"/>
        </w:rPr>
      </w:pPr>
      <w:r w:rsidRPr="00DB0409">
        <w:rPr>
          <w:rFonts w:ascii="Times New Roman" w:hAnsi="Times New Roman" w:cs="Times New Roman"/>
        </w:rPr>
        <w:t>Approximately 30-40% of patients with epilepsy will never enter a sustained remission from seizures despite multiple treatment changes</w:t>
      </w:r>
      <w:r w:rsidR="005E30FA">
        <w:rPr>
          <w:rFonts w:ascii="Times New Roman" w:hAnsi="Times New Roman" w:cs="Times New Roman"/>
        </w:rPr>
        <w:t>.</w:t>
      </w:r>
      <w:r w:rsidR="005E30FA">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&lt;EndNote&gt;&lt;Cite&gt;&lt;Author&gt;Cockerell&lt;/Author&gt;&lt;Year&gt;1995&lt;/Year&gt;&lt;RecNum&gt;1&lt;/RecNum&gt;&lt;DisplayText&gt;&lt;style face="superscript"&gt;1&lt;/style&gt;&lt;/DisplayText&gt;&lt;record&gt;&lt;rec-number&gt;1&lt;/rec-number&gt;&lt;foreign-keys&gt;&lt;key app="EN" db-id="ewzpxe5r9zfet0e50ee5zx5vvzsdvs2wrpf9" timestamp="1529400698"&gt;1&lt;/key&gt;&lt;/foreign-keys&gt;&lt;ref-type name="Journal Article"&gt;17&lt;/ref-type&gt;&lt;contributors&gt;&lt;authors&gt;&lt;author&gt;Cockerell, Oliver C&lt;/author&gt;&lt;author&gt;Sander, JWAS&lt;/author&gt;&lt;author&gt;Hart, Yvonne M&lt;/author&gt;&lt;author&gt;Shorvon, Simon D&lt;/author&gt;&lt;author&gt;Johnson, AL&lt;/author&gt;&lt;/authors&gt;&lt;/contributors&gt;&lt;titles&gt;&lt;title&gt;Remission of epilepsy: results from the National General Practice Study of Epilepsy&lt;/title&gt;&lt;secondary-title&gt;The Lancet&lt;/secondary-title&gt;&lt;/titles&gt;&lt;periodical&gt;&lt;full-title&gt;The Lancet&lt;/full-title&gt;&lt;/periodical&gt;&lt;pages&gt;140-144&lt;/pages&gt;&lt;volume&gt;346&lt;/volume&gt;&lt;number&gt;8968&lt;/number&gt;&lt;dates&gt;&lt;year&gt;1995&lt;/year&gt;&lt;/dates&gt;&lt;isbn&gt;0140-6736&lt;/isbn&gt;&lt;urls&gt;&lt;/urls&gt;&lt;/record&gt;&lt;/Cite&gt;&lt;/EndNote&gt;</w:instrText>
      </w:r>
      <w:r w:rsidR="005E30FA">
        <w:rPr>
          <w:rFonts w:ascii="Times New Roman" w:hAnsi="Times New Roman" w:cs="Times New Roman"/>
        </w:rPr>
        <w:fldChar w:fldCharType="separate"/>
      </w:r>
      <w:r w:rsidR="00CD6DE1" w:rsidRPr="00CD6DE1">
        <w:rPr>
          <w:rFonts w:ascii="Times New Roman" w:hAnsi="Times New Roman" w:cs="Times New Roman"/>
          <w:noProof/>
          <w:vertAlign w:val="superscript"/>
        </w:rPr>
        <w:t>1</w:t>
      </w:r>
      <w:r w:rsidR="005E30FA">
        <w:rPr>
          <w:rFonts w:ascii="Times New Roman" w:hAnsi="Times New Roman" w:cs="Times New Roman"/>
        </w:rPr>
        <w:fldChar w:fldCharType="end"/>
      </w:r>
      <w:r w:rsidRPr="00DB0409">
        <w:rPr>
          <w:rFonts w:ascii="Times New Roman" w:hAnsi="Times New Roman" w:cs="Times New Roman"/>
        </w:rPr>
        <w:t xml:space="preserve"> </w:t>
      </w:r>
      <w:r w:rsidR="00315340">
        <w:rPr>
          <w:rFonts w:ascii="Times New Roman" w:hAnsi="Times New Roman" w:cs="Times New Roman"/>
        </w:rPr>
        <w:t>Of the</w:t>
      </w:r>
      <w:r w:rsidR="00315340" w:rsidRPr="00DB0409">
        <w:rPr>
          <w:rFonts w:ascii="Times New Roman" w:hAnsi="Times New Roman" w:cs="Times New Roman"/>
        </w:rPr>
        <w:t xml:space="preserve"> </w:t>
      </w:r>
      <w:r w:rsidR="00067BA2" w:rsidRPr="00DB0409">
        <w:rPr>
          <w:rFonts w:ascii="Times New Roman" w:hAnsi="Times New Roman" w:cs="Times New Roman"/>
        </w:rPr>
        <w:t xml:space="preserve">60-70% of patients </w:t>
      </w:r>
      <w:r w:rsidR="00315340">
        <w:rPr>
          <w:rFonts w:ascii="Times New Roman" w:hAnsi="Times New Roman" w:cs="Times New Roman"/>
        </w:rPr>
        <w:t>wh</w:t>
      </w:r>
      <w:r w:rsidR="00067BA2" w:rsidRPr="00DB0409">
        <w:rPr>
          <w:rFonts w:ascii="Times New Roman" w:hAnsi="Times New Roman" w:cs="Times New Roman"/>
        </w:rPr>
        <w:t>o achieve a 12-month remission from seizures, a</w:t>
      </w:r>
      <w:r w:rsidR="00315340">
        <w:rPr>
          <w:rFonts w:ascii="Times New Roman" w:hAnsi="Times New Roman" w:cs="Times New Roman"/>
        </w:rPr>
        <w:t>round</w:t>
      </w:r>
      <w:r w:rsidR="00067BA2" w:rsidRPr="00DB0409">
        <w:rPr>
          <w:rFonts w:ascii="Times New Roman" w:hAnsi="Times New Roman" w:cs="Times New Roman"/>
        </w:rPr>
        <w:t xml:space="preserve"> 37%  may</w:t>
      </w:r>
      <w:r w:rsidR="00315340">
        <w:rPr>
          <w:rFonts w:ascii="Times New Roman" w:hAnsi="Times New Roman" w:cs="Times New Roman"/>
        </w:rPr>
        <w:t xml:space="preserve"> have</w:t>
      </w:r>
      <w:r w:rsidR="00067BA2" w:rsidRPr="00DB0409">
        <w:rPr>
          <w:rFonts w:ascii="Times New Roman" w:hAnsi="Times New Roman" w:cs="Times New Roman"/>
        </w:rPr>
        <w:t xml:space="preserve"> a breakthrough seizure, </w:t>
      </w:r>
      <w:r w:rsidR="00E325FC">
        <w:rPr>
          <w:rFonts w:ascii="Times New Roman" w:hAnsi="Times New Roman" w:cs="Times New Roman"/>
        </w:rPr>
        <w:t xml:space="preserve">defined here as one that occurs following a remission of at least 12 months, </w:t>
      </w:r>
      <w:r w:rsidR="00067BA2" w:rsidRPr="00DB0409">
        <w:rPr>
          <w:rFonts w:ascii="Times New Roman" w:hAnsi="Times New Roman" w:cs="Times New Roman"/>
        </w:rPr>
        <w:t xml:space="preserve">despite </w:t>
      </w:r>
      <w:r w:rsidR="00315340">
        <w:rPr>
          <w:rFonts w:ascii="Times New Roman" w:hAnsi="Times New Roman" w:cs="Times New Roman"/>
        </w:rPr>
        <w:t>continued</w:t>
      </w:r>
      <w:r w:rsidR="00153A54">
        <w:rPr>
          <w:rFonts w:ascii="Times New Roman" w:hAnsi="Times New Roman" w:cs="Times New Roman"/>
        </w:rPr>
        <w:t xml:space="preserve"> </w:t>
      </w:r>
      <w:r w:rsidR="00315340">
        <w:rPr>
          <w:rFonts w:ascii="Times New Roman" w:hAnsi="Times New Roman" w:cs="Times New Roman"/>
        </w:rPr>
        <w:t>treatment with</w:t>
      </w:r>
      <w:r w:rsidR="00067BA2" w:rsidRPr="00DB0409">
        <w:rPr>
          <w:rFonts w:ascii="Times New Roman" w:hAnsi="Times New Roman" w:cs="Times New Roman"/>
        </w:rPr>
        <w:t xml:space="preserve"> antiepileptic drugs</w:t>
      </w:r>
      <w:r w:rsidR="00A45B05">
        <w:rPr>
          <w:rFonts w:ascii="Times New Roman" w:hAnsi="Times New Roman" w:cs="Times New Roman"/>
        </w:rPr>
        <w:t xml:space="preserve"> (AEDs)</w:t>
      </w:r>
      <w:r w:rsidR="00540857" w:rsidRPr="00DB0409">
        <w:rPr>
          <w:rFonts w:ascii="Times New Roman" w:hAnsi="Times New Roman" w:cs="Times New Roman"/>
        </w:rPr>
        <w:t>.</w:t>
      </w:r>
      <w:r w:rsidR="00C364EE">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&lt;EndNote&gt;&lt;Cite&gt;&lt;Author&gt;Bourgeois&lt;/Author&gt;&lt;Year&gt;2007&lt;/Year&gt;&lt;RecNum&gt;2&lt;/RecNum&gt;&lt;DisplayText&gt;&lt;style face="superscript"&gt;2&lt;/style&gt;&lt;/DisplayText&gt;&lt;record&gt;&lt;rec-number&gt;2&lt;/rec-number&gt;&lt;foreign-keys&gt;&lt;key app="EN" db-id="ewzpxe5r9zfet0e50ee5zx5vvzsdvs2wrpf9" timestamp="1529400753"&gt;2&lt;/key&gt;&lt;/foreign-keys&gt;&lt;ref-type name="Book"&gt;6&lt;/ref-type&gt;&lt;contributors&gt;&lt;authors&gt;&lt;author&gt;Bourgeois, Blaise F&lt;/author&gt;&lt;author&gt;Dodson, Edwin&lt;/author&gt;&lt;/authors&gt;&lt;/contributors&gt;&lt;titles&gt;&lt;title&gt;Pediatric epilepsy: diagnosis and therapy&lt;/title&gt;&lt;/titles&gt;&lt;dates&gt;&lt;year&gt;2007&lt;/year&gt;&lt;/dates&gt;&lt;publisher&gt;Demos Medical Publishing&lt;/publisher&gt;&lt;isbn&gt;1934559865&lt;/isbn&gt;&lt;urls&gt;&lt;/urls&gt;&lt;/record&gt;&lt;/Cite&gt;&lt;/EndNote&gt;</w:instrText>
      </w:r>
      <w:r w:rsidR="00C364EE">
        <w:rPr>
          <w:rFonts w:ascii="Times New Roman" w:hAnsi="Times New Roman" w:cs="Times New Roman"/>
        </w:rPr>
        <w:fldChar w:fldCharType="separate"/>
      </w:r>
      <w:r w:rsidR="00CD6DE1" w:rsidRPr="00CD6DE1">
        <w:rPr>
          <w:rFonts w:ascii="Times New Roman" w:hAnsi="Times New Roman" w:cs="Times New Roman"/>
          <w:noProof/>
          <w:vertAlign w:val="superscript"/>
        </w:rPr>
        <w:t>2</w:t>
      </w:r>
      <w:r w:rsidR="00C364EE">
        <w:rPr>
          <w:rFonts w:ascii="Times New Roman" w:hAnsi="Times New Roman" w:cs="Times New Roman"/>
        </w:rPr>
        <w:fldChar w:fldCharType="end"/>
      </w:r>
    </w:p>
    <w:p w14:paraId="39FF34FD" w14:textId="015F5129" w:rsidR="00067BA2" w:rsidRPr="00DB0409" w:rsidRDefault="00067BA2" w:rsidP="005E16CF">
      <w:pPr>
        <w:spacing w:after="120" w:line="480" w:lineRule="auto"/>
        <w:rPr>
          <w:rFonts w:ascii="Times New Roman" w:hAnsi="Times New Roman" w:cs="Times New Roman"/>
        </w:rPr>
      </w:pPr>
      <w:r w:rsidRPr="00DB0409">
        <w:rPr>
          <w:rFonts w:ascii="Times New Roman" w:hAnsi="Times New Roman" w:cs="Times New Roman"/>
        </w:rPr>
        <w:t>Following a breakthrough seizure patients may go on to achieve a further period of remission, either immediately or following changes to their treatment regime</w:t>
      </w:r>
      <w:r w:rsidR="00E325FC">
        <w:rPr>
          <w:rFonts w:ascii="Times New Roman" w:hAnsi="Times New Roman" w:cs="Times New Roman"/>
        </w:rPr>
        <w:t>n</w:t>
      </w:r>
      <w:r w:rsidRPr="00DB0409">
        <w:rPr>
          <w:rFonts w:ascii="Times New Roman" w:hAnsi="Times New Roman" w:cs="Times New Roman"/>
        </w:rPr>
        <w:t>.</w:t>
      </w:r>
      <w:r w:rsidR="00AC56BE">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&lt;EndNote&gt;&lt;Cite&gt;&lt;Author&gt;Brodie&lt;/Author&gt;&lt;Year&gt;2012&lt;/Year&gt;&lt;RecNum&gt;22&lt;/RecNum&gt;&lt;DisplayText&gt;&lt;style face="superscript"&gt;3&lt;/style&gt;&lt;/DisplayText&gt;&lt;record&gt;&lt;rec-number&gt;22&lt;/rec-number&gt;&lt;foreign-keys&gt;&lt;key app="EN" db-id="ewzpxe5r9zfet0e50ee5zx5vvzsdvs2wrpf9" timestamp="1542644110"&gt;22&lt;/key&gt;&lt;/foreign-keys&gt;&lt;ref-type name="Journal Article"&gt;17&lt;/ref-type&gt;&lt;contributors&gt;&lt;authors&gt;&lt;author&gt;Brodie, MJ&lt;/author&gt;&lt;author&gt;Barry, SJE&lt;/author&gt;&lt;author&gt;Bamagous, GA&lt;/author&gt;&lt;author&gt;Norrie, JD&lt;/author&gt;&lt;author&gt;Kwan, P&lt;/author&gt;&lt;/authors&gt;&lt;/contributors&gt;&lt;titles&gt;&lt;title&gt;Patterns of treatment response in newly diagnosed epilepsy&lt;/title&gt;&lt;secondary-title&gt;Neurology&lt;/secondary-title&gt;&lt;/titles&gt;&lt;periodical&gt;&lt;full-title&gt;Neurology&lt;/full-title&gt;&lt;/periodical&gt;&lt;pages&gt;WNL. 0b013e3182563b19&lt;/pages&gt;&lt;dates&gt;&lt;year&gt;2012&lt;/year&gt;&lt;/dates&gt;&lt;isbn&gt;0028-3878&lt;/isbn&gt;&lt;urls&gt;&lt;/urls&gt;&lt;/record&gt;&lt;/Cite&gt;&lt;/EndNote&gt;</w:instrText>
      </w:r>
      <w:r w:rsidR="00AC56BE">
        <w:rPr>
          <w:rFonts w:ascii="Times New Roman" w:hAnsi="Times New Roman" w:cs="Times New Roman"/>
        </w:rPr>
        <w:fldChar w:fldCharType="separate"/>
      </w:r>
      <w:r w:rsidR="00CD6DE1" w:rsidRPr="00CD6DE1">
        <w:rPr>
          <w:rFonts w:ascii="Times New Roman" w:hAnsi="Times New Roman" w:cs="Times New Roman"/>
          <w:noProof/>
          <w:vertAlign w:val="superscript"/>
        </w:rPr>
        <w:t>3</w:t>
      </w:r>
      <w:r w:rsidR="00AC56BE">
        <w:rPr>
          <w:rFonts w:ascii="Times New Roman" w:hAnsi="Times New Roman" w:cs="Times New Roman"/>
        </w:rPr>
        <w:fldChar w:fldCharType="end"/>
      </w:r>
      <w:r w:rsidRPr="00DB0409">
        <w:rPr>
          <w:rFonts w:ascii="Times New Roman" w:hAnsi="Times New Roman" w:cs="Times New Roman"/>
        </w:rPr>
        <w:t xml:space="preserve"> However, some continue to experience seizures despite multiple treatment </w:t>
      </w:r>
      <w:r w:rsidR="0038520A">
        <w:rPr>
          <w:rFonts w:ascii="Times New Roman" w:hAnsi="Times New Roman" w:cs="Times New Roman"/>
        </w:rPr>
        <w:t>c</w:t>
      </w:r>
      <w:r w:rsidR="00E325FC">
        <w:rPr>
          <w:rFonts w:ascii="Times New Roman" w:hAnsi="Times New Roman" w:cs="Times New Roman"/>
        </w:rPr>
        <w:t>h</w:t>
      </w:r>
      <w:r w:rsidR="0038520A">
        <w:rPr>
          <w:rFonts w:ascii="Times New Roman" w:hAnsi="Times New Roman" w:cs="Times New Roman"/>
        </w:rPr>
        <w:t>a</w:t>
      </w:r>
      <w:r w:rsidR="00E325FC">
        <w:rPr>
          <w:rFonts w:ascii="Times New Roman" w:hAnsi="Times New Roman" w:cs="Times New Roman"/>
        </w:rPr>
        <w:t>nges</w:t>
      </w:r>
      <w:r w:rsidRPr="00DB0409">
        <w:rPr>
          <w:rFonts w:ascii="Times New Roman" w:hAnsi="Times New Roman" w:cs="Times New Roman"/>
        </w:rPr>
        <w:t xml:space="preserve">. </w:t>
      </w:r>
    </w:p>
    <w:p w14:paraId="0EA09565" w14:textId="77777777" w:rsidR="00DE5741" w:rsidRDefault="00E325FC" w:rsidP="005E16CF">
      <w:pPr>
        <w:spacing w:after="120" w:line="480" w:lineRule="auto"/>
        <w:rPr>
          <w:rFonts w:ascii="Times New Roman" w:hAnsi="Times New Roman" w:cs="Times New Roman"/>
        </w:rPr>
      </w:pPr>
      <w:r>
        <w:rPr>
          <w:rFonts w:ascii="Times New Roman" w:hAnsi="Times New Roman" w:cs="Times New Roman"/>
        </w:rPr>
        <w:t xml:space="preserve">If we were able to reliably predict prognosis following a breakthrough seizure, patients could be provided with important information that could influence life </w:t>
      </w:r>
      <w:r>
        <w:rPr>
          <w:rFonts w:ascii="Times New Roman" w:hAnsi="Times New Roman" w:cs="Times New Roman"/>
        </w:rPr>
        <w:lastRenderedPageBreak/>
        <w:t xml:space="preserve">choices, and medical resources could be used more effectively, for example patients could be put on a pathway for respective surgery earlier in their disease course. </w:t>
      </w:r>
    </w:p>
    <w:p w14:paraId="4190021B" w14:textId="078334FE" w:rsidR="00F17B27" w:rsidRPr="00DB0409" w:rsidRDefault="00E325FC" w:rsidP="005E16CF">
      <w:pPr>
        <w:spacing w:after="120" w:line="480" w:lineRule="auto"/>
        <w:rPr>
          <w:rFonts w:ascii="Times New Roman" w:hAnsi="Times New Roman" w:cs="Times New Roman"/>
        </w:rPr>
      </w:pPr>
      <w:r>
        <w:rPr>
          <w:rFonts w:ascii="Times New Roman" w:hAnsi="Times New Roman" w:cs="Times New Roman"/>
        </w:rPr>
        <w:t>However, v</w:t>
      </w:r>
      <w:r w:rsidR="00067BA2" w:rsidRPr="00DB0409">
        <w:rPr>
          <w:rFonts w:ascii="Times New Roman" w:hAnsi="Times New Roman" w:cs="Times New Roman"/>
        </w:rPr>
        <w:t xml:space="preserve">ery little work has </w:t>
      </w:r>
      <w:r w:rsidR="006F4D1A" w:rsidRPr="00DB0409">
        <w:rPr>
          <w:rFonts w:ascii="Times New Roman" w:hAnsi="Times New Roman" w:cs="Times New Roman"/>
        </w:rPr>
        <w:t xml:space="preserve">been conducted to </w:t>
      </w:r>
      <w:r w:rsidR="00F17B27" w:rsidRPr="00DB0409">
        <w:rPr>
          <w:rFonts w:ascii="Times New Roman" w:hAnsi="Times New Roman" w:cs="Times New Roman"/>
        </w:rPr>
        <w:t xml:space="preserve">investigate patient outcomes following breakthrough seizures. </w:t>
      </w:r>
      <w:proofErr w:type="spellStart"/>
      <w:r w:rsidR="00E65DF4" w:rsidRPr="00DB0409">
        <w:rPr>
          <w:rFonts w:ascii="Times New Roman" w:hAnsi="Times New Roman" w:cs="Times New Roman"/>
        </w:rPr>
        <w:t>Bonnett</w:t>
      </w:r>
      <w:proofErr w:type="spellEnd"/>
      <w:r w:rsidR="00E65DF4" w:rsidRPr="00DB0409">
        <w:rPr>
          <w:rFonts w:ascii="Times New Roman" w:hAnsi="Times New Roman" w:cs="Times New Roman"/>
        </w:rPr>
        <w:t xml:space="preserve"> et al</w:t>
      </w:r>
      <w:r w:rsidR="003F7AB3">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&lt;EndNote&gt;&lt;Cite&gt;&lt;Author&gt;Bonnett&lt;/Author&gt;&lt;Year&gt;2017&lt;/Year&gt;&lt;RecNum&gt;3&lt;/RecNum&gt;&lt;DisplayText&gt;&lt;style face="superscript"&gt;4, 5&lt;/style&gt;&lt;/DisplayText&gt;&lt;record&gt;&lt;rec-number&gt;3&lt;/rec-number&gt;&lt;foreign-keys&gt;&lt;key app="EN" db-id="ewzpxe5r9zfet0e50ee5zx5vvzsdvs2wrpf9" timestamp="1529400802"&gt;3&lt;/key&gt;&lt;/foreign-keys&gt;&lt;ref-type name="Journal Article"&gt;17&lt;/ref-type&gt;&lt;contributors&gt;&lt;authors&gt;&lt;author&gt;Bonnett, LJ&lt;/author&gt;&lt;author&gt;Powell, GA&lt;/author&gt;&lt;author&gt;Smith, C Tudur&lt;/author&gt;&lt;author&gt;Marson, AG&lt;/author&gt;&lt;/authors&gt;&lt;/contributors&gt;&lt;titles&gt;&lt;title&gt;Risk of a seizure recurrence after a breakthrough seizure and the implications for driving: further analysis of the standard versus new antiepileptic drugs (SANAD) randomised controlled trial&lt;/title&gt;&lt;secondary-title&gt;BMJ open&lt;/secondary-title&gt;&lt;/titles&gt;&lt;periodical&gt;&lt;full-title&gt;BMJ open&lt;/full-title&gt;&lt;/periodical&gt;&lt;pages&gt;e015868&lt;/pages&gt;&lt;volume&gt;7&lt;/volume&gt;&lt;number&gt;7&lt;/number&gt;&lt;dates&gt;&lt;year&gt;2017&lt;/year&gt;&lt;/dates&gt;&lt;isbn&gt;2044-6055&lt;/isbn&gt;&lt;urls&gt;&lt;/urls&gt;&lt;/record&gt;&lt;/Cite&gt;&lt;Cite&gt;&lt;Author&gt;Bonnett&lt;/Author&gt;&lt;RecNum&gt;40&lt;/RecNum&gt;&lt;record&gt;&lt;rec-number&gt;40&lt;/rec-number&gt;&lt;foreign-keys&gt;&lt;key app="EN" db-id="t2wd2e25t09vr2eetz3vawpet0sz22ed0prp" timestamp="1489077793"&gt;40&lt;/key&gt;&lt;/foreign-keys&gt;&lt;ref-type name="Journal Article"&gt;17&lt;/ref-type&gt;&lt;contributors&gt;&lt;authors&gt;&lt;author&gt;Bonnett, Laura&lt;/author&gt;&lt;author&gt;Powell, Graham A.&lt;/author&gt;&lt;author&gt;Tudur-Smith, C&lt;/author&gt;&lt;author&gt;Marson, AG&lt;/author&gt;&lt;/authors&gt;&lt;/contributors&gt;&lt;titles&gt;&lt;title&gt;Breakthrough Seizures - Further analysis of the Standard versus New Antiepileptic Drugs (SANAD) study&lt;/title&gt;&lt;/titles&gt;&lt;dates&gt;&lt;/dates&gt;&lt;urls&gt;&lt;/urls&gt;&lt;/record&gt;&lt;/Cite&gt;&lt;/EndNote&gt;</w:instrText>
      </w:r>
      <w:r w:rsidR="003F7AB3">
        <w:rPr>
          <w:rFonts w:ascii="Times New Roman" w:hAnsi="Times New Roman" w:cs="Times New Roman"/>
        </w:rPr>
        <w:fldChar w:fldCharType="separate"/>
      </w:r>
      <w:r w:rsidR="00CD6DE1" w:rsidRPr="00CD6DE1">
        <w:rPr>
          <w:rFonts w:ascii="Times New Roman" w:hAnsi="Times New Roman" w:cs="Times New Roman"/>
          <w:noProof/>
          <w:vertAlign w:val="superscript"/>
        </w:rPr>
        <w:t>4, 5</w:t>
      </w:r>
      <w:r w:rsidR="003F7AB3">
        <w:rPr>
          <w:rFonts w:ascii="Times New Roman" w:hAnsi="Times New Roman" w:cs="Times New Roman"/>
        </w:rPr>
        <w:fldChar w:fldCharType="end"/>
      </w:r>
      <w:r w:rsidR="00E65DF4" w:rsidRPr="00DB0409">
        <w:rPr>
          <w:rFonts w:ascii="Times New Roman" w:hAnsi="Times New Roman" w:cs="Times New Roman"/>
        </w:rPr>
        <w:t xml:space="preserve"> consider prognostic factors </w:t>
      </w:r>
      <w:r>
        <w:rPr>
          <w:rFonts w:ascii="Times New Roman" w:hAnsi="Times New Roman" w:cs="Times New Roman"/>
        </w:rPr>
        <w:t>for</w:t>
      </w:r>
      <w:r w:rsidR="00E65DF4" w:rsidRPr="00DB0409">
        <w:rPr>
          <w:rFonts w:ascii="Times New Roman" w:hAnsi="Times New Roman" w:cs="Times New Roman"/>
        </w:rPr>
        <w:t xml:space="preserve"> the risk of a breakthrough seizure</w:t>
      </w:r>
      <w:r>
        <w:rPr>
          <w:rFonts w:ascii="Times New Roman" w:hAnsi="Times New Roman" w:cs="Times New Roman"/>
        </w:rPr>
        <w:t xml:space="preserve"> following a period of remission</w:t>
      </w:r>
      <w:r w:rsidR="00E65DF4" w:rsidRPr="00DB0409">
        <w:rPr>
          <w:rFonts w:ascii="Times New Roman" w:hAnsi="Times New Roman" w:cs="Times New Roman"/>
        </w:rPr>
        <w:t xml:space="preserve">, the risk of seizure recurrence following a breakthrough seizure and the chance of achieving a 12-month period of remission following a breakthrough seizure. These </w:t>
      </w:r>
      <w:r w:rsidR="00AF67E1" w:rsidRPr="00DB0409">
        <w:rPr>
          <w:rFonts w:ascii="Times New Roman" w:hAnsi="Times New Roman" w:cs="Times New Roman"/>
        </w:rPr>
        <w:t>studies</w:t>
      </w:r>
      <w:r w:rsidR="00E65DF4" w:rsidRPr="00DB0409">
        <w:rPr>
          <w:rFonts w:ascii="Times New Roman" w:hAnsi="Times New Roman" w:cs="Times New Roman"/>
        </w:rPr>
        <w:t xml:space="preserve"> consider patient data up until the breakthrough seizure</w:t>
      </w:r>
      <w:r>
        <w:rPr>
          <w:rFonts w:ascii="Times New Roman" w:hAnsi="Times New Roman" w:cs="Times New Roman"/>
        </w:rPr>
        <w:t xml:space="preserve"> as prognostic variables, but </w:t>
      </w:r>
      <w:r w:rsidR="00E65DF4" w:rsidRPr="00DB0409">
        <w:rPr>
          <w:rFonts w:ascii="Times New Roman" w:hAnsi="Times New Roman" w:cs="Times New Roman"/>
        </w:rPr>
        <w:t xml:space="preserve">not data collected during subsequent follow up. </w:t>
      </w:r>
      <w:r w:rsidR="00AF1034" w:rsidRPr="00DB0409">
        <w:rPr>
          <w:rFonts w:ascii="Times New Roman" w:hAnsi="Times New Roman" w:cs="Times New Roman"/>
        </w:rPr>
        <w:t>In addition</w:t>
      </w:r>
      <w:r w:rsidR="004414AD">
        <w:rPr>
          <w:rFonts w:ascii="Times New Roman" w:hAnsi="Times New Roman" w:cs="Times New Roman"/>
        </w:rPr>
        <w:t>,</w:t>
      </w:r>
      <w:r w:rsidR="00AF1034" w:rsidRPr="00DB0409">
        <w:rPr>
          <w:rFonts w:ascii="Times New Roman" w:hAnsi="Times New Roman" w:cs="Times New Roman"/>
        </w:rPr>
        <w:t xml:space="preserve"> one study considered prognostic factors that affect seizure relapse and the development of drug resistance in patients who had experienced long term remission.</w:t>
      </w:r>
      <w:r w:rsidR="00AF1034"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&lt;EndNote&gt;&lt;Cite&gt;&lt;Author&gt;Schiller&lt;/Author&gt;&lt;Year&gt;2009&lt;/Year&gt;&lt;RecNum&gt;5&lt;/RecNum&gt;&lt;DisplayText&gt;&lt;style face="superscript"&gt;6&lt;/style&gt;&lt;/DisplayText&gt;&lt;record&gt;&lt;rec-number&gt;5&lt;/rec-number&gt;&lt;foreign-keys&gt;&lt;key app="EN" db-id="ewzpxe5r9zfet0e50ee5zx5vvzsdvs2wrpf9" timestamp="1529401894"&gt;5&lt;/key&gt;&lt;/foreign-keys&gt;&lt;ref-type name="Journal Article"&gt;17&lt;/ref-type&gt;&lt;contributors&gt;&lt;authors&gt;&lt;author&gt;Schiller, Yitzhak&lt;/author&gt;&lt;/authors&gt;&lt;/contributors&gt;&lt;titles&gt;&lt;title&gt;Seizure relapse and development of drug resistance following long-term seizure remission&lt;/title&gt;&lt;secondary-title&gt;Archives of neurology&lt;/secondary-title&gt;&lt;/titles&gt;&lt;periodical&gt;&lt;full-title&gt;Archives of neurology&lt;/full-title&gt;&lt;/periodical&gt;&lt;pages&gt;1233-1239&lt;/pages&gt;&lt;volume&gt;66&lt;/volume&gt;&lt;number&gt;10&lt;/number&gt;&lt;dates&gt;&lt;year&gt;2009&lt;/year&gt;&lt;/dates&gt;&lt;isbn&gt;0003-9942&lt;/isbn&gt;&lt;urls&gt;&lt;/urls&gt;&lt;/record&gt;&lt;/Cite&gt;&lt;/EndNote&gt;</w:instrText>
      </w:r>
      <w:r w:rsidR="00AF1034"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6</w:t>
      </w:r>
      <w:r w:rsidR="00AF1034" w:rsidRPr="00DB0409">
        <w:rPr>
          <w:rFonts w:ascii="Times New Roman" w:hAnsi="Times New Roman" w:cs="Times New Roman"/>
        </w:rPr>
        <w:fldChar w:fldCharType="end"/>
      </w:r>
      <w:r w:rsidR="00AF1034" w:rsidRPr="00DB0409">
        <w:rPr>
          <w:rFonts w:ascii="Times New Roman" w:hAnsi="Times New Roman" w:cs="Times New Roman"/>
        </w:rPr>
        <w:t xml:space="preserve"> </w:t>
      </w:r>
      <w:r w:rsidR="00E65DF4" w:rsidRPr="00DB0409">
        <w:rPr>
          <w:rFonts w:ascii="Times New Roman" w:hAnsi="Times New Roman" w:cs="Times New Roman"/>
        </w:rPr>
        <w:t>Two further studies investigate breakthrough seizures in Uganda</w:t>
      </w:r>
      <w:r w:rsidR="00F0507B"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&lt;EndNote&gt;&lt;Cite&gt;&lt;Author&gt;Kaddumukasa&lt;/Author&gt;&lt;Year&gt;2013&lt;/Year&gt;&lt;RecNum&gt;6&lt;/RecNum&gt;&lt;DisplayText&gt;&lt;style face="superscript"&gt;7&lt;/style&gt;&lt;/DisplayText&gt;&lt;record&gt;&lt;rec-number&gt;6&lt;/rec-number&gt;&lt;foreign-keys&gt;&lt;key app="EN" db-id="ewzpxe5r9zfet0e50ee5zx5vvzsdvs2wrpf9" timestamp="1529401923"&gt;6&lt;/key&gt;&lt;/foreign-keys&gt;&lt;ref-type name="Journal Article"&gt;17&lt;/ref-type&gt;&lt;contributors&gt;&lt;authors&gt;&lt;author&gt;Kaddumukasa, Martin&lt;/author&gt;&lt;author&gt;Kaddumukasa, Mark&lt;/author&gt;&lt;author&gt;Matovu, Steven&lt;/author&gt;&lt;author&gt;Katabira, Elly&lt;/author&gt;&lt;/authors&gt;&lt;/contributors&gt;&lt;titles&gt;&lt;title&gt;The frequency and precipitating factors for breakthrough seizures among patients with epilepsy in Uganda&lt;/title&gt;&lt;secondary-title&gt;BMC neurology&lt;/secondary-title&gt;&lt;/titles&gt;&lt;periodical&gt;&lt;full-title&gt;BMC neurology&lt;/full-title&gt;&lt;/periodical&gt;&lt;pages&gt;182&lt;/pages&gt;&lt;volume&gt;13&lt;/volume&gt;&lt;number&gt;1&lt;/number&gt;&lt;dates&gt;&lt;year&gt;2013&lt;/year&gt;&lt;/dates&gt;&lt;isbn&gt;1471-2377&lt;/isbn&gt;&lt;urls&gt;&lt;/urls&gt;&lt;/record&gt;&lt;/Cite&gt;&lt;/EndNote&gt;</w:instrText>
      </w:r>
      <w:r w:rsidR="00F0507B"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7</w:t>
      </w:r>
      <w:r w:rsidR="00F0507B" w:rsidRPr="00DB0409">
        <w:rPr>
          <w:rFonts w:ascii="Times New Roman" w:hAnsi="Times New Roman" w:cs="Times New Roman"/>
        </w:rPr>
        <w:fldChar w:fldCharType="end"/>
      </w:r>
      <w:r w:rsidR="00E65DF4" w:rsidRPr="00DB0409">
        <w:rPr>
          <w:rFonts w:ascii="Times New Roman" w:hAnsi="Times New Roman" w:cs="Times New Roman"/>
        </w:rPr>
        <w:t xml:space="preserve"> and Egypt</w:t>
      </w:r>
      <w:r w:rsidR="00F0507B" w:rsidRPr="00DB0409">
        <w:rPr>
          <w:rFonts w:ascii="Times New Roman" w:hAnsi="Times New Roman" w:cs="Times New Roman"/>
        </w:rPr>
        <w:t>,</w:t>
      </w:r>
      <w:r w:rsidR="00F0507B"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&lt;EndNote&gt;&lt;Cite&gt;&lt;Author&gt;Al-Kattan&lt;/Author&gt;&lt;Year&gt;2015&lt;/Year&gt;&lt;RecNum&gt;7&lt;/RecNum&gt;&lt;DisplayText&gt;&lt;style face="superscript"&gt;8&lt;/style&gt;&lt;/DisplayText&gt;&lt;record&gt;&lt;rec-number&gt;7&lt;/rec-number&gt;&lt;foreign-keys&gt;&lt;key app="EN" db-id="ewzpxe5r9zfet0e50ee5zx5vvzsdvs2wrpf9" timestamp="1529401956"&gt;7&lt;/key&gt;&lt;/foreign-keys&gt;&lt;ref-type name="Journal Article"&gt;17&lt;/ref-type&gt;&lt;contributors&gt;&lt;authors&gt;&lt;author&gt;Al-Kattan, Manal&lt;/author&gt;&lt;author&gt;Afifi, Lamia&lt;/author&gt;&lt;author&gt;Shamloul, Reham&lt;/author&gt;&lt;author&gt;Mostafa, Emad El Din&lt;/author&gt;&lt;/authors&gt;&lt;/contributors&gt;&lt;titles&gt;&lt;title&gt;Assessment of precipitating factors of breakthrough seizures in epileptic patients&lt;/title&gt;&lt;secondary-title&gt;The Egyptian Journal of Neurology, Psychiatry and Neurosurgery&lt;/secondary-title&gt;&lt;/titles&gt;&lt;periodical&gt;&lt;full-title&gt;The Egyptian Journal of Neurology, Psychiatry and Neurosurgery&lt;/full-title&gt;&lt;/periodical&gt;&lt;pages&gt;165&lt;/pages&gt;&lt;volume&gt;52&lt;/volume&gt;&lt;number&gt;3&lt;/number&gt;&lt;dates&gt;&lt;year&gt;2015&lt;/year&gt;&lt;/dates&gt;&lt;isbn&gt;1110-1083&lt;/isbn&gt;&lt;urls&gt;&lt;/urls&gt;&lt;/record&gt;&lt;/Cite&gt;&lt;/EndNote&gt;</w:instrText>
      </w:r>
      <w:r w:rsidR="00F0507B"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8</w:t>
      </w:r>
      <w:r w:rsidR="00F0507B" w:rsidRPr="00DB0409">
        <w:rPr>
          <w:rFonts w:ascii="Times New Roman" w:hAnsi="Times New Roman" w:cs="Times New Roman"/>
        </w:rPr>
        <w:fldChar w:fldCharType="end"/>
      </w:r>
      <w:r w:rsidR="00E65DF4" w:rsidRPr="00DB0409">
        <w:rPr>
          <w:rFonts w:ascii="Times New Roman" w:hAnsi="Times New Roman" w:cs="Times New Roman"/>
        </w:rPr>
        <w:t xml:space="preserve"> although neither study considered outcomes following the breakthrough seizure.</w:t>
      </w:r>
    </w:p>
    <w:p w14:paraId="4CADAB69" w14:textId="5CF54B4A" w:rsidR="00067BA2" w:rsidRDefault="00AF1034" w:rsidP="005E16CF">
      <w:pPr>
        <w:spacing w:after="120" w:line="480" w:lineRule="auto"/>
        <w:rPr>
          <w:rFonts w:ascii="Times New Roman" w:hAnsi="Times New Roman" w:cs="Times New Roman"/>
        </w:rPr>
      </w:pPr>
      <w:r w:rsidRPr="00DB0409">
        <w:rPr>
          <w:rFonts w:ascii="Times New Roman" w:hAnsi="Times New Roman" w:cs="Times New Roman"/>
        </w:rPr>
        <w:t xml:space="preserve">A </w:t>
      </w:r>
      <w:r w:rsidR="00F17B27" w:rsidRPr="00DB0409">
        <w:rPr>
          <w:rFonts w:ascii="Times New Roman" w:hAnsi="Times New Roman" w:cs="Times New Roman"/>
        </w:rPr>
        <w:t xml:space="preserve">few studies have attempted to </w:t>
      </w:r>
      <w:r w:rsidR="00AF0478" w:rsidRPr="00DB0409">
        <w:rPr>
          <w:rFonts w:ascii="Times New Roman" w:hAnsi="Times New Roman" w:cs="Times New Roman"/>
        </w:rPr>
        <w:t>predict</w:t>
      </w:r>
      <w:r w:rsidR="00F17B27" w:rsidRPr="00DB0409">
        <w:rPr>
          <w:rFonts w:ascii="Times New Roman" w:hAnsi="Times New Roman" w:cs="Times New Roman"/>
        </w:rPr>
        <w:t xml:space="preserve"> patient</w:t>
      </w:r>
      <w:r w:rsidR="000729F1" w:rsidRPr="00DB0409">
        <w:rPr>
          <w:rFonts w:ascii="Times New Roman" w:hAnsi="Times New Roman" w:cs="Times New Roman"/>
        </w:rPr>
        <w:t>’</w:t>
      </w:r>
      <w:r w:rsidR="00F17B27" w:rsidRPr="00DB0409">
        <w:rPr>
          <w:rFonts w:ascii="Times New Roman" w:hAnsi="Times New Roman" w:cs="Times New Roman"/>
        </w:rPr>
        <w:t xml:space="preserve">s </w:t>
      </w:r>
      <w:r w:rsidR="00E73500" w:rsidRPr="00DB0409">
        <w:rPr>
          <w:rFonts w:ascii="Times New Roman" w:hAnsi="Times New Roman" w:cs="Times New Roman"/>
        </w:rPr>
        <w:t>long-term</w:t>
      </w:r>
      <w:r w:rsidR="00AF0478" w:rsidRPr="00DB0409">
        <w:rPr>
          <w:rFonts w:ascii="Times New Roman" w:hAnsi="Times New Roman" w:cs="Times New Roman"/>
        </w:rPr>
        <w:t xml:space="preserve"> epilepsy status with various length of observation.</w:t>
      </w:r>
      <w:r w:rsidR="00AF0478" w:rsidRPr="00DB0409">
        <w:rPr>
          <w:rFonts w:ascii="Times New Roman" w:hAnsi="Times New Roman" w:cs="Times New Roman"/>
        </w:rPr>
        <w:fldChar w:fldCharType="begin">
          <w:fldData xml:space="preserve">PEVuZE5vdGU+PENpdGU+PEF1dGhvcj5BcnRzPC9BdXRob3I+PFllYXI+MjAwNDwvWWVhcj48UmVj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</w:fldData>
        </w:fldChar>
      </w:r>
      <w:r w:rsidR="00CD6DE1">
        <w:rPr>
          <w:rFonts w:ascii="Times New Roman" w:hAnsi="Times New Roman" w:cs="Times New Roman"/>
        </w:rPr>
        <w:instrText xml:space="preserve"> ADDIN EN.CITE </w:instrText>
      </w:r>
      <w:r w:rsidR="00CD6DE1">
        <w:rPr>
          <w:rFonts w:ascii="Times New Roman" w:hAnsi="Times New Roman" w:cs="Times New Roman"/>
        </w:rPr>
        <w:fldChar w:fldCharType="begin">
          <w:fldData xml:space="preserve">PEVuZE5vdGU+PENpdGU+PEF1dGhvcj5BcnRzPC9BdXRob3I+PFllYXI+MjAwNDwvWWVhcj48UmVj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</w:fldData>
        </w:fldChar>
      </w:r>
      <w:r w:rsidR="00CD6DE1">
        <w:rPr>
          <w:rFonts w:ascii="Times New Roman" w:hAnsi="Times New Roman" w:cs="Times New Roman"/>
        </w:rPr>
        <w:instrText xml:space="preserve"> ADDIN EN.CITE.DATA </w:instrText>
      </w:r>
      <w:r w:rsidR="00CD6DE1">
        <w:rPr>
          <w:rFonts w:ascii="Times New Roman" w:hAnsi="Times New Roman" w:cs="Times New Roman"/>
        </w:rPr>
      </w:r>
      <w:r w:rsidR="00CD6DE1">
        <w:rPr>
          <w:rFonts w:ascii="Times New Roman" w:hAnsi="Times New Roman" w:cs="Times New Roman"/>
        </w:rPr>
        <w:fldChar w:fldCharType="end"/>
      </w:r>
      <w:r w:rsidR="00AF0478" w:rsidRPr="00DB0409">
        <w:rPr>
          <w:rFonts w:ascii="Times New Roman" w:hAnsi="Times New Roman" w:cs="Times New Roman"/>
        </w:rPr>
      </w:r>
      <w:r w:rsidR="00AF0478"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9-11</w:t>
      </w:r>
      <w:r w:rsidR="00AF0478" w:rsidRPr="00DB0409">
        <w:rPr>
          <w:rFonts w:ascii="Times New Roman" w:hAnsi="Times New Roman" w:cs="Times New Roman"/>
        </w:rPr>
        <w:fldChar w:fldCharType="end"/>
      </w:r>
      <w:r w:rsidR="00AF0478" w:rsidRPr="00DB0409">
        <w:rPr>
          <w:rFonts w:ascii="Times New Roman" w:hAnsi="Times New Roman" w:cs="Times New Roman"/>
        </w:rPr>
        <w:t xml:space="preserve"> </w:t>
      </w:r>
      <w:r w:rsidR="00F17B27" w:rsidRPr="00DB0409">
        <w:rPr>
          <w:rFonts w:ascii="Times New Roman" w:hAnsi="Times New Roman" w:cs="Times New Roman"/>
        </w:rPr>
        <w:t>Hughes et al</w:t>
      </w:r>
      <w:r w:rsidR="00F32FA0"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&lt;EndNote&gt;&lt;Cite&gt;&lt;Author&gt;Hughes&lt;/Author&gt;&lt;RecNum&gt;51&lt;/RecNum&gt;&lt;DisplayText&gt;&lt;style face="superscript"&gt;12&lt;/style&gt;&lt;/DisplayText&gt;&lt;record&gt;&lt;rec-number&gt;51&lt;/rec-number&gt;&lt;foreign-keys&gt;&lt;key app="EN" db-id="t2wd2e25t09vr2eetz3vawpet0sz22ed0prp" timestamp="1510064442"&gt;51&lt;/key&gt;&lt;/foreign-keys&gt;&lt;ref-type name="Journal Article"&gt;17&lt;/ref-type&gt;&lt;contributors&gt;&lt;authors&gt;&lt;author&gt;Hughes, David M&lt;/author&gt;&lt;author&gt;Bonnett, Laura&lt;/author&gt;&lt;author&gt;Czanner, Gabriela&lt;/author&gt;&lt;author&gt;Komárek, Arnošt&lt;/author&gt;&lt;author&gt;Marson, A&lt;/author&gt;&lt;author&gt;Garcia-Fiñana, Marta&lt;/author&gt;&lt;/authors&gt;&lt;/contributors&gt;&lt;titles&gt;&lt;title&gt;Early identification of patients who will not achieve seizure remission on AEDs within 5 years of starting treatment&lt;/title&gt;&lt;secondary-title&gt;Submitted&lt;/secondary-title&gt;&lt;/titles&gt;&lt;periodical&gt;&lt;full-title&gt;Submitted&lt;/full-title&gt;&lt;/periodical&gt;&lt;dates&gt;&lt;/dates&gt;&lt;urls&gt;&lt;/urls&gt;&lt;/record&gt;&lt;/Cite&gt;&lt;/EndNote&gt;</w:instrText>
      </w:r>
      <w:r w:rsidR="00F32FA0"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12</w:t>
      </w:r>
      <w:r w:rsidR="00F32FA0" w:rsidRPr="00DB0409">
        <w:rPr>
          <w:rFonts w:ascii="Times New Roman" w:hAnsi="Times New Roman" w:cs="Times New Roman"/>
        </w:rPr>
        <w:fldChar w:fldCharType="end"/>
      </w:r>
      <w:r w:rsidR="00F17B27" w:rsidRPr="00DB0409">
        <w:rPr>
          <w:rFonts w:ascii="Times New Roman" w:hAnsi="Times New Roman" w:cs="Times New Roman"/>
          <w:color w:val="FF0000"/>
        </w:rPr>
        <w:t xml:space="preserve"> </w:t>
      </w:r>
      <w:r w:rsidR="00F17B27" w:rsidRPr="00DB0409">
        <w:rPr>
          <w:rFonts w:ascii="Times New Roman" w:hAnsi="Times New Roman" w:cs="Times New Roman"/>
        </w:rPr>
        <w:t>describe a model which identifies patients who will not achieve a 12-month continuous seizure free period within 5 years of initial diagnosis. However</w:t>
      </w:r>
      <w:r w:rsidR="00AF67E1" w:rsidRPr="00DB0409">
        <w:rPr>
          <w:rFonts w:ascii="Times New Roman" w:hAnsi="Times New Roman" w:cs="Times New Roman"/>
        </w:rPr>
        <w:t>,</w:t>
      </w:r>
      <w:r w:rsidR="00F17B27" w:rsidRPr="00DB0409">
        <w:rPr>
          <w:rFonts w:ascii="Times New Roman" w:hAnsi="Times New Roman" w:cs="Times New Roman"/>
        </w:rPr>
        <w:t xml:space="preserve"> this </w:t>
      </w:r>
      <w:r w:rsidR="00AF67E1" w:rsidRPr="00DB0409">
        <w:rPr>
          <w:rFonts w:ascii="Times New Roman" w:hAnsi="Times New Roman" w:cs="Times New Roman"/>
        </w:rPr>
        <w:t xml:space="preserve">study </w:t>
      </w:r>
      <w:r w:rsidR="00F17B27" w:rsidRPr="00DB0409">
        <w:rPr>
          <w:rFonts w:ascii="Times New Roman" w:hAnsi="Times New Roman" w:cs="Times New Roman"/>
        </w:rPr>
        <w:t>only considered patients up until their first remission if a remission was observed. Keller et al</w:t>
      </w:r>
      <w:r w:rsidR="00F0507B"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&lt;EndNote&gt;&lt;Cite&gt;&lt;Author&gt;Keller&lt;/Author&gt;&lt;Year&gt;2016&lt;/Year&gt;&lt;RecNum&gt;17&lt;/RecNum&gt;&lt;DisplayText&gt;&lt;style face="superscript"&gt;13&lt;/style&gt;&lt;/DisplayText&gt;&lt;record&gt;&lt;rec-number&gt;17&lt;/rec-number&gt;&lt;foreign-keys&gt;&lt;key app="EN" db-id="t2wd2e25t09vr2eetz3vawpet0sz22ed0prp" timestamp="1477925794"&gt;17&lt;/key&gt;&lt;/foreign-keys&gt;&lt;ref-type name="Journal Article"&gt;17&lt;/ref-type&gt;&lt;contributors&gt;&lt;authors&gt;&lt;author&gt;Keller, Simon S&lt;/author&gt;&lt;author&gt;Glenn, G Russell&lt;/author&gt;&lt;author&gt;Weber, Bernd&lt;/author&gt;&lt;author&gt;Kreilkamp, Barbara&lt;/author&gt;&lt;author&gt;Jensen, Jens H&lt;/author&gt;&lt;author&gt;Helpern, Joseph A&lt;/author&gt;&lt;author&gt;Wagner, Jan&lt;/author&gt;&lt;author&gt;Barker, Gareth J&lt;/author&gt;&lt;author&gt;Richardson, Mark P&lt;/author&gt;&lt;author&gt;Bonilha, Leonardo&lt;/author&gt;&lt;/authors&gt;&lt;/contributors&gt;&lt;titles&gt;&lt;title&gt;Preoperative automare fibre quantification predicts postoperative seizure outcome in temporal lobe epilepsy&lt;/title&gt;&lt;secondary-title&gt;Brain&lt;/secondary-title&gt;&lt;/titles&gt;&lt;periodical&gt;&lt;full-title&gt;Brain&lt;/full-title&gt;&lt;/periodical&gt;&lt;dates&gt;&lt;year&gt;2016&lt;/year&gt;&lt;/dates&gt;&lt;urls&gt;&lt;/urls&gt;&lt;/record&gt;&lt;/Cite&gt;&lt;/EndNote&gt;</w:instrText>
      </w:r>
      <w:r w:rsidR="00F0507B"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13</w:t>
      </w:r>
      <w:r w:rsidR="00F0507B" w:rsidRPr="00DB0409">
        <w:rPr>
          <w:rFonts w:ascii="Times New Roman" w:hAnsi="Times New Roman" w:cs="Times New Roman"/>
        </w:rPr>
        <w:fldChar w:fldCharType="end"/>
      </w:r>
      <w:r w:rsidR="00F17B27" w:rsidRPr="00DB0409">
        <w:rPr>
          <w:rFonts w:ascii="Times New Roman" w:hAnsi="Times New Roman" w:cs="Times New Roman"/>
        </w:rPr>
        <w:t xml:space="preserve"> identif</w:t>
      </w:r>
      <w:r w:rsidR="00294EEC" w:rsidRPr="00DB0409">
        <w:rPr>
          <w:rFonts w:ascii="Times New Roman" w:hAnsi="Times New Roman" w:cs="Times New Roman"/>
        </w:rPr>
        <w:t>ies</w:t>
      </w:r>
      <w:r w:rsidR="00F17B27" w:rsidRPr="00DB0409">
        <w:rPr>
          <w:rFonts w:ascii="Times New Roman" w:hAnsi="Times New Roman" w:cs="Times New Roman"/>
        </w:rPr>
        <w:t xml:space="preserve"> patients who will continue to experience seizures following brain surgery. </w:t>
      </w:r>
      <w:r w:rsidR="00E65DF4" w:rsidRPr="00DB0409">
        <w:rPr>
          <w:rFonts w:ascii="Times New Roman" w:hAnsi="Times New Roman" w:cs="Times New Roman"/>
        </w:rPr>
        <w:t xml:space="preserve">To the best of our knowledge, no models exist </w:t>
      </w:r>
      <w:r w:rsidR="00315340">
        <w:rPr>
          <w:rFonts w:ascii="Times New Roman" w:hAnsi="Times New Roman" w:cs="Times New Roman"/>
        </w:rPr>
        <w:t>that</w:t>
      </w:r>
      <w:r w:rsidR="00E65DF4" w:rsidRPr="00DB0409">
        <w:rPr>
          <w:rFonts w:ascii="Times New Roman" w:hAnsi="Times New Roman" w:cs="Times New Roman"/>
        </w:rPr>
        <w:t xml:space="preserve"> aim to </w:t>
      </w:r>
      <w:r w:rsidR="00E25080">
        <w:rPr>
          <w:rFonts w:ascii="Times New Roman" w:hAnsi="Times New Roman" w:cs="Times New Roman"/>
        </w:rPr>
        <w:t xml:space="preserve">dynamically </w:t>
      </w:r>
      <w:r w:rsidR="00E65DF4" w:rsidRPr="00DB0409">
        <w:rPr>
          <w:rFonts w:ascii="Times New Roman" w:hAnsi="Times New Roman" w:cs="Times New Roman"/>
        </w:rPr>
        <w:t xml:space="preserve">identify patients </w:t>
      </w:r>
      <w:r w:rsidR="00ED08DC">
        <w:rPr>
          <w:rFonts w:ascii="Times New Roman" w:hAnsi="Times New Roman" w:cs="Times New Roman"/>
        </w:rPr>
        <w:t xml:space="preserve">who will not achieve remission </w:t>
      </w:r>
      <w:r w:rsidR="00E65DF4" w:rsidRPr="00DB0409">
        <w:rPr>
          <w:rFonts w:ascii="Times New Roman" w:hAnsi="Times New Roman" w:cs="Times New Roman"/>
        </w:rPr>
        <w:t>following a breakthrough seizure</w:t>
      </w:r>
      <w:r w:rsidR="003E481B" w:rsidRPr="00DB0409">
        <w:rPr>
          <w:rFonts w:ascii="Times New Roman" w:hAnsi="Times New Roman" w:cs="Times New Roman"/>
        </w:rPr>
        <w:t>.</w:t>
      </w:r>
    </w:p>
    <w:p w14:paraId="3D95C0AC" w14:textId="77777777" w:rsidR="004A0FE9" w:rsidRPr="00CD4749" w:rsidRDefault="004A0FE9" w:rsidP="004A0FE9">
      <w:pPr>
        <w:pStyle w:val="PlainText"/>
        <w:spacing w:line="480" w:lineRule="auto"/>
        <w:rPr>
          <w:rFonts w:ascii="Times New Roman" w:hAnsi="Times New Roman" w:cs="Times New Roman"/>
          <w:sz w:val="24"/>
          <w:szCs w:val="24"/>
        </w:rPr>
      </w:pPr>
      <w:r w:rsidRPr="00CD4749">
        <w:rPr>
          <w:rFonts w:ascii="Times New Roman" w:hAnsi="Times New Roman" w:cs="Times New Roman"/>
          <w:sz w:val="24"/>
          <w:szCs w:val="24"/>
        </w:rPr>
        <w:t>Our aim in this study was to describe in a statistical model the seizure history of patients following a breakthrough seizure</w:t>
      </w:r>
      <w:r>
        <w:rPr>
          <w:rFonts w:ascii="Times New Roman" w:hAnsi="Times New Roman" w:cs="Times New Roman"/>
          <w:sz w:val="24"/>
          <w:szCs w:val="24"/>
        </w:rPr>
        <w:t xml:space="preserve"> </w:t>
      </w:r>
      <w:r w:rsidRPr="00CD4749">
        <w:rPr>
          <w:rFonts w:ascii="Times New Roman" w:hAnsi="Times New Roman" w:cs="Times New Roman"/>
          <w:sz w:val="24"/>
          <w:szCs w:val="24"/>
        </w:rPr>
        <w:t>and use the model to give quantitative predictions</w:t>
      </w:r>
      <w:r>
        <w:rPr>
          <w:rFonts w:ascii="Times New Roman" w:hAnsi="Times New Roman" w:cs="Times New Roman"/>
          <w:sz w:val="24"/>
          <w:szCs w:val="24"/>
        </w:rPr>
        <w:t>. Therefore, f</w:t>
      </w:r>
      <w:r w:rsidRPr="00CD4749">
        <w:rPr>
          <w:rFonts w:ascii="Times New Roman" w:hAnsi="Times New Roman" w:cs="Times New Roman"/>
          <w:sz w:val="24"/>
          <w:szCs w:val="24"/>
        </w:rPr>
        <w:t xml:space="preserve">urther evidence </w:t>
      </w:r>
      <w:r>
        <w:rPr>
          <w:rFonts w:ascii="Times New Roman" w:hAnsi="Times New Roman" w:cs="Times New Roman"/>
          <w:sz w:val="24"/>
          <w:szCs w:val="24"/>
        </w:rPr>
        <w:t>could be added</w:t>
      </w:r>
      <w:r w:rsidRPr="00CD4749">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CD4749">
        <w:rPr>
          <w:rFonts w:ascii="Times New Roman" w:hAnsi="Times New Roman" w:cs="Times New Roman"/>
          <w:sz w:val="24"/>
          <w:szCs w:val="24"/>
        </w:rPr>
        <w:t xml:space="preserve">support clinician intuition </w:t>
      </w:r>
      <w:r w:rsidRPr="00CD4749">
        <w:rPr>
          <w:rFonts w:ascii="Times New Roman" w:hAnsi="Times New Roman" w:cs="Times New Roman"/>
          <w:sz w:val="24"/>
          <w:szCs w:val="24"/>
        </w:rPr>
        <w:lastRenderedPageBreak/>
        <w:t>regarding the trajectory of patients not likely to achieve a second remission after a breakthrough seizure.</w:t>
      </w:r>
    </w:p>
    <w:p w14:paraId="350D650B" w14:textId="77777777" w:rsidR="004A0FE9" w:rsidRPr="00DB0409" w:rsidRDefault="004A0FE9" w:rsidP="005E16CF">
      <w:pPr>
        <w:spacing w:after="120" w:line="480" w:lineRule="auto"/>
        <w:rPr>
          <w:rFonts w:ascii="Times New Roman" w:hAnsi="Times New Roman" w:cs="Times New Roman"/>
        </w:rPr>
      </w:pPr>
    </w:p>
    <w:p w14:paraId="5DEA39AD" w14:textId="77777777" w:rsidR="009F04AF" w:rsidRPr="00DB0409" w:rsidRDefault="00AF0478" w:rsidP="005E16CF">
      <w:pPr>
        <w:spacing w:after="120" w:line="480" w:lineRule="auto"/>
        <w:rPr>
          <w:rFonts w:ascii="Times New Roman" w:hAnsi="Times New Roman" w:cs="Times New Roman"/>
          <w:b/>
        </w:rPr>
      </w:pPr>
      <w:r w:rsidRPr="00DB0409">
        <w:rPr>
          <w:rFonts w:ascii="Times New Roman" w:hAnsi="Times New Roman" w:cs="Times New Roman"/>
          <w:b/>
        </w:rPr>
        <w:t>METHODS</w:t>
      </w:r>
    </w:p>
    <w:p w14:paraId="7DB38426" w14:textId="467B714D" w:rsidR="00B65B21" w:rsidRPr="00DB0409" w:rsidRDefault="003E481B" w:rsidP="005E16CF">
      <w:pPr>
        <w:spacing w:after="120" w:line="480" w:lineRule="auto"/>
        <w:rPr>
          <w:rFonts w:ascii="Times New Roman" w:hAnsi="Times New Roman" w:cs="Times New Roman"/>
        </w:rPr>
      </w:pPr>
      <w:r w:rsidRPr="00DB0409">
        <w:rPr>
          <w:rFonts w:ascii="Times New Roman" w:hAnsi="Times New Roman" w:cs="Times New Roman"/>
        </w:rPr>
        <w:t>The Standard and New Antiepileptic Drugs trial (SANAD) has been described in detail elsewhere</w:t>
      </w:r>
      <w:r w:rsidR="00294EEC" w:rsidRPr="00DB0409">
        <w:rPr>
          <w:rFonts w:ascii="Times New Roman" w:hAnsi="Times New Roman" w:cs="Times New Roman"/>
        </w:rPr>
        <w:t>.</w:t>
      </w:r>
      <w:r w:rsidR="00294EEC" w:rsidRPr="00DB0409">
        <w:rPr>
          <w:rFonts w:ascii="Times New Roman" w:hAnsi="Times New Roman" w:cs="Times New Roman"/>
        </w:rPr>
        <w:fldChar w:fldCharType="begin">
          <w:fldData xml:space="preserve">PEVuZE5vdGU+PENpdGU+PEF1dGhvcj5NYXJzb248L0F1dGhvcj48WWVhcj4yMDA3PC9ZZWFyPjxS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</w:fldData>
        </w:fldChar>
      </w:r>
      <w:r w:rsidR="00CD6DE1">
        <w:rPr>
          <w:rFonts w:ascii="Times New Roman" w:hAnsi="Times New Roman" w:cs="Times New Roman"/>
        </w:rPr>
        <w:instrText xml:space="preserve"> ADDIN EN.CITE </w:instrText>
      </w:r>
      <w:r w:rsidR="00CD6DE1">
        <w:rPr>
          <w:rFonts w:ascii="Times New Roman" w:hAnsi="Times New Roman" w:cs="Times New Roman"/>
        </w:rPr>
        <w:fldChar w:fldCharType="begin">
          <w:fldData xml:space="preserve">PEVuZE5vdGU+PENpdGU+PEF1dGhvcj5NYXJzb248L0F1dGhvcj48WWVhcj4yMDA3PC9ZZWFyPjxS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</w:fldData>
        </w:fldChar>
      </w:r>
      <w:r w:rsidR="00CD6DE1">
        <w:rPr>
          <w:rFonts w:ascii="Times New Roman" w:hAnsi="Times New Roman" w:cs="Times New Roman"/>
        </w:rPr>
        <w:instrText xml:space="preserve"> ADDIN EN.CITE.DATA </w:instrText>
      </w:r>
      <w:r w:rsidR="00CD6DE1">
        <w:rPr>
          <w:rFonts w:ascii="Times New Roman" w:hAnsi="Times New Roman" w:cs="Times New Roman"/>
        </w:rPr>
      </w:r>
      <w:r w:rsidR="00CD6DE1">
        <w:rPr>
          <w:rFonts w:ascii="Times New Roman" w:hAnsi="Times New Roman" w:cs="Times New Roman"/>
        </w:rPr>
        <w:fldChar w:fldCharType="end"/>
      </w:r>
      <w:r w:rsidR="00294EEC" w:rsidRPr="00DB0409">
        <w:rPr>
          <w:rFonts w:ascii="Times New Roman" w:hAnsi="Times New Roman" w:cs="Times New Roman"/>
        </w:rPr>
      </w:r>
      <w:r w:rsidR="00294EEC"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14, 15</w:t>
      </w:r>
      <w:r w:rsidR="00294EEC" w:rsidRPr="00DB0409">
        <w:rPr>
          <w:rFonts w:ascii="Times New Roman" w:hAnsi="Times New Roman" w:cs="Times New Roman"/>
        </w:rPr>
        <w:fldChar w:fldCharType="end"/>
      </w:r>
      <w:r w:rsidR="00B65B21" w:rsidRPr="00DB0409">
        <w:rPr>
          <w:rFonts w:ascii="Times New Roman" w:hAnsi="Times New Roman" w:cs="Times New Roman"/>
        </w:rPr>
        <w:t xml:space="preserve"> </w:t>
      </w:r>
      <w:proofErr w:type="gramStart"/>
      <w:r w:rsidR="00B65B21" w:rsidRPr="00DB0409">
        <w:rPr>
          <w:rFonts w:ascii="Times New Roman" w:hAnsi="Times New Roman" w:cs="Times New Roman"/>
        </w:rPr>
        <w:t>In</w:t>
      </w:r>
      <w:proofErr w:type="gramEnd"/>
      <w:r w:rsidR="00B65B21" w:rsidRPr="00DB0409">
        <w:rPr>
          <w:rFonts w:ascii="Times New Roman" w:hAnsi="Times New Roman" w:cs="Times New Roman"/>
        </w:rPr>
        <w:t xml:space="preserve"> summary, the trial was designed to compare two standard antiepileptic drugs with a range of alternatives. </w:t>
      </w:r>
      <w:r w:rsidR="00B87690" w:rsidRPr="00DB0409">
        <w:rPr>
          <w:rFonts w:ascii="Times New Roman" w:hAnsi="Times New Roman" w:cs="Times New Roman"/>
        </w:rPr>
        <w:t xml:space="preserve">Patients were eligible for the trial if they were at least five years old and had experienced at least two clinically definite unprovoked seizures in the last year. </w:t>
      </w:r>
      <w:r w:rsidR="00B65B21" w:rsidRPr="00DB0409">
        <w:rPr>
          <w:rFonts w:ascii="Times New Roman" w:hAnsi="Times New Roman" w:cs="Times New Roman"/>
        </w:rPr>
        <w:t xml:space="preserve">Patients for whom carbamazepine was considered to be the standard optimal treatment were recruited to Arm A of the SANAD trial and were randomly allocated in equal proportions to receive either carbamazepine, gabapentin, lamotrigine or </w:t>
      </w:r>
      <w:proofErr w:type="spellStart"/>
      <w:r w:rsidR="00B65B21" w:rsidRPr="00DB0409">
        <w:rPr>
          <w:rFonts w:ascii="Times New Roman" w:hAnsi="Times New Roman" w:cs="Times New Roman"/>
        </w:rPr>
        <w:t>topiramate</w:t>
      </w:r>
      <w:proofErr w:type="spellEnd"/>
      <w:r w:rsidR="00B65B21" w:rsidRPr="00DB0409">
        <w:rPr>
          <w:rFonts w:ascii="Times New Roman" w:hAnsi="Times New Roman" w:cs="Times New Roman"/>
        </w:rPr>
        <w:t>. From 1</w:t>
      </w:r>
      <w:r w:rsidR="00B65B21" w:rsidRPr="00DB0409">
        <w:rPr>
          <w:rFonts w:ascii="Times New Roman" w:hAnsi="Times New Roman" w:cs="Times New Roman"/>
          <w:vertAlign w:val="superscript"/>
        </w:rPr>
        <w:t>st</w:t>
      </w:r>
      <w:r w:rsidR="00B65B21" w:rsidRPr="00DB0409">
        <w:rPr>
          <w:rFonts w:ascii="Times New Roman" w:hAnsi="Times New Roman" w:cs="Times New Roman"/>
        </w:rPr>
        <w:t xml:space="preserve"> June 2001, a further drug, oxcarbazepine, was added to the trial and patients were allocated to these five drugs with equal proportions. Patients for whom valproate was consider</w:t>
      </w:r>
      <w:r w:rsidR="00294EEC" w:rsidRPr="00DB0409">
        <w:rPr>
          <w:rFonts w:ascii="Times New Roman" w:hAnsi="Times New Roman" w:cs="Times New Roman"/>
        </w:rPr>
        <w:t>e</w:t>
      </w:r>
      <w:r w:rsidR="00B65B21" w:rsidRPr="00DB0409">
        <w:rPr>
          <w:rFonts w:ascii="Times New Roman" w:hAnsi="Times New Roman" w:cs="Times New Roman"/>
        </w:rPr>
        <w:t xml:space="preserve">d the standard optimal treatment were included in Arm B of the trial and were randomly assigned with equal proportions </w:t>
      </w:r>
      <w:r w:rsidR="000B4EE8" w:rsidRPr="00DB0409">
        <w:rPr>
          <w:rFonts w:ascii="Times New Roman" w:hAnsi="Times New Roman" w:cs="Times New Roman"/>
        </w:rPr>
        <w:t xml:space="preserve">to </w:t>
      </w:r>
      <w:r w:rsidR="00B65B21" w:rsidRPr="00DB0409">
        <w:rPr>
          <w:rFonts w:ascii="Times New Roman" w:hAnsi="Times New Roman" w:cs="Times New Roman"/>
        </w:rPr>
        <w:t xml:space="preserve">valproate, lamotrigine or </w:t>
      </w:r>
      <w:proofErr w:type="spellStart"/>
      <w:r w:rsidR="00B65B21" w:rsidRPr="00DB0409">
        <w:rPr>
          <w:rFonts w:ascii="Times New Roman" w:hAnsi="Times New Roman" w:cs="Times New Roman"/>
        </w:rPr>
        <w:t>topiramate</w:t>
      </w:r>
      <w:proofErr w:type="spellEnd"/>
      <w:r w:rsidR="00B65B21" w:rsidRPr="00DB0409">
        <w:rPr>
          <w:rFonts w:ascii="Times New Roman" w:hAnsi="Times New Roman" w:cs="Times New Roman"/>
        </w:rPr>
        <w:t xml:space="preserve">. </w:t>
      </w:r>
    </w:p>
    <w:p w14:paraId="6AE1B1FE" w14:textId="070EBAB1" w:rsidR="00B65B21" w:rsidRPr="00DB0409" w:rsidRDefault="00C5615B" w:rsidP="005E16CF">
      <w:pPr>
        <w:spacing w:after="120" w:line="480" w:lineRule="auto"/>
        <w:rPr>
          <w:rFonts w:ascii="Times New Roman" w:hAnsi="Times New Roman" w:cs="Times New Roman"/>
        </w:rPr>
      </w:pPr>
      <w:r>
        <w:rPr>
          <w:rFonts w:ascii="Times New Roman" w:hAnsi="Times New Roman" w:cs="Times New Roman"/>
        </w:rPr>
        <w:t>The SANAD study has previously been used to investigate</w:t>
      </w:r>
      <w:r w:rsidR="00B65B21" w:rsidRPr="00DB0409">
        <w:rPr>
          <w:rFonts w:ascii="Times New Roman" w:hAnsi="Times New Roman" w:cs="Times New Roman"/>
        </w:rPr>
        <w:t xml:space="preserve"> time to treatment failure from randomisation and time to 12-month remission from randomisation.</w:t>
      </w:r>
      <w:r w:rsidR="00294EEC" w:rsidRPr="00DB0409">
        <w:rPr>
          <w:rFonts w:ascii="Times New Roman" w:hAnsi="Times New Roman" w:cs="Times New Roman"/>
        </w:rPr>
        <w:fldChar w:fldCharType="begin">
          <w:fldData xml:space="preserve">PEVuZE5vdGU+PENpdGU+PEF1dGhvcj5Cb25uZXR0PC9BdXRob3I+PFllYXI+MjAxMjwvWWVhcj48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</w:fldData>
        </w:fldChar>
      </w:r>
      <w:r w:rsidR="00CD6DE1">
        <w:rPr>
          <w:rFonts w:ascii="Times New Roman" w:hAnsi="Times New Roman" w:cs="Times New Roman"/>
        </w:rPr>
        <w:instrText xml:space="preserve"> ADDIN EN.CITE </w:instrText>
      </w:r>
      <w:r w:rsidR="00CD6DE1">
        <w:rPr>
          <w:rFonts w:ascii="Times New Roman" w:hAnsi="Times New Roman" w:cs="Times New Roman"/>
        </w:rPr>
        <w:fldChar w:fldCharType="begin">
          <w:fldData xml:space="preserve">PEVuZE5vdGU+PENpdGU+PEF1dGhvcj5Cb25uZXR0PC9BdXRob3I+PFllYXI+MjAxMjwvWWVhcj48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</w:fldData>
        </w:fldChar>
      </w:r>
      <w:r w:rsidR="00CD6DE1">
        <w:rPr>
          <w:rFonts w:ascii="Times New Roman" w:hAnsi="Times New Roman" w:cs="Times New Roman"/>
        </w:rPr>
        <w:instrText xml:space="preserve"> ADDIN EN.CITE.DATA </w:instrText>
      </w:r>
      <w:r w:rsidR="00CD6DE1">
        <w:rPr>
          <w:rFonts w:ascii="Times New Roman" w:hAnsi="Times New Roman" w:cs="Times New Roman"/>
        </w:rPr>
      </w:r>
      <w:r w:rsidR="00CD6DE1">
        <w:rPr>
          <w:rFonts w:ascii="Times New Roman" w:hAnsi="Times New Roman" w:cs="Times New Roman"/>
        </w:rPr>
        <w:fldChar w:fldCharType="end"/>
      </w:r>
      <w:r w:rsidR="00294EEC" w:rsidRPr="00DB0409">
        <w:rPr>
          <w:rFonts w:ascii="Times New Roman" w:hAnsi="Times New Roman" w:cs="Times New Roman"/>
        </w:rPr>
      </w:r>
      <w:r w:rsidR="00294EEC"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16-18</w:t>
      </w:r>
      <w:r w:rsidR="00294EEC" w:rsidRPr="00DB0409">
        <w:rPr>
          <w:rFonts w:ascii="Times New Roman" w:hAnsi="Times New Roman" w:cs="Times New Roman"/>
        </w:rPr>
        <w:fldChar w:fldCharType="end"/>
      </w:r>
    </w:p>
    <w:p w14:paraId="6F7657C7" w14:textId="77777777" w:rsidR="00B87690" w:rsidRPr="00DB0409" w:rsidRDefault="00B87690" w:rsidP="005E16CF">
      <w:pPr>
        <w:spacing w:after="120" w:line="480" w:lineRule="auto"/>
        <w:rPr>
          <w:rFonts w:ascii="Times New Roman" w:hAnsi="Times New Roman" w:cs="Times New Roman"/>
        </w:rPr>
      </w:pPr>
      <w:r w:rsidRPr="00DB0409">
        <w:rPr>
          <w:rFonts w:ascii="Times New Roman" w:hAnsi="Times New Roman" w:cs="Times New Roman"/>
        </w:rPr>
        <w:t>SANAD is the largest prospective study in patients with epilepsy to date and contains follow-up data for up to 7 years, allowing an excellent opportunity to investigate time</w:t>
      </w:r>
      <w:r w:rsidR="00F32FA0" w:rsidRPr="00DB0409">
        <w:rPr>
          <w:rFonts w:ascii="Times New Roman" w:hAnsi="Times New Roman" w:cs="Times New Roman"/>
        </w:rPr>
        <w:t>-</w:t>
      </w:r>
      <w:r w:rsidRPr="00DB0409">
        <w:rPr>
          <w:rFonts w:ascii="Times New Roman" w:hAnsi="Times New Roman" w:cs="Times New Roman"/>
        </w:rPr>
        <w:t>dependent factors that influence the risk of having drug resistant epilepsy.</w:t>
      </w:r>
    </w:p>
    <w:p w14:paraId="2A126CE6" w14:textId="77777777" w:rsidR="00E350F9" w:rsidRPr="00DB0409" w:rsidRDefault="00E350F9" w:rsidP="005E16CF">
      <w:pPr>
        <w:spacing w:after="120" w:line="480" w:lineRule="auto"/>
        <w:rPr>
          <w:rFonts w:ascii="Times New Roman" w:hAnsi="Times New Roman" w:cs="Times New Roman"/>
        </w:rPr>
      </w:pPr>
      <w:r w:rsidRPr="00DB0409">
        <w:rPr>
          <w:rFonts w:ascii="Times New Roman" w:hAnsi="Times New Roman" w:cs="Times New Roman"/>
        </w:rPr>
        <w:t>This analysis describes a model that combines both baseline covariates (</w:t>
      </w:r>
      <w:r w:rsidR="00F32FA0" w:rsidRPr="00DB0409">
        <w:rPr>
          <w:rFonts w:ascii="Times New Roman" w:hAnsi="Times New Roman" w:cs="Times New Roman"/>
        </w:rPr>
        <w:t xml:space="preserve">recorded </w:t>
      </w:r>
      <w:r w:rsidRPr="00DB0409">
        <w:rPr>
          <w:rFonts w:ascii="Times New Roman" w:hAnsi="Times New Roman" w:cs="Times New Roman"/>
        </w:rPr>
        <w:t xml:space="preserve">at the time of breakthrough seizure) and subsequent follow-up data in order to identify patients who will not achieve a second </w:t>
      </w:r>
      <w:r w:rsidR="00F32FA0" w:rsidRPr="00DB0409">
        <w:rPr>
          <w:rFonts w:ascii="Times New Roman" w:hAnsi="Times New Roman" w:cs="Times New Roman"/>
        </w:rPr>
        <w:t xml:space="preserve">period of 12-month </w:t>
      </w:r>
      <w:r w:rsidRPr="00DB0409">
        <w:rPr>
          <w:rFonts w:ascii="Times New Roman" w:hAnsi="Times New Roman" w:cs="Times New Roman"/>
        </w:rPr>
        <w:t xml:space="preserve">remission </w:t>
      </w:r>
      <w:r w:rsidR="001558D2">
        <w:rPr>
          <w:rFonts w:ascii="Times New Roman" w:hAnsi="Times New Roman" w:cs="Times New Roman"/>
        </w:rPr>
        <w:t xml:space="preserve">within 2 years </w:t>
      </w:r>
      <w:r w:rsidRPr="00DB0409">
        <w:rPr>
          <w:rFonts w:ascii="Times New Roman" w:hAnsi="Times New Roman" w:cs="Times New Roman"/>
        </w:rPr>
        <w:lastRenderedPageBreak/>
        <w:t xml:space="preserve">following a breakthrough seizure. </w:t>
      </w:r>
      <w:r w:rsidR="000C5B2C">
        <w:rPr>
          <w:rFonts w:ascii="Times New Roman" w:hAnsi="Times New Roman" w:cs="Times New Roman"/>
        </w:rPr>
        <w:t>A p</w:t>
      </w:r>
      <w:r w:rsidRPr="00DB0409">
        <w:rPr>
          <w:rFonts w:ascii="Times New Roman" w:hAnsi="Times New Roman" w:cs="Times New Roman"/>
        </w:rPr>
        <w:t xml:space="preserve">atient’s classification </w:t>
      </w:r>
      <w:r w:rsidR="00F831A1">
        <w:rPr>
          <w:rFonts w:ascii="Times New Roman" w:hAnsi="Times New Roman" w:cs="Times New Roman"/>
        </w:rPr>
        <w:t xml:space="preserve">is determined by the likelihood that the patient will </w:t>
      </w:r>
      <w:r w:rsidRPr="00DB0409">
        <w:rPr>
          <w:rFonts w:ascii="Times New Roman" w:hAnsi="Times New Roman" w:cs="Times New Roman"/>
        </w:rPr>
        <w:t>achieve a second remission or not</w:t>
      </w:r>
      <w:r w:rsidR="00F831A1">
        <w:rPr>
          <w:rFonts w:ascii="Times New Roman" w:hAnsi="Times New Roman" w:cs="Times New Roman"/>
        </w:rPr>
        <w:t>, and the estimation of this probability</w:t>
      </w:r>
      <w:r w:rsidRPr="00DB0409">
        <w:rPr>
          <w:rFonts w:ascii="Times New Roman" w:hAnsi="Times New Roman" w:cs="Times New Roman"/>
        </w:rPr>
        <w:t xml:space="preserve"> can be updated</w:t>
      </w:r>
      <w:r w:rsidR="00137B29">
        <w:rPr>
          <w:rFonts w:ascii="Times New Roman" w:hAnsi="Times New Roman" w:cs="Times New Roman"/>
        </w:rPr>
        <w:t xml:space="preserve"> with new data while </w:t>
      </w:r>
      <w:r w:rsidRPr="00DB0409">
        <w:rPr>
          <w:rFonts w:ascii="Times New Roman" w:hAnsi="Times New Roman" w:cs="Times New Roman"/>
        </w:rPr>
        <w:t xml:space="preserve">the patient remains under observation and is not </w:t>
      </w:r>
      <w:r w:rsidR="001558D2">
        <w:rPr>
          <w:rFonts w:ascii="Times New Roman" w:hAnsi="Times New Roman" w:cs="Times New Roman"/>
        </w:rPr>
        <w:t xml:space="preserve">classified as </w:t>
      </w:r>
      <w:r w:rsidRPr="00DB0409">
        <w:rPr>
          <w:rFonts w:ascii="Times New Roman" w:hAnsi="Times New Roman" w:cs="Times New Roman"/>
        </w:rPr>
        <w:t>achiev</w:t>
      </w:r>
      <w:r w:rsidR="001558D2">
        <w:rPr>
          <w:rFonts w:ascii="Times New Roman" w:hAnsi="Times New Roman" w:cs="Times New Roman"/>
        </w:rPr>
        <w:t>ing</w:t>
      </w:r>
      <w:r w:rsidRPr="00DB0409">
        <w:rPr>
          <w:rFonts w:ascii="Times New Roman" w:hAnsi="Times New Roman" w:cs="Times New Roman"/>
        </w:rPr>
        <w:t xml:space="preserve"> a second remission.</w:t>
      </w:r>
    </w:p>
    <w:p w14:paraId="1FE873EC" w14:textId="77777777" w:rsidR="00B87690" w:rsidRPr="00DB0409" w:rsidRDefault="00B87690" w:rsidP="005E16CF">
      <w:pPr>
        <w:spacing w:after="120" w:line="480" w:lineRule="auto"/>
        <w:rPr>
          <w:rFonts w:ascii="Times New Roman" w:hAnsi="Times New Roman" w:cs="Times New Roman"/>
        </w:rPr>
      </w:pPr>
      <w:r w:rsidRPr="00DB0409">
        <w:rPr>
          <w:rFonts w:ascii="Times New Roman" w:hAnsi="Times New Roman" w:cs="Times New Roman"/>
        </w:rPr>
        <w:t>This analysis considers both arms of the SANAD study simultaneously</w:t>
      </w:r>
      <w:r w:rsidR="00737868">
        <w:rPr>
          <w:rFonts w:ascii="Times New Roman" w:hAnsi="Times New Roman" w:cs="Times New Roman"/>
        </w:rPr>
        <w:t xml:space="preserve">. </w:t>
      </w:r>
      <w:r w:rsidR="00174261">
        <w:rPr>
          <w:rFonts w:ascii="Times New Roman" w:hAnsi="Times New Roman" w:cs="Times New Roman"/>
        </w:rPr>
        <w:t xml:space="preserve">Since the </w:t>
      </w:r>
      <w:r w:rsidR="000D2DDF">
        <w:rPr>
          <w:rFonts w:ascii="Times New Roman" w:hAnsi="Times New Roman" w:cs="Times New Roman"/>
        </w:rPr>
        <w:t>allocation to arms A or B was dependent on the type of epilepsy, we</w:t>
      </w:r>
      <w:r w:rsidRPr="00DB0409">
        <w:rPr>
          <w:rFonts w:ascii="Times New Roman" w:hAnsi="Times New Roman" w:cs="Times New Roman"/>
        </w:rPr>
        <w:t xml:space="preserve"> </w:t>
      </w:r>
      <w:r w:rsidR="001D03EF" w:rsidRPr="00DB0409">
        <w:rPr>
          <w:rFonts w:ascii="Times New Roman" w:hAnsi="Times New Roman" w:cs="Times New Roman"/>
        </w:rPr>
        <w:t xml:space="preserve">consider type of epilepsy as a potential baseline covariate. Patients who experienced a 12-month continuous </w:t>
      </w:r>
      <w:r w:rsidR="000B4EE8" w:rsidRPr="00DB0409">
        <w:rPr>
          <w:rFonts w:ascii="Times New Roman" w:hAnsi="Times New Roman" w:cs="Times New Roman"/>
        </w:rPr>
        <w:t xml:space="preserve">seizure-free </w:t>
      </w:r>
      <w:r w:rsidR="001D03EF" w:rsidRPr="00DB0409">
        <w:rPr>
          <w:rFonts w:ascii="Times New Roman" w:hAnsi="Times New Roman" w:cs="Times New Roman"/>
        </w:rPr>
        <w:t>period since randomisation, and then subsequently had a breakthrough seizure were eligible for inclusion in this analysis</w:t>
      </w:r>
      <w:r w:rsidR="00F32FA0" w:rsidRPr="00DB0409">
        <w:rPr>
          <w:rFonts w:ascii="Times New Roman" w:hAnsi="Times New Roman" w:cs="Times New Roman"/>
        </w:rPr>
        <w:t>.</w:t>
      </w:r>
      <w:r w:rsidR="001D03EF" w:rsidRPr="00DB0409">
        <w:rPr>
          <w:rFonts w:ascii="Times New Roman" w:hAnsi="Times New Roman" w:cs="Times New Roman"/>
        </w:rPr>
        <w:t xml:space="preserve"> </w:t>
      </w:r>
    </w:p>
    <w:p w14:paraId="33B3D956" w14:textId="77777777" w:rsidR="009F04AF" w:rsidRPr="00DB0409" w:rsidRDefault="009F04AF" w:rsidP="005E16CF">
      <w:pPr>
        <w:spacing w:after="120" w:line="480" w:lineRule="auto"/>
        <w:rPr>
          <w:rFonts w:ascii="Times New Roman" w:hAnsi="Times New Roman" w:cs="Times New Roman"/>
          <w:b/>
        </w:rPr>
      </w:pPr>
      <w:r w:rsidRPr="00DB0409">
        <w:rPr>
          <w:rFonts w:ascii="Times New Roman" w:hAnsi="Times New Roman" w:cs="Times New Roman"/>
          <w:b/>
        </w:rPr>
        <w:t>Statistical Analysis</w:t>
      </w:r>
    </w:p>
    <w:p w14:paraId="15A57F5A" w14:textId="77777777" w:rsidR="009F04AF" w:rsidRPr="00DB0409" w:rsidRDefault="001D03EF" w:rsidP="005E16CF">
      <w:pPr>
        <w:spacing w:after="120" w:line="480" w:lineRule="auto"/>
        <w:rPr>
          <w:rFonts w:ascii="Times New Roman" w:hAnsi="Times New Roman" w:cs="Times New Roman"/>
        </w:rPr>
      </w:pPr>
      <w:r w:rsidRPr="00DB0409">
        <w:rPr>
          <w:rFonts w:ascii="Times New Roman" w:hAnsi="Times New Roman" w:cs="Times New Roman"/>
        </w:rPr>
        <w:t xml:space="preserve">The </w:t>
      </w:r>
      <w:r w:rsidR="004D5AE2">
        <w:rPr>
          <w:rFonts w:ascii="Times New Roman" w:hAnsi="Times New Roman" w:cs="Times New Roman"/>
        </w:rPr>
        <w:t>primary</w:t>
      </w:r>
      <w:r w:rsidR="004D5AE2" w:rsidRPr="00DB0409">
        <w:rPr>
          <w:rFonts w:ascii="Times New Roman" w:hAnsi="Times New Roman" w:cs="Times New Roman"/>
        </w:rPr>
        <w:t xml:space="preserve"> </w:t>
      </w:r>
      <w:r w:rsidRPr="00DB0409">
        <w:rPr>
          <w:rFonts w:ascii="Times New Roman" w:hAnsi="Times New Roman" w:cs="Times New Roman"/>
        </w:rPr>
        <w:t>outcome of interest is whether or not a patient experience</w:t>
      </w:r>
      <w:r w:rsidR="00BF3C44">
        <w:rPr>
          <w:rFonts w:ascii="Times New Roman" w:hAnsi="Times New Roman" w:cs="Times New Roman"/>
        </w:rPr>
        <w:t>s</w:t>
      </w:r>
      <w:r w:rsidRPr="00DB0409">
        <w:rPr>
          <w:rFonts w:ascii="Times New Roman" w:hAnsi="Times New Roman" w:cs="Times New Roman"/>
        </w:rPr>
        <w:t xml:space="preserve"> a further 12-month remission within two years of experiencing a breakthrough seizure. </w:t>
      </w:r>
    </w:p>
    <w:p w14:paraId="091361A3" w14:textId="4AE1B5F5" w:rsidR="00494E90" w:rsidRPr="00DB0409" w:rsidRDefault="001D03EF" w:rsidP="005E16CF">
      <w:pPr>
        <w:spacing w:after="120" w:line="480" w:lineRule="auto"/>
        <w:rPr>
          <w:rFonts w:ascii="Times New Roman" w:hAnsi="Times New Roman" w:cs="Times New Roman"/>
        </w:rPr>
      </w:pPr>
      <w:r w:rsidRPr="00DB0409">
        <w:rPr>
          <w:rFonts w:ascii="Times New Roman" w:hAnsi="Times New Roman" w:cs="Times New Roman"/>
        </w:rPr>
        <w:t>We consider</w:t>
      </w:r>
      <w:r w:rsidR="00DC7D85" w:rsidRPr="00DB0409">
        <w:rPr>
          <w:rFonts w:ascii="Times New Roman" w:hAnsi="Times New Roman" w:cs="Times New Roman"/>
        </w:rPr>
        <w:t>ed</w:t>
      </w:r>
      <w:r w:rsidRPr="00DB0409">
        <w:rPr>
          <w:rFonts w:ascii="Times New Roman" w:hAnsi="Times New Roman" w:cs="Times New Roman"/>
        </w:rPr>
        <w:t xml:space="preserve"> four variables </w:t>
      </w:r>
      <w:r w:rsidR="00315340">
        <w:rPr>
          <w:rFonts w:ascii="Times New Roman" w:hAnsi="Times New Roman" w:cs="Times New Roman"/>
        </w:rPr>
        <w:t>that</w:t>
      </w:r>
      <w:r w:rsidR="00315340" w:rsidRPr="00DB0409">
        <w:rPr>
          <w:rFonts w:ascii="Times New Roman" w:hAnsi="Times New Roman" w:cs="Times New Roman"/>
        </w:rPr>
        <w:t xml:space="preserve"> </w:t>
      </w:r>
      <w:r w:rsidRPr="00DB0409">
        <w:rPr>
          <w:rFonts w:ascii="Times New Roman" w:hAnsi="Times New Roman" w:cs="Times New Roman"/>
        </w:rPr>
        <w:t>were recorded at each follow-up visit and model</w:t>
      </w:r>
      <w:r w:rsidR="00F32FA0" w:rsidRPr="00DB0409">
        <w:rPr>
          <w:rFonts w:ascii="Times New Roman" w:hAnsi="Times New Roman" w:cs="Times New Roman"/>
        </w:rPr>
        <w:t>led</w:t>
      </w:r>
      <w:r w:rsidRPr="00DB0409">
        <w:rPr>
          <w:rFonts w:ascii="Times New Roman" w:hAnsi="Times New Roman" w:cs="Times New Roman"/>
        </w:rPr>
        <w:t xml:space="preserve"> the changes in these variables over time using a multivariate generalised linear mixed model (MGLMM)</w:t>
      </w:r>
      <w:r w:rsidR="00494E90" w:rsidRPr="00DB0409">
        <w:rPr>
          <w:rFonts w:ascii="Times New Roman" w:hAnsi="Times New Roman" w:cs="Times New Roman"/>
        </w:rPr>
        <w:t>.</w:t>
      </w:r>
      <w:r w:rsidR="005B09A7">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&lt;EndNote&gt;&lt;Cite&gt;&lt;Author&gt;Hughes&lt;/Author&gt;&lt;Year&gt;2016&lt;/Year&gt;&lt;RecNum&gt;17&lt;/RecNum&gt;&lt;DisplayText&gt;&lt;style face="superscript"&gt;19&lt;/style&gt;&lt;/DisplayText&gt;&lt;record&gt;&lt;rec-number&gt;17&lt;/rec-number&gt;&lt;foreign-keys&gt;&lt;key app="EN" db-id="ewzpxe5r9zfet0e50ee5zx5vvzsdvs2wrpf9" timestamp="1529402306"&gt;17&lt;/key&gt;&lt;/foreign-keys&gt;&lt;ref-type name="Journal Article"&gt;17&lt;/ref-type&gt;&lt;contributors&gt;&lt;authors&gt;&lt;author&gt;Hughes, David M&lt;/author&gt;&lt;author&gt;Komárek, Arnošt&lt;/author&gt;&lt;author&gt;Czanner, Gabriela&lt;/author&gt;&lt;author&gt;Garcia-Fiñana, Marta&lt;/author&gt;&lt;/authors&gt;&lt;/contributors&gt;&lt;titles&gt;&lt;title&gt;Dynamic longitudinal discriminant analysis using multiple longitudinal markers of different types&lt;/title&gt;&lt;secondary-title&gt;Statistical methods in medical research&lt;/secondary-title&gt;&lt;/titles&gt;&lt;periodical&gt;&lt;full-title&gt;Statistical methods in medical research&lt;/full-title&gt;&lt;/periodical&gt;&lt;pages&gt;0962280216674496&lt;/pages&gt;&lt;dates&gt;&lt;year&gt;2016&lt;/year&gt;&lt;/dates&gt;&lt;isbn&gt;0962-2802&lt;/isbn&gt;&lt;urls&gt;&lt;/urls&gt;&lt;/record&gt;&lt;/Cite&gt;&lt;/EndNote&gt;</w:instrText>
      </w:r>
      <w:r w:rsidR="005B09A7">
        <w:rPr>
          <w:rFonts w:ascii="Times New Roman" w:hAnsi="Times New Roman" w:cs="Times New Roman"/>
        </w:rPr>
        <w:fldChar w:fldCharType="separate"/>
      </w:r>
      <w:r w:rsidR="00CD6DE1" w:rsidRPr="00CD6DE1">
        <w:rPr>
          <w:rFonts w:ascii="Times New Roman" w:hAnsi="Times New Roman" w:cs="Times New Roman"/>
          <w:noProof/>
          <w:vertAlign w:val="superscript"/>
        </w:rPr>
        <w:t>19</w:t>
      </w:r>
      <w:r w:rsidR="005B09A7">
        <w:rPr>
          <w:rFonts w:ascii="Times New Roman" w:hAnsi="Times New Roman" w:cs="Times New Roman"/>
        </w:rPr>
        <w:fldChar w:fldCharType="end"/>
      </w:r>
      <w:r w:rsidR="00494E90" w:rsidRPr="00DB0409">
        <w:rPr>
          <w:rFonts w:ascii="Times New Roman" w:hAnsi="Times New Roman" w:cs="Times New Roman"/>
        </w:rPr>
        <w:t xml:space="preserve"> </w:t>
      </w:r>
      <w:r w:rsidR="0060188E" w:rsidRPr="00DB0409">
        <w:rPr>
          <w:rFonts w:ascii="Times New Roman" w:hAnsi="Times New Roman" w:cs="Times New Roman"/>
        </w:rPr>
        <w:t xml:space="preserve"> </w:t>
      </w:r>
      <w:r w:rsidR="00315340">
        <w:rPr>
          <w:rFonts w:ascii="Times New Roman" w:hAnsi="Times New Roman" w:cs="Times New Roman"/>
        </w:rPr>
        <w:t>S</w:t>
      </w:r>
      <w:r w:rsidR="0060188E" w:rsidRPr="00DB0409">
        <w:rPr>
          <w:rFonts w:ascii="Times New Roman" w:hAnsi="Times New Roman" w:cs="Times New Roman"/>
        </w:rPr>
        <w:t>eparate model</w:t>
      </w:r>
      <w:r w:rsidR="00315340">
        <w:rPr>
          <w:rFonts w:ascii="Times New Roman" w:hAnsi="Times New Roman" w:cs="Times New Roman"/>
        </w:rPr>
        <w:t>s</w:t>
      </w:r>
      <w:r w:rsidR="0060188E" w:rsidRPr="00DB0409">
        <w:rPr>
          <w:rFonts w:ascii="Times New Roman" w:hAnsi="Times New Roman" w:cs="Times New Roman"/>
        </w:rPr>
        <w:t xml:space="preserve"> w</w:t>
      </w:r>
      <w:r w:rsidR="00315340">
        <w:rPr>
          <w:rFonts w:ascii="Times New Roman" w:hAnsi="Times New Roman" w:cs="Times New Roman"/>
        </w:rPr>
        <w:t>ere</w:t>
      </w:r>
      <w:r w:rsidR="0060188E" w:rsidRPr="00DB0409">
        <w:rPr>
          <w:rFonts w:ascii="Times New Roman" w:hAnsi="Times New Roman" w:cs="Times New Roman"/>
        </w:rPr>
        <w:t xml:space="preserve"> fit</w:t>
      </w:r>
      <w:r w:rsidR="00315340">
        <w:rPr>
          <w:rFonts w:ascii="Times New Roman" w:hAnsi="Times New Roman" w:cs="Times New Roman"/>
        </w:rPr>
        <w:t>ted</w:t>
      </w:r>
      <w:r w:rsidR="0060188E" w:rsidRPr="00DB0409">
        <w:rPr>
          <w:rFonts w:ascii="Times New Roman" w:hAnsi="Times New Roman" w:cs="Times New Roman"/>
        </w:rPr>
        <w:t xml:space="preserve"> to patients who </w:t>
      </w:r>
      <w:r w:rsidR="00E330C7" w:rsidRPr="00DB0409">
        <w:rPr>
          <w:rFonts w:ascii="Times New Roman" w:hAnsi="Times New Roman" w:cs="Times New Roman"/>
        </w:rPr>
        <w:t xml:space="preserve">are known to have </w:t>
      </w:r>
      <w:r w:rsidR="0060188E" w:rsidRPr="00DB0409">
        <w:rPr>
          <w:rFonts w:ascii="Times New Roman" w:hAnsi="Times New Roman" w:cs="Times New Roman"/>
        </w:rPr>
        <w:t>achieved a</w:t>
      </w:r>
      <w:r w:rsidR="006143A7" w:rsidRPr="00DB0409">
        <w:rPr>
          <w:rFonts w:ascii="Times New Roman" w:hAnsi="Times New Roman" w:cs="Times New Roman"/>
        </w:rPr>
        <w:t>nother</w:t>
      </w:r>
      <w:r w:rsidR="0060188E" w:rsidRPr="00DB0409">
        <w:rPr>
          <w:rFonts w:ascii="Times New Roman" w:hAnsi="Times New Roman" w:cs="Times New Roman"/>
        </w:rPr>
        <w:t xml:space="preserve"> remission </w:t>
      </w:r>
      <w:r w:rsidR="006143A7" w:rsidRPr="00DB0409">
        <w:rPr>
          <w:rFonts w:ascii="Times New Roman" w:hAnsi="Times New Roman" w:cs="Times New Roman"/>
        </w:rPr>
        <w:t xml:space="preserve">period of 12 months </w:t>
      </w:r>
      <w:r w:rsidR="00FF5D5A">
        <w:rPr>
          <w:rFonts w:ascii="Times New Roman" w:hAnsi="Times New Roman" w:cs="Times New Roman"/>
        </w:rPr>
        <w:t xml:space="preserve">within two years </w:t>
      </w:r>
      <w:r w:rsidR="0060188E" w:rsidRPr="00DB0409">
        <w:rPr>
          <w:rFonts w:ascii="Times New Roman" w:hAnsi="Times New Roman" w:cs="Times New Roman"/>
        </w:rPr>
        <w:t>following breakthrough and those who did</w:t>
      </w:r>
      <w:r w:rsidR="00E330C7" w:rsidRPr="00DB0409">
        <w:rPr>
          <w:rFonts w:ascii="Times New Roman" w:hAnsi="Times New Roman" w:cs="Times New Roman"/>
        </w:rPr>
        <w:t xml:space="preserve"> </w:t>
      </w:r>
      <w:r w:rsidR="0060188E" w:rsidRPr="00DB0409">
        <w:rPr>
          <w:rFonts w:ascii="Times New Roman" w:hAnsi="Times New Roman" w:cs="Times New Roman"/>
        </w:rPr>
        <w:t>n</w:t>
      </w:r>
      <w:r w:rsidR="00E330C7" w:rsidRPr="00DB0409">
        <w:rPr>
          <w:rFonts w:ascii="Times New Roman" w:hAnsi="Times New Roman" w:cs="Times New Roman"/>
        </w:rPr>
        <w:t>o</w:t>
      </w:r>
      <w:r w:rsidR="0060188E" w:rsidRPr="00DB0409">
        <w:rPr>
          <w:rFonts w:ascii="Times New Roman" w:hAnsi="Times New Roman" w:cs="Times New Roman"/>
        </w:rPr>
        <w:t xml:space="preserve">t. Specifically we consider (1) whether a patient had experienced seizures since their previous clinic visit (yes/no), (2) how many seizures were experienced since the previous clinic visit, (3) </w:t>
      </w:r>
      <w:r w:rsidR="00E330C7" w:rsidRPr="00DB0409">
        <w:rPr>
          <w:rFonts w:ascii="Times New Roman" w:hAnsi="Times New Roman" w:cs="Times New Roman"/>
        </w:rPr>
        <w:t>t</w:t>
      </w:r>
      <w:r w:rsidR="0060188E" w:rsidRPr="00DB0409">
        <w:rPr>
          <w:rFonts w:ascii="Times New Roman" w:hAnsi="Times New Roman" w:cs="Times New Roman"/>
        </w:rPr>
        <w:t xml:space="preserve">he number of </w:t>
      </w:r>
      <w:r w:rsidR="00E330C7" w:rsidRPr="00DB0409">
        <w:rPr>
          <w:rFonts w:ascii="Times New Roman" w:hAnsi="Times New Roman" w:cs="Times New Roman"/>
        </w:rPr>
        <w:t xml:space="preserve">patient reported </w:t>
      </w:r>
      <w:r w:rsidR="0060188E" w:rsidRPr="00DB0409">
        <w:rPr>
          <w:rFonts w:ascii="Times New Roman" w:hAnsi="Times New Roman" w:cs="Times New Roman"/>
        </w:rPr>
        <w:t xml:space="preserve">adverse events experienced since the previous clinic visit and (4) </w:t>
      </w:r>
      <w:r w:rsidR="00E330C7" w:rsidRPr="00DB0409">
        <w:rPr>
          <w:rFonts w:ascii="Times New Roman" w:hAnsi="Times New Roman" w:cs="Times New Roman"/>
        </w:rPr>
        <w:t>w</w:t>
      </w:r>
      <w:r w:rsidR="0060188E" w:rsidRPr="00DB0409">
        <w:rPr>
          <w:rFonts w:ascii="Times New Roman" w:hAnsi="Times New Roman" w:cs="Times New Roman"/>
        </w:rPr>
        <w:t xml:space="preserve">hether a patient’s treatment was changed at the last clinic visit (yes/no). Treatment change included changes in dose </w:t>
      </w:r>
      <w:r w:rsidR="00E330C7" w:rsidRPr="00DB0409">
        <w:rPr>
          <w:rFonts w:ascii="Times New Roman" w:hAnsi="Times New Roman" w:cs="Times New Roman"/>
        </w:rPr>
        <w:t xml:space="preserve">(increase or decrease) </w:t>
      </w:r>
      <w:r w:rsidR="0060188E" w:rsidRPr="00DB0409">
        <w:rPr>
          <w:rFonts w:ascii="Times New Roman" w:hAnsi="Times New Roman" w:cs="Times New Roman"/>
        </w:rPr>
        <w:t>of a drug or the addition or removal of a drug. Potential adverse events included depression, dizziness, allergic reactions, headaches and tiredness amongst others</w:t>
      </w:r>
      <w:r w:rsidR="00BB5AD1" w:rsidRPr="00DB0409">
        <w:rPr>
          <w:rFonts w:ascii="Times New Roman" w:hAnsi="Times New Roman" w:cs="Times New Roman"/>
        </w:rPr>
        <w:t>.</w:t>
      </w:r>
      <w:r w:rsidR="00BB5AD1"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&lt;EndNote&gt;&lt;Cite&gt;&lt;Author&gt;Shukralla&lt;/Author&gt;&lt;Year&gt;2011&lt;/Year&gt;&lt;RecNum&gt;19&lt;/RecNum&gt;&lt;DisplayText&gt;&lt;style face="superscript"&gt;20&lt;/style&gt;&lt;/DisplayText&gt;&lt;record&gt;&lt;rec-number&gt;19&lt;/rec-number&gt;&lt;foreign-keys&gt;&lt;key app="EN" db-id="t2wd2e25t09vr2eetz3vawpet0sz22ed0prp" timestamp="1481713457"&gt;19&lt;/key&gt;&lt;/foreign-keys&gt;&lt;ref-type name="Journal Article"&gt;17&lt;/ref-type&gt;&lt;contributors&gt;&lt;authors&gt;&lt;author&gt;Shukralla, Arif A.&lt;/author&gt;&lt;author&gt;Tudur-Smith, Catrin&lt;/author&gt;&lt;author&gt;Powell, Graham A.&lt;/author&gt;&lt;author&gt;Williamson, Paula R.&lt;/author&gt;&lt;author&gt;Marson, Anthony G.&lt;/author&gt;&lt;/authors&gt;&lt;/contributors&gt;&lt;titles&gt;&lt;title&gt;Reporting of adverse events in randomised controlled trials of antiepileptic drugs using the CONSORT criteria for reporting harms&lt;/title&gt;&lt;secondary-title&gt;Epilepsy Research&lt;/secondary-title&gt;&lt;/titles&gt;&lt;periodical&gt;&lt;full-title&gt;Epilepsy Research&lt;/full-title&gt;&lt;/periodical&gt;&lt;pages&gt;20-29&lt;/pages&gt;&lt;volume&gt;97&lt;/volume&gt;&lt;number&gt;1–2&lt;/number&gt;&lt;keywords&gt;&lt;keyword&gt;Antiepileptic drugs&lt;/keyword&gt;&lt;keyword&gt;CONSORT&lt;/keyword&gt;&lt;keyword&gt;Reporting&lt;/keyword&gt;&lt;keyword&gt;Harms&lt;/keyword&gt;&lt;keyword&gt;Adverse events&lt;/keyword&gt;&lt;/keywords&gt;&lt;dates&gt;&lt;year&gt;2011&lt;/year&gt;&lt;pub-dates&gt;&lt;date&gt;11//&lt;/date&gt;&lt;/pub-dates&gt;&lt;/dates&gt;&lt;isbn&gt;0920-1211&lt;/isbn&gt;&lt;urls&gt;&lt;related-urls&gt;&lt;url&gt;http://www.sciencedirect.com/science/article/pii/S092012111100177X&lt;/url&gt;&lt;/related-urls&gt;&lt;/urls&gt;&lt;electronic-resource-num&gt;http://dx.doi.org/10.1016/j.eplepsyres.2011.06.015&lt;/electronic-resource-num&gt;&lt;/record&gt;&lt;/Cite&gt;&lt;/EndNote&gt;</w:instrText>
      </w:r>
      <w:r w:rsidR="00BB5AD1"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20</w:t>
      </w:r>
      <w:r w:rsidR="00BB5AD1" w:rsidRPr="00DB0409">
        <w:rPr>
          <w:rFonts w:ascii="Times New Roman" w:hAnsi="Times New Roman" w:cs="Times New Roman"/>
        </w:rPr>
        <w:fldChar w:fldCharType="end"/>
      </w:r>
      <w:r w:rsidR="0060188E" w:rsidRPr="00DB0409">
        <w:rPr>
          <w:rFonts w:ascii="Times New Roman" w:hAnsi="Times New Roman" w:cs="Times New Roman"/>
        </w:rPr>
        <w:t xml:space="preserve"> </w:t>
      </w:r>
    </w:p>
    <w:p w14:paraId="479557B2" w14:textId="500E4421" w:rsidR="001D03EF" w:rsidRPr="00DB0409" w:rsidRDefault="00494E90" w:rsidP="005E16CF">
      <w:pPr>
        <w:spacing w:after="120" w:line="480" w:lineRule="auto"/>
        <w:rPr>
          <w:rFonts w:ascii="Times New Roman" w:hAnsi="Times New Roman" w:cs="Times New Roman"/>
        </w:rPr>
      </w:pPr>
      <w:r w:rsidRPr="00DB0409">
        <w:rPr>
          <w:rFonts w:ascii="Times New Roman" w:hAnsi="Times New Roman" w:cs="Times New Roman"/>
        </w:rPr>
        <w:lastRenderedPageBreak/>
        <w:t xml:space="preserve">Each variable </w:t>
      </w:r>
      <w:r w:rsidR="00BF3C44">
        <w:rPr>
          <w:rFonts w:ascii="Times New Roman" w:hAnsi="Times New Roman" w:cs="Times New Roman"/>
        </w:rPr>
        <w:t>that</w:t>
      </w:r>
      <w:r w:rsidR="007C3007" w:rsidRPr="00DB0409">
        <w:rPr>
          <w:rFonts w:ascii="Times New Roman" w:hAnsi="Times New Roman" w:cs="Times New Roman"/>
        </w:rPr>
        <w:t xml:space="preserve"> was measured at repeated clinic visits (longitudinal variable) </w:t>
      </w:r>
      <w:r w:rsidRPr="00DB0409">
        <w:rPr>
          <w:rFonts w:ascii="Times New Roman" w:hAnsi="Times New Roman" w:cs="Times New Roman"/>
        </w:rPr>
        <w:t xml:space="preserve">was allowed to depend upon the following baseline variables: Age at </w:t>
      </w:r>
      <w:r w:rsidR="007C3007" w:rsidRPr="00DB0409">
        <w:rPr>
          <w:rFonts w:ascii="Times New Roman" w:hAnsi="Times New Roman" w:cs="Times New Roman"/>
        </w:rPr>
        <w:t>b</w:t>
      </w:r>
      <w:r w:rsidRPr="00DB0409">
        <w:rPr>
          <w:rFonts w:ascii="Times New Roman" w:hAnsi="Times New Roman" w:cs="Times New Roman"/>
        </w:rPr>
        <w:t xml:space="preserve">reakthrough seizure, </w:t>
      </w:r>
      <w:r w:rsidR="00270BEB">
        <w:rPr>
          <w:rFonts w:ascii="Times New Roman" w:hAnsi="Times New Roman" w:cs="Times New Roman"/>
        </w:rPr>
        <w:t>sex</w:t>
      </w:r>
      <w:r w:rsidRPr="00DB0409">
        <w:rPr>
          <w:rFonts w:ascii="Times New Roman" w:hAnsi="Times New Roman" w:cs="Times New Roman"/>
        </w:rPr>
        <w:t>, electroencephalogram (EEG) result at randomisation, computerised tomography (CT) or magnetic resonance imaging (MRI) result at randomisation, type of epilepsy, first degree relative with epilepsy, neurological insult</w:t>
      </w:r>
      <w:r w:rsidR="004A0FE9">
        <w:rPr>
          <w:rFonts w:ascii="Times New Roman" w:hAnsi="Times New Roman" w:cs="Times New Roman"/>
        </w:rPr>
        <w:t xml:space="preserve"> (learning difficulties or a neurological deficit)</w:t>
      </w:r>
      <w:r w:rsidRPr="00DB0409">
        <w:rPr>
          <w:rFonts w:ascii="Times New Roman" w:hAnsi="Times New Roman" w:cs="Times New Roman"/>
        </w:rPr>
        <w:t>, total number of seizures prior to first remission, total number of treatments prior to first remission, time to firs</w:t>
      </w:r>
      <w:r w:rsidR="00294EEC" w:rsidRPr="00DB0409">
        <w:rPr>
          <w:rFonts w:ascii="Times New Roman" w:hAnsi="Times New Roman" w:cs="Times New Roman"/>
        </w:rPr>
        <w:t xml:space="preserve">t </w:t>
      </w:r>
      <w:r w:rsidR="007C3007" w:rsidRPr="00DB0409">
        <w:rPr>
          <w:rFonts w:ascii="Times New Roman" w:hAnsi="Times New Roman" w:cs="Times New Roman"/>
        </w:rPr>
        <w:t xml:space="preserve">period of 12 month </w:t>
      </w:r>
      <w:r w:rsidR="00294EEC" w:rsidRPr="00DB0409">
        <w:rPr>
          <w:rFonts w:ascii="Times New Roman" w:hAnsi="Times New Roman" w:cs="Times New Roman"/>
        </w:rPr>
        <w:t>remission</w:t>
      </w:r>
      <w:r w:rsidR="007C3007" w:rsidRPr="00DB0409">
        <w:rPr>
          <w:rFonts w:ascii="Times New Roman" w:hAnsi="Times New Roman" w:cs="Times New Roman"/>
        </w:rPr>
        <w:t>,</w:t>
      </w:r>
      <w:r w:rsidR="00294EEC" w:rsidRPr="00DB0409">
        <w:rPr>
          <w:rFonts w:ascii="Times New Roman" w:hAnsi="Times New Roman" w:cs="Times New Roman"/>
        </w:rPr>
        <w:t xml:space="preserve"> number of tonic-</w:t>
      </w:r>
      <w:proofErr w:type="spellStart"/>
      <w:r w:rsidRPr="00DB0409">
        <w:rPr>
          <w:rFonts w:ascii="Times New Roman" w:hAnsi="Times New Roman" w:cs="Times New Roman"/>
        </w:rPr>
        <w:t>clonic</w:t>
      </w:r>
      <w:proofErr w:type="spellEnd"/>
      <w:r w:rsidRPr="00DB0409">
        <w:rPr>
          <w:rFonts w:ascii="Times New Roman" w:hAnsi="Times New Roman" w:cs="Times New Roman"/>
        </w:rPr>
        <w:t xml:space="preserve"> seizures prior to breakthrough seizure</w:t>
      </w:r>
      <w:r w:rsidR="007C3007" w:rsidRPr="00DB0409">
        <w:rPr>
          <w:rFonts w:ascii="Times New Roman" w:hAnsi="Times New Roman" w:cs="Times New Roman"/>
        </w:rPr>
        <w:t>,</w:t>
      </w:r>
      <w:r w:rsidR="00AF0478" w:rsidRPr="00DB0409">
        <w:rPr>
          <w:rFonts w:ascii="Times New Roman" w:hAnsi="Times New Roman" w:cs="Times New Roman"/>
        </w:rPr>
        <w:t xml:space="preserve"> and post breakthrough seizure </w:t>
      </w:r>
      <w:r w:rsidR="007C3007" w:rsidRPr="00DB0409">
        <w:rPr>
          <w:rFonts w:ascii="Times New Roman" w:hAnsi="Times New Roman" w:cs="Times New Roman"/>
        </w:rPr>
        <w:t xml:space="preserve">treatment </w:t>
      </w:r>
      <w:r w:rsidR="00AF0478" w:rsidRPr="00DB0409">
        <w:rPr>
          <w:rFonts w:ascii="Times New Roman" w:hAnsi="Times New Roman" w:cs="Times New Roman"/>
        </w:rPr>
        <w:t>decision</w:t>
      </w:r>
      <w:r w:rsidRPr="00DB0409">
        <w:rPr>
          <w:rFonts w:ascii="Times New Roman" w:hAnsi="Times New Roman" w:cs="Times New Roman"/>
        </w:rPr>
        <w:t>.</w:t>
      </w:r>
      <w:r w:rsidR="003F7AB3">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&lt;EndNote&gt;&lt;Cite&gt;&lt;Author&gt;Bonnett&lt;/Author&gt;&lt;Year&gt;2017&lt;/Year&gt;&lt;RecNum&gt;3&lt;/RecNum&gt;&lt;DisplayText&gt;&lt;style face="superscript"&gt;4, 5&lt;/style&gt;&lt;/DisplayText&gt;&lt;record&gt;&lt;rec-number&gt;3&lt;/rec-number&gt;&lt;foreign-keys&gt;&lt;key app="EN" db-id="ewzpxe5r9zfet0e50ee5zx5vvzsdvs2wrpf9" timestamp="1529400802"&gt;3&lt;/key&gt;&lt;/foreign-keys&gt;&lt;ref-type name="Journal Article"&gt;17&lt;/ref-type&gt;&lt;contributors&gt;&lt;authors&gt;&lt;author&gt;Bonnett, LJ&lt;/author&gt;&lt;author&gt;Powell, GA&lt;/author&gt;&lt;author&gt;Smith, C Tudur&lt;/author&gt;&lt;author&gt;Marson, AG&lt;/author&gt;&lt;/authors&gt;&lt;/contributors&gt;&lt;titles&gt;&lt;title&gt;Risk of a seizure recurrence after a breakthrough seizure and the implications for driving: further analysis of the standard versus new antiepileptic drugs (SANAD) randomised controlled trial&lt;/title&gt;&lt;secondary-title&gt;BMJ open&lt;/secondary-title&gt;&lt;/titles&gt;&lt;periodical&gt;&lt;full-title&gt;BMJ open&lt;/full-title&gt;&lt;/periodical&gt;&lt;pages&gt;e015868&lt;/pages&gt;&lt;volume&gt;7&lt;/volume&gt;&lt;number&gt;7&lt;/number&gt;&lt;dates&gt;&lt;year&gt;2017&lt;/year&gt;&lt;/dates&gt;&lt;isbn&gt;2044-6055&lt;/isbn&gt;&lt;urls&gt;&lt;/urls&gt;&lt;/record&gt;&lt;/Cite&gt;&lt;Cite&gt;&lt;Author&gt;Bonnett&lt;/Author&gt;&lt;RecNum&gt;40&lt;/RecNum&gt;&lt;record&gt;&lt;rec-number&gt;40&lt;/rec-number&gt;&lt;foreign-keys&gt;&lt;key app="EN" db-id="t2wd2e25t09vr2eetz3vawpet0sz22ed0prp" timestamp="1489077793"&gt;40&lt;/key&gt;&lt;/foreign-keys&gt;&lt;ref-type name="Journal Article"&gt;17&lt;/ref-type&gt;&lt;contributors&gt;&lt;authors&gt;&lt;author&gt;Bonnett, Laura&lt;/author&gt;&lt;author&gt;Powell, Graham A.&lt;/author&gt;&lt;author&gt;Tudur-Smith, C&lt;/author&gt;&lt;author&gt;Marson, AG&lt;/author&gt;&lt;/authors&gt;&lt;/contributors&gt;&lt;titles&gt;&lt;title&gt;Breakthrough Seizures - Further analysis of the Standard versus New Antiepileptic Drugs (SANAD) study&lt;/title&gt;&lt;/titles&gt;&lt;dates&gt;&lt;/dates&gt;&lt;urls&gt;&lt;/urls&gt;&lt;/record&gt;&lt;/Cite&gt;&lt;/EndNote&gt;</w:instrText>
      </w:r>
      <w:r w:rsidR="003F7AB3">
        <w:rPr>
          <w:rFonts w:ascii="Times New Roman" w:hAnsi="Times New Roman" w:cs="Times New Roman"/>
        </w:rPr>
        <w:fldChar w:fldCharType="separate"/>
      </w:r>
      <w:r w:rsidR="00CD6DE1" w:rsidRPr="00CD6DE1">
        <w:rPr>
          <w:rFonts w:ascii="Times New Roman" w:hAnsi="Times New Roman" w:cs="Times New Roman"/>
          <w:noProof/>
          <w:vertAlign w:val="superscript"/>
        </w:rPr>
        <w:t>4, 5</w:t>
      </w:r>
      <w:r w:rsidR="003F7AB3">
        <w:rPr>
          <w:rFonts w:ascii="Times New Roman" w:hAnsi="Times New Roman" w:cs="Times New Roman"/>
        </w:rPr>
        <w:fldChar w:fldCharType="end"/>
      </w:r>
      <w:r w:rsidR="00AF0478" w:rsidRPr="00DB0409">
        <w:rPr>
          <w:rFonts w:ascii="Times New Roman" w:hAnsi="Times New Roman" w:cs="Times New Roman"/>
        </w:rPr>
        <w:t xml:space="preserve"> </w:t>
      </w:r>
      <w:r w:rsidR="007E39E4" w:rsidRPr="00DB0409">
        <w:rPr>
          <w:rFonts w:ascii="Times New Roman" w:hAnsi="Times New Roman" w:cs="Times New Roman"/>
        </w:rPr>
        <w:t xml:space="preserve">In addition, time since the last clinic visit was included to account for the fact that clinic visits were not equally spaced. </w:t>
      </w:r>
      <w:r w:rsidR="00AF0478" w:rsidRPr="00DB0409">
        <w:rPr>
          <w:rFonts w:ascii="Times New Roman" w:hAnsi="Times New Roman" w:cs="Times New Roman"/>
        </w:rPr>
        <w:t>B</w:t>
      </w:r>
      <w:r w:rsidR="007E39E4" w:rsidRPr="00DB0409">
        <w:rPr>
          <w:rFonts w:ascii="Times New Roman" w:hAnsi="Times New Roman" w:cs="Times New Roman"/>
        </w:rPr>
        <w:t>aseline covariates from the above list were included in a forward selection approach with model</w:t>
      </w:r>
      <w:r w:rsidR="007C3007" w:rsidRPr="00DB0409">
        <w:rPr>
          <w:rFonts w:ascii="Times New Roman" w:hAnsi="Times New Roman" w:cs="Times New Roman"/>
        </w:rPr>
        <w:t>s</w:t>
      </w:r>
      <w:r w:rsidR="007E39E4" w:rsidRPr="00DB0409">
        <w:rPr>
          <w:rFonts w:ascii="Times New Roman" w:hAnsi="Times New Roman" w:cs="Times New Roman"/>
        </w:rPr>
        <w:t xml:space="preserve"> compared using penalised expected deviance (PED).</w:t>
      </w:r>
      <w:r w:rsidR="00294EEC"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&lt;EndNote&gt;&lt;Cite&gt;&lt;Author&gt;Plummer&lt;/Author&gt;&lt;Year&gt;2008&lt;/Year&gt;&lt;RecNum&gt;19&lt;/RecNum&gt;&lt;DisplayText&gt;&lt;style face="superscript"&gt;21&lt;/style&gt;&lt;/DisplayText&gt;&lt;record&gt;&lt;rec-number&gt;19&lt;/rec-number&gt;&lt;foreign-keys&gt;&lt;key app="EN" db-id="ewzpxe5r9zfet0e50ee5zx5vvzsdvs2wrpf9" timestamp="1529402373"&gt;19&lt;/key&gt;&lt;/foreign-keys&gt;&lt;ref-type name="Journal Article"&gt;17&lt;/ref-type&gt;&lt;contributors&gt;&lt;authors&gt;&lt;author&gt;Plummer, Martyn&lt;/author&gt;&lt;/authors&gt;&lt;/contributors&gt;&lt;titles&gt;&lt;title&gt;Penalized loss functions for Bayesian model comparison&lt;/title&gt;&lt;secondary-title&gt;Biostatistics&lt;/secondary-title&gt;&lt;/titles&gt;&lt;periodical&gt;&lt;full-title&gt;Biostatistics&lt;/full-title&gt;&lt;/periodical&gt;&lt;pages&gt;523-539&lt;/pages&gt;&lt;volume&gt;9&lt;/volume&gt;&lt;number&gt;3&lt;/number&gt;&lt;dates&gt;&lt;year&gt;2008&lt;/year&gt;&lt;/dates&gt;&lt;isbn&gt;1468-4357&lt;/isbn&gt;&lt;urls&gt;&lt;/urls&gt;&lt;/record&gt;&lt;/Cite&gt;&lt;/EndNote&gt;</w:instrText>
      </w:r>
      <w:r w:rsidR="00294EEC"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21</w:t>
      </w:r>
      <w:r w:rsidR="00294EEC" w:rsidRPr="00DB0409">
        <w:rPr>
          <w:rFonts w:ascii="Times New Roman" w:hAnsi="Times New Roman" w:cs="Times New Roman"/>
        </w:rPr>
        <w:fldChar w:fldCharType="end"/>
      </w:r>
      <w:r w:rsidR="007E39E4" w:rsidRPr="00DB0409">
        <w:rPr>
          <w:rFonts w:ascii="Times New Roman" w:hAnsi="Times New Roman" w:cs="Times New Roman"/>
        </w:rPr>
        <w:t xml:space="preserve"> The best combination of baseline covariates to explain </w:t>
      </w:r>
      <w:r w:rsidR="00020D03" w:rsidRPr="00DB0409">
        <w:rPr>
          <w:rFonts w:ascii="Times New Roman" w:hAnsi="Times New Roman" w:cs="Times New Roman"/>
        </w:rPr>
        <w:t xml:space="preserve">each </w:t>
      </w:r>
      <w:r w:rsidR="007E39E4" w:rsidRPr="00DB0409">
        <w:rPr>
          <w:rFonts w:ascii="Times New Roman" w:hAnsi="Times New Roman" w:cs="Times New Roman"/>
        </w:rPr>
        <w:t xml:space="preserve">longitudinal variable was determined.  </w:t>
      </w:r>
    </w:p>
    <w:p w14:paraId="7FDC1F06" w14:textId="240976E3" w:rsidR="006A4658" w:rsidRDefault="0060188E" w:rsidP="005E16CF">
      <w:pPr>
        <w:spacing w:after="120" w:line="480" w:lineRule="auto"/>
        <w:rPr>
          <w:rFonts w:ascii="Times New Roman" w:hAnsi="Times New Roman" w:cs="Times New Roman"/>
        </w:rPr>
      </w:pPr>
      <w:r w:rsidRPr="00DB0409">
        <w:rPr>
          <w:rFonts w:ascii="Times New Roman" w:hAnsi="Times New Roman" w:cs="Times New Roman"/>
        </w:rPr>
        <w:t xml:space="preserve">These </w:t>
      </w:r>
      <w:r w:rsidR="004F3478">
        <w:rPr>
          <w:rFonts w:ascii="Times New Roman" w:hAnsi="Times New Roman" w:cs="Times New Roman"/>
        </w:rPr>
        <w:t>two fitted model</w:t>
      </w:r>
      <w:r w:rsidR="000C5B2C">
        <w:rPr>
          <w:rFonts w:ascii="Times New Roman" w:hAnsi="Times New Roman" w:cs="Times New Roman"/>
        </w:rPr>
        <w:t>s</w:t>
      </w:r>
      <w:r w:rsidR="004F3478" w:rsidRPr="00DB0409">
        <w:rPr>
          <w:rFonts w:ascii="Times New Roman" w:hAnsi="Times New Roman" w:cs="Times New Roman"/>
        </w:rPr>
        <w:t xml:space="preserve"> </w:t>
      </w:r>
      <w:r w:rsidRPr="00DB0409">
        <w:rPr>
          <w:rFonts w:ascii="Times New Roman" w:hAnsi="Times New Roman" w:cs="Times New Roman"/>
        </w:rPr>
        <w:t xml:space="preserve">were </w:t>
      </w:r>
      <w:r w:rsidR="004F3478">
        <w:rPr>
          <w:rFonts w:ascii="Times New Roman" w:hAnsi="Times New Roman" w:cs="Times New Roman"/>
        </w:rPr>
        <w:t>subsequently</w:t>
      </w:r>
      <w:r w:rsidR="004F3478" w:rsidRPr="00DB0409">
        <w:rPr>
          <w:rFonts w:ascii="Times New Roman" w:hAnsi="Times New Roman" w:cs="Times New Roman"/>
        </w:rPr>
        <w:t xml:space="preserve"> </w:t>
      </w:r>
      <w:r w:rsidRPr="00DB0409">
        <w:rPr>
          <w:rFonts w:ascii="Times New Roman" w:hAnsi="Times New Roman" w:cs="Times New Roman"/>
        </w:rPr>
        <w:t>used in a longitudinal discriminant analysi</w:t>
      </w:r>
      <w:r w:rsidR="00697256">
        <w:rPr>
          <w:rFonts w:ascii="Times New Roman" w:hAnsi="Times New Roman" w:cs="Times New Roman"/>
        </w:rPr>
        <w:t>s</w:t>
      </w:r>
      <w:r w:rsidR="00697256">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&lt;EndNote&gt;&lt;Cite&gt;&lt;Author&gt;Hughes&lt;/Author&gt;&lt;Year&gt;2017&lt;/Year&gt;&lt;RecNum&gt;20&lt;/RecNum&gt;&lt;DisplayText&gt;&lt;style face="superscript"&gt;22&lt;/style&gt;&lt;/DisplayText&gt;&lt;record&gt;&lt;rec-number&gt;20&lt;/rec-number&gt;&lt;foreign-keys&gt;&lt;key app="EN" db-id="ewzpxe5r9zfet0e50ee5zx5vvzsdvs2wrpf9" timestamp="1529402396"&gt;20&lt;/key&gt;&lt;/foreign-keys&gt;&lt;ref-type name="Journal Article"&gt;17&lt;/ref-type&gt;&lt;contributors&gt;&lt;authors&gt;&lt;author&gt;Hughes, David M&lt;/author&gt;&lt;author&gt;Komárek, Arnošt&lt;/author&gt;&lt;author&gt;Bonnett, Laura J&lt;/author&gt;&lt;author&gt;Czanner, Gabriela&lt;/author&gt;&lt;aut</w:instrText>
      </w:r>
      <w:r w:rsidR="00CD6DE1">
        <w:rPr>
          <w:rFonts w:ascii="Times New Roman" w:hAnsi="Times New Roman" w:cs="Times New Roman" w:hint="eastAsia"/>
        </w:rPr>
        <w:instrText>hor&gt;García</w:instrText>
      </w:r>
      <w:r w:rsidR="00CD6DE1">
        <w:rPr>
          <w:rFonts w:ascii="Times New Roman" w:hAnsi="Times New Roman" w:cs="Times New Roman" w:hint="eastAsia"/>
        </w:rPr>
        <w:instrText>‐</w:instrText>
      </w:r>
      <w:r w:rsidR="00CD6DE1">
        <w:rPr>
          <w:rFonts w:ascii="Times New Roman" w:hAnsi="Times New Roman" w:cs="Times New Roman" w:hint="eastAsia"/>
        </w:rPr>
        <w:instrText>Fiñana, Marta&lt;/author&gt;&lt;/authors&gt;&lt;/contributors&gt;&lt;titles&gt;&lt;title&gt;Dynamic classification using credible intervals in longitudinal discriminant analysis&lt;/title&gt;&lt;secondary-title&gt;Statistics in medicine&lt;/secondary-title&gt;&lt;/titles&gt;&lt;periodical&gt;&lt;full-title</w:instrText>
      </w:r>
      <w:r w:rsidR="00CD6DE1">
        <w:rPr>
          <w:rFonts w:ascii="Times New Roman" w:hAnsi="Times New Roman" w:cs="Times New Roman"/>
        </w:rPr>
        <w:instrText>&gt;Statistics in medicine&lt;/full-title&gt;&lt;/periodical&gt;&lt;pages&gt;3858-3874&lt;/pages&gt;&lt;volume&gt;36&lt;/volume&gt;&lt;number&gt;24&lt;/number&gt;&lt;dates&gt;&lt;year&gt;2017&lt;/year&gt;&lt;/dates&gt;&lt;isbn&gt;1097-0258&lt;/isbn&gt;&lt;urls&gt;&lt;/urls&gt;&lt;/record&gt;&lt;/Cite&gt;&lt;/EndNote&gt;</w:instrText>
      </w:r>
      <w:r w:rsidR="00697256">
        <w:rPr>
          <w:rFonts w:ascii="Times New Roman" w:hAnsi="Times New Roman" w:cs="Times New Roman"/>
        </w:rPr>
        <w:fldChar w:fldCharType="separate"/>
      </w:r>
      <w:r w:rsidR="00CD6DE1" w:rsidRPr="00CD6DE1">
        <w:rPr>
          <w:rFonts w:ascii="Times New Roman" w:hAnsi="Times New Roman" w:cs="Times New Roman"/>
          <w:noProof/>
          <w:vertAlign w:val="superscript"/>
        </w:rPr>
        <w:t>22</w:t>
      </w:r>
      <w:r w:rsidR="00697256">
        <w:rPr>
          <w:rFonts w:ascii="Times New Roman" w:hAnsi="Times New Roman" w:cs="Times New Roman"/>
        </w:rPr>
        <w:fldChar w:fldCharType="end"/>
      </w:r>
      <w:r w:rsidRPr="00DB0409">
        <w:rPr>
          <w:rFonts w:ascii="Times New Roman" w:hAnsi="Times New Roman" w:cs="Times New Roman"/>
        </w:rPr>
        <w:t xml:space="preserve"> to classify patients as either likely to achieve</w:t>
      </w:r>
      <w:r w:rsidR="006143A7" w:rsidRPr="00DB0409">
        <w:rPr>
          <w:rFonts w:ascii="Times New Roman" w:hAnsi="Times New Roman" w:cs="Times New Roman"/>
        </w:rPr>
        <w:t xml:space="preserve"> another period of 12-month</w:t>
      </w:r>
      <w:r w:rsidRPr="00DB0409">
        <w:rPr>
          <w:rFonts w:ascii="Times New Roman" w:hAnsi="Times New Roman" w:cs="Times New Roman"/>
        </w:rPr>
        <w:t xml:space="preserve"> remission within 2 years</w:t>
      </w:r>
      <w:r w:rsidR="006143A7" w:rsidRPr="00DB0409">
        <w:rPr>
          <w:rFonts w:ascii="Times New Roman" w:hAnsi="Times New Roman" w:cs="Times New Roman"/>
        </w:rPr>
        <w:t xml:space="preserve"> of breakthrough seizure</w:t>
      </w:r>
      <w:r w:rsidRPr="00DB0409">
        <w:rPr>
          <w:rFonts w:ascii="Times New Roman" w:hAnsi="Times New Roman" w:cs="Times New Roman"/>
        </w:rPr>
        <w:t xml:space="preserve"> or likely to not </w:t>
      </w:r>
      <w:r w:rsidR="006143A7" w:rsidRPr="00DB0409">
        <w:rPr>
          <w:rFonts w:ascii="Times New Roman" w:hAnsi="Times New Roman" w:cs="Times New Roman"/>
        </w:rPr>
        <w:t>re-</w:t>
      </w:r>
      <w:r w:rsidRPr="00DB0409">
        <w:rPr>
          <w:rFonts w:ascii="Times New Roman" w:hAnsi="Times New Roman" w:cs="Times New Roman"/>
        </w:rPr>
        <w:t xml:space="preserve">achieve </w:t>
      </w:r>
      <w:r w:rsidR="004F3478">
        <w:rPr>
          <w:rFonts w:ascii="Times New Roman" w:hAnsi="Times New Roman" w:cs="Times New Roman"/>
        </w:rPr>
        <w:t xml:space="preserve">12-month </w:t>
      </w:r>
      <w:r w:rsidRPr="00DB0409">
        <w:rPr>
          <w:rFonts w:ascii="Times New Roman" w:hAnsi="Times New Roman" w:cs="Times New Roman"/>
        </w:rPr>
        <w:t>remission</w:t>
      </w:r>
      <w:r w:rsidR="004E5A0B" w:rsidRPr="00DB0409">
        <w:rPr>
          <w:rFonts w:ascii="Times New Roman" w:hAnsi="Times New Roman" w:cs="Times New Roman"/>
        </w:rPr>
        <w:t xml:space="preserve"> within 2 years</w:t>
      </w:r>
      <w:r w:rsidRPr="00DB0409">
        <w:rPr>
          <w:rFonts w:ascii="Times New Roman" w:hAnsi="Times New Roman" w:cs="Times New Roman"/>
        </w:rPr>
        <w:t xml:space="preserve">. </w:t>
      </w:r>
      <w:r w:rsidR="006A4658">
        <w:rPr>
          <w:rFonts w:ascii="Times New Roman" w:hAnsi="Times New Roman" w:cs="Times New Roman"/>
        </w:rPr>
        <w:t>A longitudinal discriminant analysis assess</w:t>
      </w:r>
      <w:r w:rsidR="00406FEB">
        <w:rPr>
          <w:rFonts w:ascii="Times New Roman" w:hAnsi="Times New Roman" w:cs="Times New Roman"/>
        </w:rPr>
        <w:t>es</w:t>
      </w:r>
      <w:r w:rsidR="006A4658">
        <w:rPr>
          <w:rFonts w:ascii="Times New Roman" w:hAnsi="Times New Roman" w:cs="Times New Roman"/>
        </w:rPr>
        <w:t xml:space="preserve"> the likelihood that the data of a new patient was generated by each of the two multivariate mixed models. In this sense, the model assesses in a probabilistic manner which of the two average group trends the new patient is closest to.</w:t>
      </w:r>
    </w:p>
    <w:p w14:paraId="47522B52" w14:textId="70C63B41" w:rsidR="0060188E" w:rsidRPr="00DB0409" w:rsidRDefault="0060188E" w:rsidP="005E16CF">
      <w:pPr>
        <w:spacing w:after="120" w:line="480" w:lineRule="auto"/>
        <w:rPr>
          <w:rFonts w:ascii="Times New Roman" w:hAnsi="Times New Roman" w:cs="Times New Roman"/>
        </w:rPr>
      </w:pPr>
      <w:r w:rsidRPr="00DB0409">
        <w:rPr>
          <w:rFonts w:ascii="Times New Roman" w:hAnsi="Times New Roman" w:cs="Times New Roman"/>
        </w:rPr>
        <w:t>At each follow up visit for a patient</w:t>
      </w:r>
      <w:r w:rsidR="00BF3C44">
        <w:rPr>
          <w:rFonts w:ascii="Times New Roman" w:hAnsi="Times New Roman" w:cs="Times New Roman"/>
        </w:rPr>
        <w:t>,</w:t>
      </w:r>
      <w:r w:rsidRPr="00DB0409">
        <w:rPr>
          <w:rFonts w:ascii="Times New Roman" w:hAnsi="Times New Roman" w:cs="Times New Roman"/>
        </w:rPr>
        <w:t xml:space="preserve"> between their initial breakthrough seizure and their two-year post breakthrough end point, their risk </w:t>
      </w:r>
      <w:r w:rsidR="000E1F7E" w:rsidRPr="00DB0409">
        <w:rPr>
          <w:rFonts w:ascii="Times New Roman" w:hAnsi="Times New Roman" w:cs="Times New Roman"/>
        </w:rPr>
        <w:t xml:space="preserve">of </w:t>
      </w:r>
      <w:r w:rsidRPr="00DB0409">
        <w:rPr>
          <w:rFonts w:ascii="Times New Roman" w:hAnsi="Times New Roman" w:cs="Times New Roman"/>
        </w:rPr>
        <w:t>not achieving remission</w:t>
      </w:r>
      <w:r w:rsidR="0038520A">
        <w:rPr>
          <w:rFonts w:ascii="Times New Roman" w:hAnsi="Times New Roman" w:cs="Times New Roman"/>
        </w:rPr>
        <w:t xml:space="preserve"> within two-years of breakthrough seizure</w:t>
      </w:r>
      <w:r w:rsidR="005E30FA">
        <w:rPr>
          <w:rFonts w:ascii="Times New Roman" w:hAnsi="Times New Roman" w:cs="Times New Roman"/>
        </w:rPr>
        <w:t xml:space="preserve"> </w:t>
      </w:r>
      <w:r w:rsidRPr="00DB0409">
        <w:rPr>
          <w:rFonts w:ascii="Times New Roman" w:hAnsi="Times New Roman" w:cs="Times New Roman"/>
        </w:rPr>
        <w:t>was updated using the additional information collected at the visit.</w:t>
      </w:r>
      <w:r w:rsidR="007E39E4" w:rsidRPr="00DB0409">
        <w:rPr>
          <w:rFonts w:ascii="Times New Roman" w:hAnsi="Times New Roman" w:cs="Times New Roman"/>
        </w:rPr>
        <w:t xml:space="preserve"> The best combination of the four longitudinal </w:t>
      </w:r>
      <w:r w:rsidR="007E39E4" w:rsidRPr="00DB0409">
        <w:rPr>
          <w:rFonts w:ascii="Times New Roman" w:hAnsi="Times New Roman" w:cs="Times New Roman"/>
        </w:rPr>
        <w:lastRenderedPageBreak/>
        <w:t>variables to be used to classify new patients was selected using the probability of correct classification (PCC)</w:t>
      </w:r>
      <w:r w:rsidR="006143A7" w:rsidRPr="00DB0409">
        <w:rPr>
          <w:rFonts w:ascii="Times New Roman" w:hAnsi="Times New Roman" w:cs="Times New Roman"/>
        </w:rPr>
        <w:t>, in order to maximise classification accuracy</w:t>
      </w:r>
      <w:r w:rsidR="007E39E4" w:rsidRPr="00DB0409">
        <w:rPr>
          <w:rFonts w:ascii="Times New Roman" w:hAnsi="Times New Roman" w:cs="Times New Roman"/>
        </w:rPr>
        <w:t xml:space="preserve">. </w:t>
      </w:r>
    </w:p>
    <w:p w14:paraId="3654B298" w14:textId="77777777" w:rsidR="0060188E" w:rsidRDefault="007E39E4" w:rsidP="005E16CF">
      <w:pPr>
        <w:spacing w:after="120" w:line="480" w:lineRule="auto"/>
        <w:rPr>
          <w:rFonts w:ascii="Times New Roman" w:hAnsi="Times New Roman" w:cs="Times New Roman"/>
        </w:rPr>
      </w:pPr>
      <w:r w:rsidRPr="00DB0409">
        <w:rPr>
          <w:rFonts w:ascii="Times New Roman" w:hAnsi="Times New Roman" w:cs="Times New Roman"/>
        </w:rPr>
        <w:t xml:space="preserve">Credible intervals around the calculated probability of not achieving remission within 2 years of breakthrough were used to assess the </w:t>
      </w:r>
      <w:r w:rsidR="004F3478">
        <w:rPr>
          <w:rFonts w:ascii="Times New Roman" w:hAnsi="Times New Roman" w:cs="Times New Roman"/>
        </w:rPr>
        <w:t>precision</w:t>
      </w:r>
      <w:r w:rsidR="004F3478" w:rsidRPr="00DB0409">
        <w:rPr>
          <w:rFonts w:ascii="Times New Roman" w:hAnsi="Times New Roman" w:cs="Times New Roman"/>
        </w:rPr>
        <w:t xml:space="preserve"> </w:t>
      </w:r>
      <w:r w:rsidR="004F3478">
        <w:rPr>
          <w:rFonts w:ascii="Times New Roman" w:hAnsi="Times New Roman" w:cs="Times New Roman"/>
        </w:rPr>
        <w:t>of</w:t>
      </w:r>
      <w:r w:rsidR="004F3478" w:rsidRPr="00DB0409">
        <w:rPr>
          <w:rFonts w:ascii="Times New Roman" w:hAnsi="Times New Roman" w:cs="Times New Roman"/>
        </w:rPr>
        <w:t xml:space="preserve"> </w:t>
      </w:r>
      <w:r w:rsidRPr="00DB0409">
        <w:rPr>
          <w:rFonts w:ascii="Times New Roman" w:hAnsi="Times New Roman" w:cs="Times New Roman"/>
        </w:rPr>
        <w:t xml:space="preserve">the </w:t>
      </w:r>
      <w:r w:rsidR="004F3478">
        <w:rPr>
          <w:rFonts w:ascii="Times New Roman" w:hAnsi="Times New Roman" w:cs="Times New Roman"/>
        </w:rPr>
        <w:t>estimated</w:t>
      </w:r>
      <w:r w:rsidR="004F3478" w:rsidRPr="00DB0409">
        <w:rPr>
          <w:rFonts w:ascii="Times New Roman" w:hAnsi="Times New Roman" w:cs="Times New Roman"/>
        </w:rPr>
        <w:t xml:space="preserve"> </w:t>
      </w:r>
      <w:r w:rsidRPr="00DB0409">
        <w:rPr>
          <w:rFonts w:ascii="Times New Roman" w:hAnsi="Times New Roman" w:cs="Times New Roman"/>
        </w:rPr>
        <w:t xml:space="preserve">probability. At each follow up visit, if the calculated credible interval was entirely above a threshold of </w:t>
      </w:r>
      <w:r w:rsidR="00AF0478" w:rsidRPr="00DB0409">
        <w:rPr>
          <w:rFonts w:ascii="Times New Roman" w:hAnsi="Times New Roman" w:cs="Times New Roman"/>
        </w:rPr>
        <w:t>0.38</w:t>
      </w:r>
      <w:r w:rsidRPr="00DB0409">
        <w:rPr>
          <w:rFonts w:ascii="Times New Roman" w:hAnsi="Times New Roman" w:cs="Times New Roman"/>
        </w:rPr>
        <w:t xml:space="preserve"> (</w:t>
      </w:r>
      <w:r w:rsidR="004F3478">
        <w:rPr>
          <w:rFonts w:ascii="Times New Roman" w:hAnsi="Times New Roman" w:cs="Times New Roman"/>
        </w:rPr>
        <w:t>threshold determined</w:t>
      </w:r>
      <w:r w:rsidR="004F3478" w:rsidRPr="00DB0409">
        <w:rPr>
          <w:rFonts w:ascii="Times New Roman" w:hAnsi="Times New Roman" w:cs="Times New Roman"/>
        </w:rPr>
        <w:t xml:space="preserve"> </w:t>
      </w:r>
      <w:r w:rsidRPr="00DB0409">
        <w:rPr>
          <w:rFonts w:ascii="Times New Roman" w:hAnsi="Times New Roman" w:cs="Times New Roman"/>
        </w:rPr>
        <w:t>following a ROC curve analysis as the point on the ROC curve closest to the top-left corner of the plot) then the patient was classified as not going to achieve remission within the remaining period of the two years since their breakthrough seizure.</w:t>
      </w:r>
      <w:r w:rsidR="00BE008E" w:rsidRPr="00DB0409">
        <w:rPr>
          <w:rFonts w:ascii="Times New Roman" w:hAnsi="Times New Roman" w:cs="Times New Roman"/>
        </w:rPr>
        <w:t xml:space="preserve"> If this was not the case then the patient simply remained under observation. At the final follow up visit before 2-year status was confirmed, there was an additional option of classifying a patient as likely to achieve remission if the credible interval was entirely below </w:t>
      </w:r>
      <w:r w:rsidR="00AF0478" w:rsidRPr="00DB0409">
        <w:rPr>
          <w:rFonts w:ascii="Times New Roman" w:hAnsi="Times New Roman" w:cs="Times New Roman"/>
        </w:rPr>
        <w:t>0.38</w:t>
      </w:r>
      <w:r w:rsidR="00BE008E" w:rsidRPr="00DB0409">
        <w:rPr>
          <w:rFonts w:ascii="Times New Roman" w:hAnsi="Times New Roman" w:cs="Times New Roman"/>
        </w:rPr>
        <w:t>. If the credible interval contained the threshold at this visit, then the patient remained unclassified as there was insufficient confidence to predict the patient’s status.</w:t>
      </w:r>
      <w:r w:rsidR="007275E6" w:rsidRPr="00DB0409">
        <w:rPr>
          <w:rFonts w:ascii="Times New Roman" w:hAnsi="Times New Roman" w:cs="Times New Roman"/>
        </w:rPr>
        <w:t xml:space="preserve"> </w:t>
      </w:r>
      <w:r w:rsidR="00484E34" w:rsidRPr="00DB0409">
        <w:rPr>
          <w:rFonts w:ascii="Times New Roman" w:hAnsi="Times New Roman" w:cs="Times New Roman"/>
        </w:rPr>
        <w:t>Figure 1 gives a diagrammatic representation of this classification scheme.</w:t>
      </w:r>
    </w:p>
    <w:p w14:paraId="6A5447D5" w14:textId="77777777" w:rsidR="006118CD" w:rsidRPr="00DB0409" w:rsidRDefault="006118CD" w:rsidP="005E16CF">
      <w:pPr>
        <w:spacing w:after="120" w:line="480" w:lineRule="auto"/>
        <w:rPr>
          <w:rFonts w:ascii="Times New Roman" w:hAnsi="Times New Roman" w:cs="Times New Roman"/>
        </w:rPr>
      </w:pPr>
      <w:r>
        <w:rPr>
          <w:rFonts w:ascii="Times New Roman" w:hAnsi="Times New Roman" w:cs="Times New Roman"/>
        </w:rPr>
        <w:t>FIGURE 1 ABOUT HERE</w:t>
      </w:r>
    </w:p>
    <w:p w14:paraId="3E54B5AF" w14:textId="77777777" w:rsidR="00484E34" w:rsidRPr="00DB0409" w:rsidRDefault="00484E34" w:rsidP="00484E34">
      <w:pPr>
        <w:spacing w:after="120" w:line="480" w:lineRule="auto"/>
        <w:rPr>
          <w:rFonts w:ascii="Times New Roman" w:hAnsi="Times New Roman" w:cs="Times New Roman"/>
        </w:rPr>
      </w:pPr>
      <w:r w:rsidRPr="00DB0409">
        <w:rPr>
          <w:rFonts w:ascii="Times New Roman" w:hAnsi="Times New Roman" w:cs="Times New Roman"/>
        </w:rPr>
        <w:t xml:space="preserve">Patients </w:t>
      </w:r>
      <w:r w:rsidR="000C5B2C">
        <w:rPr>
          <w:rFonts w:ascii="Times New Roman" w:hAnsi="Times New Roman" w:cs="Times New Roman"/>
        </w:rPr>
        <w:t>were</w:t>
      </w:r>
      <w:r w:rsidRPr="00DB0409">
        <w:rPr>
          <w:rFonts w:ascii="Times New Roman" w:hAnsi="Times New Roman" w:cs="Times New Roman"/>
        </w:rPr>
        <w:t xml:space="preserve"> predicted as likely to not achieve remission, only at the point in follow up at which their credible interval for risk of drug resistance is entirely above 0.38. This means that not all patients are classified at the same time and classification only occurs when there is reasonable confidence that a patient will truly not achieve remission within 2 years of breakthrough. </w:t>
      </w:r>
    </w:p>
    <w:p w14:paraId="52CAC55A" w14:textId="77777777" w:rsidR="00AF0478" w:rsidRDefault="00AF0478" w:rsidP="005E16CF">
      <w:pPr>
        <w:spacing w:after="120" w:line="480" w:lineRule="auto"/>
        <w:rPr>
          <w:rFonts w:ascii="Times New Roman" w:hAnsi="Times New Roman" w:cs="Times New Roman"/>
        </w:rPr>
      </w:pPr>
      <w:r w:rsidRPr="00DB0409">
        <w:rPr>
          <w:rFonts w:ascii="Times New Roman" w:hAnsi="Times New Roman" w:cs="Times New Roman"/>
        </w:rPr>
        <w:t xml:space="preserve">To test the predictive accuracy of our model, </w:t>
      </w:r>
      <w:r w:rsidR="00552C2C" w:rsidRPr="00DB0409">
        <w:rPr>
          <w:rFonts w:ascii="Times New Roman" w:hAnsi="Times New Roman" w:cs="Times New Roman"/>
        </w:rPr>
        <w:t xml:space="preserve">data from </w:t>
      </w:r>
      <w:r w:rsidRPr="00DB0409">
        <w:rPr>
          <w:rFonts w:ascii="Times New Roman" w:hAnsi="Times New Roman" w:cs="Times New Roman"/>
        </w:rPr>
        <w:t xml:space="preserve">70% </w:t>
      </w:r>
      <w:r w:rsidR="00552C2C" w:rsidRPr="00DB0409">
        <w:rPr>
          <w:rFonts w:ascii="Times New Roman" w:hAnsi="Times New Roman" w:cs="Times New Roman"/>
        </w:rPr>
        <w:t xml:space="preserve">of the patients </w:t>
      </w:r>
      <w:r w:rsidRPr="00DB0409">
        <w:rPr>
          <w:rFonts w:ascii="Times New Roman" w:hAnsi="Times New Roman" w:cs="Times New Roman"/>
        </w:rPr>
        <w:t>in each group</w:t>
      </w:r>
      <w:r w:rsidR="008D3422" w:rsidRPr="00DB0409">
        <w:rPr>
          <w:rFonts w:ascii="Times New Roman" w:hAnsi="Times New Roman" w:cs="Times New Roman"/>
        </w:rPr>
        <w:t xml:space="preserve"> (those who achieved a second remission and those who did not)</w:t>
      </w:r>
      <w:r w:rsidRPr="00DB0409">
        <w:rPr>
          <w:rFonts w:ascii="Times New Roman" w:hAnsi="Times New Roman" w:cs="Times New Roman"/>
        </w:rPr>
        <w:t xml:space="preserve"> was used to train the model, and the remaining 30% was used to test the predictive accuracy. This </w:t>
      </w:r>
      <w:r w:rsidRPr="00DB0409">
        <w:rPr>
          <w:rFonts w:ascii="Times New Roman" w:hAnsi="Times New Roman" w:cs="Times New Roman"/>
        </w:rPr>
        <w:lastRenderedPageBreak/>
        <w:t>was repeated for 100 random splits</w:t>
      </w:r>
      <w:r w:rsidR="003A50D9" w:rsidRPr="00DB0409">
        <w:rPr>
          <w:rFonts w:ascii="Times New Roman" w:hAnsi="Times New Roman" w:cs="Times New Roman"/>
        </w:rPr>
        <w:t xml:space="preserve"> </w:t>
      </w:r>
      <w:r w:rsidRPr="00DB0409">
        <w:rPr>
          <w:rFonts w:ascii="Times New Roman" w:hAnsi="Times New Roman" w:cs="Times New Roman"/>
        </w:rPr>
        <w:t>of the data into training and test sets. Predictive accuracy measures were then calculated and</w:t>
      </w:r>
      <w:r w:rsidR="00B056EA" w:rsidRPr="00DB0409">
        <w:rPr>
          <w:rFonts w:ascii="Times New Roman" w:hAnsi="Times New Roman" w:cs="Times New Roman"/>
        </w:rPr>
        <w:t xml:space="preserve"> averaged.</w:t>
      </w:r>
    </w:p>
    <w:p w14:paraId="4801F22D" w14:textId="4077A185" w:rsidR="007A7156" w:rsidRPr="005035CB" w:rsidRDefault="007A7156" w:rsidP="005E16CF">
      <w:pPr>
        <w:spacing w:after="120" w:line="480" w:lineRule="auto"/>
        <w:rPr>
          <w:rFonts w:ascii="Times New Roman" w:hAnsi="Times New Roman" w:cs="Times New Roman"/>
        </w:rPr>
      </w:pPr>
      <w:r>
        <w:rPr>
          <w:rFonts w:ascii="Times New Roman" w:hAnsi="Times New Roman" w:cs="Times New Roman"/>
        </w:rPr>
        <w:t xml:space="preserve">For comparison purposes we compared our longitudinal model with a Cox proportional hazards model described in </w:t>
      </w:r>
      <w:proofErr w:type="spellStart"/>
      <w:r>
        <w:rPr>
          <w:rFonts w:ascii="Times New Roman" w:hAnsi="Times New Roman" w:cs="Times New Roman"/>
        </w:rPr>
        <w:t>Bonnett</w:t>
      </w:r>
      <w:proofErr w:type="spellEnd"/>
      <w:r>
        <w:rPr>
          <w:rFonts w:ascii="Times New Roman" w:hAnsi="Times New Roman" w:cs="Times New Roman"/>
        </w:rPr>
        <w:t xml:space="preserve"> et al.</w:t>
      </w:r>
      <w:r>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&lt;EndNote&gt;&lt;Cite&gt;&lt;Author&gt;Bonnett&lt;/Author&gt;&lt;Year&gt;2017&lt;/Year&gt;&lt;RecNum&gt;28&lt;/RecNum&gt;&lt;DisplayText&gt;&lt;style face="superscript"&gt;23&lt;/style&gt;&lt;/DisplayText&gt;&lt;record&gt;&lt;rec-number&gt;28&lt;/rec-number&gt;&lt;foreign-keys&gt;&lt;key app="EN" db-id="rapzeweaxfpvs7ewadwxpdacw2afrerapafp" timestamp="1525269328"&gt;28&lt;/key&gt;&lt;/foreign-keys&gt;&lt;ref-type name="Journal Article"&gt;17&lt;/ref-type&gt;&lt;contributors&gt;&lt;authors&gt;&lt;author&gt;Bonnett, Laura J&lt;/author&gt;&lt;author&gt;Powell, Graham A&lt;/author&gt;&lt;author&gt;Smith, Catrin Tudur&lt;/author&gt;&lt;author&gt;Marson, Anthony G&lt;/author&gt;&lt;/authors&gt;&lt;/contributors&gt;&lt;titles&gt;&lt;title&gt;Breakthrough seizures—Further analysis of the Standard versus New Antiepileptic Drugs (SANAD) study&lt;/title&gt;&lt;secondary-title&gt;PloS one&lt;/secondary-title&gt;&lt;/titles&gt;&lt;periodical&gt;&lt;full-title&gt;PloS one&lt;/full-title&gt;&lt;/periodical&gt;&lt;pages&gt;e0190035&lt;/pages&gt;&lt;volume&gt;12&lt;/volume&gt;&lt;number&gt;12&lt;/number&gt;&lt;dates&gt;&lt;year&gt;2017&lt;/year&gt;&lt;/dates&gt;&lt;isbn&gt;1932-6203&lt;/isbn&gt;&lt;urls&gt;&lt;/urls&gt;&lt;/record&gt;&lt;/Cite&gt;&lt;/EndNote&gt;</w:instrText>
      </w:r>
      <w:r>
        <w:rPr>
          <w:rFonts w:ascii="Times New Roman" w:hAnsi="Times New Roman" w:cs="Times New Roman"/>
        </w:rPr>
        <w:fldChar w:fldCharType="separate"/>
      </w:r>
      <w:r w:rsidR="00CD6DE1" w:rsidRPr="00CD6DE1">
        <w:rPr>
          <w:rFonts w:ascii="Times New Roman" w:hAnsi="Times New Roman" w:cs="Times New Roman"/>
          <w:noProof/>
          <w:vertAlign w:val="superscript"/>
        </w:rPr>
        <w:t>23</w:t>
      </w:r>
      <w:r>
        <w:rPr>
          <w:rFonts w:ascii="Times New Roman" w:hAnsi="Times New Roman" w:cs="Times New Roman"/>
        </w:rPr>
        <w:fldChar w:fldCharType="end"/>
      </w:r>
      <w:r>
        <w:rPr>
          <w:rFonts w:ascii="Times New Roman" w:hAnsi="Times New Roman" w:cs="Times New Roman"/>
        </w:rPr>
        <w:t xml:space="preserve"> The Cox Model predicts at baseline (time of breakthrough seizure) the probability of not achieving remission </w:t>
      </w:r>
      <w:r w:rsidRPr="005035CB">
        <w:rPr>
          <w:rFonts w:ascii="Times New Roman" w:hAnsi="Times New Roman" w:cs="Times New Roman"/>
        </w:rPr>
        <w:t>within 2 years.</w:t>
      </w:r>
    </w:p>
    <w:p w14:paraId="0DB47215" w14:textId="77777777" w:rsidR="009F04AF" w:rsidRPr="005035CB" w:rsidRDefault="00AF0478" w:rsidP="005E16CF">
      <w:pPr>
        <w:spacing w:after="120" w:line="480" w:lineRule="auto"/>
        <w:rPr>
          <w:rFonts w:ascii="Times New Roman" w:hAnsi="Times New Roman" w:cs="Times New Roman"/>
          <w:b/>
        </w:rPr>
      </w:pPr>
      <w:r w:rsidRPr="005035CB">
        <w:rPr>
          <w:rFonts w:ascii="Times New Roman" w:hAnsi="Times New Roman" w:cs="Times New Roman"/>
          <w:b/>
        </w:rPr>
        <w:t>RESULTS</w:t>
      </w:r>
    </w:p>
    <w:p w14:paraId="5E8938EA" w14:textId="12407EBF" w:rsidR="00B056EA" w:rsidRDefault="00B70E69" w:rsidP="005E16CF">
      <w:pPr>
        <w:spacing w:after="120" w:line="480" w:lineRule="auto"/>
        <w:rPr>
          <w:rFonts w:ascii="Times New Roman" w:hAnsi="Times New Roman" w:cs="Times New Roman"/>
        </w:rPr>
      </w:pPr>
      <w:r w:rsidRPr="005035CB">
        <w:rPr>
          <w:rFonts w:ascii="Times New Roman" w:hAnsi="Times New Roman" w:cs="Times New Roman"/>
        </w:rPr>
        <w:t xml:space="preserve">Out of 2437 patients who were considered </w:t>
      </w:r>
      <w:r w:rsidR="0067153F" w:rsidRPr="005035CB">
        <w:rPr>
          <w:rFonts w:ascii="Times New Roman" w:hAnsi="Times New Roman" w:cs="Times New Roman"/>
        </w:rPr>
        <w:t>for</w:t>
      </w:r>
      <w:r w:rsidR="008F7DE6" w:rsidRPr="005035CB">
        <w:rPr>
          <w:rFonts w:ascii="Times New Roman" w:hAnsi="Times New Roman" w:cs="Times New Roman"/>
        </w:rPr>
        <w:t xml:space="preserve"> this analysis, 1901</w:t>
      </w:r>
      <w:r w:rsidRPr="005035CB">
        <w:rPr>
          <w:rFonts w:ascii="Times New Roman" w:hAnsi="Times New Roman" w:cs="Times New Roman"/>
        </w:rPr>
        <w:t xml:space="preserve"> </w:t>
      </w:r>
      <w:r w:rsidR="00264BA0" w:rsidRPr="005035CB">
        <w:rPr>
          <w:rFonts w:ascii="Times New Roman" w:hAnsi="Times New Roman" w:cs="Times New Roman"/>
        </w:rPr>
        <w:t xml:space="preserve">patients were excluded </w:t>
      </w:r>
      <w:r w:rsidR="0067153F" w:rsidRPr="005035CB">
        <w:rPr>
          <w:rFonts w:ascii="Times New Roman" w:hAnsi="Times New Roman" w:cs="Times New Roman"/>
        </w:rPr>
        <w:t xml:space="preserve">for a number of reasons; in 58 patients the </w:t>
      </w:r>
      <w:r w:rsidR="00DA2F4E" w:rsidRPr="005035CB">
        <w:rPr>
          <w:rFonts w:ascii="Times New Roman" w:hAnsi="Times New Roman" w:cs="Times New Roman"/>
          <w:lang w:val="en-US"/>
        </w:rPr>
        <w:t xml:space="preserve">seizures </w:t>
      </w:r>
      <w:r w:rsidR="0067153F" w:rsidRPr="005035CB">
        <w:rPr>
          <w:rFonts w:ascii="Times New Roman" w:hAnsi="Times New Roman" w:cs="Times New Roman"/>
          <w:lang w:val="en-US"/>
        </w:rPr>
        <w:t xml:space="preserve">were later </w:t>
      </w:r>
      <w:r w:rsidR="00DF5C55" w:rsidRPr="005035CB">
        <w:rPr>
          <w:rFonts w:ascii="Times New Roman" w:hAnsi="Times New Roman" w:cs="Times New Roman"/>
          <w:lang w:val="en-US"/>
        </w:rPr>
        <w:t xml:space="preserve">linked to </w:t>
      </w:r>
      <w:r w:rsidR="00DA2F4E" w:rsidRPr="005035CB">
        <w:rPr>
          <w:rFonts w:ascii="Times New Roman" w:hAnsi="Times New Roman" w:cs="Times New Roman"/>
          <w:lang w:val="en-US"/>
        </w:rPr>
        <w:t>causes</w:t>
      </w:r>
      <w:r w:rsidR="00DF5C55" w:rsidRPr="005035CB">
        <w:rPr>
          <w:rFonts w:ascii="Times New Roman" w:hAnsi="Times New Roman" w:cs="Times New Roman"/>
          <w:lang w:val="en-US"/>
        </w:rPr>
        <w:t xml:space="preserve"> unrelated to epilepsy</w:t>
      </w:r>
      <w:r w:rsidR="0067153F" w:rsidRPr="005035CB">
        <w:rPr>
          <w:rFonts w:ascii="Times New Roman" w:hAnsi="Times New Roman" w:cs="Times New Roman"/>
          <w:lang w:val="en-US"/>
        </w:rPr>
        <w:t xml:space="preserve"> (</w:t>
      </w:r>
      <w:r w:rsidR="00DA2F4E" w:rsidRPr="005035CB">
        <w:rPr>
          <w:rFonts w:ascii="Times New Roman" w:hAnsi="Times New Roman" w:cs="Times New Roman"/>
          <w:lang w:val="en-US"/>
        </w:rPr>
        <w:t>3%</w:t>
      </w:r>
      <w:r w:rsidR="0067153F" w:rsidRPr="005035CB">
        <w:rPr>
          <w:rFonts w:ascii="Times New Roman" w:hAnsi="Times New Roman" w:cs="Times New Roman"/>
          <w:lang w:val="en-US"/>
        </w:rPr>
        <w:t>)</w:t>
      </w:r>
      <w:r w:rsidR="00DA2F4E" w:rsidRPr="005035CB">
        <w:rPr>
          <w:rFonts w:ascii="Times New Roman" w:hAnsi="Times New Roman" w:cs="Times New Roman"/>
          <w:lang w:val="en-US"/>
        </w:rPr>
        <w:t xml:space="preserve">, </w:t>
      </w:r>
      <w:r w:rsidR="0067153F" w:rsidRPr="005035CB">
        <w:rPr>
          <w:rFonts w:ascii="Times New Roman" w:hAnsi="Times New Roman" w:cs="Times New Roman"/>
          <w:lang w:val="en-US"/>
        </w:rPr>
        <w:t xml:space="preserve">786 </w:t>
      </w:r>
      <w:r w:rsidR="005035CB">
        <w:rPr>
          <w:rFonts w:ascii="Times New Roman" w:hAnsi="Times New Roman" w:cs="Times New Roman"/>
          <w:lang w:val="en-US"/>
        </w:rPr>
        <w:t xml:space="preserve">patients </w:t>
      </w:r>
      <w:r w:rsidR="0067153F" w:rsidRPr="005035CB">
        <w:rPr>
          <w:rFonts w:ascii="Times New Roman" w:hAnsi="Times New Roman" w:cs="Times New Roman"/>
          <w:lang w:val="en-US"/>
        </w:rPr>
        <w:t xml:space="preserve">did </w:t>
      </w:r>
      <w:r w:rsidR="0067153F" w:rsidRPr="005035CB">
        <w:rPr>
          <w:rFonts w:ascii="Times New Roman" w:hAnsi="Times New Roman" w:cs="Times New Roman"/>
        </w:rPr>
        <w:t>not achieve</w:t>
      </w:r>
      <w:r w:rsidR="00264BA0" w:rsidRPr="005035CB">
        <w:rPr>
          <w:rFonts w:ascii="Times New Roman" w:hAnsi="Times New Roman" w:cs="Times New Roman"/>
        </w:rPr>
        <w:t xml:space="preserve"> remission during the follow</w:t>
      </w:r>
      <w:r w:rsidR="0067153F" w:rsidRPr="005035CB">
        <w:rPr>
          <w:rFonts w:ascii="Times New Roman" w:hAnsi="Times New Roman" w:cs="Times New Roman"/>
        </w:rPr>
        <w:t xml:space="preserve"> up period (</w:t>
      </w:r>
      <w:r w:rsidR="00DA2F4E" w:rsidRPr="005035CB">
        <w:rPr>
          <w:rFonts w:ascii="Times New Roman" w:hAnsi="Times New Roman" w:cs="Times New Roman"/>
        </w:rPr>
        <w:t>41</w:t>
      </w:r>
      <w:r w:rsidR="00FD3C9D" w:rsidRPr="005035CB">
        <w:rPr>
          <w:rFonts w:ascii="Times New Roman" w:hAnsi="Times New Roman" w:cs="Times New Roman"/>
        </w:rPr>
        <w:t>%</w:t>
      </w:r>
      <w:r w:rsidR="0067153F" w:rsidRPr="005035CB">
        <w:rPr>
          <w:rFonts w:ascii="Times New Roman" w:hAnsi="Times New Roman" w:cs="Times New Roman"/>
        </w:rPr>
        <w:t xml:space="preserve">) and 1057 </w:t>
      </w:r>
      <w:r w:rsidR="005035CB">
        <w:rPr>
          <w:rFonts w:ascii="Times New Roman" w:hAnsi="Times New Roman" w:cs="Times New Roman"/>
        </w:rPr>
        <w:t xml:space="preserve">patients </w:t>
      </w:r>
      <w:r w:rsidR="0067153F" w:rsidRPr="005035CB">
        <w:rPr>
          <w:rFonts w:ascii="Times New Roman" w:hAnsi="Times New Roman" w:cs="Times New Roman"/>
        </w:rPr>
        <w:t>did</w:t>
      </w:r>
      <w:r w:rsidR="00264BA0" w:rsidRPr="005035CB">
        <w:rPr>
          <w:rFonts w:ascii="Times New Roman" w:hAnsi="Times New Roman" w:cs="Times New Roman"/>
        </w:rPr>
        <w:t xml:space="preserve"> not experienc</w:t>
      </w:r>
      <w:r w:rsidR="0067153F" w:rsidRPr="005035CB">
        <w:rPr>
          <w:rFonts w:ascii="Times New Roman" w:hAnsi="Times New Roman" w:cs="Times New Roman"/>
        </w:rPr>
        <w:t>e a breakthrough seizure (</w:t>
      </w:r>
      <w:r w:rsidR="00DA2F4E" w:rsidRPr="005035CB">
        <w:rPr>
          <w:rFonts w:ascii="Times New Roman" w:hAnsi="Times New Roman" w:cs="Times New Roman"/>
        </w:rPr>
        <w:t>56</w:t>
      </w:r>
      <w:r w:rsidR="00FD3C9D" w:rsidRPr="005035CB">
        <w:rPr>
          <w:rFonts w:ascii="Times New Roman" w:hAnsi="Times New Roman" w:cs="Times New Roman"/>
        </w:rPr>
        <w:t>%</w:t>
      </w:r>
      <w:r w:rsidR="00264BA0" w:rsidRPr="005035CB">
        <w:rPr>
          <w:rFonts w:ascii="Times New Roman" w:hAnsi="Times New Roman" w:cs="Times New Roman"/>
        </w:rPr>
        <w:t>)</w:t>
      </w:r>
      <w:r w:rsidR="00B238FF" w:rsidRPr="005035CB">
        <w:rPr>
          <w:rFonts w:ascii="Times New Roman" w:hAnsi="Times New Roman" w:cs="Times New Roman"/>
          <w:lang w:val="en-US"/>
        </w:rPr>
        <w:t>.</w:t>
      </w:r>
      <w:r w:rsidR="00287D39" w:rsidRPr="005035CB">
        <w:rPr>
          <w:rFonts w:ascii="Times New Roman" w:hAnsi="Times New Roman" w:cs="Times New Roman"/>
        </w:rPr>
        <w:t xml:space="preserve"> In total </w:t>
      </w:r>
      <w:r w:rsidR="00EB3A5B" w:rsidRPr="005035CB">
        <w:rPr>
          <w:rFonts w:ascii="Times New Roman" w:hAnsi="Times New Roman" w:cs="Times New Roman"/>
        </w:rPr>
        <w:t>536 patients experienced a breakthrough seizure</w:t>
      </w:r>
      <w:r w:rsidR="00DA2F4E" w:rsidRPr="005035CB">
        <w:rPr>
          <w:rFonts w:ascii="Times New Roman" w:hAnsi="Times New Roman" w:cs="Times New Roman"/>
        </w:rPr>
        <w:t xml:space="preserve"> (34</w:t>
      </w:r>
      <w:r w:rsidR="00EB3A5B" w:rsidRPr="005035CB">
        <w:rPr>
          <w:rFonts w:ascii="Times New Roman" w:hAnsi="Times New Roman" w:cs="Times New Roman"/>
        </w:rPr>
        <w:t xml:space="preserve">% of all patients who experienced remission). </w:t>
      </w:r>
      <w:r w:rsidR="00B056EA" w:rsidRPr="005035CB">
        <w:rPr>
          <w:rFonts w:ascii="Times New Roman" w:hAnsi="Times New Roman" w:cs="Times New Roman"/>
        </w:rPr>
        <w:t>Patients who had a dose decrease</w:t>
      </w:r>
      <w:r w:rsidR="0067153F" w:rsidRPr="005035CB">
        <w:rPr>
          <w:rFonts w:ascii="Times New Roman" w:hAnsi="Times New Roman" w:cs="Times New Roman"/>
        </w:rPr>
        <w:t>d</w:t>
      </w:r>
      <w:r w:rsidR="00B056EA" w:rsidRPr="005035CB">
        <w:rPr>
          <w:rFonts w:ascii="Times New Roman" w:hAnsi="Times New Roman" w:cs="Times New Roman"/>
        </w:rPr>
        <w:t xml:space="preserve"> prior to a breakthrough seizure were </w:t>
      </w:r>
      <w:r w:rsidR="00DA2F4E" w:rsidRPr="005035CB">
        <w:rPr>
          <w:rFonts w:ascii="Times New Roman" w:hAnsi="Times New Roman" w:cs="Times New Roman"/>
        </w:rPr>
        <w:t xml:space="preserve">also </w:t>
      </w:r>
      <w:r w:rsidR="00B056EA" w:rsidRPr="005035CB">
        <w:rPr>
          <w:rFonts w:ascii="Times New Roman" w:hAnsi="Times New Roman" w:cs="Times New Roman"/>
        </w:rPr>
        <w:t>excluded from this analysis</w:t>
      </w:r>
      <w:r w:rsidR="00BE5995" w:rsidRPr="005035CB">
        <w:rPr>
          <w:rFonts w:ascii="Times New Roman" w:hAnsi="Times New Roman" w:cs="Times New Roman"/>
        </w:rPr>
        <w:t xml:space="preserve"> (n=26</w:t>
      </w:r>
      <w:r w:rsidR="00EB3A5B" w:rsidRPr="005035CB">
        <w:rPr>
          <w:rFonts w:ascii="Times New Roman" w:hAnsi="Times New Roman" w:cs="Times New Roman"/>
        </w:rPr>
        <w:t xml:space="preserve">, 4.9% of all patients who experienced </w:t>
      </w:r>
      <w:r w:rsidR="00876EFD" w:rsidRPr="005035CB">
        <w:rPr>
          <w:rFonts w:ascii="Times New Roman" w:hAnsi="Times New Roman" w:cs="Times New Roman"/>
        </w:rPr>
        <w:t xml:space="preserve">a </w:t>
      </w:r>
      <w:r w:rsidR="00EB3A5B" w:rsidRPr="005035CB">
        <w:rPr>
          <w:rFonts w:ascii="Times New Roman" w:hAnsi="Times New Roman" w:cs="Times New Roman"/>
        </w:rPr>
        <w:t>breakthrough seizure</w:t>
      </w:r>
      <w:r w:rsidR="00BE5995" w:rsidRPr="005035CB">
        <w:rPr>
          <w:rFonts w:ascii="Times New Roman" w:hAnsi="Times New Roman" w:cs="Times New Roman"/>
        </w:rPr>
        <w:t>)</w:t>
      </w:r>
      <w:r w:rsidR="00DC7D85" w:rsidRPr="005035CB">
        <w:rPr>
          <w:rFonts w:ascii="Times New Roman" w:hAnsi="Times New Roman" w:cs="Times New Roman"/>
        </w:rPr>
        <w:t xml:space="preserve"> since their seizure</w:t>
      </w:r>
      <w:r w:rsidR="00CC0744" w:rsidRPr="005035CB">
        <w:rPr>
          <w:rFonts w:ascii="Times New Roman" w:hAnsi="Times New Roman" w:cs="Times New Roman"/>
        </w:rPr>
        <w:t xml:space="preserve"> </w:t>
      </w:r>
      <w:r w:rsidR="008A6657" w:rsidRPr="005035CB">
        <w:rPr>
          <w:rFonts w:ascii="Times New Roman" w:hAnsi="Times New Roman" w:cs="Times New Roman"/>
        </w:rPr>
        <w:t>could potentially</w:t>
      </w:r>
      <w:r w:rsidR="00CC0744" w:rsidRPr="005035CB">
        <w:rPr>
          <w:rFonts w:ascii="Times New Roman" w:hAnsi="Times New Roman" w:cs="Times New Roman"/>
        </w:rPr>
        <w:t xml:space="preserve"> be due to antiep</w:t>
      </w:r>
      <w:r w:rsidR="00DC7D85" w:rsidRPr="005035CB">
        <w:rPr>
          <w:rFonts w:ascii="Times New Roman" w:hAnsi="Times New Roman" w:cs="Times New Roman"/>
        </w:rPr>
        <w:t>ileptic drug withdrawal</w:t>
      </w:r>
      <w:r w:rsidR="003F7AB3" w:rsidRPr="005035CB">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&lt;EndNote&gt;&lt;Cite&gt;&lt;Author&gt;Bonnett&lt;/Author&gt;&lt;Year&gt;2017&lt;/Year&gt;&lt;RecNum&gt;3&lt;/RecNum&gt;&lt;DisplayText&gt;&lt;style face="superscript"&gt;4, 5&lt;/style&gt;&lt;/DisplayText&gt;&lt;record&gt;&lt;rec-number&gt;3&lt;/rec-number&gt;&lt;foreign-keys&gt;&lt;key app="EN" db-id="ewzpxe5r9zfet0e50ee5zx5vvzsdvs2wrpf9" timestamp="1529400802"&gt;3&lt;/key&gt;&lt;/foreign-keys&gt;&lt;ref-type name="Journal Article"&gt;17&lt;/ref-type&gt;&lt;contributors&gt;&lt;authors&gt;&lt;author&gt;Bonnett, LJ&lt;/author&gt;&lt;author&gt;Powell, GA&lt;/author&gt;&lt;author&gt;Smith, C Tudur&lt;/author&gt;&lt;author&gt;Marson, AG&lt;/author&gt;&lt;/authors&gt;&lt;/contributors&gt;&lt;titles&gt;&lt;title&gt;Risk of a seizure recurrence after a breakthrough seizure and the implications for driving: further analysis of the standard versus new antiepileptic drugs (SANAD) randomised controlled trial&lt;/title&gt;&lt;secondary-title&gt;BMJ open&lt;/secondary-title&gt;&lt;/titles&gt;&lt;periodical&gt;&lt;full-title&gt;BMJ open&lt;/full-title&gt;&lt;/periodical&gt;&lt;pages&gt;e015868&lt;/pages&gt;&lt;volume&gt;7&lt;/volume&gt;&lt;number&gt;7&lt;/number&gt;&lt;dates&gt;&lt;year&gt;2017&lt;/year&gt;&lt;/dates&gt;&lt;isbn&gt;2044-6055&lt;/isbn&gt;&lt;urls&gt;&lt;/urls&gt;&lt;/record&gt;&lt;/Cite&gt;&lt;Cite&gt;&lt;Author&gt;Bonnett&lt;/Author&gt;&lt;RecNum&gt;40&lt;/RecNum&gt;&lt;record&gt;&lt;rec-number&gt;40&lt;/rec-number&gt;&lt;foreign-keys&gt;&lt;key app="EN" db-id="t2wd2e25t09vr2eetz3vawpet0sz22ed0prp" timestamp="1489077793"&gt;40&lt;/key&gt;&lt;/foreign-keys&gt;&lt;ref-type name="Journal Article"&gt;17&lt;/ref-type&gt;&lt;contributors&gt;&lt;authors&gt;&lt;author&gt;Bonnett, Laura&lt;/author&gt;&lt;author&gt;Powell, Graham A.&lt;/author&gt;&lt;author&gt;Tudur-Smith, C&lt;/author&gt;&lt;author&gt;Marson, AG&lt;/author&gt;&lt;/authors&gt;&lt;/contributors&gt;&lt;titles&gt;&lt;title&gt;Breakthrough Seizures - Further analysis of the Standard versus New Antiepileptic Drugs (SANAD) study&lt;/title&gt;&lt;/titles&gt;&lt;dates&gt;&lt;/dates&gt;&lt;urls&gt;&lt;/urls&gt;&lt;/record&gt;&lt;/Cite&gt;&lt;/EndNote&gt;</w:instrText>
      </w:r>
      <w:r w:rsidR="003F7AB3" w:rsidRPr="005035CB">
        <w:rPr>
          <w:rFonts w:ascii="Times New Roman" w:hAnsi="Times New Roman" w:cs="Times New Roman"/>
        </w:rPr>
        <w:fldChar w:fldCharType="separate"/>
      </w:r>
      <w:r w:rsidR="00CD6DE1" w:rsidRPr="00CD6DE1">
        <w:rPr>
          <w:rFonts w:ascii="Times New Roman" w:hAnsi="Times New Roman" w:cs="Times New Roman"/>
          <w:noProof/>
          <w:vertAlign w:val="superscript"/>
        </w:rPr>
        <w:t>4, 5</w:t>
      </w:r>
      <w:r w:rsidR="003F7AB3" w:rsidRPr="005035CB">
        <w:rPr>
          <w:rFonts w:ascii="Times New Roman" w:hAnsi="Times New Roman" w:cs="Times New Roman"/>
        </w:rPr>
        <w:fldChar w:fldCharType="end"/>
      </w:r>
      <w:r w:rsidR="00B056EA" w:rsidRPr="005035CB">
        <w:rPr>
          <w:rFonts w:ascii="Times New Roman" w:hAnsi="Times New Roman" w:cs="Times New Roman"/>
        </w:rPr>
        <w:t xml:space="preserve">. </w:t>
      </w:r>
      <w:r w:rsidR="004E3EC7">
        <w:rPr>
          <w:rFonts w:ascii="Times New Roman" w:hAnsi="Times New Roman" w:cs="Times New Roman"/>
        </w:rPr>
        <w:t xml:space="preserve">A further 210 patients were excluded because, although they did experience a breakthrough seizure, they were not followed for sufficient time to determine their two year status post-breakthrough. </w:t>
      </w:r>
      <w:r w:rsidR="00EB3A5B" w:rsidRPr="005035CB">
        <w:rPr>
          <w:rFonts w:ascii="Times New Roman" w:hAnsi="Times New Roman" w:cs="Times New Roman"/>
        </w:rPr>
        <w:t xml:space="preserve">Of the remaining </w:t>
      </w:r>
      <w:r w:rsidR="004E3EC7">
        <w:rPr>
          <w:rFonts w:ascii="Times New Roman" w:hAnsi="Times New Roman" w:cs="Times New Roman"/>
        </w:rPr>
        <w:t>30</w:t>
      </w:r>
      <w:r w:rsidR="00EB3A5B" w:rsidRPr="005035CB">
        <w:rPr>
          <w:rFonts w:ascii="Times New Roman" w:hAnsi="Times New Roman" w:cs="Times New Roman"/>
        </w:rPr>
        <w:t>0 patients who experienced a breakthrough seizure</w:t>
      </w:r>
      <w:r w:rsidR="00DF5C55" w:rsidRPr="005035CB">
        <w:rPr>
          <w:rFonts w:ascii="Times New Roman" w:hAnsi="Times New Roman" w:cs="Times New Roman"/>
        </w:rPr>
        <w:t>,</w:t>
      </w:r>
      <w:r w:rsidR="00DA2F4E" w:rsidRPr="005035CB">
        <w:rPr>
          <w:rFonts w:ascii="Times New Roman" w:hAnsi="Times New Roman" w:cs="Times New Roman"/>
        </w:rPr>
        <w:t xml:space="preserve"> </w:t>
      </w:r>
      <w:r w:rsidR="00FD528F" w:rsidRPr="005035CB">
        <w:rPr>
          <w:rFonts w:ascii="Times New Roman" w:hAnsi="Times New Roman" w:cs="Times New Roman"/>
        </w:rPr>
        <w:t xml:space="preserve">185 </w:t>
      </w:r>
      <w:r w:rsidR="000F3C90" w:rsidRPr="005035CB">
        <w:rPr>
          <w:rFonts w:ascii="Times New Roman" w:hAnsi="Times New Roman" w:cs="Times New Roman"/>
        </w:rPr>
        <w:t xml:space="preserve">patients </w:t>
      </w:r>
      <w:r w:rsidR="00790A9C" w:rsidRPr="005035CB">
        <w:rPr>
          <w:rFonts w:ascii="Times New Roman" w:hAnsi="Times New Roman" w:cs="Times New Roman"/>
        </w:rPr>
        <w:t>(</w:t>
      </w:r>
      <w:r w:rsidR="00C84F40">
        <w:rPr>
          <w:rFonts w:ascii="Times New Roman" w:hAnsi="Times New Roman" w:cs="Times New Roman"/>
        </w:rPr>
        <w:t>62</w:t>
      </w:r>
      <w:r w:rsidR="00790A9C" w:rsidRPr="005035CB">
        <w:rPr>
          <w:rFonts w:ascii="Times New Roman" w:hAnsi="Times New Roman" w:cs="Times New Roman"/>
        </w:rPr>
        <w:t xml:space="preserve">%) </w:t>
      </w:r>
      <w:r w:rsidR="00B056EA" w:rsidRPr="005035CB">
        <w:rPr>
          <w:rFonts w:ascii="Times New Roman" w:hAnsi="Times New Roman" w:cs="Times New Roman"/>
        </w:rPr>
        <w:t>went on to achieve a further period</w:t>
      </w:r>
      <w:r w:rsidR="00FD528F" w:rsidRPr="005035CB">
        <w:rPr>
          <w:rFonts w:ascii="Times New Roman" w:hAnsi="Times New Roman" w:cs="Times New Roman"/>
        </w:rPr>
        <w:t xml:space="preserve"> of 12 month seizure remission</w:t>
      </w:r>
      <w:r w:rsidR="00B056EA" w:rsidRPr="005035CB">
        <w:rPr>
          <w:rFonts w:ascii="Times New Roman" w:hAnsi="Times New Roman" w:cs="Times New Roman"/>
        </w:rPr>
        <w:t xml:space="preserve"> within 2 years of experienc</w:t>
      </w:r>
      <w:r w:rsidR="00575173" w:rsidRPr="005035CB">
        <w:rPr>
          <w:rFonts w:ascii="Times New Roman" w:hAnsi="Times New Roman" w:cs="Times New Roman"/>
        </w:rPr>
        <w:t xml:space="preserve">ing their breakthrough seizure and </w:t>
      </w:r>
      <w:r w:rsidR="00B056EA" w:rsidRPr="005035CB">
        <w:rPr>
          <w:rFonts w:ascii="Times New Roman" w:hAnsi="Times New Roman" w:cs="Times New Roman"/>
        </w:rPr>
        <w:t>115 patients</w:t>
      </w:r>
      <w:r w:rsidR="00790A9C" w:rsidRPr="005035CB">
        <w:rPr>
          <w:rFonts w:ascii="Times New Roman" w:hAnsi="Times New Roman" w:cs="Times New Roman"/>
        </w:rPr>
        <w:t xml:space="preserve"> </w:t>
      </w:r>
      <w:r w:rsidR="000F3C90" w:rsidRPr="005035CB">
        <w:rPr>
          <w:rFonts w:ascii="Times New Roman" w:hAnsi="Times New Roman" w:cs="Times New Roman"/>
        </w:rPr>
        <w:t>(</w:t>
      </w:r>
      <w:r w:rsidR="00C84F40">
        <w:rPr>
          <w:rFonts w:ascii="Times New Roman" w:hAnsi="Times New Roman" w:cs="Times New Roman"/>
        </w:rPr>
        <w:t>38</w:t>
      </w:r>
      <w:r w:rsidR="000F3C90" w:rsidRPr="005035CB">
        <w:rPr>
          <w:rFonts w:ascii="Times New Roman" w:hAnsi="Times New Roman" w:cs="Times New Roman"/>
        </w:rPr>
        <w:t xml:space="preserve">%) </w:t>
      </w:r>
      <w:r w:rsidR="00B056EA" w:rsidRPr="005035CB">
        <w:rPr>
          <w:rFonts w:ascii="Times New Roman" w:hAnsi="Times New Roman" w:cs="Times New Roman"/>
        </w:rPr>
        <w:t>were observed for 2 years following breakthrough seizure without experiencing a 12 month remission.</w:t>
      </w:r>
      <w:r w:rsidR="008D3422" w:rsidRPr="00DB0409">
        <w:rPr>
          <w:rFonts w:ascii="Times New Roman" w:hAnsi="Times New Roman" w:cs="Times New Roman"/>
        </w:rPr>
        <w:t xml:space="preserve"> </w:t>
      </w:r>
    </w:p>
    <w:p w14:paraId="51594611" w14:textId="77777777" w:rsidR="00FE442C" w:rsidRDefault="00FE442C" w:rsidP="005E16CF">
      <w:pPr>
        <w:spacing w:after="120" w:line="480" w:lineRule="auto"/>
        <w:rPr>
          <w:rFonts w:ascii="Times New Roman" w:hAnsi="Times New Roman" w:cs="Times New Roman"/>
        </w:rPr>
      </w:pPr>
      <w:r w:rsidRPr="00DB0409">
        <w:rPr>
          <w:rFonts w:ascii="Times New Roman" w:hAnsi="Times New Roman" w:cs="Times New Roman"/>
        </w:rPr>
        <w:t xml:space="preserve">Table </w:t>
      </w:r>
      <w:r w:rsidR="005C664F" w:rsidRPr="00DB0409">
        <w:rPr>
          <w:rFonts w:ascii="Times New Roman" w:hAnsi="Times New Roman" w:cs="Times New Roman"/>
        </w:rPr>
        <w:t>1</w:t>
      </w:r>
      <w:r w:rsidRPr="00DB0409">
        <w:rPr>
          <w:rFonts w:ascii="Times New Roman" w:hAnsi="Times New Roman" w:cs="Times New Roman"/>
        </w:rPr>
        <w:t xml:space="preserve"> describes the characteristics </w:t>
      </w:r>
      <w:r w:rsidR="00A44200">
        <w:rPr>
          <w:rFonts w:ascii="Times New Roman" w:hAnsi="Times New Roman" w:cs="Times New Roman"/>
        </w:rPr>
        <w:t>of</w:t>
      </w:r>
      <w:r w:rsidR="00A44200" w:rsidRPr="00DB0409">
        <w:rPr>
          <w:rFonts w:ascii="Times New Roman" w:hAnsi="Times New Roman" w:cs="Times New Roman"/>
        </w:rPr>
        <w:t xml:space="preserve"> </w:t>
      </w:r>
      <w:r w:rsidRPr="00DB0409">
        <w:rPr>
          <w:rFonts w:ascii="Times New Roman" w:hAnsi="Times New Roman" w:cs="Times New Roman"/>
        </w:rPr>
        <w:t xml:space="preserve">patients who were observed to achieve a second period of </w:t>
      </w:r>
      <w:r w:rsidR="006118CD" w:rsidRPr="00DB0409">
        <w:rPr>
          <w:rFonts w:ascii="Times New Roman" w:hAnsi="Times New Roman" w:cs="Times New Roman"/>
        </w:rPr>
        <w:t>12-month</w:t>
      </w:r>
      <w:r w:rsidRPr="00DB0409">
        <w:rPr>
          <w:rFonts w:ascii="Times New Roman" w:hAnsi="Times New Roman" w:cs="Times New Roman"/>
        </w:rPr>
        <w:t xml:space="preserve"> remission within 2 years of breakthrough and those who </w:t>
      </w:r>
      <w:r w:rsidRPr="00DB0409">
        <w:rPr>
          <w:rFonts w:ascii="Times New Roman" w:hAnsi="Times New Roman" w:cs="Times New Roman"/>
        </w:rPr>
        <w:lastRenderedPageBreak/>
        <w:t>did not. The best combination of longitudinal variables to achieve optimal classification accuracy was</w:t>
      </w:r>
      <w:r w:rsidR="00876EFD">
        <w:rPr>
          <w:rFonts w:ascii="Times New Roman" w:hAnsi="Times New Roman" w:cs="Times New Roman"/>
        </w:rPr>
        <w:t xml:space="preserve"> a bivariate model including</w:t>
      </w:r>
      <w:r w:rsidRPr="00DB0409">
        <w:rPr>
          <w:rFonts w:ascii="Times New Roman" w:hAnsi="Times New Roman" w:cs="Times New Roman"/>
        </w:rPr>
        <w:t xml:space="preserve"> whether the patient experienced seizures or not since their last visit and the total number of seizures experienced since the patient’s last visit. Separate </w:t>
      </w:r>
      <w:r w:rsidR="00A44200">
        <w:rPr>
          <w:rFonts w:ascii="Times New Roman" w:hAnsi="Times New Roman" w:cs="Times New Roman"/>
        </w:rPr>
        <w:t xml:space="preserve">bivariate </w:t>
      </w:r>
      <w:r w:rsidRPr="00DB0409">
        <w:rPr>
          <w:rFonts w:ascii="Times New Roman" w:hAnsi="Times New Roman" w:cs="Times New Roman"/>
        </w:rPr>
        <w:t>models were fit to the patients who were observed to achieve remission and those who did not.</w:t>
      </w:r>
      <w:r w:rsidR="00A44200">
        <w:rPr>
          <w:rFonts w:ascii="Times New Roman" w:hAnsi="Times New Roman" w:cs="Times New Roman"/>
        </w:rPr>
        <w:t xml:space="preserve"> </w:t>
      </w:r>
      <w:r w:rsidR="00A44200" w:rsidRPr="00DB0409">
        <w:rPr>
          <w:rFonts w:ascii="Times New Roman" w:hAnsi="Times New Roman" w:cs="Times New Roman"/>
        </w:rPr>
        <w:t>Th</w:t>
      </w:r>
      <w:r w:rsidR="00A44200">
        <w:rPr>
          <w:rFonts w:ascii="Times New Roman" w:hAnsi="Times New Roman" w:cs="Times New Roman"/>
        </w:rPr>
        <w:t>e two</w:t>
      </w:r>
      <w:r w:rsidR="00A44200" w:rsidRPr="00DB0409">
        <w:rPr>
          <w:rFonts w:ascii="Times New Roman" w:hAnsi="Times New Roman" w:cs="Times New Roman"/>
        </w:rPr>
        <w:t xml:space="preserve"> bivariate model</w:t>
      </w:r>
      <w:r w:rsidR="00A44200">
        <w:rPr>
          <w:rFonts w:ascii="Times New Roman" w:hAnsi="Times New Roman" w:cs="Times New Roman"/>
        </w:rPr>
        <w:t>s</w:t>
      </w:r>
      <w:r w:rsidR="00A44200" w:rsidRPr="00DB0409">
        <w:rPr>
          <w:rFonts w:ascii="Times New Roman" w:hAnsi="Times New Roman" w:cs="Times New Roman"/>
        </w:rPr>
        <w:t xml:space="preserve"> w</w:t>
      </w:r>
      <w:r w:rsidR="00A44200">
        <w:rPr>
          <w:rFonts w:ascii="Times New Roman" w:hAnsi="Times New Roman" w:cs="Times New Roman"/>
        </w:rPr>
        <w:t>ere</w:t>
      </w:r>
      <w:r w:rsidR="00A44200" w:rsidRPr="00DB0409">
        <w:rPr>
          <w:rFonts w:ascii="Times New Roman" w:hAnsi="Times New Roman" w:cs="Times New Roman"/>
        </w:rPr>
        <w:t xml:space="preserve"> used in the longitudinal discriminant analysis.</w:t>
      </w:r>
    </w:p>
    <w:p w14:paraId="68E1EAF1" w14:textId="77777777" w:rsidR="006118CD" w:rsidRPr="00DB0409" w:rsidRDefault="006118CD" w:rsidP="005E16CF">
      <w:pPr>
        <w:spacing w:after="120" w:line="480" w:lineRule="auto"/>
        <w:rPr>
          <w:rFonts w:ascii="Times New Roman" w:hAnsi="Times New Roman" w:cs="Times New Roman"/>
        </w:rPr>
      </w:pPr>
      <w:r>
        <w:rPr>
          <w:rFonts w:ascii="Times New Roman" w:hAnsi="Times New Roman" w:cs="Times New Roman"/>
        </w:rPr>
        <w:t>TABLE 1 ABOUT HERE</w:t>
      </w:r>
    </w:p>
    <w:p w14:paraId="3DFF078D" w14:textId="4F4B2659" w:rsidR="00BB5AD1" w:rsidRDefault="00BB5AD1" w:rsidP="005E16CF">
      <w:pPr>
        <w:spacing w:after="120" w:line="480" w:lineRule="auto"/>
        <w:rPr>
          <w:rFonts w:ascii="Times New Roman" w:hAnsi="Times New Roman" w:cs="Times New Roman"/>
        </w:rPr>
      </w:pPr>
      <w:r w:rsidRPr="00DB0409">
        <w:rPr>
          <w:rFonts w:ascii="Times New Roman" w:hAnsi="Times New Roman" w:cs="Times New Roman"/>
        </w:rPr>
        <w:t xml:space="preserve">The covariates </w:t>
      </w:r>
      <w:r w:rsidR="000271A6">
        <w:rPr>
          <w:rFonts w:ascii="Times New Roman" w:hAnsi="Times New Roman" w:cs="Times New Roman"/>
        </w:rPr>
        <w:t>used to model</w:t>
      </w:r>
      <w:r w:rsidRPr="00DB0409">
        <w:rPr>
          <w:rFonts w:ascii="Times New Roman" w:hAnsi="Times New Roman" w:cs="Times New Roman"/>
        </w:rPr>
        <w:t xml:space="preserve"> each longitudinal variable are shown in Table </w:t>
      </w:r>
      <w:r w:rsidR="00602AA7" w:rsidRPr="00DB0409">
        <w:rPr>
          <w:rFonts w:ascii="Times New Roman" w:hAnsi="Times New Roman" w:cs="Times New Roman"/>
        </w:rPr>
        <w:t>2.</w:t>
      </w:r>
      <w:r w:rsidRPr="00DB0409">
        <w:rPr>
          <w:rFonts w:ascii="Times New Roman" w:hAnsi="Times New Roman" w:cs="Times New Roman"/>
        </w:rPr>
        <w:t xml:space="preserve"> </w:t>
      </w:r>
      <w:r w:rsidR="00655672">
        <w:rPr>
          <w:rFonts w:ascii="Times New Roman" w:hAnsi="Times New Roman" w:cs="Times New Roman"/>
        </w:rPr>
        <w:t>F</w:t>
      </w:r>
      <w:r w:rsidR="00655672" w:rsidRPr="009B4AE0">
        <w:rPr>
          <w:rFonts w:ascii="Times New Roman" w:hAnsi="Times New Roman" w:cs="Times New Roman"/>
        </w:rPr>
        <w:t xml:space="preserve">or both </w:t>
      </w:r>
      <w:r w:rsidR="00367173">
        <w:rPr>
          <w:rFonts w:ascii="Times New Roman" w:hAnsi="Times New Roman" w:cs="Times New Roman"/>
        </w:rPr>
        <w:t>group</w:t>
      </w:r>
      <w:r w:rsidR="009D1A71">
        <w:rPr>
          <w:rFonts w:ascii="Times New Roman" w:hAnsi="Times New Roman" w:cs="Times New Roman"/>
        </w:rPr>
        <w:t>s</w:t>
      </w:r>
      <w:r w:rsidR="00367173">
        <w:rPr>
          <w:rFonts w:ascii="Times New Roman" w:hAnsi="Times New Roman" w:cs="Times New Roman"/>
        </w:rPr>
        <w:t xml:space="preserve"> of </w:t>
      </w:r>
      <w:r w:rsidR="00655672" w:rsidRPr="009B4AE0">
        <w:rPr>
          <w:rFonts w:ascii="Times New Roman" w:hAnsi="Times New Roman" w:cs="Times New Roman"/>
        </w:rPr>
        <w:t xml:space="preserve">patients </w:t>
      </w:r>
      <w:r w:rsidR="00655672">
        <w:rPr>
          <w:rFonts w:ascii="Times New Roman" w:hAnsi="Times New Roman" w:cs="Times New Roman"/>
        </w:rPr>
        <w:t xml:space="preserve">(those </w:t>
      </w:r>
      <w:r w:rsidR="00655672" w:rsidRPr="009B4AE0">
        <w:rPr>
          <w:rFonts w:ascii="Times New Roman" w:hAnsi="Times New Roman" w:cs="Times New Roman"/>
        </w:rPr>
        <w:t>who achieved remission and those who did not</w:t>
      </w:r>
      <w:r w:rsidR="00655672">
        <w:rPr>
          <w:rFonts w:ascii="Times New Roman" w:hAnsi="Times New Roman" w:cs="Times New Roman"/>
        </w:rPr>
        <w:t>)</w:t>
      </w:r>
      <w:r w:rsidRPr="009B4AE0">
        <w:rPr>
          <w:rFonts w:ascii="Times New Roman" w:hAnsi="Times New Roman" w:cs="Times New Roman"/>
        </w:rPr>
        <w:t>, the likelihood of experiencing seizures</w:t>
      </w:r>
      <w:r w:rsidR="00020D03" w:rsidRPr="009B4AE0">
        <w:rPr>
          <w:rFonts w:ascii="Times New Roman" w:hAnsi="Times New Roman" w:cs="Times New Roman"/>
        </w:rPr>
        <w:t xml:space="preserve"> decreased</w:t>
      </w:r>
      <w:r w:rsidR="005D49C9">
        <w:rPr>
          <w:rFonts w:ascii="Times New Roman" w:hAnsi="Times New Roman" w:cs="Times New Roman"/>
        </w:rPr>
        <w:t xml:space="preserve"> </w:t>
      </w:r>
      <w:r w:rsidRPr="009B4AE0">
        <w:rPr>
          <w:rFonts w:ascii="Times New Roman" w:hAnsi="Times New Roman" w:cs="Times New Roman"/>
        </w:rPr>
        <w:t>(</w:t>
      </w:r>
      <w:r w:rsidR="006B158D" w:rsidRPr="009B4AE0">
        <w:rPr>
          <w:rFonts w:ascii="Times New Roman" w:hAnsi="Times New Roman" w:cs="Times New Roman"/>
        </w:rPr>
        <w:t>o</w:t>
      </w:r>
      <w:r w:rsidRPr="009B4AE0">
        <w:rPr>
          <w:rFonts w:ascii="Times New Roman" w:hAnsi="Times New Roman" w:cs="Times New Roman"/>
        </w:rPr>
        <w:t>dds ratios</w:t>
      </w:r>
      <w:r w:rsidR="008762DD">
        <w:rPr>
          <w:rFonts w:ascii="Times New Roman" w:hAnsi="Times New Roman" w:cs="Times New Roman"/>
        </w:rPr>
        <w:t xml:space="preserve"> </w:t>
      </w:r>
      <w:r w:rsidR="009F084F" w:rsidRPr="009B4AE0">
        <w:rPr>
          <w:rFonts w:ascii="Times New Roman" w:hAnsi="Times New Roman" w:cs="Times New Roman"/>
        </w:rPr>
        <w:t>less than 1</w:t>
      </w:r>
      <w:r w:rsidR="005D49C9">
        <w:rPr>
          <w:rFonts w:ascii="Times New Roman" w:hAnsi="Times New Roman" w:cs="Times New Roman"/>
        </w:rPr>
        <w:t xml:space="preserve">) </w:t>
      </w:r>
      <w:r w:rsidR="009B4AE0">
        <w:rPr>
          <w:rFonts w:ascii="Times New Roman" w:hAnsi="Times New Roman" w:cs="Times New Roman"/>
        </w:rPr>
        <w:t>a</w:t>
      </w:r>
      <w:r w:rsidR="009B4AE0" w:rsidRPr="009B4AE0">
        <w:rPr>
          <w:rFonts w:ascii="Times New Roman" w:hAnsi="Times New Roman" w:cs="Times New Roman"/>
        </w:rPr>
        <w:t>s ti</w:t>
      </w:r>
      <w:r w:rsidR="005D49C9">
        <w:rPr>
          <w:rFonts w:ascii="Times New Roman" w:hAnsi="Times New Roman" w:cs="Times New Roman"/>
        </w:rPr>
        <w:t>me since breakthrough increased.</w:t>
      </w:r>
      <w:r w:rsidR="0074055F">
        <w:rPr>
          <w:rFonts w:ascii="Times New Roman" w:hAnsi="Times New Roman" w:cs="Times New Roman"/>
        </w:rPr>
        <w:t xml:space="preserve"> </w:t>
      </w:r>
      <w:r w:rsidR="008762DD">
        <w:rPr>
          <w:rFonts w:ascii="Times New Roman" w:hAnsi="Times New Roman" w:cs="Times New Roman"/>
        </w:rPr>
        <w:t>Con</w:t>
      </w:r>
      <w:r w:rsidR="009D1A71">
        <w:rPr>
          <w:rFonts w:ascii="Times New Roman" w:hAnsi="Times New Roman" w:cs="Times New Roman"/>
        </w:rPr>
        <w:t>versely</w:t>
      </w:r>
      <w:r w:rsidR="008762DD">
        <w:rPr>
          <w:rFonts w:ascii="Times New Roman" w:hAnsi="Times New Roman" w:cs="Times New Roman"/>
        </w:rPr>
        <w:t xml:space="preserve">, as the time since last follow up increased </w:t>
      </w:r>
      <w:r w:rsidR="008762DD" w:rsidRPr="009B4AE0">
        <w:rPr>
          <w:rFonts w:ascii="Times New Roman" w:hAnsi="Times New Roman" w:cs="Times New Roman"/>
        </w:rPr>
        <w:t xml:space="preserve">the likelihood of experiencing seizures </w:t>
      </w:r>
      <w:r w:rsidR="008762DD">
        <w:rPr>
          <w:rFonts w:ascii="Times New Roman" w:hAnsi="Times New Roman" w:cs="Times New Roman"/>
        </w:rPr>
        <w:t xml:space="preserve">increased </w:t>
      </w:r>
      <w:r w:rsidR="008762DD" w:rsidRPr="009B4AE0">
        <w:rPr>
          <w:rFonts w:ascii="Times New Roman" w:hAnsi="Times New Roman" w:cs="Times New Roman"/>
        </w:rPr>
        <w:t>(odds ratios</w:t>
      </w:r>
      <w:r w:rsidR="008762DD">
        <w:rPr>
          <w:rFonts w:ascii="Times New Roman" w:hAnsi="Times New Roman" w:cs="Times New Roman"/>
        </w:rPr>
        <w:t xml:space="preserve"> greater</w:t>
      </w:r>
      <w:r w:rsidR="008762DD" w:rsidRPr="009B4AE0">
        <w:rPr>
          <w:rFonts w:ascii="Times New Roman" w:hAnsi="Times New Roman" w:cs="Times New Roman"/>
        </w:rPr>
        <w:t xml:space="preserve"> than 1</w:t>
      </w:r>
      <w:r w:rsidR="008762DD">
        <w:rPr>
          <w:rFonts w:ascii="Times New Roman" w:hAnsi="Times New Roman" w:cs="Times New Roman"/>
        </w:rPr>
        <w:t>)</w:t>
      </w:r>
      <w:r w:rsidR="00870192">
        <w:rPr>
          <w:rFonts w:ascii="Times New Roman" w:hAnsi="Times New Roman" w:cs="Times New Roman"/>
        </w:rPr>
        <w:t>, probably reflecting the fact that they had a longer period in which to experience a seizure</w:t>
      </w:r>
      <w:r w:rsidR="008762DD">
        <w:rPr>
          <w:rFonts w:ascii="Times New Roman" w:hAnsi="Times New Roman" w:cs="Times New Roman"/>
        </w:rPr>
        <w:t>. Time since breakthrough and sin</w:t>
      </w:r>
      <w:r w:rsidR="00EA55F2">
        <w:rPr>
          <w:rFonts w:ascii="Times New Roman" w:hAnsi="Times New Roman" w:cs="Times New Roman"/>
        </w:rPr>
        <w:t>c</w:t>
      </w:r>
      <w:r w:rsidR="008762DD">
        <w:rPr>
          <w:rFonts w:ascii="Times New Roman" w:hAnsi="Times New Roman" w:cs="Times New Roman"/>
        </w:rPr>
        <w:t>e last follow up were also associated with the</w:t>
      </w:r>
      <w:r w:rsidR="0074055F">
        <w:rPr>
          <w:rFonts w:ascii="Times New Roman" w:hAnsi="Times New Roman" w:cs="Times New Roman"/>
        </w:rPr>
        <w:t xml:space="preserve"> e</w:t>
      </w:r>
      <w:r w:rsidR="0074055F" w:rsidRPr="009B4AE0">
        <w:rPr>
          <w:rFonts w:ascii="Times New Roman" w:hAnsi="Times New Roman" w:cs="Times New Roman"/>
        </w:rPr>
        <w:t xml:space="preserve">xpected number of seizures </w:t>
      </w:r>
      <w:r w:rsidR="008762DD">
        <w:rPr>
          <w:rFonts w:ascii="Times New Roman" w:hAnsi="Times New Roman" w:cs="Times New Roman"/>
        </w:rPr>
        <w:t>but with a minor effect</w:t>
      </w:r>
      <w:r w:rsidR="001D09FD">
        <w:rPr>
          <w:rFonts w:ascii="Times New Roman" w:hAnsi="Times New Roman" w:cs="Times New Roman"/>
        </w:rPr>
        <w:t xml:space="preserve">. </w:t>
      </w:r>
      <w:r w:rsidRPr="00DB0409">
        <w:rPr>
          <w:rFonts w:ascii="Times New Roman" w:hAnsi="Times New Roman" w:cs="Times New Roman"/>
        </w:rPr>
        <w:t>Patients who ultimately achieve</w:t>
      </w:r>
      <w:r w:rsidR="00876EFD">
        <w:rPr>
          <w:rFonts w:ascii="Times New Roman" w:hAnsi="Times New Roman" w:cs="Times New Roman"/>
        </w:rPr>
        <w:t>d</w:t>
      </w:r>
      <w:r w:rsidRPr="00DB0409">
        <w:rPr>
          <w:rFonts w:ascii="Times New Roman" w:hAnsi="Times New Roman" w:cs="Times New Roman"/>
        </w:rPr>
        <w:t xml:space="preserve"> </w:t>
      </w:r>
      <w:r w:rsidR="009B4AE0">
        <w:rPr>
          <w:rFonts w:ascii="Times New Roman" w:hAnsi="Times New Roman" w:cs="Times New Roman"/>
        </w:rPr>
        <w:t xml:space="preserve">second </w:t>
      </w:r>
      <w:r w:rsidRPr="00DB0409">
        <w:rPr>
          <w:rFonts w:ascii="Times New Roman" w:hAnsi="Times New Roman" w:cs="Times New Roman"/>
        </w:rPr>
        <w:t>remission, but had required more antiepileptic drugs (AEDs) to achieve their first period of 12 months remission</w:t>
      </w:r>
      <w:r w:rsidR="00814EAD">
        <w:rPr>
          <w:rFonts w:ascii="Times New Roman" w:hAnsi="Times New Roman" w:cs="Times New Roman"/>
        </w:rPr>
        <w:t>,</w:t>
      </w:r>
      <w:r w:rsidRPr="00DB0409">
        <w:rPr>
          <w:rFonts w:ascii="Times New Roman" w:hAnsi="Times New Roman" w:cs="Times New Roman"/>
        </w:rPr>
        <w:t xml:space="preserve"> were expected to experience </w:t>
      </w:r>
      <w:r w:rsidR="008140E1">
        <w:rPr>
          <w:rFonts w:ascii="Times New Roman" w:hAnsi="Times New Roman" w:cs="Times New Roman"/>
        </w:rPr>
        <w:t xml:space="preserve">slightly </w:t>
      </w:r>
      <w:r w:rsidRPr="00DB0409">
        <w:rPr>
          <w:rFonts w:ascii="Times New Roman" w:hAnsi="Times New Roman" w:cs="Times New Roman"/>
        </w:rPr>
        <w:t>more seizures</w:t>
      </w:r>
      <w:r w:rsidR="008A6657" w:rsidRPr="00DB0409">
        <w:rPr>
          <w:rFonts w:ascii="Times New Roman" w:hAnsi="Times New Roman" w:cs="Times New Roman"/>
        </w:rPr>
        <w:t xml:space="preserve"> </w:t>
      </w:r>
      <w:r w:rsidRPr="00DB0409">
        <w:rPr>
          <w:rFonts w:ascii="Times New Roman" w:hAnsi="Times New Roman" w:cs="Times New Roman"/>
        </w:rPr>
        <w:t>than similar patients requiring fewer AEDs (</w:t>
      </w:r>
      <w:r w:rsidR="009F084F">
        <w:rPr>
          <w:rFonts w:ascii="Times New Roman" w:hAnsi="Times New Roman" w:cs="Times New Roman"/>
        </w:rPr>
        <w:t>PE</w:t>
      </w:r>
      <w:r w:rsidRPr="00DB0409">
        <w:rPr>
          <w:rFonts w:ascii="Times New Roman" w:hAnsi="Times New Roman" w:cs="Times New Roman"/>
        </w:rPr>
        <w:t>=</w:t>
      </w:r>
      <w:r w:rsidR="009F084F">
        <w:rPr>
          <w:rFonts w:ascii="Times New Roman" w:hAnsi="Times New Roman" w:cs="Times New Roman"/>
        </w:rPr>
        <w:t>0.207</w:t>
      </w:r>
      <w:r w:rsidR="006B158D" w:rsidRPr="00DB0409">
        <w:rPr>
          <w:rFonts w:ascii="Times New Roman" w:hAnsi="Times New Roman" w:cs="Times New Roman"/>
        </w:rPr>
        <w:t xml:space="preserve">, 95%CI: </w:t>
      </w:r>
      <w:r w:rsidR="009F084F">
        <w:rPr>
          <w:rFonts w:ascii="Times New Roman" w:hAnsi="Times New Roman" w:cs="Times New Roman"/>
        </w:rPr>
        <w:t>0.116-0.302</w:t>
      </w:r>
      <w:r w:rsidR="0038520A">
        <w:rPr>
          <w:rFonts w:ascii="Times New Roman" w:hAnsi="Times New Roman" w:cs="Times New Roman"/>
        </w:rPr>
        <w:t xml:space="preserve">, implying that </w:t>
      </w:r>
      <w:r w:rsidR="00E14044">
        <w:rPr>
          <w:rFonts w:ascii="Times New Roman" w:hAnsi="Times New Roman" w:cs="Times New Roman"/>
        </w:rPr>
        <w:t>for each drug required to achieve a patient’s first 12-month remission, the number of seizure</w:t>
      </w:r>
      <w:r w:rsidR="00DE5741">
        <w:rPr>
          <w:rFonts w:ascii="Times New Roman" w:hAnsi="Times New Roman" w:cs="Times New Roman"/>
        </w:rPr>
        <w:t>s</w:t>
      </w:r>
      <w:r w:rsidR="00E14044">
        <w:rPr>
          <w:rFonts w:ascii="Times New Roman" w:hAnsi="Times New Roman" w:cs="Times New Roman"/>
        </w:rPr>
        <w:t xml:space="preserve"> they were expected to have experienced since their last, post breakthrough follow up visit increased by 0.207</w:t>
      </w:r>
      <w:r w:rsidRPr="00DB0409">
        <w:rPr>
          <w:rFonts w:ascii="Times New Roman" w:hAnsi="Times New Roman" w:cs="Times New Roman"/>
        </w:rPr>
        <w:t xml:space="preserve">). Patients who had neurological insult on diagnosis, but ultimately achieved remission, were </w:t>
      </w:r>
      <w:r w:rsidR="008140E1">
        <w:rPr>
          <w:rFonts w:ascii="Times New Roman" w:hAnsi="Times New Roman" w:cs="Times New Roman"/>
        </w:rPr>
        <w:t xml:space="preserve">approximately four times </w:t>
      </w:r>
      <w:r w:rsidR="006118CD">
        <w:rPr>
          <w:rFonts w:ascii="Times New Roman" w:hAnsi="Times New Roman" w:cs="Times New Roman"/>
        </w:rPr>
        <w:t xml:space="preserve">more </w:t>
      </w:r>
      <w:r w:rsidRPr="00DB0409">
        <w:rPr>
          <w:rFonts w:ascii="Times New Roman" w:hAnsi="Times New Roman" w:cs="Times New Roman"/>
        </w:rPr>
        <w:t>likely to experience seizures than those who did not</w:t>
      </w:r>
      <w:r w:rsidR="00660CF8">
        <w:rPr>
          <w:rFonts w:ascii="Times New Roman" w:hAnsi="Times New Roman" w:cs="Times New Roman"/>
        </w:rPr>
        <w:t xml:space="preserve"> have neurological insult</w:t>
      </w:r>
      <w:r w:rsidRPr="00DB0409">
        <w:rPr>
          <w:rFonts w:ascii="Times New Roman" w:hAnsi="Times New Roman" w:cs="Times New Roman"/>
        </w:rPr>
        <w:t>. For patients who would not achieve a second remission, increasing age increased the risk of experiencing seizures</w:t>
      </w:r>
      <w:r w:rsidR="00367173">
        <w:rPr>
          <w:rFonts w:ascii="Times New Roman" w:hAnsi="Times New Roman" w:cs="Times New Roman"/>
        </w:rPr>
        <w:t>, although the result was not statistically significant</w:t>
      </w:r>
      <w:r w:rsidRPr="00DB0409">
        <w:rPr>
          <w:rFonts w:ascii="Times New Roman" w:hAnsi="Times New Roman" w:cs="Times New Roman"/>
        </w:rPr>
        <w:t>.</w:t>
      </w:r>
      <w:r w:rsidR="006118CD">
        <w:rPr>
          <w:rFonts w:ascii="Times New Roman" w:hAnsi="Times New Roman" w:cs="Times New Roman"/>
        </w:rPr>
        <w:t xml:space="preserve"> </w:t>
      </w:r>
    </w:p>
    <w:p w14:paraId="0A6A5EDD" w14:textId="77777777" w:rsidR="00814EAD" w:rsidRDefault="00814EAD" w:rsidP="005E16CF">
      <w:pPr>
        <w:spacing w:after="120" w:line="480" w:lineRule="auto"/>
        <w:rPr>
          <w:rFonts w:ascii="Times New Roman" w:hAnsi="Times New Roman" w:cs="Times New Roman"/>
        </w:rPr>
      </w:pPr>
    </w:p>
    <w:p w14:paraId="7BD18A8E" w14:textId="77777777" w:rsidR="006118CD" w:rsidRPr="00DB0409" w:rsidRDefault="006118CD" w:rsidP="005E16CF">
      <w:pPr>
        <w:spacing w:after="120" w:line="480" w:lineRule="auto"/>
        <w:rPr>
          <w:rFonts w:ascii="Times New Roman" w:hAnsi="Times New Roman" w:cs="Times New Roman"/>
        </w:rPr>
      </w:pPr>
      <w:r>
        <w:rPr>
          <w:rFonts w:ascii="Times New Roman" w:hAnsi="Times New Roman" w:cs="Times New Roman"/>
        </w:rPr>
        <w:t>TABLE 2 ABOUT HERE</w:t>
      </w:r>
    </w:p>
    <w:p w14:paraId="30BD5DBA" w14:textId="08372119" w:rsidR="00FE442C" w:rsidRDefault="00FE442C" w:rsidP="005E16CF">
      <w:pPr>
        <w:spacing w:after="120" w:line="480" w:lineRule="auto"/>
        <w:rPr>
          <w:rFonts w:ascii="Times New Roman" w:hAnsi="Times New Roman" w:cs="Times New Roman"/>
        </w:rPr>
      </w:pPr>
      <w:r w:rsidRPr="00DB0409">
        <w:rPr>
          <w:rFonts w:ascii="Times New Roman" w:hAnsi="Times New Roman" w:cs="Times New Roman"/>
        </w:rPr>
        <w:t xml:space="preserve">To demonstrate how our model works we describe the clinical follow up post breakthrough of three patients (Figure </w:t>
      </w:r>
      <w:r w:rsidR="00C75513">
        <w:rPr>
          <w:rFonts w:ascii="Times New Roman" w:hAnsi="Times New Roman" w:cs="Times New Roman"/>
        </w:rPr>
        <w:t>2</w:t>
      </w:r>
      <w:r w:rsidRPr="00DB0409">
        <w:rPr>
          <w:rFonts w:ascii="Times New Roman" w:hAnsi="Times New Roman" w:cs="Times New Roman"/>
        </w:rPr>
        <w:t>).</w:t>
      </w:r>
      <w:r w:rsidR="00FE11CF">
        <w:rPr>
          <w:rFonts w:ascii="Times New Roman" w:hAnsi="Times New Roman" w:cs="Times New Roman"/>
        </w:rPr>
        <w:t xml:space="preserve"> </w:t>
      </w:r>
      <w:r w:rsidR="00FE11CF" w:rsidRPr="00DB0409">
        <w:rPr>
          <w:rFonts w:ascii="Times New Roman" w:hAnsi="Times New Roman" w:cs="Times New Roman"/>
        </w:rPr>
        <w:t>Patient (</w:t>
      </w:r>
      <w:r w:rsidR="00FE11CF">
        <w:rPr>
          <w:rFonts w:ascii="Times New Roman" w:hAnsi="Times New Roman" w:cs="Times New Roman"/>
        </w:rPr>
        <w:t>a</w:t>
      </w:r>
      <w:r w:rsidR="00FE11CF" w:rsidRPr="00DB0409">
        <w:rPr>
          <w:rFonts w:ascii="Times New Roman" w:hAnsi="Times New Roman" w:cs="Times New Roman"/>
        </w:rPr>
        <w:t>) was correctly identified to achieve a second remission. At their first visit, 3</w:t>
      </w:r>
      <w:r w:rsidR="00FE11CF">
        <w:rPr>
          <w:rFonts w:ascii="Times New Roman" w:hAnsi="Times New Roman" w:cs="Times New Roman"/>
        </w:rPr>
        <w:t>9</w:t>
      </w:r>
      <w:r w:rsidR="00FE11CF" w:rsidRPr="00DB0409">
        <w:rPr>
          <w:rFonts w:ascii="Times New Roman" w:hAnsi="Times New Roman" w:cs="Times New Roman"/>
        </w:rPr>
        <w:t xml:space="preserve"> days post breakthrough they reported having experienced 2 seizures, giving a probability of not achieving remission of 0.</w:t>
      </w:r>
      <w:r w:rsidR="00FE11CF">
        <w:rPr>
          <w:rFonts w:ascii="Times New Roman" w:hAnsi="Times New Roman" w:cs="Times New Roman"/>
        </w:rPr>
        <w:t>23</w:t>
      </w:r>
      <w:r w:rsidR="00FE11CF" w:rsidRPr="00DB0409">
        <w:rPr>
          <w:rFonts w:ascii="Times New Roman" w:hAnsi="Times New Roman" w:cs="Times New Roman"/>
        </w:rPr>
        <w:t xml:space="preserve"> at this visit. However, at two subsequent visits they reported no seizures, and accordingly the model gives a low probability that they will not achieve a second remission. This is confirmed at their next visit, when it is observed that they have been seizure free for 12 months.</w:t>
      </w:r>
      <w:r w:rsidRPr="00DB0409">
        <w:rPr>
          <w:rFonts w:ascii="Times New Roman" w:hAnsi="Times New Roman" w:cs="Times New Roman"/>
        </w:rPr>
        <w:t xml:space="preserve"> </w:t>
      </w:r>
    </w:p>
    <w:p w14:paraId="6BC17106" w14:textId="77777777" w:rsidR="006118CD" w:rsidRPr="00DB0409" w:rsidRDefault="00C75513" w:rsidP="005E16CF">
      <w:pPr>
        <w:spacing w:after="120" w:line="480" w:lineRule="auto"/>
        <w:rPr>
          <w:rFonts w:ascii="Times New Roman" w:hAnsi="Times New Roman" w:cs="Times New Roman"/>
        </w:rPr>
      </w:pPr>
      <w:r>
        <w:rPr>
          <w:rFonts w:ascii="Times New Roman" w:hAnsi="Times New Roman" w:cs="Times New Roman"/>
        </w:rPr>
        <w:t>FIGURE 2</w:t>
      </w:r>
      <w:r w:rsidR="006118CD">
        <w:rPr>
          <w:rFonts w:ascii="Times New Roman" w:hAnsi="Times New Roman" w:cs="Times New Roman"/>
        </w:rPr>
        <w:t xml:space="preserve"> ABOUT HERE</w:t>
      </w:r>
    </w:p>
    <w:p w14:paraId="7719E5D1" w14:textId="7A94701F" w:rsidR="0098716F" w:rsidRPr="00DB0409" w:rsidRDefault="00FE11CF" w:rsidP="005E16CF">
      <w:pPr>
        <w:spacing w:after="120" w:line="480" w:lineRule="auto"/>
        <w:rPr>
          <w:rFonts w:ascii="Times New Roman" w:hAnsi="Times New Roman" w:cs="Times New Roman"/>
        </w:rPr>
      </w:pPr>
      <w:r w:rsidRPr="00DB0409">
        <w:rPr>
          <w:rFonts w:ascii="Times New Roman" w:hAnsi="Times New Roman" w:cs="Times New Roman"/>
        </w:rPr>
        <w:t>Patient (</w:t>
      </w:r>
      <w:r>
        <w:rPr>
          <w:rFonts w:ascii="Times New Roman" w:hAnsi="Times New Roman" w:cs="Times New Roman"/>
        </w:rPr>
        <w:t>b</w:t>
      </w:r>
      <w:r w:rsidRPr="00DB0409">
        <w:rPr>
          <w:rFonts w:ascii="Times New Roman" w:hAnsi="Times New Roman" w:cs="Times New Roman"/>
        </w:rPr>
        <w:t xml:space="preserve">) was correctly identified by the model as not likely to achieve a second period of 12-month remission following a breakthrough seizure. At their first two visits post breakthrough </w:t>
      </w:r>
      <w:r>
        <w:rPr>
          <w:rFonts w:ascii="Times New Roman" w:hAnsi="Times New Roman" w:cs="Times New Roman"/>
        </w:rPr>
        <w:t>(</w:t>
      </w:r>
      <w:r w:rsidRPr="00DB0409">
        <w:rPr>
          <w:rFonts w:ascii="Times New Roman" w:hAnsi="Times New Roman" w:cs="Times New Roman"/>
        </w:rPr>
        <w:t>81 and 165 days</w:t>
      </w:r>
      <w:r>
        <w:rPr>
          <w:rFonts w:ascii="Times New Roman" w:hAnsi="Times New Roman" w:cs="Times New Roman"/>
        </w:rPr>
        <w:t>)</w:t>
      </w:r>
      <w:r w:rsidRPr="00DB0409">
        <w:rPr>
          <w:rFonts w:ascii="Times New Roman" w:hAnsi="Times New Roman" w:cs="Times New Roman"/>
        </w:rPr>
        <w:t xml:space="preserve">, they described experiencing 2 and 10 seizures </w:t>
      </w:r>
      <w:r>
        <w:rPr>
          <w:rFonts w:ascii="Times New Roman" w:hAnsi="Times New Roman" w:cs="Times New Roman"/>
        </w:rPr>
        <w:t xml:space="preserve">since the previous visit, </w:t>
      </w:r>
      <w:r w:rsidRPr="00DB0409">
        <w:rPr>
          <w:rFonts w:ascii="Times New Roman" w:hAnsi="Times New Roman" w:cs="Times New Roman"/>
        </w:rPr>
        <w:t>respectively. At the second visit the model assigns a high probability of not achieving a second remission</w:t>
      </w:r>
      <w:r>
        <w:rPr>
          <w:rFonts w:ascii="Times New Roman" w:hAnsi="Times New Roman" w:cs="Times New Roman"/>
        </w:rPr>
        <w:t xml:space="preserve"> to this patient</w:t>
      </w:r>
      <w:r w:rsidRPr="00DB0409">
        <w:rPr>
          <w:rFonts w:ascii="Times New Roman" w:hAnsi="Times New Roman" w:cs="Times New Roman"/>
        </w:rPr>
        <w:t xml:space="preserve">. In addition, the credible interval around this probability is entirely above the threshold of 0.38, and the patient is classified as not going to achieve remission within two years of breakthrough. This prediction was made </w:t>
      </w:r>
      <w:r>
        <w:rPr>
          <w:rFonts w:ascii="Times New Roman" w:hAnsi="Times New Roman" w:cs="Times New Roman"/>
        </w:rPr>
        <w:t>at</w:t>
      </w:r>
      <w:r w:rsidRPr="00DB0409">
        <w:rPr>
          <w:rFonts w:ascii="Times New Roman" w:hAnsi="Times New Roman" w:cs="Times New Roman"/>
        </w:rPr>
        <w:t xml:space="preserve"> 165 days</w:t>
      </w:r>
      <w:r>
        <w:rPr>
          <w:rFonts w:ascii="Times New Roman" w:hAnsi="Times New Roman" w:cs="Times New Roman"/>
        </w:rPr>
        <w:t xml:space="preserve"> </w:t>
      </w:r>
      <w:r w:rsidRPr="00DB0409">
        <w:rPr>
          <w:rFonts w:ascii="Times New Roman" w:hAnsi="Times New Roman" w:cs="Times New Roman"/>
        </w:rPr>
        <w:t xml:space="preserve">post breakthrough. </w:t>
      </w:r>
    </w:p>
    <w:p w14:paraId="37927FD5" w14:textId="3936CB90" w:rsidR="00ED0656" w:rsidRPr="00DB0409" w:rsidRDefault="00ED0656" w:rsidP="005E16CF">
      <w:pPr>
        <w:spacing w:after="120" w:line="480" w:lineRule="auto"/>
        <w:rPr>
          <w:rFonts w:ascii="Times New Roman" w:hAnsi="Times New Roman" w:cs="Times New Roman"/>
        </w:rPr>
      </w:pPr>
      <w:r w:rsidRPr="00DB0409">
        <w:rPr>
          <w:rFonts w:ascii="Times New Roman" w:hAnsi="Times New Roman" w:cs="Times New Roman"/>
        </w:rPr>
        <w:t>Patient (c) was unclassified by our model despite ultimately being observed to achieve remission</w:t>
      </w:r>
      <w:r w:rsidR="00BB51F3">
        <w:rPr>
          <w:rFonts w:ascii="Times New Roman" w:hAnsi="Times New Roman" w:cs="Times New Roman"/>
        </w:rPr>
        <w:t>, since the credible intervals were too wide to determine with confidence the patient’s status (grey shaded area)</w:t>
      </w:r>
      <w:r w:rsidR="0016716A">
        <w:rPr>
          <w:rFonts w:ascii="Times New Roman" w:hAnsi="Times New Roman" w:cs="Times New Roman"/>
        </w:rPr>
        <w:t xml:space="preserve">. </w:t>
      </w:r>
    </w:p>
    <w:p w14:paraId="0A3EE06E" w14:textId="77777777" w:rsidR="005C68F5" w:rsidRDefault="007A1DCC" w:rsidP="005E16CF">
      <w:pPr>
        <w:spacing w:after="120" w:line="480" w:lineRule="auto"/>
        <w:rPr>
          <w:rFonts w:ascii="Times New Roman" w:hAnsi="Times New Roman" w:cs="Times New Roman"/>
        </w:rPr>
      </w:pPr>
      <w:r w:rsidRPr="00DB0409">
        <w:rPr>
          <w:rFonts w:ascii="Times New Roman" w:hAnsi="Times New Roman" w:cs="Times New Roman"/>
        </w:rPr>
        <w:t xml:space="preserve">The predictive accuracy of our model is assessed by considering how many of the patients were correctly classified (Table </w:t>
      </w:r>
      <w:r w:rsidR="00B76AC1" w:rsidRPr="00DB0409">
        <w:rPr>
          <w:rFonts w:ascii="Times New Roman" w:hAnsi="Times New Roman" w:cs="Times New Roman"/>
        </w:rPr>
        <w:t>3</w:t>
      </w:r>
      <w:r w:rsidRPr="00DB0409">
        <w:rPr>
          <w:rFonts w:ascii="Times New Roman" w:hAnsi="Times New Roman" w:cs="Times New Roman"/>
        </w:rPr>
        <w:t xml:space="preserve">). </w:t>
      </w:r>
      <w:r w:rsidR="00D9714F">
        <w:rPr>
          <w:rFonts w:ascii="Times New Roman" w:hAnsi="Times New Roman" w:cs="Times New Roman"/>
        </w:rPr>
        <w:t xml:space="preserve">Out of the patients classified by the </w:t>
      </w:r>
      <w:r w:rsidR="00D9714F">
        <w:rPr>
          <w:rFonts w:ascii="Times New Roman" w:hAnsi="Times New Roman" w:cs="Times New Roman"/>
        </w:rPr>
        <w:lastRenderedPageBreak/>
        <w:t xml:space="preserve">model, </w:t>
      </w:r>
      <w:r w:rsidRPr="00DB0409">
        <w:rPr>
          <w:rFonts w:ascii="Times New Roman" w:hAnsi="Times New Roman" w:cs="Times New Roman"/>
        </w:rPr>
        <w:t xml:space="preserve">73% of patients </w:t>
      </w:r>
      <w:r w:rsidR="00046C51" w:rsidRPr="00DB0409">
        <w:rPr>
          <w:rFonts w:ascii="Times New Roman" w:hAnsi="Times New Roman" w:cs="Times New Roman"/>
        </w:rPr>
        <w:t xml:space="preserve">(95% CI: </w:t>
      </w:r>
      <w:r w:rsidR="00AE1360">
        <w:rPr>
          <w:rFonts w:ascii="Times New Roman" w:hAnsi="Times New Roman" w:cs="Times New Roman"/>
        </w:rPr>
        <w:t>58</w:t>
      </w:r>
      <w:r w:rsidR="00046C51" w:rsidRPr="00DB0409">
        <w:rPr>
          <w:rFonts w:ascii="Times New Roman" w:hAnsi="Times New Roman" w:cs="Times New Roman"/>
        </w:rPr>
        <w:t>%</w:t>
      </w:r>
      <w:r w:rsidR="007A7156">
        <w:rPr>
          <w:rFonts w:ascii="Times New Roman" w:hAnsi="Times New Roman" w:cs="Times New Roman"/>
        </w:rPr>
        <w:t>-</w:t>
      </w:r>
      <w:r w:rsidR="00AE1360">
        <w:rPr>
          <w:rFonts w:ascii="Times New Roman" w:hAnsi="Times New Roman" w:cs="Times New Roman"/>
        </w:rPr>
        <w:t>88</w:t>
      </w:r>
      <w:r w:rsidR="00046C51" w:rsidRPr="00DB0409">
        <w:rPr>
          <w:rFonts w:ascii="Times New Roman" w:hAnsi="Times New Roman" w:cs="Times New Roman"/>
        </w:rPr>
        <w:t xml:space="preserve">%) </w:t>
      </w:r>
      <w:r w:rsidRPr="00DB0409">
        <w:rPr>
          <w:rFonts w:ascii="Times New Roman" w:hAnsi="Times New Roman" w:cs="Times New Roman"/>
        </w:rPr>
        <w:t>who would not achieve a second remission were correctly identified (sensitivity), whilst 84% of patients</w:t>
      </w:r>
      <w:r w:rsidR="00046C51" w:rsidRPr="00DB0409">
        <w:rPr>
          <w:rFonts w:ascii="Times New Roman" w:hAnsi="Times New Roman" w:cs="Times New Roman"/>
        </w:rPr>
        <w:t xml:space="preserve"> (95% CI: </w:t>
      </w:r>
      <w:r w:rsidR="00AE1360">
        <w:rPr>
          <w:rFonts w:ascii="Times New Roman" w:hAnsi="Times New Roman" w:cs="Times New Roman"/>
        </w:rPr>
        <w:t>69</w:t>
      </w:r>
      <w:r w:rsidR="00046C51" w:rsidRPr="00DB0409">
        <w:rPr>
          <w:rFonts w:ascii="Times New Roman" w:hAnsi="Times New Roman" w:cs="Times New Roman"/>
        </w:rPr>
        <w:t>%</w:t>
      </w:r>
      <w:r w:rsidR="007A7156">
        <w:rPr>
          <w:rFonts w:ascii="Times New Roman" w:hAnsi="Times New Roman" w:cs="Times New Roman"/>
        </w:rPr>
        <w:t>-</w:t>
      </w:r>
      <w:r w:rsidR="00AE1360">
        <w:rPr>
          <w:rFonts w:ascii="Times New Roman" w:hAnsi="Times New Roman" w:cs="Times New Roman"/>
        </w:rPr>
        <w:t>96</w:t>
      </w:r>
      <w:r w:rsidR="00046C51" w:rsidRPr="00DB0409">
        <w:rPr>
          <w:rFonts w:ascii="Times New Roman" w:hAnsi="Times New Roman" w:cs="Times New Roman"/>
        </w:rPr>
        <w:t>%)</w:t>
      </w:r>
      <w:r w:rsidRPr="00DB0409">
        <w:rPr>
          <w:rFonts w:ascii="Times New Roman" w:hAnsi="Times New Roman" w:cs="Times New Roman"/>
        </w:rPr>
        <w:t xml:space="preserve"> who achieved a second remission were correctly identified (specificity). Overall, 80% of patients</w:t>
      </w:r>
      <w:r w:rsidR="00046C51" w:rsidRPr="00DB0409">
        <w:rPr>
          <w:rFonts w:ascii="Times New Roman" w:hAnsi="Times New Roman" w:cs="Times New Roman"/>
        </w:rPr>
        <w:t xml:space="preserve"> (95% CI: 7</w:t>
      </w:r>
      <w:r w:rsidR="00AE1360">
        <w:rPr>
          <w:rFonts w:ascii="Times New Roman" w:hAnsi="Times New Roman" w:cs="Times New Roman"/>
        </w:rPr>
        <w:t>1</w:t>
      </w:r>
      <w:r w:rsidR="00046C51" w:rsidRPr="00DB0409">
        <w:rPr>
          <w:rFonts w:ascii="Times New Roman" w:hAnsi="Times New Roman" w:cs="Times New Roman"/>
        </w:rPr>
        <w:t>%</w:t>
      </w:r>
      <w:r w:rsidR="007A7156">
        <w:rPr>
          <w:rFonts w:ascii="Times New Roman" w:hAnsi="Times New Roman" w:cs="Times New Roman"/>
        </w:rPr>
        <w:t>-</w:t>
      </w:r>
      <w:r w:rsidR="00046C51" w:rsidRPr="00DB0409">
        <w:rPr>
          <w:rFonts w:ascii="Times New Roman" w:hAnsi="Times New Roman" w:cs="Times New Roman"/>
        </w:rPr>
        <w:t>8</w:t>
      </w:r>
      <w:r w:rsidR="00AE1360">
        <w:rPr>
          <w:rFonts w:ascii="Times New Roman" w:hAnsi="Times New Roman" w:cs="Times New Roman"/>
        </w:rPr>
        <w:t>9</w:t>
      </w:r>
      <w:r w:rsidR="00046C51" w:rsidRPr="00DB0409">
        <w:rPr>
          <w:rFonts w:ascii="Times New Roman" w:hAnsi="Times New Roman" w:cs="Times New Roman"/>
        </w:rPr>
        <w:t>%)</w:t>
      </w:r>
      <w:r w:rsidRPr="00DB0409">
        <w:rPr>
          <w:rFonts w:ascii="Times New Roman" w:hAnsi="Times New Roman" w:cs="Times New Roman"/>
        </w:rPr>
        <w:t xml:space="preserve"> were correctly identified (PCC). The area under c</w:t>
      </w:r>
      <w:r w:rsidR="007E63C8" w:rsidRPr="00DB0409">
        <w:rPr>
          <w:rFonts w:ascii="Times New Roman" w:hAnsi="Times New Roman" w:cs="Times New Roman"/>
        </w:rPr>
        <w:t>urve (AUC) from our model was 87</w:t>
      </w:r>
      <w:r w:rsidRPr="00DB0409">
        <w:rPr>
          <w:rFonts w:ascii="Times New Roman" w:hAnsi="Times New Roman" w:cs="Times New Roman"/>
        </w:rPr>
        <w:t>%</w:t>
      </w:r>
      <w:r w:rsidR="003E30E5" w:rsidRPr="00DB0409">
        <w:rPr>
          <w:rFonts w:ascii="Times New Roman" w:hAnsi="Times New Roman" w:cs="Times New Roman"/>
        </w:rPr>
        <w:t xml:space="preserve"> </w:t>
      </w:r>
      <w:r w:rsidR="00046C51" w:rsidRPr="00DB0409">
        <w:rPr>
          <w:rFonts w:ascii="Times New Roman" w:hAnsi="Times New Roman" w:cs="Times New Roman"/>
        </w:rPr>
        <w:t>(95% CI: 8</w:t>
      </w:r>
      <w:r w:rsidR="00AE1360">
        <w:rPr>
          <w:rFonts w:ascii="Times New Roman" w:hAnsi="Times New Roman" w:cs="Times New Roman"/>
        </w:rPr>
        <w:t>0</w:t>
      </w:r>
      <w:r w:rsidR="00046C51" w:rsidRPr="00DB0409">
        <w:rPr>
          <w:rFonts w:ascii="Times New Roman" w:hAnsi="Times New Roman" w:cs="Times New Roman"/>
        </w:rPr>
        <w:t>%</w:t>
      </w:r>
      <w:r w:rsidR="007A7156">
        <w:rPr>
          <w:rFonts w:ascii="Times New Roman" w:hAnsi="Times New Roman" w:cs="Times New Roman"/>
        </w:rPr>
        <w:t>-</w:t>
      </w:r>
      <w:r w:rsidR="00AE1360">
        <w:rPr>
          <w:rFonts w:ascii="Times New Roman" w:hAnsi="Times New Roman" w:cs="Times New Roman"/>
        </w:rPr>
        <w:t>94</w:t>
      </w:r>
      <w:r w:rsidR="00046C51" w:rsidRPr="00DB0409">
        <w:rPr>
          <w:rFonts w:ascii="Times New Roman" w:hAnsi="Times New Roman" w:cs="Times New Roman"/>
        </w:rPr>
        <w:t xml:space="preserve">%) </w:t>
      </w:r>
      <w:r w:rsidR="003E30E5" w:rsidRPr="00DB0409">
        <w:rPr>
          <w:rFonts w:ascii="Times New Roman" w:hAnsi="Times New Roman" w:cs="Times New Roman"/>
        </w:rPr>
        <w:t>showin</w:t>
      </w:r>
      <w:r w:rsidR="00866FC0" w:rsidRPr="00DB0409">
        <w:rPr>
          <w:rFonts w:ascii="Times New Roman" w:hAnsi="Times New Roman" w:cs="Times New Roman"/>
        </w:rPr>
        <w:t>g that the model achieves a good level of discrimination</w:t>
      </w:r>
      <w:r w:rsidRPr="00DB0409">
        <w:rPr>
          <w:rFonts w:ascii="Times New Roman" w:hAnsi="Times New Roman" w:cs="Times New Roman"/>
        </w:rPr>
        <w:t xml:space="preserve">. </w:t>
      </w:r>
      <w:r w:rsidR="00D9714F">
        <w:rPr>
          <w:rFonts w:ascii="Times New Roman" w:hAnsi="Times New Roman" w:cs="Times New Roman"/>
        </w:rPr>
        <w:t xml:space="preserve">Out of the patients </w:t>
      </w:r>
      <w:r w:rsidR="00D9714F" w:rsidRPr="00DB0409">
        <w:rPr>
          <w:rFonts w:ascii="Times New Roman" w:hAnsi="Times New Roman" w:cs="Times New Roman"/>
        </w:rPr>
        <w:t>predicted not to achieve remission</w:t>
      </w:r>
      <w:r w:rsidR="00D9714F">
        <w:rPr>
          <w:rFonts w:ascii="Times New Roman" w:hAnsi="Times New Roman" w:cs="Times New Roman"/>
        </w:rPr>
        <w:t>,</w:t>
      </w:r>
      <w:r w:rsidR="00D9714F" w:rsidRPr="00DB0409">
        <w:rPr>
          <w:rFonts w:ascii="Times New Roman" w:hAnsi="Times New Roman" w:cs="Times New Roman"/>
        </w:rPr>
        <w:t xml:space="preserve"> </w:t>
      </w:r>
      <w:r w:rsidR="007E63C8" w:rsidRPr="00DB0409">
        <w:rPr>
          <w:rFonts w:ascii="Times New Roman" w:hAnsi="Times New Roman" w:cs="Times New Roman"/>
        </w:rPr>
        <w:t>73%</w:t>
      </w:r>
      <w:r w:rsidRPr="00DB0409">
        <w:rPr>
          <w:rFonts w:ascii="Times New Roman" w:hAnsi="Times New Roman" w:cs="Times New Roman"/>
        </w:rPr>
        <w:t xml:space="preserve"> of patients </w:t>
      </w:r>
      <w:r w:rsidR="00BF22B4" w:rsidRPr="00DB0409">
        <w:rPr>
          <w:rFonts w:ascii="Times New Roman" w:hAnsi="Times New Roman" w:cs="Times New Roman"/>
        </w:rPr>
        <w:t xml:space="preserve">(95% CI: </w:t>
      </w:r>
      <w:r w:rsidR="00AE1360">
        <w:rPr>
          <w:rFonts w:ascii="Times New Roman" w:hAnsi="Times New Roman" w:cs="Times New Roman"/>
        </w:rPr>
        <w:t>57</w:t>
      </w:r>
      <w:r w:rsidR="00BF22B4" w:rsidRPr="00DB0409">
        <w:rPr>
          <w:rFonts w:ascii="Times New Roman" w:hAnsi="Times New Roman" w:cs="Times New Roman"/>
        </w:rPr>
        <w:t>%</w:t>
      </w:r>
      <w:r w:rsidR="007A7156">
        <w:rPr>
          <w:rFonts w:ascii="Times New Roman" w:hAnsi="Times New Roman" w:cs="Times New Roman"/>
        </w:rPr>
        <w:t>-</w:t>
      </w:r>
      <w:r w:rsidR="00AE1360">
        <w:rPr>
          <w:rFonts w:ascii="Times New Roman" w:hAnsi="Times New Roman" w:cs="Times New Roman"/>
        </w:rPr>
        <w:t>91</w:t>
      </w:r>
      <w:r w:rsidR="00BF22B4" w:rsidRPr="00DB0409">
        <w:rPr>
          <w:rFonts w:ascii="Times New Roman" w:hAnsi="Times New Roman" w:cs="Times New Roman"/>
        </w:rPr>
        <w:t xml:space="preserve">%) </w:t>
      </w:r>
      <w:r w:rsidRPr="00DB0409">
        <w:rPr>
          <w:rFonts w:ascii="Times New Roman" w:hAnsi="Times New Roman" w:cs="Times New Roman"/>
        </w:rPr>
        <w:t>were observed not to achieve remission (Positive p</w:t>
      </w:r>
      <w:r w:rsidR="007E63C8" w:rsidRPr="00DB0409">
        <w:rPr>
          <w:rFonts w:ascii="Times New Roman" w:hAnsi="Times New Roman" w:cs="Times New Roman"/>
        </w:rPr>
        <w:t>redictive value, PPV), whilst 85</w:t>
      </w:r>
      <w:r w:rsidRPr="00DB0409">
        <w:rPr>
          <w:rFonts w:ascii="Times New Roman" w:hAnsi="Times New Roman" w:cs="Times New Roman"/>
        </w:rPr>
        <w:t>%</w:t>
      </w:r>
      <w:r w:rsidR="00BF22B4" w:rsidRPr="00DB0409">
        <w:rPr>
          <w:rFonts w:ascii="Times New Roman" w:hAnsi="Times New Roman" w:cs="Times New Roman"/>
        </w:rPr>
        <w:t xml:space="preserve"> (95% CI: </w:t>
      </w:r>
      <w:r w:rsidR="00AE1360">
        <w:rPr>
          <w:rFonts w:ascii="Times New Roman" w:hAnsi="Times New Roman" w:cs="Times New Roman"/>
        </w:rPr>
        <w:t>77</w:t>
      </w:r>
      <w:r w:rsidR="00BF22B4" w:rsidRPr="00DB0409">
        <w:rPr>
          <w:rFonts w:ascii="Times New Roman" w:hAnsi="Times New Roman" w:cs="Times New Roman"/>
        </w:rPr>
        <w:t>%</w:t>
      </w:r>
      <w:r w:rsidR="007A7156">
        <w:rPr>
          <w:rFonts w:ascii="Times New Roman" w:hAnsi="Times New Roman" w:cs="Times New Roman"/>
        </w:rPr>
        <w:t>-</w:t>
      </w:r>
      <w:r w:rsidR="00AE1360">
        <w:rPr>
          <w:rFonts w:ascii="Times New Roman" w:hAnsi="Times New Roman" w:cs="Times New Roman"/>
        </w:rPr>
        <w:t>93</w:t>
      </w:r>
      <w:r w:rsidR="00BF22B4" w:rsidRPr="00DB0409">
        <w:rPr>
          <w:rFonts w:ascii="Times New Roman" w:hAnsi="Times New Roman" w:cs="Times New Roman"/>
        </w:rPr>
        <w:t>%)</w:t>
      </w:r>
      <w:r w:rsidRPr="00DB0409">
        <w:rPr>
          <w:rFonts w:ascii="Times New Roman" w:hAnsi="Times New Roman" w:cs="Times New Roman"/>
        </w:rPr>
        <w:t xml:space="preserve"> of patients predicted to achieve remission went on to achieve remission (negative predictive value, NPV). </w:t>
      </w:r>
      <w:r w:rsidR="005C68F5" w:rsidRPr="00DB0409">
        <w:rPr>
          <w:rFonts w:ascii="Times New Roman" w:hAnsi="Times New Roman" w:cs="Times New Roman"/>
        </w:rPr>
        <w:t xml:space="preserve">The prediction times reported in Table </w:t>
      </w:r>
      <w:r w:rsidR="006118CD">
        <w:rPr>
          <w:rFonts w:ascii="Times New Roman" w:hAnsi="Times New Roman" w:cs="Times New Roman"/>
        </w:rPr>
        <w:t>3</w:t>
      </w:r>
      <w:r w:rsidR="005C68F5" w:rsidRPr="00DB0409">
        <w:rPr>
          <w:rFonts w:ascii="Times New Roman" w:hAnsi="Times New Roman" w:cs="Times New Roman"/>
        </w:rPr>
        <w:t xml:space="preserve"> show the average time at which a patient is correctly identified as not going to achieve remission from seizures, and show that our model is able to identify patients who will not achieve a second remission</w:t>
      </w:r>
      <w:r w:rsidR="006622C2" w:rsidRPr="00DB0409">
        <w:rPr>
          <w:rFonts w:ascii="Times New Roman" w:hAnsi="Times New Roman" w:cs="Times New Roman"/>
        </w:rPr>
        <w:t xml:space="preserve"> </w:t>
      </w:r>
      <w:r w:rsidR="005C68F5" w:rsidRPr="00DB0409">
        <w:rPr>
          <w:rFonts w:ascii="Times New Roman" w:hAnsi="Times New Roman" w:cs="Times New Roman"/>
        </w:rPr>
        <w:t xml:space="preserve">approximately 10 months </w:t>
      </w:r>
      <w:r w:rsidR="006622C2" w:rsidRPr="00DB0409">
        <w:rPr>
          <w:rFonts w:ascii="Times New Roman" w:hAnsi="Times New Roman" w:cs="Times New Roman"/>
        </w:rPr>
        <w:t xml:space="preserve">after a breakthrough </w:t>
      </w:r>
      <w:r w:rsidR="005C68F5" w:rsidRPr="00DB0409">
        <w:rPr>
          <w:rFonts w:ascii="Times New Roman" w:hAnsi="Times New Roman" w:cs="Times New Roman"/>
        </w:rPr>
        <w:t>on average.</w:t>
      </w:r>
    </w:p>
    <w:p w14:paraId="29348B78" w14:textId="77777777" w:rsidR="006118CD" w:rsidRPr="00DB0409" w:rsidRDefault="006118CD" w:rsidP="005E16CF">
      <w:pPr>
        <w:spacing w:after="120" w:line="480" w:lineRule="auto"/>
        <w:rPr>
          <w:rFonts w:ascii="Times New Roman" w:hAnsi="Times New Roman" w:cs="Times New Roman"/>
        </w:rPr>
      </w:pPr>
      <w:r>
        <w:rPr>
          <w:rFonts w:ascii="Times New Roman" w:hAnsi="Times New Roman" w:cs="Times New Roman"/>
        </w:rPr>
        <w:t>TABLE 3 ABOUT HERE</w:t>
      </w:r>
    </w:p>
    <w:p w14:paraId="5FD73436" w14:textId="77777777" w:rsidR="00E129A3" w:rsidRPr="00DB0409" w:rsidRDefault="00E129A3" w:rsidP="005E16CF">
      <w:pPr>
        <w:spacing w:after="120" w:line="480" w:lineRule="auto"/>
        <w:rPr>
          <w:rFonts w:ascii="Times New Roman" w:hAnsi="Times New Roman" w:cs="Times New Roman"/>
        </w:rPr>
      </w:pPr>
      <w:r w:rsidRPr="00DB0409">
        <w:rPr>
          <w:rFonts w:ascii="Times New Roman" w:hAnsi="Times New Roman" w:cs="Times New Roman"/>
        </w:rPr>
        <w:t>The predictive accuracies reported above are based on patients who were classified by the model. Approximately 17% of patients</w:t>
      </w:r>
      <w:r w:rsidR="00BF22B4" w:rsidRPr="00DB0409">
        <w:rPr>
          <w:rFonts w:ascii="Times New Roman" w:hAnsi="Times New Roman" w:cs="Times New Roman"/>
        </w:rPr>
        <w:t xml:space="preserve"> (95% CI: 16%</w:t>
      </w:r>
      <w:r w:rsidR="007A7156">
        <w:rPr>
          <w:rFonts w:ascii="Times New Roman" w:hAnsi="Times New Roman" w:cs="Times New Roman"/>
        </w:rPr>
        <w:t>-</w:t>
      </w:r>
      <w:r w:rsidR="00BF22B4" w:rsidRPr="00DB0409">
        <w:rPr>
          <w:rFonts w:ascii="Times New Roman" w:hAnsi="Times New Roman" w:cs="Times New Roman"/>
        </w:rPr>
        <w:t>18%</w:t>
      </w:r>
      <w:r w:rsidR="00570CFD" w:rsidRPr="00DB0409">
        <w:rPr>
          <w:rFonts w:ascii="Times New Roman" w:hAnsi="Times New Roman" w:cs="Times New Roman"/>
        </w:rPr>
        <w:t>) were</w:t>
      </w:r>
      <w:r w:rsidRPr="00DB0409">
        <w:rPr>
          <w:rFonts w:ascii="Times New Roman" w:hAnsi="Times New Roman" w:cs="Times New Roman"/>
        </w:rPr>
        <w:t xml:space="preserve"> left unclassified by our model as there was </w:t>
      </w:r>
      <w:r w:rsidR="002E770B">
        <w:rPr>
          <w:rFonts w:ascii="Times New Roman" w:hAnsi="Times New Roman" w:cs="Times New Roman"/>
        </w:rPr>
        <w:t>considerable uncertainty</w:t>
      </w:r>
      <w:r w:rsidRPr="00DB0409">
        <w:rPr>
          <w:rFonts w:ascii="Times New Roman" w:hAnsi="Times New Roman" w:cs="Times New Roman"/>
        </w:rPr>
        <w:t xml:space="preserve"> about their status and </w:t>
      </w:r>
      <w:r w:rsidR="002E770B">
        <w:rPr>
          <w:rFonts w:ascii="Times New Roman" w:hAnsi="Times New Roman" w:cs="Times New Roman"/>
        </w:rPr>
        <w:t xml:space="preserve">longer follow up would have been </w:t>
      </w:r>
      <w:r w:rsidRPr="00DB0409">
        <w:rPr>
          <w:rFonts w:ascii="Times New Roman" w:hAnsi="Times New Roman" w:cs="Times New Roman"/>
        </w:rPr>
        <w:t xml:space="preserve">required. If </w:t>
      </w:r>
      <w:r w:rsidR="002E770B">
        <w:rPr>
          <w:rFonts w:ascii="Times New Roman" w:hAnsi="Times New Roman" w:cs="Times New Roman"/>
        </w:rPr>
        <w:t>unclassified</w:t>
      </w:r>
      <w:r w:rsidR="002E770B" w:rsidRPr="00DB0409">
        <w:rPr>
          <w:rFonts w:ascii="Times New Roman" w:hAnsi="Times New Roman" w:cs="Times New Roman"/>
        </w:rPr>
        <w:t xml:space="preserve"> </w:t>
      </w:r>
      <w:r w:rsidRPr="00DB0409">
        <w:rPr>
          <w:rFonts w:ascii="Times New Roman" w:hAnsi="Times New Roman" w:cs="Times New Roman"/>
        </w:rPr>
        <w:t xml:space="preserve">patients </w:t>
      </w:r>
      <w:r w:rsidR="002E770B">
        <w:rPr>
          <w:rFonts w:ascii="Times New Roman" w:hAnsi="Times New Roman" w:cs="Times New Roman"/>
        </w:rPr>
        <w:t>were</w:t>
      </w:r>
      <w:r w:rsidR="002E770B" w:rsidRPr="00DB0409">
        <w:rPr>
          <w:rFonts w:ascii="Times New Roman" w:hAnsi="Times New Roman" w:cs="Times New Roman"/>
        </w:rPr>
        <w:t xml:space="preserve"> </w:t>
      </w:r>
      <w:r w:rsidR="002E770B">
        <w:rPr>
          <w:rFonts w:ascii="Times New Roman" w:hAnsi="Times New Roman" w:cs="Times New Roman"/>
        </w:rPr>
        <w:t>considered as incorrectly classified</w:t>
      </w:r>
      <w:r w:rsidR="003A7C31">
        <w:rPr>
          <w:rFonts w:ascii="Times New Roman" w:hAnsi="Times New Roman" w:cs="Times New Roman"/>
        </w:rPr>
        <w:t xml:space="preserve">, </w:t>
      </w:r>
      <w:r w:rsidR="002E770B">
        <w:rPr>
          <w:rFonts w:ascii="Times New Roman" w:hAnsi="Times New Roman" w:cs="Times New Roman"/>
        </w:rPr>
        <w:t xml:space="preserve">the </w:t>
      </w:r>
      <w:r w:rsidRPr="00DB0409">
        <w:rPr>
          <w:rFonts w:ascii="Times New Roman" w:hAnsi="Times New Roman" w:cs="Times New Roman"/>
        </w:rPr>
        <w:t>predictive accuracy</w:t>
      </w:r>
      <w:r w:rsidR="002E770B">
        <w:rPr>
          <w:rFonts w:ascii="Times New Roman" w:hAnsi="Times New Roman" w:cs="Times New Roman"/>
        </w:rPr>
        <w:t xml:space="preserve"> would indicate a </w:t>
      </w:r>
      <w:r w:rsidRPr="00DB0409">
        <w:rPr>
          <w:rFonts w:ascii="Times New Roman" w:hAnsi="Times New Roman" w:cs="Times New Roman"/>
        </w:rPr>
        <w:t>sensitivity of 57%</w:t>
      </w:r>
      <w:r w:rsidR="00BF22B4" w:rsidRPr="00DB0409">
        <w:rPr>
          <w:rFonts w:ascii="Times New Roman" w:hAnsi="Times New Roman" w:cs="Times New Roman"/>
        </w:rPr>
        <w:t xml:space="preserve"> (95% CI: </w:t>
      </w:r>
      <w:r w:rsidR="005B09A7">
        <w:rPr>
          <w:rFonts w:ascii="Times New Roman" w:hAnsi="Times New Roman" w:cs="Times New Roman"/>
        </w:rPr>
        <w:t>41</w:t>
      </w:r>
      <w:r w:rsidR="00BF22B4" w:rsidRPr="00DB0409">
        <w:rPr>
          <w:rFonts w:ascii="Times New Roman" w:hAnsi="Times New Roman" w:cs="Times New Roman"/>
        </w:rPr>
        <w:t>%</w:t>
      </w:r>
      <w:r w:rsidR="007A7156">
        <w:rPr>
          <w:rFonts w:ascii="Times New Roman" w:hAnsi="Times New Roman" w:cs="Times New Roman"/>
        </w:rPr>
        <w:t>-</w:t>
      </w:r>
      <w:r w:rsidR="005B09A7">
        <w:rPr>
          <w:rFonts w:ascii="Times New Roman" w:hAnsi="Times New Roman" w:cs="Times New Roman"/>
        </w:rPr>
        <w:t>71</w:t>
      </w:r>
      <w:r w:rsidR="00BF22B4" w:rsidRPr="00DB0409">
        <w:rPr>
          <w:rFonts w:ascii="Times New Roman" w:hAnsi="Times New Roman" w:cs="Times New Roman"/>
        </w:rPr>
        <w:t>%)</w:t>
      </w:r>
      <w:r w:rsidRPr="00DB0409">
        <w:rPr>
          <w:rFonts w:ascii="Times New Roman" w:hAnsi="Times New Roman" w:cs="Times New Roman"/>
        </w:rPr>
        <w:t xml:space="preserve">, specificity of 72% </w:t>
      </w:r>
      <w:r w:rsidR="00BF22B4" w:rsidRPr="00DB0409">
        <w:rPr>
          <w:rFonts w:ascii="Times New Roman" w:hAnsi="Times New Roman" w:cs="Times New Roman"/>
        </w:rPr>
        <w:t xml:space="preserve">(95% CI: </w:t>
      </w:r>
      <w:r w:rsidR="005B09A7">
        <w:rPr>
          <w:rFonts w:ascii="Times New Roman" w:hAnsi="Times New Roman" w:cs="Times New Roman"/>
        </w:rPr>
        <w:t>59</w:t>
      </w:r>
      <w:r w:rsidR="00BF22B4" w:rsidRPr="00DB0409">
        <w:rPr>
          <w:rFonts w:ascii="Times New Roman" w:hAnsi="Times New Roman" w:cs="Times New Roman"/>
        </w:rPr>
        <w:t>%</w:t>
      </w:r>
      <w:r w:rsidR="007A7156">
        <w:rPr>
          <w:rFonts w:ascii="Times New Roman" w:hAnsi="Times New Roman" w:cs="Times New Roman"/>
        </w:rPr>
        <w:t>-</w:t>
      </w:r>
      <w:r w:rsidR="005B09A7">
        <w:rPr>
          <w:rFonts w:ascii="Times New Roman" w:hAnsi="Times New Roman" w:cs="Times New Roman"/>
        </w:rPr>
        <w:t>87</w:t>
      </w:r>
      <w:r w:rsidR="00BF22B4" w:rsidRPr="00DB0409">
        <w:rPr>
          <w:rFonts w:ascii="Times New Roman" w:hAnsi="Times New Roman" w:cs="Times New Roman"/>
        </w:rPr>
        <w:t xml:space="preserve">%) </w:t>
      </w:r>
      <w:r w:rsidRPr="00DB0409">
        <w:rPr>
          <w:rFonts w:ascii="Times New Roman" w:hAnsi="Times New Roman" w:cs="Times New Roman"/>
        </w:rPr>
        <w:t>and PCC of 66%</w:t>
      </w:r>
      <w:r w:rsidR="00BF22B4" w:rsidRPr="00DB0409">
        <w:rPr>
          <w:rFonts w:ascii="Times New Roman" w:hAnsi="Times New Roman" w:cs="Times New Roman"/>
        </w:rPr>
        <w:t xml:space="preserve"> (95% CI: </w:t>
      </w:r>
      <w:r w:rsidR="005B09A7">
        <w:rPr>
          <w:rFonts w:ascii="Times New Roman" w:hAnsi="Times New Roman" w:cs="Times New Roman"/>
        </w:rPr>
        <w:t>57</w:t>
      </w:r>
      <w:r w:rsidR="00BF22B4" w:rsidRPr="00DB0409">
        <w:rPr>
          <w:rFonts w:ascii="Times New Roman" w:hAnsi="Times New Roman" w:cs="Times New Roman"/>
        </w:rPr>
        <w:t>%</w:t>
      </w:r>
      <w:r w:rsidR="007A7156">
        <w:rPr>
          <w:rFonts w:ascii="Times New Roman" w:hAnsi="Times New Roman" w:cs="Times New Roman"/>
        </w:rPr>
        <w:t>-</w:t>
      </w:r>
      <w:r w:rsidR="005B09A7">
        <w:rPr>
          <w:rFonts w:ascii="Times New Roman" w:hAnsi="Times New Roman" w:cs="Times New Roman"/>
        </w:rPr>
        <w:t>74</w:t>
      </w:r>
      <w:r w:rsidR="00BF22B4" w:rsidRPr="00DB0409">
        <w:rPr>
          <w:rFonts w:ascii="Times New Roman" w:hAnsi="Times New Roman" w:cs="Times New Roman"/>
        </w:rPr>
        <w:t>%)</w:t>
      </w:r>
      <w:r w:rsidRPr="00DB0409">
        <w:rPr>
          <w:rFonts w:ascii="Times New Roman" w:hAnsi="Times New Roman" w:cs="Times New Roman"/>
        </w:rPr>
        <w:t xml:space="preserve">. A key point of this approach is that by leaving a relatively small proportion of patients unclassified, much greater predictive accuracy is obtained for patients who are classified. </w:t>
      </w:r>
    </w:p>
    <w:p w14:paraId="5DFAEF9B" w14:textId="5AE8D19D" w:rsidR="00FF0526" w:rsidRDefault="007A1DCC" w:rsidP="005E16CF">
      <w:pPr>
        <w:spacing w:after="120" w:line="480" w:lineRule="auto"/>
        <w:rPr>
          <w:rFonts w:ascii="Times New Roman" w:hAnsi="Times New Roman" w:cs="Times New Roman"/>
        </w:rPr>
      </w:pPr>
      <w:r w:rsidRPr="00DB0409">
        <w:rPr>
          <w:rFonts w:ascii="Times New Roman" w:hAnsi="Times New Roman" w:cs="Times New Roman"/>
        </w:rPr>
        <w:t>For comparison</w:t>
      </w:r>
      <w:r w:rsidR="000500B9">
        <w:rPr>
          <w:rFonts w:ascii="Times New Roman" w:hAnsi="Times New Roman" w:cs="Times New Roman"/>
        </w:rPr>
        <w:t xml:space="preserve"> purposes</w:t>
      </w:r>
      <w:r w:rsidRPr="00DB0409">
        <w:rPr>
          <w:rFonts w:ascii="Times New Roman" w:hAnsi="Times New Roman" w:cs="Times New Roman"/>
        </w:rPr>
        <w:t>, we compared our model</w:t>
      </w:r>
      <w:r w:rsidR="000500B9">
        <w:rPr>
          <w:rFonts w:ascii="Times New Roman" w:hAnsi="Times New Roman" w:cs="Times New Roman"/>
        </w:rPr>
        <w:t xml:space="preserve"> predictions</w:t>
      </w:r>
      <w:r w:rsidRPr="00DB0409">
        <w:rPr>
          <w:rFonts w:ascii="Times New Roman" w:hAnsi="Times New Roman" w:cs="Times New Roman"/>
        </w:rPr>
        <w:t xml:space="preserve"> to prediction</w:t>
      </w:r>
      <w:r w:rsidR="005C68F5" w:rsidRPr="00DB0409">
        <w:rPr>
          <w:rFonts w:ascii="Times New Roman" w:hAnsi="Times New Roman" w:cs="Times New Roman"/>
        </w:rPr>
        <w:t>s</w:t>
      </w:r>
      <w:r w:rsidRPr="00DB0409">
        <w:rPr>
          <w:rFonts w:ascii="Times New Roman" w:hAnsi="Times New Roman" w:cs="Times New Roman"/>
        </w:rPr>
        <w:t xml:space="preserve"> from </w:t>
      </w:r>
      <w:r w:rsidR="005C68F5" w:rsidRPr="00DB0409">
        <w:rPr>
          <w:rFonts w:ascii="Times New Roman" w:hAnsi="Times New Roman" w:cs="Times New Roman"/>
        </w:rPr>
        <w:t>the C</w:t>
      </w:r>
      <w:r w:rsidRPr="00DB0409">
        <w:rPr>
          <w:rFonts w:ascii="Times New Roman" w:hAnsi="Times New Roman" w:cs="Times New Roman"/>
        </w:rPr>
        <w:t xml:space="preserve">ox proportional hazards model described in </w:t>
      </w:r>
      <w:proofErr w:type="spellStart"/>
      <w:r w:rsidRPr="00DB0409">
        <w:rPr>
          <w:rFonts w:ascii="Times New Roman" w:hAnsi="Times New Roman" w:cs="Times New Roman"/>
        </w:rPr>
        <w:t>Bonnett</w:t>
      </w:r>
      <w:proofErr w:type="spellEnd"/>
      <w:r w:rsidRPr="00DB0409">
        <w:rPr>
          <w:rFonts w:ascii="Times New Roman" w:hAnsi="Times New Roman" w:cs="Times New Roman"/>
        </w:rPr>
        <w:t xml:space="preserve"> et al.</w:t>
      </w:r>
      <w:r w:rsidR="007A7156">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&lt;EndNote&gt;&lt;Cite&gt;&lt;Author&gt;Bonnett&lt;/Author&gt;&lt;Year&gt;2017&lt;/Year&gt;&lt;RecNum&gt;28&lt;/RecNum&gt;&lt;DisplayText&gt;&lt;style face="superscript"&gt;23&lt;/style&gt;&lt;/DisplayText&gt;&lt;record&gt;&lt;rec-number&gt;28&lt;/rec-number&gt;&lt;foreign-keys&gt;&lt;key app="EN" db-id="rapzeweaxfpvs7ewadwxpdacw2afrerapafp" timestamp="1525269328"&gt;28&lt;/key&gt;&lt;/foreign-keys&gt;&lt;ref-type name="Journal Article"&gt;17&lt;/ref-type&gt;&lt;contributors&gt;&lt;authors&gt;&lt;author&gt;Bonnett, Laura J&lt;/author&gt;&lt;author&gt;Powell, Graham A&lt;/author&gt;&lt;author&gt;Smith, Catrin Tudur&lt;/author&gt;&lt;author&gt;Marson, Anthony G&lt;/author&gt;&lt;/authors&gt;&lt;/contributors&gt;&lt;titles&gt;&lt;title&gt;Breakthrough seizures—Further analysis of the Standard versus New Antiepileptic Drugs (SANAD) study&lt;/title&gt;&lt;secondary-title&gt;PloS one&lt;/secondary-title&gt;&lt;/titles&gt;&lt;periodical&gt;&lt;full-title&gt;PloS one&lt;/full-title&gt;&lt;/periodical&gt;&lt;pages&gt;e0190035&lt;/pages&gt;&lt;volume&gt;12&lt;/volume&gt;&lt;number&gt;12&lt;/number&gt;&lt;dates&gt;&lt;year&gt;2017&lt;/year&gt;&lt;/dates&gt;&lt;isbn&gt;1932-6203&lt;/isbn&gt;&lt;urls&gt;&lt;/urls&gt;&lt;/record&gt;&lt;/Cite&gt;&lt;/EndNote&gt;</w:instrText>
      </w:r>
      <w:r w:rsidR="007A7156">
        <w:rPr>
          <w:rFonts w:ascii="Times New Roman" w:hAnsi="Times New Roman" w:cs="Times New Roman"/>
        </w:rPr>
        <w:fldChar w:fldCharType="separate"/>
      </w:r>
      <w:r w:rsidR="00CD6DE1" w:rsidRPr="00CD6DE1">
        <w:rPr>
          <w:rFonts w:ascii="Times New Roman" w:hAnsi="Times New Roman" w:cs="Times New Roman"/>
          <w:noProof/>
          <w:vertAlign w:val="superscript"/>
        </w:rPr>
        <w:t>23</w:t>
      </w:r>
      <w:r w:rsidR="007A7156">
        <w:rPr>
          <w:rFonts w:ascii="Times New Roman" w:hAnsi="Times New Roman" w:cs="Times New Roman"/>
        </w:rPr>
        <w:fldChar w:fldCharType="end"/>
      </w:r>
      <w:r w:rsidRPr="00DB0409">
        <w:rPr>
          <w:rFonts w:ascii="Times New Roman" w:hAnsi="Times New Roman" w:cs="Times New Roman"/>
        </w:rPr>
        <w:t xml:space="preserve"> The predictive accuracy </w:t>
      </w:r>
      <w:r w:rsidRPr="00DB0409">
        <w:rPr>
          <w:rFonts w:ascii="Times New Roman" w:hAnsi="Times New Roman" w:cs="Times New Roman"/>
        </w:rPr>
        <w:lastRenderedPageBreak/>
        <w:t xml:space="preserve">of the </w:t>
      </w:r>
      <w:r w:rsidR="005C68F5" w:rsidRPr="00DB0409">
        <w:rPr>
          <w:rFonts w:ascii="Times New Roman" w:hAnsi="Times New Roman" w:cs="Times New Roman"/>
        </w:rPr>
        <w:t>C</w:t>
      </w:r>
      <w:r w:rsidRPr="00DB0409">
        <w:rPr>
          <w:rFonts w:ascii="Times New Roman" w:hAnsi="Times New Roman" w:cs="Times New Roman"/>
        </w:rPr>
        <w:t xml:space="preserve">ox model (used to predict </w:t>
      </w:r>
      <w:r w:rsidR="006622C2" w:rsidRPr="00DB0409">
        <w:rPr>
          <w:rFonts w:ascii="Times New Roman" w:hAnsi="Times New Roman" w:cs="Times New Roman"/>
        </w:rPr>
        <w:t xml:space="preserve">chance </w:t>
      </w:r>
      <w:r w:rsidRPr="00DB0409">
        <w:rPr>
          <w:rFonts w:ascii="Times New Roman" w:hAnsi="Times New Roman" w:cs="Times New Roman"/>
        </w:rPr>
        <w:t xml:space="preserve">of experiencing remission within 2 years) is also shown in Table </w:t>
      </w:r>
      <w:r w:rsidR="005C664F" w:rsidRPr="00DB0409">
        <w:rPr>
          <w:rFonts w:ascii="Times New Roman" w:hAnsi="Times New Roman" w:cs="Times New Roman"/>
        </w:rPr>
        <w:t>3</w:t>
      </w:r>
      <w:r w:rsidRPr="00DB0409">
        <w:rPr>
          <w:rFonts w:ascii="Times New Roman" w:hAnsi="Times New Roman" w:cs="Times New Roman"/>
        </w:rPr>
        <w:t>, and the corresponding</w:t>
      </w:r>
      <w:r w:rsidR="00644157" w:rsidRPr="00DB0409">
        <w:rPr>
          <w:rFonts w:ascii="Times New Roman" w:hAnsi="Times New Roman" w:cs="Times New Roman"/>
        </w:rPr>
        <w:t xml:space="preserve"> ROC curves are shown in Figure </w:t>
      </w:r>
      <w:r w:rsidR="00C75513">
        <w:rPr>
          <w:rFonts w:ascii="Times New Roman" w:hAnsi="Times New Roman" w:cs="Times New Roman"/>
        </w:rPr>
        <w:t>3</w:t>
      </w:r>
      <w:r w:rsidRPr="00DB0409">
        <w:rPr>
          <w:rFonts w:ascii="Times New Roman" w:hAnsi="Times New Roman" w:cs="Times New Roman"/>
        </w:rPr>
        <w:t xml:space="preserve">. </w:t>
      </w:r>
      <w:r w:rsidR="000366DE" w:rsidRPr="00DB0409">
        <w:rPr>
          <w:rFonts w:ascii="Times New Roman" w:hAnsi="Times New Roman" w:cs="Times New Roman"/>
        </w:rPr>
        <w:t>T</w:t>
      </w:r>
      <w:r w:rsidRPr="00DB0409">
        <w:rPr>
          <w:rFonts w:ascii="Times New Roman" w:hAnsi="Times New Roman" w:cs="Times New Roman"/>
        </w:rPr>
        <w:t xml:space="preserve">he longitudinal model achieves substantially better classification accuracy. </w:t>
      </w:r>
      <w:r w:rsidR="00644157" w:rsidRPr="00DB0409">
        <w:rPr>
          <w:rFonts w:ascii="Times New Roman" w:hAnsi="Times New Roman" w:cs="Times New Roman"/>
        </w:rPr>
        <w:t>This is emphasised by the boxplots in the le</w:t>
      </w:r>
      <w:r w:rsidR="007E63C8" w:rsidRPr="00DB0409">
        <w:rPr>
          <w:rFonts w:ascii="Times New Roman" w:hAnsi="Times New Roman" w:cs="Times New Roman"/>
        </w:rPr>
        <w:t xml:space="preserve">ft panel of Figure </w:t>
      </w:r>
      <w:r w:rsidR="00C75513">
        <w:rPr>
          <w:rFonts w:ascii="Times New Roman" w:hAnsi="Times New Roman" w:cs="Times New Roman"/>
        </w:rPr>
        <w:t>3</w:t>
      </w:r>
      <w:r w:rsidR="006118CD">
        <w:rPr>
          <w:rFonts w:ascii="Times New Roman" w:hAnsi="Times New Roman" w:cs="Times New Roman"/>
        </w:rPr>
        <w:t>,</w:t>
      </w:r>
      <w:r w:rsidR="007E63C8" w:rsidRPr="00DB0409">
        <w:rPr>
          <w:rFonts w:ascii="Times New Roman" w:hAnsi="Times New Roman" w:cs="Times New Roman"/>
        </w:rPr>
        <w:t xml:space="preserve"> which show</w:t>
      </w:r>
      <w:r w:rsidR="00644157" w:rsidRPr="00DB0409">
        <w:rPr>
          <w:rFonts w:ascii="Times New Roman" w:hAnsi="Times New Roman" w:cs="Times New Roman"/>
        </w:rPr>
        <w:t xml:space="preserve"> much greater separation in the probabilities assigned to patients in each group for the discriminant model than the </w:t>
      </w:r>
      <w:r w:rsidR="005C68F5" w:rsidRPr="00DB0409">
        <w:rPr>
          <w:rFonts w:ascii="Times New Roman" w:hAnsi="Times New Roman" w:cs="Times New Roman"/>
        </w:rPr>
        <w:t>C</w:t>
      </w:r>
      <w:r w:rsidR="00644157" w:rsidRPr="00DB0409">
        <w:rPr>
          <w:rFonts w:ascii="Times New Roman" w:hAnsi="Times New Roman" w:cs="Times New Roman"/>
        </w:rPr>
        <w:t>ox proportional hazards model.</w:t>
      </w:r>
      <w:r w:rsidR="006E0F88" w:rsidRPr="00DB0409">
        <w:rPr>
          <w:rFonts w:ascii="Times New Roman" w:hAnsi="Times New Roman" w:cs="Times New Roman"/>
        </w:rPr>
        <w:t xml:space="preserve"> </w:t>
      </w:r>
      <w:r w:rsidRPr="00DB0409">
        <w:rPr>
          <w:rFonts w:ascii="Times New Roman" w:hAnsi="Times New Roman" w:cs="Times New Roman"/>
        </w:rPr>
        <w:t xml:space="preserve">This demonstrates that </w:t>
      </w:r>
      <w:r w:rsidR="000500B9">
        <w:rPr>
          <w:rFonts w:ascii="Times New Roman" w:hAnsi="Times New Roman" w:cs="Times New Roman"/>
        </w:rPr>
        <w:t xml:space="preserve">the </w:t>
      </w:r>
      <w:r w:rsidRPr="00DB0409">
        <w:rPr>
          <w:rFonts w:ascii="Times New Roman" w:hAnsi="Times New Roman" w:cs="Times New Roman"/>
        </w:rPr>
        <w:t xml:space="preserve">information available at the point of breakthrough </w:t>
      </w:r>
      <w:r w:rsidR="005C68F5" w:rsidRPr="00DB0409">
        <w:rPr>
          <w:rFonts w:ascii="Times New Roman" w:hAnsi="Times New Roman" w:cs="Times New Roman"/>
        </w:rPr>
        <w:t xml:space="preserve">seizure </w:t>
      </w:r>
      <w:r w:rsidR="000500B9">
        <w:rPr>
          <w:rFonts w:ascii="Times New Roman" w:hAnsi="Times New Roman" w:cs="Times New Roman"/>
        </w:rPr>
        <w:t xml:space="preserve">is insufficient </w:t>
      </w:r>
      <w:r w:rsidRPr="00DB0409">
        <w:rPr>
          <w:rFonts w:ascii="Times New Roman" w:hAnsi="Times New Roman" w:cs="Times New Roman"/>
        </w:rPr>
        <w:t xml:space="preserve">to determine whether or not a patient will go on to achieve remission again. The additional information collected during follow up and incorporated into our longitudinal discriminant analysis model </w:t>
      </w:r>
      <w:r w:rsidR="005C68F5" w:rsidRPr="00DB0409">
        <w:rPr>
          <w:rFonts w:ascii="Times New Roman" w:hAnsi="Times New Roman" w:cs="Times New Roman"/>
        </w:rPr>
        <w:t xml:space="preserve">enables </w:t>
      </w:r>
      <w:r w:rsidRPr="00DB0409">
        <w:rPr>
          <w:rFonts w:ascii="Times New Roman" w:hAnsi="Times New Roman" w:cs="Times New Roman"/>
        </w:rPr>
        <w:t>more accurate prediction</w:t>
      </w:r>
      <w:r w:rsidR="005C68F5" w:rsidRPr="00DB0409">
        <w:rPr>
          <w:rFonts w:ascii="Times New Roman" w:hAnsi="Times New Roman" w:cs="Times New Roman"/>
        </w:rPr>
        <w:t>s of long-term outcome to be made</w:t>
      </w:r>
      <w:r w:rsidR="006E0F88" w:rsidRPr="00DB0409">
        <w:rPr>
          <w:rFonts w:ascii="Times New Roman" w:hAnsi="Times New Roman" w:cs="Times New Roman"/>
        </w:rPr>
        <w:t xml:space="preserve"> than </w:t>
      </w:r>
      <w:r w:rsidR="000366DE" w:rsidRPr="00DB0409">
        <w:rPr>
          <w:rFonts w:ascii="Times New Roman" w:hAnsi="Times New Roman" w:cs="Times New Roman"/>
        </w:rPr>
        <w:t xml:space="preserve">by </w:t>
      </w:r>
      <w:r w:rsidR="006E0F88" w:rsidRPr="00DB0409">
        <w:rPr>
          <w:rFonts w:ascii="Times New Roman" w:hAnsi="Times New Roman" w:cs="Times New Roman"/>
        </w:rPr>
        <w:t>simply using baseline information</w:t>
      </w:r>
      <w:r w:rsidRPr="00DB0409">
        <w:rPr>
          <w:rFonts w:ascii="Times New Roman" w:hAnsi="Times New Roman" w:cs="Times New Roman"/>
        </w:rPr>
        <w:t>.</w:t>
      </w:r>
      <w:r w:rsidR="00172A79" w:rsidRPr="00DB0409">
        <w:rPr>
          <w:rFonts w:ascii="Times New Roman" w:hAnsi="Times New Roman" w:cs="Times New Roman"/>
        </w:rPr>
        <w:t xml:space="preserve"> </w:t>
      </w:r>
    </w:p>
    <w:p w14:paraId="7EC6EE0A" w14:textId="38D9C9CE" w:rsidR="006118CD" w:rsidRPr="00DB0409" w:rsidRDefault="00C75513" w:rsidP="005E16CF">
      <w:pPr>
        <w:spacing w:after="120" w:line="480" w:lineRule="auto"/>
        <w:rPr>
          <w:rFonts w:ascii="Times New Roman" w:hAnsi="Times New Roman" w:cs="Times New Roman"/>
        </w:rPr>
      </w:pPr>
      <w:r>
        <w:rPr>
          <w:rFonts w:ascii="Times New Roman" w:hAnsi="Times New Roman" w:cs="Times New Roman"/>
        </w:rPr>
        <w:t xml:space="preserve">FIGURE </w:t>
      </w:r>
      <w:r w:rsidR="004710C3">
        <w:rPr>
          <w:rFonts w:ascii="Times New Roman" w:hAnsi="Times New Roman" w:cs="Times New Roman"/>
        </w:rPr>
        <w:t>3</w:t>
      </w:r>
      <w:r w:rsidR="006118CD">
        <w:rPr>
          <w:rFonts w:ascii="Times New Roman" w:hAnsi="Times New Roman" w:cs="Times New Roman"/>
        </w:rPr>
        <w:t xml:space="preserve"> ABOUT HERE</w:t>
      </w:r>
    </w:p>
    <w:p w14:paraId="30A6E294" w14:textId="77777777" w:rsidR="009F04AF" w:rsidRPr="00DB0409" w:rsidRDefault="009F04AF" w:rsidP="005E16CF">
      <w:pPr>
        <w:spacing w:after="120" w:line="480" w:lineRule="auto"/>
        <w:rPr>
          <w:rFonts w:ascii="Times New Roman" w:hAnsi="Times New Roman" w:cs="Times New Roman"/>
          <w:b/>
        </w:rPr>
      </w:pPr>
      <w:r w:rsidRPr="00DB0409">
        <w:rPr>
          <w:rFonts w:ascii="Times New Roman" w:hAnsi="Times New Roman" w:cs="Times New Roman"/>
          <w:b/>
        </w:rPr>
        <w:t>D</w:t>
      </w:r>
      <w:r w:rsidR="00AF0478" w:rsidRPr="00DB0409">
        <w:rPr>
          <w:rFonts w:ascii="Times New Roman" w:hAnsi="Times New Roman" w:cs="Times New Roman"/>
          <w:b/>
        </w:rPr>
        <w:t>ISCUSSION</w:t>
      </w:r>
    </w:p>
    <w:p w14:paraId="0D4F25CE" w14:textId="77777777" w:rsidR="007507E6" w:rsidRDefault="00457A86" w:rsidP="005E16CF">
      <w:pPr>
        <w:spacing w:after="120" w:line="480" w:lineRule="auto"/>
        <w:rPr>
          <w:rFonts w:ascii="Times New Roman" w:hAnsi="Times New Roman" w:cs="Times New Roman"/>
        </w:rPr>
      </w:pPr>
      <w:r w:rsidRPr="00DB0409">
        <w:rPr>
          <w:rFonts w:ascii="Times New Roman" w:hAnsi="Times New Roman" w:cs="Times New Roman"/>
        </w:rPr>
        <w:t>We have shown that the longitudinal information collected during follow-up following a breakthrough seizure</w:t>
      </w:r>
      <w:r w:rsidR="00B830BC">
        <w:rPr>
          <w:rFonts w:ascii="Times New Roman" w:hAnsi="Times New Roman" w:cs="Times New Roman"/>
        </w:rPr>
        <w:t>, in addition to baseline variables,</w:t>
      </w:r>
      <w:r w:rsidRPr="00DB0409">
        <w:rPr>
          <w:rFonts w:ascii="Times New Roman" w:hAnsi="Times New Roman" w:cs="Times New Roman"/>
        </w:rPr>
        <w:t xml:space="preserve"> can be used to identify patients who will not achieve a second </w:t>
      </w:r>
      <w:r w:rsidR="00E26D98" w:rsidRPr="00DB0409">
        <w:rPr>
          <w:rFonts w:ascii="Times New Roman" w:hAnsi="Times New Roman" w:cs="Times New Roman"/>
        </w:rPr>
        <w:t xml:space="preserve">period of 12-month </w:t>
      </w:r>
      <w:r w:rsidRPr="00DB0409">
        <w:rPr>
          <w:rFonts w:ascii="Times New Roman" w:hAnsi="Times New Roman" w:cs="Times New Roman"/>
        </w:rPr>
        <w:t xml:space="preserve">remission. </w:t>
      </w:r>
      <w:r w:rsidR="00B830BC">
        <w:rPr>
          <w:rFonts w:ascii="Times New Roman" w:hAnsi="Times New Roman" w:cs="Times New Roman"/>
        </w:rPr>
        <w:t>This will be intuitive to clinicians who observe patients during follow up and recognise the trajectory of patients likely or unlikely to achieve a seizure remission.</w:t>
      </w:r>
      <w:r w:rsidR="007507E6">
        <w:rPr>
          <w:rFonts w:ascii="Times New Roman" w:hAnsi="Times New Roman" w:cs="Times New Roman"/>
        </w:rPr>
        <w:t xml:space="preserve"> In this respect, our model provides further quantitative evidence alongside clinical intuition to support decision making.</w:t>
      </w:r>
    </w:p>
    <w:p w14:paraId="306A01BD" w14:textId="3AE2D58D" w:rsidR="00B416C6" w:rsidRPr="00DB0409" w:rsidRDefault="00B830BC" w:rsidP="005E16CF">
      <w:pPr>
        <w:spacing w:after="120" w:line="480" w:lineRule="auto"/>
        <w:rPr>
          <w:rFonts w:ascii="Times New Roman" w:hAnsi="Times New Roman" w:cs="Times New Roman"/>
        </w:rPr>
      </w:pPr>
      <w:r>
        <w:rPr>
          <w:rFonts w:ascii="Times New Roman" w:hAnsi="Times New Roman" w:cs="Times New Roman"/>
        </w:rPr>
        <w:t xml:space="preserve"> </w:t>
      </w:r>
      <w:r w:rsidR="00457A86" w:rsidRPr="00DB0409">
        <w:rPr>
          <w:rFonts w:ascii="Times New Roman" w:hAnsi="Times New Roman" w:cs="Times New Roman"/>
        </w:rPr>
        <w:t>W</w:t>
      </w:r>
      <w:r>
        <w:rPr>
          <w:rFonts w:ascii="Times New Roman" w:hAnsi="Times New Roman" w:cs="Times New Roman"/>
        </w:rPr>
        <w:t>e have identified that w</w:t>
      </w:r>
      <w:r w:rsidR="00457A86" w:rsidRPr="00DB0409">
        <w:rPr>
          <w:rFonts w:ascii="Times New Roman" w:hAnsi="Times New Roman" w:cs="Times New Roman"/>
        </w:rPr>
        <w:t>hether a patient has seizure</w:t>
      </w:r>
      <w:r w:rsidR="00540857" w:rsidRPr="00DB0409">
        <w:rPr>
          <w:rFonts w:ascii="Times New Roman" w:hAnsi="Times New Roman" w:cs="Times New Roman"/>
        </w:rPr>
        <w:t>s</w:t>
      </w:r>
      <w:r w:rsidR="00592DCE" w:rsidRPr="00DB0409">
        <w:rPr>
          <w:rFonts w:ascii="Times New Roman" w:hAnsi="Times New Roman" w:cs="Times New Roman"/>
        </w:rPr>
        <w:t xml:space="preserve"> </w:t>
      </w:r>
      <w:r>
        <w:rPr>
          <w:rFonts w:ascii="Times New Roman" w:hAnsi="Times New Roman" w:cs="Times New Roman"/>
        </w:rPr>
        <w:t xml:space="preserve">and the number they have </w:t>
      </w:r>
      <w:r w:rsidR="00592DCE" w:rsidRPr="00DB0409">
        <w:rPr>
          <w:rFonts w:ascii="Times New Roman" w:hAnsi="Times New Roman" w:cs="Times New Roman"/>
        </w:rPr>
        <w:t>between clinic visits</w:t>
      </w:r>
      <w:r>
        <w:rPr>
          <w:rFonts w:ascii="Times New Roman" w:hAnsi="Times New Roman" w:cs="Times New Roman"/>
        </w:rPr>
        <w:t xml:space="preserve"> </w:t>
      </w:r>
      <w:r w:rsidR="00457A86" w:rsidRPr="00DB0409">
        <w:rPr>
          <w:rFonts w:ascii="Times New Roman" w:hAnsi="Times New Roman" w:cs="Times New Roman"/>
        </w:rPr>
        <w:t xml:space="preserve">are useful indicators of whether or not they will ultimately achieve a second </w:t>
      </w:r>
      <w:r w:rsidR="00592DCE" w:rsidRPr="00DB0409">
        <w:rPr>
          <w:rFonts w:ascii="Times New Roman" w:hAnsi="Times New Roman" w:cs="Times New Roman"/>
        </w:rPr>
        <w:t xml:space="preserve">period of 12-month </w:t>
      </w:r>
      <w:r w:rsidR="00457A86" w:rsidRPr="00DB0409">
        <w:rPr>
          <w:rFonts w:ascii="Times New Roman" w:hAnsi="Times New Roman" w:cs="Times New Roman"/>
        </w:rPr>
        <w:t xml:space="preserve">remission. In addition a patient’s age at </w:t>
      </w:r>
      <w:r w:rsidR="00592DCE" w:rsidRPr="00DB0409">
        <w:rPr>
          <w:rFonts w:ascii="Times New Roman" w:hAnsi="Times New Roman" w:cs="Times New Roman"/>
        </w:rPr>
        <w:t xml:space="preserve">the </w:t>
      </w:r>
      <w:r w:rsidR="00457A86" w:rsidRPr="00DB0409">
        <w:rPr>
          <w:rFonts w:ascii="Times New Roman" w:hAnsi="Times New Roman" w:cs="Times New Roman"/>
        </w:rPr>
        <w:t>breakthrough</w:t>
      </w:r>
      <w:r w:rsidR="00592DCE" w:rsidRPr="00DB0409">
        <w:rPr>
          <w:rFonts w:ascii="Times New Roman" w:hAnsi="Times New Roman" w:cs="Times New Roman"/>
        </w:rPr>
        <w:t xml:space="preserve"> seizure</w:t>
      </w:r>
      <w:r w:rsidR="00457A86" w:rsidRPr="00DB0409">
        <w:rPr>
          <w:rFonts w:ascii="Times New Roman" w:hAnsi="Times New Roman" w:cs="Times New Roman"/>
        </w:rPr>
        <w:t xml:space="preserve">, the number of treatments required to achieve their first </w:t>
      </w:r>
      <w:r w:rsidR="00592DCE" w:rsidRPr="00DB0409">
        <w:rPr>
          <w:rFonts w:ascii="Times New Roman" w:hAnsi="Times New Roman" w:cs="Times New Roman"/>
        </w:rPr>
        <w:t xml:space="preserve">period </w:t>
      </w:r>
      <w:r w:rsidR="00592DCE" w:rsidRPr="00DB0409">
        <w:rPr>
          <w:rFonts w:ascii="Times New Roman" w:hAnsi="Times New Roman" w:cs="Times New Roman"/>
        </w:rPr>
        <w:lastRenderedPageBreak/>
        <w:t xml:space="preserve">of 12-month </w:t>
      </w:r>
      <w:r w:rsidR="00457A86" w:rsidRPr="00DB0409">
        <w:rPr>
          <w:rFonts w:ascii="Times New Roman" w:hAnsi="Times New Roman" w:cs="Times New Roman"/>
        </w:rPr>
        <w:t>remission</w:t>
      </w:r>
      <w:r w:rsidR="00592DCE" w:rsidRPr="00DB0409">
        <w:rPr>
          <w:rFonts w:ascii="Times New Roman" w:hAnsi="Times New Roman" w:cs="Times New Roman"/>
        </w:rPr>
        <w:t>,</w:t>
      </w:r>
      <w:r w:rsidR="00457A86" w:rsidRPr="00DB0409">
        <w:rPr>
          <w:rFonts w:ascii="Times New Roman" w:hAnsi="Times New Roman" w:cs="Times New Roman"/>
        </w:rPr>
        <w:t xml:space="preserve"> and whether or not a patient has a neurological insult all have an impact on the likelihood and frequency of seizures experienced following a breakthrough seizure, even if </w:t>
      </w:r>
      <w:r w:rsidR="00592DCE" w:rsidRPr="00DB0409">
        <w:rPr>
          <w:rFonts w:ascii="Times New Roman" w:hAnsi="Times New Roman" w:cs="Times New Roman"/>
        </w:rPr>
        <w:t xml:space="preserve">a </w:t>
      </w:r>
      <w:r w:rsidR="00457A86" w:rsidRPr="00DB0409">
        <w:rPr>
          <w:rFonts w:ascii="Times New Roman" w:hAnsi="Times New Roman" w:cs="Times New Roman"/>
        </w:rPr>
        <w:t xml:space="preserve">patient will ultimately achieve </w:t>
      </w:r>
      <w:r w:rsidR="00592DCE" w:rsidRPr="00DB0409">
        <w:rPr>
          <w:rFonts w:ascii="Times New Roman" w:hAnsi="Times New Roman" w:cs="Times New Roman"/>
        </w:rPr>
        <w:t xml:space="preserve">a second period of 12-month </w:t>
      </w:r>
      <w:r w:rsidR="00457A86" w:rsidRPr="00DB0409">
        <w:rPr>
          <w:rFonts w:ascii="Times New Roman" w:hAnsi="Times New Roman" w:cs="Times New Roman"/>
        </w:rPr>
        <w:t>remission.</w:t>
      </w:r>
      <w:r w:rsidR="000F6B9D">
        <w:rPr>
          <w:rFonts w:ascii="Times New Roman" w:hAnsi="Times New Roman" w:cs="Times New Roman"/>
        </w:rPr>
        <w:t xml:space="preserve"> In this analysis we only considered the number of treatments required, rather than the specific treatments since </w:t>
      </w:r>
      <w:r w:rsidR="004710C3">
        <w:rPr>
          <w:rFonts w:ascii="Times New Roman" w:hAnsi="Times New Roman" w:cs="Times New Roman"/>
        </w:rPr>
        <w:t>the number of treatment combinations after withdrawal of randomised drug is too large to model accurately, and differences between the treatments can be small</w:t>
      </w:r>
      <w:r w:rsidR="000F6B9D">
        <w:rPr>
          <w:rFonts w:ascii="Times New Roman" w:hAnsi="Times New Roman" w:cs="Times New Roman"/>
        </w:rPr>
        <w:t>.</w:t>
      </w:r>
    </w:p>
    <w:p w14:paraId="6DD18873" w14:textId="77777777" w:rsidR="00457A86" w:rsidRPr="00DB0409" w:rsidRDefault="004C6BF8" w:rsidP="005E16CF">
      <w:pPr>
        <w:spacing w:after="120" w:line="480" w:lineRule="auto"/>
        <w:rPr>
          <w:rFonts w:ascii="Times New Roman" w:hAnsi="Times New Roman" w:cs="Times New Roman"/>
        </w:rPr>
      </w:pPr>
      <w:r>
        <w:rPr>
          <w:rFonts w:ascii="Times New Roman" w:hAnsi="Times New Roman" w:cs="Times New Roman"/>
        </w:rPr>
        <w:t xml:space="preserve">Of the patients classified, our model </w:t>
      </w:r>
      <w:r w:rsidR="009959B8" w:rsidRPr="00DB0409">
        <w:rPr>
          <w:rFonts w:ascii="Times New Roman" w:hAnsi="Times New Roman" w:cs="Times New Roman"/>
        </w:rPr>
        <w:t>correctly identif</w:t>
      </w:r>
      <w:r>
        <w:rPr>
          <w:rFonts w:ascii="Times New Roman" w:hAnsi="Times New Roman" w:cs="Times New Roman"/>
        </w:rPr>
        <w:t>ies</w:t>
      </w:r>
      <w:r w:rsidR="009959B8" w:rsidRPr="00DB0409">
        <w:rPr>
          <w:rFonts w:ascii="Times New Roman" w:hAnsi="Times New Roman" w:cs="Times New Roman"/>
        </w:rPr>
        <w:t xml:space="preserve"> 73% of patients who will not achieve a second </w:t>
      </w:r>
      <w:r w:rsidR="009927E4" w:rsidRPr="00DB0409">
        <w:rPr>
          <w:rFonts w:ascii="Times New Roman" w:hAnsi="Times New Roman" w:cs="Times New Roman"/>
        </w:rPr>
        <w:t xml:space="preserve">period of </w:t>
      </w:r>
      <w:r w:rsidR="009959B8" w:rsidRPr="00DB0409">
        <w:rPr>
          <w:rFonts w:ascii="Times New Roman" w:hAnsi="Times New Roman" w:cs="Times New Roman"/>
        </w:rPr>
        <w:t xml:space="preserve">remission and 84% of those who will. </w:t>
      </w:r>
      <w:r>
        <w:rPr>
          <w:rFonts w:ascii="Times New Roman" w:hAnsi="Times New Roman" w:cs="Times New Roman"/>
        </w:rPr>
        <w:t xml:space="preserve">On average our model classifies those </w:t>
      </w:r>
      <w:r w:rsidR="009959B8" w:rsidRPr="00DB0409">
        <w:rPr>
          <w:rFonts w:ascii="Times New Roman" w:hAnsi="Times New Roman" w:cs="Times New Roman"/>
        </w:rPr>
        <w:t>not likely to achieve a second remission</w:t>
      </w:r>
      <w:r>
        <w:rPr>
          <w:rFonts w:ascii="Times New Roman" w:hAnsi="Times New Roman" w:cs="Times New Roman"/>
        </w:rPr>
        <w:t xml:space="preserve"> </w:t>
      </w:r>
      <w:r w:rsidR="009959B8" w:rsidRPr="00DB0409">
        <w:rPr>
          <w:rFonts w:ascii="Times New Roman" w:hAnsi="Times New Roman" w:cs="Times New Roman"/>
        </w:rPr>
        <w:t>after approximately 1</w:t>
      </w:r>
      <w:r w:rsidR="00540857" w:rsidRPr="00DB0409">
        <w:rPr>
          <w:rFonts w:ascii="Times New Roman" w:hAnsi="Times New Roman" w:cs="Times New Roman"/>
        </w:rPr>
        <w:t>0</w:t>
      </w:r>
      <w:r w:rsidR="009959B8" w:rsidRPr="00DB0409">
        <w:rPr>
          <w:rFonts w:ascii="Times New Roman" w:hAnsi="Times New Roman" w:cs="Times New Roman"/>
        </w:rPr>
        <w:t xml:space="preserve"> months</w:t>
      </w:r>
      <w:r>
        <w:rPr>
          <w:rFonts w:ascii="Times New Roman" w:hAnsi="Times New Roman" w:cs="Times New Roman"/>
        </w:rPr>
        <w:t xml:space="preserve"> follow-up</w:t>
      </w:r>
      <w:r w:rsidR="00A95E60">
        <w:rPr>
          <w:rFonts w:ascii="Times New Roman" w:hAnsi="Times New Roman" w:cs="Times New Roman"/>
        </w:rPr>
        <w:t xml:space="preserve">. </w:t>
      </w:r>
      <w:r>
        <w:rPr>
          <w:rFonts w:ascii="Times New Roman" w:hAnsi="Times New Roman" w:cs="Times New Roman"/>
        </w:rPr>
        <w:t xml:space="preserve">Compared to a </w:t>
      </w:r>
      <w:r w:rsidR="00A95E60">
        <w:rPr>
          <w:rFonts w:ascii="Times New Roman" w:hAnsi="Times New Roman" w:cs="Times New Roman"/>
        </w:rPr>
        <w:t>Cox model</w:t>
      </w:r>
      <w:r>
        <w:rPr>
          <w:rFonts w:ascii="Times New Roman" w:hAnsi="Times New Roman" w:cs="Times New Roman"/>
        </w:rPr>
        <w:t xml:space="preserve">, which uses only data up to the time of the breakthrough seizure, our new model is </w:t>
      </w:r>
      <w:r w:rsidR="00A95E60">
        <w:rPr>
          <w:rFonts w:ascii="Times New Roman" w:hAnsi="Times New Roman" w:cs="Times New Roman"/>
        </w:rPr>
        <w:t xml:space="preserve">considerably </w:t>
      </w:r>
      <w:r>
        <w:rPr>
          <w:rFonts w:ascii="Times New Roman" w:hAnsi="Times New Roman" w:cs="Times New Roman"/>
        </w:rPr>
        <w:t xml:space="preserve">more </w:t>
      </w:r>
      <w:r w:rsidR="00A95E60">
        <w:rPr>
          <w:rFonts w:ascii="Times New Roman" w:hAnsi="Times New Roman" w:cs="Times New Roman"/>
        </w:rPr>
        <w:t>accurate.</w:t>
      </w:r>
      <w:r w:rsidR="009959B8" w:rsidRPr="00DB0409">
        <w:rPr>
          <w:rFonts w:ascii="Times New Roman" w:hAnsi="Times New Roman" w:cs="Times New Roman"/>
        </w:rPr>
        <w:t xml:space="preserve"> </w:t>
      </w:r>
      <w:r w:rsidR="007507E6">
        <w:rPr>
          <w:rFonts w:ascii="Times New Roman" w:hAnsi="Times New Roman" w:cs="Times New Roman"/>
        </w:rPr>
        <w:t xml:space="preserve">This suggests that there is insufficient evidence to predict with accuracy which patients will re-achieve remission on the day of the breakthrough seizure and only by observing patients over time can increased confidence be gained. Although this necessitates a delay in being confident about which patients will not achieve remission, we observed that only approximately 10 months of further observation were required.  </w:t>
      </w:r>
    </w:p>
    <w:p w14:paraId="1A6C86FC" w14:textId="77777777" w:rsidR="00B416C6" w:rsidRPr="00DB0409" w:rsidRDefault="00B416C6" w:rsidP="005E16CF">
      <w:pPr>
        <w:spacing w:after="120" w:line="480" w:lineRule="auto"/>
        <w:rPr>
          <w:rFonts w:ascii="Times New Roman" w:hAnsi="Times New Roman" w:cs="Times New Roman"/>
          <w:b/>
        </w:rPr>
      </w:pPr>
      <w:r w:rsidRPr="00DB0409">
        <w:rPr>
          <w:rFonts w:ascii="Times New Roman" w:hAnsi="Times New Roman" w:cs="Times New Roman"/>
          <w:b/>
        </w:rPr>
        <w:t>L</w:t>
      </w:r>
      <w:r w:rsidR="00AF0478" w:rsidRPr="00DB0409">
        <w:rPr>
          <w:rFonts w:ascii="Times New Roman" w:hAnsi="Times New Roman" w:cs="Times New Roman"/>
          <w:b/>
        </w:rPr>
        <w:t>IMITATIONS</w:t>
      </w:r>
    </w:p>
    <w:p w14:paraId="508337E7" w14:textId="77777777" w:rsidR="009959B8" w:rsidRDefault="009959B8" w:rsidP="005E16CF">
      <w:pPr>
        <w:spacing w:after="120" w:line="480" w:lineRule="auto"/>
        <w:rPr>
          <w:rFonts w:ascii="Times New Roman" w:hAnsi="Times New Roman" w:cs="Times New Roman"/>
        </w:rPr>
      </w:pPr>
      <w:r w:rsidRPr="00DB0409">
        <w:rPr>
          <w:rFonts w:ascii="Times New Roman" w:hAnsi="Times New Roman" w:cs="Times New Roman"/>
        </w:rPr>
        <w:t>Since we required patients to have experienced a 12-month remission, and a breakthrough seizure with an additional two years of follow up post seizure the sample size for our analysis is relatively small. These factors potentially limit the power of our analysis. With larger patient groups, additional baseline covariates relevant in the longitudinal evolution of a patient’s seizure history may have been identified.</w:t>
      </w:r>
      <w:r w:rsidR="00A95E60">
        <w:rPr>
          <w:rFonts w:ascii="Times New Roman" w:hAnsi="Times New Roman" w:cs="Times New Roman"/>
        </w:rPr>
        <w:t xml:space="preserve"> In addition, further longitudinal makers could have been seen to be </w:t>
      </w:r>
      <w:r w:rsidR="00A95E60">
        <w:rPr>
          <w:rFonts w:ascii="Times New Roman" w:hAnsi="Times New Roman" w:cs="Times New Roman"/>
        </w:rPr>
        <w:lastRenderedPageBreak/>
        <w:t>important predictors of whether or not a patient will re-achieve remission following a breakthrough seizure.</w:t>
      </w:r>
    </w:p>
    <w:p w14:paraId="55048843" w14:textId="0F4B5EBF" w:rsidR="000C5B2C" w:rsidRPr="00DB0409" w:rsidRDefault="000C5B2C" w:rsidP="005E16CF">
      <w:pPr>
        <w:spacing w:after="120" w:line="480" w:lineRule="auto"/>
        <w:rPr>
          <w:rFonts w:ascii="Times New Roman" w:hAnsi="Times New Roman" w:cs="Times New Roman"/>
        </w:rPr>
      </w:pPr>
      <w:r w:rsidRPr="00DB0409">
        <w:rPr>
          <w:rFonts w:ascii="Times New Roman" w:hAnsi="Times New Roman" w:cs="Times New Roman"/>
        </w:rPr>
        <w:t>Hughes et al</w:t>
      </w:r>
      <w:r w:rsidRPr="00036662">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&lt;EndNote&gt;&lt;Cite&gt;&lt;Author&gt;Hughes&lt;/Author&gt;&lt;RecNum&gt;51&lt;/RecNum&gt;&lt;DisplayText&gt;&lt;style face="superscript"&gt;12&lt;/style&gt;&lt;/DisplayText&gt;&lt;record&gt;&lt;rec-number&gt;51&lt;/rec-number&gt;&lt;foreign-keys&gt;&lt;key app="EN" db-id="t2wd2e25t09vr2eetz3vawpet0sz22ed0prp" timestamp="1510064442"&gt;51&lt;/key&gt;&lt;/foreign-keys&gt;&lt;ref-type name="Journal Article"&gt;17&lt;/ref-type&gt;&lt;contributors&gt;&lt;authors&gt;&lt;author&gt;Hughes, David M&lt;/author&gt;&lt;author&gt;Bonnett, Laura&lt;/author&gt;&lt;author&gt;Czanner, Gabriela&lt;/author&gt;&lt;author&gt;Komárek, Arnošt&lt;/author&gt;&lt;author&gt;Marson, A&lt;/author&gt;&lt;author&gt;Garcia-Fiñana, Marta&lt;/author&gt;&lt;/authors&gt;&lt;/contributors&gt;&lt;titles&gt;&lt;title&gt;Early identification of patients who will not achieve seizure remission on AEDs within 5 years of starting treatment&lt;/title&gt;&lt;secondary-title&gt;Submitted&lt;/secondary-title&gt;&lt;/titles&gt;&lt;periodical&gt;&lt;full-title&gt;Submitted&lt;/full-title&gt;&lt;/periodical&gt;&lt;dates&gt;&lt;/dates&gt;&lt;urls&gt;&lt;/urls&gt;&lt;/record&gt;&lt;/Cite&gt;&lt;/EndNote&gt;</w:instrText>
      </w:r>
      <w:r w:rsidRPr="00036662">
        <w:rPr>
          <w:rFonts w:ascii="Times New Roman" w:hAnsi="Times New Roman" w:cs="Times New Roman"/>
        </w:rPr>
        <w:fldChar w:fldCharType="separate"/>
      </w:r>
      <w:r w:rsidR="00CD6DE1" w:rsidRPr="00CD6DE1">
        <w:rPr>
          <w:rFonts w:ascii="Times New Roman" w:hAnsi="Times New Roman" w:cs="Times New Roman"/>
          <w:noProof/>
          <w:vertAlign w:val="superscript"/>
        </w:rPr>
        <w:t>12</w:t>
      </w:r>
      <w:r w:rsidRPr="00036662">
        <w:rPr>
          <w:rFonts w:ascii="Times New Roman" w:hAnsi="Times New Roman" w:cs="Times New Roman"/>
        </w:rPr>
        <w:fldChar w:fldCharType="end"/>
      </w:r>
      <w:r w:rsidRPr="00036662">
        <w:rPr>
          <w:rFonts w:ascii="Times New Roman" w:hAnsi="Times New Roman" w:cs="Times New Roman"/>
        </w:rPr>
        <w:t xml:space="preserve"> </w:t>
      </w:r>
      <w:r w:rsidRPr="00DB0409">
        <w:rPr>
          <w:rFonts w:ascii="Times New Roman" w:hAnsi="Times New Roman" w:cs="Times New Roman"/>
        </w:rPr>
        <w:t>used the SANAD data to develop a model for identifying patients who will not achieve a 12-month remission within five years of an initial diagnosis. The reason for the shorter time frame in this analysis was due to the small number of patients with sufficient follow-up observations following a breakthrough seizure to consider a longer period</w:t>
      </w:r>
      <w:r>
        <w:rPr>
          <w:rFonts w:ascii="Times New Roman" w:hAnsi="Times New Roman" w:cs="Times New Roman"/>
        </w:rPr>
        <w:t xml:space="preserve"> (the median follow up time post breakthrough for the 536 patients who experienced a breakthrough seizure was 1.6 years, Inter quartile range = 0.79-2.57 years)</w:t>
      </w:r>
    </w:p>
    <w:p w14:paraId="29EC4909" w14:textId="77777777" w:rsidR="009959B8" w:rsidRPr="00DB0409" w:rsidRDefault="000C5B2C" w:rsidP="005E16CF">
      <w:pPr>
        <w:spacing w:after="120" w:line="480" w:lineRule="auto"/>
        <w:rPr>
          <w:rFonts w:ascii="Times New Roman" w:hAnsi="Times New Roman" w:cs="Times New Roman"/>
        </w:rPr>
      </w:pPr>
      <w:r>
        <w:rPr>
          <w:rFonts w:ascii="Times New Roman" w:hAnsi="Times New Roman" w:cs="Times New Roman"/>
        </w:rPr>
        <w:t>W</w:t>
      </w:r>
      <w:r w:rsidR="009959B8" w:rsidRPr="00DB0409">
        <w:rPr>
          <w:rFonts w:ascii="Times New Roman" w:hAnsi="Times New Roman" w:cs="Times New Roman"/>
        </w:rPr>
        <w:t xml:space="preserve">ith longer follow up a longer time frame than 2 years could have been considered. Many of the patients that did not achieve remission within 2 years, may have done so if they had been observed for longer. </w:t>
      </w:r>
      <w:r w:rsidR="00595CC4" w:rsidRPr="00DB0409">
        <w:rPr>
          <w:rFonts w:ascii="Times New Roman" w:hAnsi="Times New Roman" w:cs="Times New Roman"/>
        </w:rPr>
        <w:t>With a longer period of follow up better predictive accuracy may be achieved.</w:t>
      </w:r>
    </w:p>
    <w:p w14:paraId="68BA97D0" w14:textId="19C4833A" w:rsidR="0095436E" w:rsidRDefault="0095436E" w:rsidP="005E16CF">
      <w:pPr>
        <w:spacing w:after="120" w:line="480" w:lineRule="auto"/>
        <w:rPr>
          <w:rFonts w:ascii="Times New Roman" w:hAnsi="Times New Roman" w:cs="Times New Roman"/>
        </w:rPr>
      </w:pPr>
      <w:r w:rsidRPr="00DB0409">
        <w:rPr>
          <w:rFonts w:ascii="Times New Roman" w:hAnsi="Times New Roman" w:cs="Times New Roman"/>
        </w:rPr>
        <w:t xml:space="preserve">There is a potential bias in our findings since patients with early first remissions are more likely to be included than patients who achieved a first remission after a longer follow up, due to the need for a further two years of observation in order for the patient to be included in our analysis. Similarly, patients who experience a breakthrough seizure closer to their initial remission are more likely to be included than patients who remained in an initial state of remission for longer. </w:t>
      </w:r>
      <w:r w:rsidR="00D371C6">
        <w:rPr>
          <w:rFonts w:ascii="Times New Roman" w:hAnsi="Times New Roman" w:cs="Times New Roman"/>
        </w:rPr>
        <w:t>Our analysis omitted 210 patients who experience</w:t>
      </w:r>
      <w:r w:rsidR="00754322">
        <w:rPr>
          <w:rFonts w:ascii="Times New Roman" w:hAnsi="Times New Roman" w:cs="Times New Roman"/>
        </w:rPr>
        <w:t>d</w:t>
      </w:r>
      <w:r w:rsidR="00D371C6">
        <w:rPr>
          <w:rFonts w:ascii="Times New Roman" w:hAnsi="Times New Roman" w:cs="Times New Roman"/>
        </w:rPr>
        <w:t xml:space="preserve"> a breakthrough seizure but were not observed for a further two years largely due to the end of the SANAD trial. Since we could not determine the status of these patients, we could not include them in the analysis. </w:t>
      </w:r>
      <w:r w:rsidRPr="00DB0409">
        <w:rPr>
          <w:rFonts w:ascii="Times New Roman" w:hAnsi="Times New Roman" w:cs="Times New Roman"/>
        </w:rPr>
        <w:t>Studies with much longer follow up would be able to assess this bias.</w:t>
      </w:r>
    </w:p>
    <w:p w14:paraId="595EF395" w14:textId="77777777" w:rsidR="00876EFD" w:rsidRPr="00DB0409" w:rsidRDefault="00876EFD" w:rsidP="005E16CF">
      <w:pPr>
        <w:spacing w:after="120" w:line="480" w:lineRule="auto"/>
        <w:rPr>
          <w:rFonts w:ascii="Times New Roman" w:hAnsi="Times New Roman" w:cs="Times New Roman"/>
        </w:rPr>
      </w:pPr>
      <w:r>
        <w:rPr>
          <w:rFonts w:ascii="Times New Roman" w:hAnsi="Times New Roman" w:cs="Times New Roman"/>
        </w:rPr>
        <w:lastRenderedPageBreak/>
        <w:t>We excluded patients whose AED dose had been decreased before a breakthrough seizure was experienced. This was because the breakthrough seizure may have been due to drug withdrawal. The predictive tool presented in this paper may not be applicable then to people who have experienced breakthrough seizures following a decrease in AED dose.</w:t>
      </w:r>
    </w:p>
    <w:p w14:paraId="2AB37FFC" w14:textId="77777777" w:rsidR="00F56F05" w:rsidRPr="00DB0409" w:rsidRDefault="009959B8" w:rsidP="005E16CF">
      <w:pPr>
        <w:spacing w:after="120" w:line="480" w:lineRule="auto"/>
        <w:rPr>
          <w:rFonts w:ascii="Times New Roman" w:hAnsi="Times New Roman" w:cs="Times New Roman"/>
        </w:rPr>
      </w:pPr>
      <w:r w:rsidRPr="00DB0409">
        <w:rPr>
          <w:rFonts w:ascii="Times New Roman" w:hAnsi="Times New Roman" w:cs="Times New Roman"/>
        </w:rPr>
        <w:t xml:space="preserve">For the model presented in this paper to be useful in clinical practice, </w:t>
      </w:r>
      <w:r w:rsidR="00595CC4" w:rsidRPr="00DB0409">
        <w:rPr>
          <w:rFonts w:ascii="Times New Roman" w:hAnsi="Times New Roman" w:cs="Times New Roman"/>
        </w:rPr>
        <w:t>external validation is required. However, there are no datasets available with the relevant information required to validate our model currently. Internal validation of our model suggests good classification performance.</w:t>
      </w:r>
    </w:p>
    <w:p w14:paraId="4341ACC1" w14:textId="77777777" w:rsidR="00AB3D7A" w:rsidRPr="00DB0409" w:rsidRDefault="00AB3D7A" w:rsidP="005E16CF">
      <w:pPr>
        <w:spacing w:after="120" w:line="480" w:lineRule="auto"/>
        <w:rPr>
          <w:rFonts w:ascii="Times New Roman" w:hAnsi="Times New Roman" w:cs="Times New Roman"/>
        </w:rPr>
      </w:pPr>
      <w:r w:rsidRPr="00DB0409">
        <w:rPr>
          <w:rFonts w:ascii="Times New Roman" w:hAnsi="Times New Roman" w:cs="Times New Roman"/>
        </w:rPr>
        <w:t>The SANAD data relies on patient reported seizure counts. It may be the case that these are underreported or, in the case of experiencing many seizures</w:t>
      </w:r>
      <w:r w:rsidR="00484E34" w:rsidRPr="00DB0409">
        <w:rPr>
          <w:rFonts w:ascii="Times New Roman" w:hAnsi="Times New Roman" w:cs="Times New Roman"/>
        </w:rPr>
        <w:t>,</w:t>
      </w:r>
      <w:r w:rsidRPr="00DB0409">
        <w:rPr>
          <w:rFonts w:ascii="Times New Roman" w:hAnsi="Times New Roman" w:cs="Times New Roman"/>
        </w:rPr>
        <w:t xml:space="preserve"> approximated. This may result in our estimates being an underestimation of the actual numbers of seizures experienced which may in turn bias downwards the estimates of the evolution of total seizure counts over time</w:t>
      </w:r>
      <w:r w:rsidR="00866FC0" w:rsidRPr="00DB0409">
        <w:rPr>
          <w:rFonts w:ascii="Times New Roman" w:hAnsi="Times New Roman" w:cs="Times New Roman"/>
        </w:rPr>
        <w:t>. If patients who do not achieve a second 12-month remission are expected to experience more seizures, then more accurate seizure counts would increase the separation between the two groups and lead to more accurate classification.</w:t>
      </w:r>
    </w:p>
    <w:p w14:paraId="498D4985" w14:textId="77777777" w:rsidR="00B416C6" w:rsidRPr="00DB0409" w:rsidRDefault="00AF0478" w:rsidP="005E16CF">
      <w:pPr>
        <w:spacing w:after="120" w:line="480" w:lineRule="auto"/>
        <w:rPr>
          <w:rFonts w:ascii="Times New Roman" w:hAnsi="Times New Roman" w:cs="Times New Roman"/>
          <w:b/>
        </w:rPr>
      </w:pPr>
      <w:r w:rsidRPr="00DB0409">
        <w:rPr>
          <w:rFonts w:ascii="Times New Roman" w:hAnsi="Times New Roman" w:cs="Times New Roman"/>
          <w:b/>
        </w:rPr>
        <w:t>CONCLUSION</w:t>
      </w:r>
    </w:p>
    <w:p w14:paraId="4C4A5240" w14:textId="795664A0" w:rsidR="009F04AF" w:rsidRPr="00DB0409" w:rsidRDefault="00595CC4" w:rsidP="005E16CF">
      <w:pPr>
        <w:spacing w:after="120" w:line="480" w:lineRule="auto"/>
        <w:rPr>
          <w:rFonts w:ascii="Times New Roman" w:hAnsi="Times New Roman" w:cs="Times New Roman"/>
        </w:rPr>
      </w:pPr>
      <w:r w:rsidRPr="00DB0409">
        <w:rPr>
          <w:rFonts w:ascii="Times New Roman" w:hAnsi="Times New Roman" w:cs="Times New Roman"/>
        </w:rPr>
        <w:t>Hughes et al</w:t>
      </w:r>
      <w:r w:rsidR="00484E34"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&lt;EndNote&gt;&lt;Cite&gt;&lt;Author&gt;Hughes&lt;/Author&gt;&lt;RecNum&gt;51&lt;/RecNum&gt;&lt;DisplayText&gt;&lt;style face="superscript"&gt;12&lt;/style&gt;&lt;/DisplayText&gt;&lt;record&gt;&lt;rec-number&gt;51&lt;/rec-number&gt;&lt;foreign-keys&gt;&lt;key app="EN" db-id="t2wd2e25t09vr2eetz3vawpet0sz22ed0prp" timestamp="1510064442"&gt;51&lt;/key&gt;&lt;/foreign-keys&gt;&lt;ref-type name="Journal Article"&gt;17&lt;/ref-type&gt;&lt;contributors&gt;&lt;authors&gt;&lt;author&gt;Hughes, David M&lt;/author&gt;&lt;author&gt;Bonnett, Laura&lt;/author&gt;&lt;author&gt;Czanner, Gabriela&lt;/author&gt;&lt;author&gt;Komárek, Arnošt&lt;/author&gt;&lt;author&gt;Marson, A&lt;/author&gt;&lt;author&gt;Garcia-Fiñana, Marta&lt;/author&gt;&lt;/authors&gt;&lt;/contributors&gt;&lt;titles&gt;&lt;title&gt;Early identification of patients who will not achieve seizure remission on AEDs within 5 years of starting treatment&lt;/title&gt;&lt;secondary-title&gt;Submitted&lt;/secondary-title&gt;&lt;/titles&gt;&lt;periodical&gt;&lt;full-title&gt;Submitted&lt;/full-title&gt;&lt;/periodical&gt;&lt;dates&gt;&lt;/dates&gt;&lt;urls&gt;&lt;/urls&gt;&lt;/record&gt;&lt;/Cite&gt;&lt;/EndNote&gt;</w:instrText>
      </w:r>
      <w:r w:rsidR="00484E34"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12</w:t>
      </w:r>
      <w:r w:rsidR="00484E34" w:rsidRPr="00DB0409">
        <w:rPr>
          <w:rFonts w:ascii="Times New Roman" w:hAnsi="Times New Roman" w:cs="Times New Roman"/>
        </w:rPr>
        <w:fldChar w:fldCharType="end"/>
      </w:r>
      <w:r w:rsidRPr="00DB0409">
        <w:rPr>
          <w:rFonts w:ascii="Times New Roman" w:hAnsi="Times New Roman" w:cs="Times New Roman"/>
        </w:rPr>
        <w:t xml:space="preserve"> develop</w:t>
      </w:r>
      <w:r w:rsidR="00DA4D66">
        <w:rPr>
          <w:rFonts w:ascii="Times New Roman" w:hAnsi="Times New Roman" w:cs="Times New Roman"/>
        </w:rPr>
        <w:t>ed</w:t>
      </w:r>
      <w:r w:rsidRPr="00DB0409">
        <w:rPr>
          <w:rFonts w:ascii="Times New Roman" w:hAnsi="Times New Roman" w:cs="Times New Roman"/>
        </w:rPr>
        <w:t xml:space="preserve"> a longitudinal discriminant analysis model to predict patients who will not achieve a first </w:t>
      </w:r>
      <w:r w:rsidR="00B87B32" w:rsidRPr="00DB0409">
        <w:rPr>
          <w:rFonts w:ascii="Times New Roman" w:hAnsi="Times New Roman" w:cs="Times New Roman"/>
        </w:rPr>
        <w:t xml:space="preserve">period of 12-month </w:t>
      </w:r>
      <w:r w:rsidRPr="00DB0409">
        <w:rPr>
          <w:rFonts w:ascii="Times New Roman" w:hAnsi="Times New Roman" w:cs="Times New Roman"/>
        </w:rPr>
        <w:t>remission within five years of initial diagnosis</w:t>
      </w:r>
      <w:r w:rsidR="00B87B32" w:rsidRPr="00DB0409">
        <w:rPr>
          <w:rFonts w:ascii="Times New Roman" w:hAnsi="Times New Roman" w:cs="Times New Roman"/>
        </w:rPr>
        <w:t xml:space="preserve"> (</w:t>
      </w:r>
      <w:r w:rsidR="00AB3D7A" w:rsidRPr="00DB0409">
        <w:rPr>
          <w:rFonts w:ascii="Times New Roman" w:hAnsi="Times New Roman" w:cs="Times New Roman"/>
        </w:rPr>
        <w:t>sensitivity=95%, specificity=97%, AUC=95%</w:t>
      </w:r>
      <w:r w:rsidR="00A95E60">
        <w:rPr>
          <w:rFonts w:ascii="Times New Roman" w:hAnsi="Times New Roman" w:cs="Times New Roman"/>
        </w:rPr>
        <w:t xml:space="preserve"> for classified patients.</w:t>
      </w:r>
      <w:r w:rsidR="00B87B32" w:rsidRPr="00DB0409">
        <w:rPr>
          <w:rFonts w:ascii="Times New Roman" w:hAnsi="Times New Roman" w:cs="Times New Roman"/>
        </w:rPr>
        <w:t>)</w:t>
      </w:r>
      <w:r w:rsidRPr="00DB0409">
        <w:rPr>
          <w:rFonts w:ascii="Times New Roman" w:hAnsi="Times New Roman" w:cs="Times New Roman"/>
        </w:rPr>
        <w:t xml:space="preserve">. </w:t>
      </w:r>
      <w:r w:rsidR="00DA4D66">
        <w:rPr>
          <w:rFonts w:ascii="Times New Roman" w:hAnsi="Times New Roman" w:cs="Times New Roman"/>
        </w:rPr>
        <w:t>In t</w:t>
      </w:r>
      <w:r w:rsidRPr="00DB0409">
        <w:rPr>
          <w:rFonts w:ascii="Times New Roman" w:hAnsi="Times New Roman" w:cs="Times New Roman"/>
        </w:rPr>
        <w:t xml:space="preserve">his paper </w:t>
      </w:r>
      <w:r w:rsidR="00DA4D66">
        <w:rPr>
          <w:rFonts w:ascii="Times New Roman" w:hAnsi="Times New Roman" w:cs="Times New Roman"/>
        </w:rPr>
        <w:t xml:space="preserve">we go a step further by </w:t>
      </w:r>
      <w:r w:rsidRPr="00DB0409">
        <w:rPr>
          <w:rFonts w:ascii="Times New Roman" w:hAnsi="Times New Roman" w:cs="Times New Roman"/>
        </w:rPr>
        <w:t>develop</w:t>
      </w:r>
      <w:r w:rsidR="00DA4D66">
        <w:rPr>
          <w:rFonts w:ascii="Times New Roman" w:hAnsi="Times New Roman" w:cs="Times New Roman"/>
        </w:rPr>
        <w:t>ing</w:t>
      </w:r>
      <w:r w:rsidRPr="00DB0409">
        <w:rPr>
          <w:rFonts w:ascii="Times New Roman" w:hAnsi="Times New Roman" w:cs="Times New Roman"/>
        </w:rPr>
        <w:t xml:space="preserve"> a discriminant analysis model to identify patients who, having initially achieved </w:t>
      </w:r>
      <w:r w:rsidR="00B87B32" w:rsidRPr="00DB0409">
        <w:rPr>
          <w:rFonts w:ascii="Times New Roman" w:hAnsi="Times New Roman" w:cs="Times New Roman"/>
        </w:rPr>
        <w:t xml:space="preserve">12-month </w:t>
      </w:r>
      <w:r w:rsidRPr="00DB0409">
        <w:rPr>
          <w:rFonts w:ascii="Times New Roman" w:hAnsi="Times New Roman" w:cs="Times New Roman"/>
        </w:rPr>
        <w:t xml:space="preserve">remission and gone on to have a breakthrough seizure, will not achieve </w:t>
      </w:r>
      <w:r w:rsidR="00B87B32" w:rsidRPr="00DB0409">
        <w:rPr>
          <w:rFonts w:ascii="Times New Roman" w:hAnsi="Times New Roman" w:cs="Times New Roman"/>
        </w:rPr>
        <w:t xml:space="preserve">another period of 12-month </w:t>
      </w:r>
      <w:r w:rsidRPr="00DB0409">
        <w:rPr>
          <w:rFonts w:ascii="Times New Roman" w:hAnsi="Times New Roman" w:cs="Times New Roman"/>
        </w:rPr>
        <w:lastRenderedPageBreak/>
        <w:t xml:space="preserve">remission within 2 years of </w:t>
      </w:r>
      <w:r w:rsidR="00B87B32" w:rsidRPr="00DB0409">
        <w:rPr>
          <w:rFonts w:ascii="Times New Roman" w:hAnsi="Times New Roman" w:cs="Times New Roman"/>
        </w:rPr>
        <w:t xml:space="preserve">the </w:t>
      </w:r>
      <w:r w:rsidRPr="00DB0409">
        <w:rPr>
          <w:rFonts w:ascii="Times New Roman" w:hAnsi="Times New Roman" w:cs="Times New Roman"/>
        </w:rPr>
        <w:t>breakthrough</w:t>
      </w:r>
      <w:r w:rsidR="00B87B32" w:rsidRPr="00DB0409">
        <w:rPr>
          <w:rFonts w:ascii="Times New Roman" w:hAnsi="Times New Roman" w:cs="Times New Roman"/>
        </w:rPr>
        <w:t xml:space="preserve"> seizure</w:t>
      </w:r>
      <w:r w:rsidRPr="00DB0409">
        <w:rPr>
          <w:rFonts w:ascii="Times New Roman" w:hAnsi="Times New Roman" w:cs="Times New Roman"/>
        </w:rPr>
        <w:t xml:space="preserve">. </w:t>
      </w:r>
      <w:r w:rsidR="003E71CE">
        <w:rPr>
          <w:rFonts w:ascii="Times New Roman" w:hAnsi="Times New Roman" w:cs="Times New Roman"/>
        </w:rPr>
        <w:t>We believe that the</w:t>
      </w:r>
      <w:r w:rsidRPr="00DB0409">
        <w:rPr>
          <w:rFonts w:ascii="Times New Roman" w:hAnsi="Times New Roman" w:cs="Times New Roman"/>
        </w:rPr>
        <w:t xml:space="preserve"> prediction accuracy of this model is reasonably good</w:t>
      </w:r>
      <w:r w:rsidR="003E71CE">
        <w:rPr>
          <w:rFonts w:ascii="Times New Roman" w:hAnsi="Times New Roman" w:cs="Times New Roman"/>
        </w:rPr>
        <w:t xml:space="preserve">, suggesting </w:t>
      </w:r>
      <w:r w:rsidRPr="00DB0409">
        <w:rPr>
          <w:rFonts w:ascii="Times New Roman" w:hAnsi="Times New Roman" w:cs="Times New Roman"/>
        </w:rPr>
        <w:t>the potential of this approach to identify patients who will develop drug resistance following an initial remission, although a larger patient sample, and longer follow up would be required to explore this further.</w:t>
      </w:r>
    </w:p>
    <w:p w14:paraId="5A424068" w14:textId="57CA680D" w:rsidR="00995EE8" w:rsidRPr="00DB0409" w:rsidRDefault="000729F1" w:rsidP="005E16CF">
      <w:pPr>
        <w:spacing w:after="120" w:line="480" w:lineRule="auto"/>
        <w:rPr>
          <w:rFonts w:ascii="Times New Roman" w:hAnsi="Times New Roman" w:cs="Times New Roman"/>
        </w:rPr>
      </w:pPr>
      <w:r w:rsidRPr="00DB0409">
        <w:rPr>
          <w:rFonts w:ascii="Times New Roman" w:hAnsi="Times New Roman" w:cs="Times New Roman"/>
        </w:rPr>
        <w:t xml:space="preserve">The </w:t>
      </w:r>
      <w:r w:rsidR="003E71CE">
        <w:rPr>
          <w:rFonts w:ascii="Times New Roman" w:hAnsi="Times New Roman" w:cs="Times New Roman"/>
        </w:rPr>
        <w:t>predictive model</w:t>
      </w:r>
      <w:r w:rsidR="003E71CE" w:rsidRPr="00DB0409">
        <w:rPr>
          <w:rFonts w:ascii="Times New Roman" w:hAnsi="Times New Roman" w:cs="Times New Roman"/>
        </w:rPr>
        <w:t xml:space="preserve"> </w:t>
      </w:r>
      <w:r w:rsidR="003E71CE">
        <w:rPr>
          <w:rFonts w:ascii="Times New Roman" w:hAnsi="Times New Roman" w:cs="Times New Roman"/>
        </w:rPr>
        <w:t xml:space="preserve">here </w:t>
      </w:r>
      <w:r w:rsidRPr="00DB0409">
        <w:rPr>
          <w:rFonts w:ascii="Times New Roman" w:hAnsi="Times New Roman" w:cs="Times New Roman"/>
        </w:rPr>
        <w:t xml:space="preserve">developed, and the </w:t>
      </w:r>
      <w:r w:rsidR="003E71CE">
        <w:rPr>
          <w:rFonts w:ascii="Times New Roman" w:hAnsi="Times New Roman" w:cs="Times New Roman"/>
        </w:rPr>
        <w:t>one</w:t>
      </w:r>
      <w:r w:rsidR="003E71CE" w:rsidRPr="00DB0409">
        <w:rPr>
          <w:rFonts w:ascii="Times New Roman" w:hAnsi="Times New Roman" w:cs="Times New Roman"/>
        </w:rPr>
        <w:t xml:space="preserve"> </w:t>
      </w:r>
      <w:r w:rsidRPr="00DB0409">
        <w:rPr>
          <w:rFonts w:ascii="Times New Roman" w:hAnsi="Times New Roman" w:cs="Times New Roman"/>
        </w:rPr>
        <w:t>of Hughes et al</w:t>
      </w:r>
      <w:r w:rsidR="00484E34" w:rsidRPr="00DB0409">
        <w:rPr>
          <w:rFonts w:ascii="Times New Roman" w:hAnsi="Times New Roman" w:cs="Times New Roman"/>
        </w:rPr>
        <w:fldChar w:fldCharType="begin"/>
      </w:r>
      <w:r w:rsidR="00CD6DE1">
        <w:rPr>
          <w:rFonts w:ascii="Times New Roman" w:hAnsi="Times New Roman" w:cs="Times New Roman"/>
        </w:rPr>
        <w:instrText xml:space="preserve"> ADDIN EN.CITE &lt;EndNote&gt;&lt;Cite&gt;&lt;Author&gt;Hughes&lt;/Author&gt;&lt;RecNum&gt;51&lt;/RecNum&gt;&lt;DisplayText&gt;&lt;style face="superscript"&gt;12&lt;/style&gt;&lt;/DisplayText&gt;&lt;record&gt;&lt;rec-number&gt;51&lt;/rec-number&gt;&lt;foreign-keys&gt;&lt;key app="EN" db-id="t2wd2e25t09vr2eetz3vawpet0sz22ed0prp" timestamp="1510064442"&gt;51&lt;/key&gt;&lt;/foreign-keys&gt;&lt;ref-type name="Journal Article"&gt;17&lt;/ref-type&gt;&lt;contributors&gt;&lt;authors&gt;&lt;author&gt;Hughes, David M&lt;/author&gt;&lt;author&gt;Bonnett, Laura&lt;/author&gt;&lt;author&gt;Czanner, Gabriela&lt;/author&gt;&lt;author&gt;Komárek, Arnošt&lt;/author&gt;&lt;author&gt;Marson, A&lt;/author&gt;&lt;author&gt;Garcia-Fiñana, Marta&lt;/author&gt;&lt;/authors&gt;&lt;/contributors&gt;&lt;titles&gt;&lt;title&gt;Early identification of patients who will not achieve seizure remission on AEDs within 5 years of starting treatment&lt;/title&gt;&lt;secondary-title&gt;Submitted&lt;/secondary-title&gt;&lt;/titles&gt;&lt;periodical&gt;&lt;full-title&gt;Submitted&lt;/full-title&gt;&lt;/periodical&gt;&lt;dates&gt;&lt;/dates&gt;&lt;urls&gt;&lt;/urls&gt;&lt;/record&gt;&lt;/Cite&gt;&lt;/EndNote&gt;</w:instrText>
      </w:r>
      <w:r w:rsidR="00484E34" w:rsidRPr="00DB0409">
        <w:rPr>
          <w:rFonts w:ascii="Times New Roman" w:hAnsi="Times New Roman" w:cs="Times New Roman"/>
        </w:rPr>
        <w:fldChar w:fldCharType="separate"/>
      </w:r>
      <w:r w:rsidR="00CD6DE1" w:rsidRPr="00CD6DE1">
        <w:rPr>
          <w:rFonts w:ascii="Times New Roman" w:hAnsi="Times New Roman" w:cs="Times New Roman"/>
          <w:noProof/>
          <w:vertAlign w:val="superscript"/>
        </w:rPr>
        <w:t>12</w:t>
      </w:r>
      <w:r w:rsidR="00484E34" w:rsidRPr="00DB0409">
        <w:rPr>
          <w:rFonts w:ascii="Times New Roman" w:hAnsi="Times New Roman" w:cs="Times New Roman"/>
        </w:rPr>
        <w:fldChar w:fldCharType="end"/>
      </w:r>
      <w:r w:rsidRPr="00DB0409">
        <w:rPr>
          <w:rFonts w:ascii="Times New Roman" w:hAnsi="Times New Roman" w:cs="Times New Roman"/>
        </w:rPr>
        <w:t xml:space="preserve"> provide a useful tool to identify patients </w:t>
      </w:r>
      <w:r w:rsidR="00484E34" w:rsidRPr="00DB0409">
        <w:rPr>
          <w:rFonts w:ascii="Times New Roman" w:hAnsi="Times New Roman" w:cs="Times New Roman"/>
        </w:rPr>
        <w:t>who are not likely to achieve remission from seizures</w:t>
      </w:r>
      <w:r w:rsidRPr="00DB0409">
        <w:rPr>
          <w:rFonts w:ascii="Times New Roman" w:hAnsi="Times New Roman" w:cs="Times New Roman"/>
        </w:rPr>
        <w:t xml:space="preserve"> early on in their clinical follow up, both after diagnosis and after a breakthrough seizure following remission.</w:t>
      </w:r>
      <w:r w:rsidR="00B87B32" w:rsidRPr="00DB0409">
        <w:rPr>
          <w:rFonts w:ascii="Times New Roman" w:hAnsi="Times New Roman" w:cs="Times New Roman"/>
        </w:rPr>
        <w:t xml:space="preserve">  </w:t>
      </w:r>
      <w:r w:rsidR="004E3EC7">
        <w:rPr>
          <w:rFonts w:ascii="Times New Roman" w:hAnsi="Times New Roman" w:cs="Times New Roman"/>
        </w:rPr>
        <w:t xml:space="preserve">Incorporating these models into an easy to use calculator (possibly as a </w:t>
      </w:r>
      <w:proofErr w:type="spellStart"/>
      <w:r w:rsidR="004E3EC7">
        <w:rPr>
          <w:rFonts w:ascii="Times New Roman" w:hAnsi="Times New Roman" w:cs="Times New Roman"/>
        </w:rPr>
        <w:t>webtool</w:t>
      </w:r>
      <w:proofErr w:type="spellEnd"/>
      <w:r w:rsidR="004E3EC7">
        <w:rPr>
          <w:rFonts w:ascii="Times New Roman" w:hAnsi="Times New Roman" w:cs="Times New Roman"/>
        </w:rPr>
        <w:t xml:space="preserve"> or App) would be a necessary next step in making these models clinically useful </w:t>
      </w:r>
      <w:r w:rsidR="003E71CE">
        <w:rPr>
          <w:rFonts w:ascii="Times New Roman" w:hAnsi="Times New Roman" w:cs="Times New Roman"/>
        </w:rPr>
        <w:t>Such an approach</w:t>
      </w:r>
      <w:r w:rsidR="003E71CE" w:rsidRPr="00DB0409">
        <w:rPr>
          <w:rFonts w:ascii="Times New Roman" w:hAnsi="Times New Roman" w:cs="Times New Roman"/>
        </w:rPr>
        <w:t xml:space="preserve"> </w:t>
      </w:r>
      <w:r w:rsidR="00B87B32" w:rsidRPr="00DB0409">
        <w:rPr>
          <w:rFonts w:ascii="Times New Roman" w:hAnsi="Times New Roman" w:cs="Times New Roman"/>
        </w:rPr>
        <w:t xml:space="preserve">has the potential to provide clinicians with more accurate information regarding the long-term outcome of their </w:t>
      </w:r>
      <w:r w:rsidR="000768C5" w:rsidRPr="00DB0409">
        <w:rPr>
          <w:rFonts w:ascii="Times New Roman" w:hAnsi="Times New Roman" w:cs="Times New Roman"/>
        </w:rPr>
        <w:t>patients, which</w:t>
      </w:r>
      <w:r w:rsidR="00B87B32" w:rsidRPr="00DB0409">
        <w:rPr>
          <w:rFonts w:ascii="Times New Roman" w:hAnsi="Times New Roman" w:cs="Times New Roman"/>
        </w:rPr>
        <w:t xml:space="preserve"> could lead to improved patient counselling and more informed treatment decisions</w:t>
      </w:r>
      <w:r w:rsidR="00995EE8">
        <w:rPr>
          <w:rFonts w:ascii="Times New Roman" w:hAnsi="Times New Roman" w:cs="Times New Roman"/>
        </w:rPr>
        <w:t>, including the possibility of aiming for a most tolerated AED regimen rather than total seizure freedom if this was deemed to be unlikely</w:t>
      </w:r>
      <w:r w:rsidR="00B87B32" w:rsidRPr="00DB0409">
        <w:rPr>
          <w:rFonts w:ascii="Times New Roman" w:hAnsi="Times New Roman" w:cs="Times New Roman"/>
        </w:rPr>
        <w:t>.</w:t>
      </w:r>
      <w:r w:rsidR="00995EE8">
        <w:rPr>
          <w:rFonts w:ascii="Times New Roman" w:hAnsi="Times New Roman" w:cs="Times New Roman"/>
        </w:rPr>
        <w:t xml:space="preserve"> </w:t>
      </w:r>
    </w:p>
    <w:p w14:paraId="3AADC9D9" w14:textId="77777777" w:rsidR="008F01DA" w:rsidRDefault="008A3599" w:rsidP="005E16CF">
      <w:pPr>
        <w:spacing w:after="120" w:line="480" w:lineRule="auto"/>
        <w:rPr>
          <w:rFonts w:ascii="Times New Roman" w:hAnsi="Times New Roman" w:cs="Times New Roman"/>
          <w:b/>
        </w:rPr>
      </w:pPr>
      <w:r>
        <w:rPr>
          <w:rFonts w:ascii="Times New Roman" w:hAnsi="Times New Roman" w:cs="Times New Roman"/>
          <w:b/>
        </w:rPr>
        <w:t>Acknowledgements:</w:t>
      </w:r>
    </w:p>
    <w:p w14:paraId="38254B2C" w14:textId="7512421B" w:rsidR="0078050E" w:rsidRDefault="00A65607" w:rsidP="008A3599">
      <w:pPr>
        <w:spacing w:after="120" w:line="480" w:lineRule="auto"/>
        <w:rPr>
          <w:rFonts w:ascii="Times New Roman" w:hAnsi="Times New Roman" w:cs="Times New Roman"/>
        </w:rPr>
      </w:pPr>
      <w:r>
        <w:rPr>
          <w:rFonts w:ascii="Times New Roman" w:hAnsi="Times New Roman" w:cs="Times New Roman"/>
        </w:rPr>
        <w:t xml:space="preserve">Study funded by Medical Research Council (Research project MR/L010909/1), and </w:t>
      </w:r>
      <w:r>
        <w:rPr>
          <w:rFonts w:ascii="Times New Roman" w:hAnsi="Times New Roman" w:cs="Times New Roman"/>
          <w:lang w:val="en-US"/>
        </w:rPr>
        <w:t xml:space="preserve">UK EPSRC grant EP/N014499/1. </w:t>
      </w:r>
      <w:r>
        <w:rPr>
          <w:rFonts w:ascii="Times New Roman" w:hAnsi="Times New Roman" w:cs="Times New Roman"/>
        </w:rPr>
        <w:t>DMH gratefully acknowledges support of a MRC funded UKRI Innovation Fellowship, (Grant Number: MR/R024847/1). LJB is funded by a Post-Doctoral Fellowship (PDF-2015-08-044) from the National Institute for Health Research</w:t>
      </w:r>
      <w:r w:rsidRPr="0078050E">
        <w:rPr>
          <w:rFonts w:ascii="Times New Roman" w:hAnsi="Times New Roman" w:cs="Times New Roman"/>
        </w:rPr>
        <w:t xml:space="preserve">. </w:t>
      </w:r>
      <w:r w:rsidR="0078050E" w:rsidRPr="0078050E">
        <w:rPr>
          <w:rFonts w:ascii="Times New Roman" w:eastAsia="Times New Roman" w:hAnsi="Times New Roman" w:cs="Times New Roman"/>
          <w:bCs/>
          <w:lang w:val="en-US"/>
        </w:rPr>
        <w:t>TM is part-funded by The National Institute for Health Research Collaboration for Leadership in Applied Health Research and Care North West Coast (NIHR CLAHRC NWC).</w:t>
      </w:r>
      <w:r w:rsidR="0078050E" w:rsidRPr="0078050E">
        <w:rPr>
          <w:rFonts w:ascii="Calibri" w:eastAsia="Times New Roman" w:hAnsi="Calibri" w:cs="Calibri"/>
          <w:b/>
          <w:bCs/>
          <w:sz w:val="22"/>
          <w:szCs w:val="22"/>
          <w:lang w:val="en-US"/>
        </w:rPr>
        <w:t xml:space="preserve"> </w:t>
      </w:r>
      <w:r>
        <w:rPr>
          <w:rFonts w:ascii="Times New Roman" w:hAnsi="Times New Roman" w:cs="Times New Roman"/>
        </w:rPr>
        <w:t xml:space="preserve">The views expressed </w:t>
      </w:r>
      <w:r w:rsidR="00136991">
        <w:rPr>
          <w:rFonts w:ascii="Times New Roman" w:hAnsi="Times New Roman" w:cs="Times New Roman"/>
        </w:rPr>
        <w:t xml:space="preserve">here </w:t>
      </w:r>
      <w:r>
        <w:rPr>
          <w:rFonts w:ascii="Times New Roman" w:hAnsi="Times New Roman" w:cs="Times New Roman"/>
        </w:rPr>
        <w:t>are those of the authors and not necessarily those of the NHS, the N</w:t>
      </w:r>
      <w:r w:rsidR="00136991">
        <w:rPr>
          <w:rFonts w:ascii="Times New Roman" w:hAnsi="Times New Roman" w:cs="Times New Roman"/>
        </w:rPr>
        <w:t>IHR</w:t>
      </w:r>
      <w:r>
        <w:rPr>
          <w:rFonts w:ascii="Times New Roman" w:hAnsi="Times New Roman" w:cs="Times New Roman"/>
        </w:rPr>
        <w:t>, or the Department of Health</w:t>
      </w:r>
      <w:r w:rsidR="0078050E">
        <w:rPr>
          <w:rFonts w:ascii="Times New Roman" w:hAnsi="Times New Roman" w:cs="Times New Roman"/>
        </w:rPr>
        <w:t xml:space="preserve"> and Social Care</w:t>
      </w:r>
      <w:r>
        <w:rPr>
          <w:rFonts w:ascii="Times New Roman" w:hAnsi="Times New Roman" w:cs="Times New Roman"/>
        </w:rPr>
        <w:t xml:space="preserve">. </w:t>
      </w:r>
    </w:p>
    <w:p w14:paraId="4080A05B" w14:textId="77777777" w:rsidR="00CD6DE1" w:rsidRDefault="00CD6DE1" w:rsidP="008A3599">
      <w:pPr>
        <w:spacing w:after="120" w:line="480" w:lineRule="auto"/>
        <w:rPr>
          <w:rFonts w:ascii="Times New Roman" w:hAnsi="Times New Roman" w:cs="Times New Roman"/>
          <w:b/>
        </w:rPr>
      </w:pPr>
    </w:p>
    <w:p w14:paraId="09C19973" w14:textId="6A51002D" w:rsidR="008A3599" w:rsidRDefault="008A3599" w:rsidP="008A3599">
      <w:pPr>
        <w:spacing w:after="120" w:line="480" w:lineRule="auto"/>
        <w:rPr>
          <w:rFonts w:ascii="Times New Roman" w:hAnsi="Times New Roman" w:cs="Times New Roman"/>
          <w:b/>
        </w:rPr>
      </w:pPr>
      <w:r>
        <w:rPr>
          <w:rFonts w:ascii="Times New Roman" w:hAnsi="Times New Roman" w:cs="Times New Roman"/>
          <w:b/>
        </w:rPr>
        <w:t>Disclosure of Interests:</w:t>
      </w:r>
    </w:p>
    <w:p w14:paraId="632888AC" w14:textId="77777777" w:rsidR="008A3599" w:rsidRDefault="008A3599" w:rsidP="008A3599">
      <w:pPr>
        <w:spacing w:after="120" w:line="480" w:lineRule="auto"/>
        <w:rPr>
          <w:rFonts w:ascii="Times New Roman" w:hAnsi="Times New Roman" w:cs="Times New Roman"/>
          <w:color w:val="000000"/>
        </w:rPr>
      </w:pPr>
      <w:r w:rsidRPr="00E44D13">
        <w:rPr>
          <w:rFonts w:ascii="Times New Roman" w:hAnsi="Times New Roman" w:cs="Times New Roman"/>
          <w:color w:val="000000"/>
        </w:rPr>
        <w:t>No</w:t>
      </w:r>
      <w:r w:rsidRPr="008A3599">
        <w:rPr>
          <w:rFonts w:ascii="Times New Roman" w:hAnsi="Times New Roman" w:cs="Times New Roman"/>
          <w:color w:val="000000"/>
        </w:rPr>
        <w:t>ne of the authors has any confl</w:t>
      </w:r>
      <w:r w:rsidRPr="00E44D13">
        <w:rPr>
          <w:rFonts w:ascii="Times New Roman" w:hAnsi="Times New Roman" w:cs="Times New Roman"/>
          <w:color w:val="000000"/>
        </w:rPr>
        <w:t>ict of</w:t>
      </w:r>
      <w:r>
        <w:rPr>
          <w:rFonts w:ascii="Times New Roman" w:hAnsi="Times New Roman" w:cs="Times New Roman"/>
          <w:color w:val="000000"/>
        </w:rPr>
        <w:t xml:space="preserve"> </w:t>
      </w:r>
      <w:r w:rsidRPr="00E44D13">
        <w:rPr>
          <w:rFonts w:ascii="Times New Roman" w:hAnsi="Times New Roman" w:cs="Times New Roman"/>
          <w:color w:val="000000"/>
        </w:rPr>
        <w:t>interest to disclose</w:t>
      </w:r>
      <w:r>
        <w:rPr>
          <w:rFonts w:ascii="Times New Roman" w:hAnsi="Times New Roman" w:cs="Times New Roman"/>
          <w:color w:val="000000"/>
        </w:rPr>
        <w:t>.</w:t>
      </w:r>
    </w:p>
    <w:p w14:paraId="25101BA8" w14:textId="77777777" w:rsidR="0078050E" w:rsidRDefault="0078050E" w:rsidP="008A3599">
      <w:pPr>
        <w:spacing w:after="120" w:line="480" w:lineRule="auto"/>
        <w:rPr>
          <w:rFonts w:ascii="Times New Roman" w:hAnsi="Times New Roman" w:cs="Times New Roman"/>
          <w:b/>
          <w:color w:val="000000"/>
        </w:rPr>
      </w:pPr>
    </w:p>
    <w:p w14:paraId="7601C875" w14:textId="77777777" w:rsidR="008A3599" w:rsidRPr="005B09A7" w:rsidRDefault="008A3599" w:rsidP="008A3599">
      <w:pPr>
        <w:spacing w:after="120" w:line="480" w:lineRule="auto"/>
        <w:rPr>
          <w:rFonts w:ascii="Times New Roman" w:hAnsi="Times New Roman" w:cs="Times New Roman"/>
          <w:b/>
          <w:color w:val="000000"/>
        </w:rPr>
      </w:pPr>
      <w:r w:rsidRPr="005B09A7">
        <w:rPr>
          <w:rFonts w:ascii="Times New Roman" w:hAnsi="Times New Roman" w:cs="Times New Roman"/>
          <w:b/>
          <w:color w:val="000000"/>
        </w:rPr>
        <w:t>Ethical Publication Statement:</w:t>
      </w:r>
    </w:p>
    <w:p w14:paraId="3D7414D5" w14:textId="77777777" w:rsidR="008A3599" w:rsidRPr="008A3599" w:rsidRDefault="008A3599" w:rsidP="00E44D13">
      <w:pPr>
        <w:autoSpaceDE w:val="0"/>
        <w:autoSpaceDN w:val="0"/>
        <w:adjustRightInd w:val="0"/>
        <w:spacing w:line="480" w:lineRule="auto"/>
        <w:rPr>
          <w:rFonts w:ascii="Times New Roman" w:hAnsi="Times New Roman" w:cs="Times New Roman"/>
          <w:b/>
        </w:rPr>
      </w:pPr>
      <w:r w:rsidRPr="008A3599">
        <w:rPr>
          <w:rFonts w:ascii="Times New Roman" w:hAnsi="Times New Roman" w:cs="Times New Roman"/>
          <w:color w:val="000000"/>
        </w:rPr>
        <w:t>We confi</w:t>
      </w:r>
      <w:r w:rsidRPr="00E44D13">
        <w:rPr>
          <w:rFonts w:ascii="Times New Roman" w:hAnsi="Times New Roman" w:cs="Times New Roman"/>
          <w:color w:val="000000"/>
        </w:rPr>
        <w:t>rm that we have read the</w:t>
      </w:r>
      <w:r>
        <w:rPr>
          <w:rFonts w:ascii="Times New Roman" w:hAnsi="Times New Roman" w:cs="Times New Roman"/>
          <w:color w:val="000000"/>
        </w:rPr>
        <w:t xml:space="preserve"> </w:t>
      </w:r>
      <w:r w:rsidRPr="00E44D13">
        <w:rPr>
          <w:rFonts w:ascii="Times New Roman" w:hAnsi="Times New Roman" w:cs="Times New Roman"/>
          <w:color w:val="000000"/>
        </w:rPr>
        <w:t>Journal’s position on issues involved in ethical publication</w:t>
      </w:r>
      <w:r>
        <w:rPr>
          <w:rFonts w:ascii="Times New Roman" w:hAnsi="Times New Roman" w:cs="Times New Roman"/>
          <w:color w:val="000000"/>
        </w:rPr>
        <w:t xml:space="preserve"> </w:t>
      </w:r>
      <w:r w:rsidRPr="00E44D13">
        <w:rPr>
          <w:rFonts w:ascii="Times New Roman" w:hAnsi="Times New Roman" w:cs="Times New Roman"/>
          <w:color w:val="000000"/>
        </w:rPr>
        <w:t>and affirm that this report is consistent with those</w:t>
      </w:r>
      <w:r>
        <w:rPr>
          <w:rFonts w:ascii="Times New Roman" w:hAnsi="Times New Roman" w:cs="Times New Roman"/>
          <w:color w:val="000000"/>
        </w:rPr>
        <w:t xml:space="preserve"> </w:t>
      </w:r>
      <w:r w:rsidRPr="00E44D13">
        <w:rPr>
          <w:rFonts w:ascii="Times New Roman" w:hAnsi="Times New Roman" w:cs="Times New Roman"/>
          <w:color w:val="000000"/>
        </w:rPr>
        <w:t>guidelines</w:t>
      </w:r>
      <w:r>
        <w:rPr>
          <w:rFonts w:ascii="Times New Roman" w:hAnsi="Times New Roman" w:cs="Times New Roman"/>
          <w:color w:val="000000"/>
        </w:rPr>
        <w:t>.</w:t>
      </w:r>
    </w:p>
    <w:p w14:paraId="2950119D" w14:textId="77777777" w:rsidR="00752045" w:rsidRDefault="00752045" w:rsidP="005E16CF">
      <w:pPr>
        <w:spacing w:after="120" w:line="480" w:lineRule="auto"/>
        <w:rPr>
          <w:rFonts w:ascii="Times New Roman" w:hAnsi="Times New Roman" w:cs="Times New Roman"/>
          <w:b/>
        </w:rPr>
      </w:pPr>
    </w:p>
    <w:p w14:paraId="7FC06C87" w14:textId="77777777" w:rsidR="00051C56" w:rsidRDefault="00051C56" w:rsidP="005E16CF">
      <w:pPr>
        <w:spacing w:after="120" w:line="480" w:lineRule="auto"/>
        <w:rPr>
          <w:rFonts w:ascii="Times New Roman" w:hAnsi="Times New Roman" w:cs="Times New Roman"/>
          <w:b/>
        </w:rPr>
      </w:pPr>
    </w:p>
    <w:p w14:paraId="1410759A" w14:textId="77777777" w:rsidR="00051C56" w:rsidRDefault="00051C56" w:rsidP="005E16CF">
      <w:pPr>
        <w:spacing w:after="120" w:line="480" w:lineRule="auto"/>
        <w:rPr>
          <w:rFonts w:ascii="Times New Roman" w:hAnsi="Times New Roman" w:cs="Times New Roman"/>
          <w:b/>
        </w:rPr>
      </w:pPr>
    </w:p>
    <w:p w14:paraId="567C407A" w14:textId="77777777" w:rsidR="009F04AF" w:rsidRPr="00DB0409" w:rsidRDefault="007E63C8" w:rsidP="005E16CF">
      <w:pPr>
        <w:spacing w:after="120" w:line="480" w:lineRule="auto"/>
        <w:rPr>
          <w:rFonts w:ascii="Times New Roman" w:hAnsi="Times New Roman" w:cs="Times New Roman"/>
          <w:b/>
        </w:rPr>
      </w:pPr>
      <w:r w:rsidRPr="00DB0409">
        <w:rPr>
          <w:rFonts w:ascii="Times New Roman" w:hAnsi="Times New Roman" w:cs="Times New Roman"/>
          <w:b/>
        </w:rPr>
        <w:t>REFERENCES</w:t>
      </w:r>
    </w:p>
    <w:p w14:paraId="16700BF0" w14:textId="587F01F7" w:rsidR="00CD6DE1" w:rsidRPr="00CD6DE1" w:rsidRDefault="00F0507B" w:rsidP="00CD6DE1">
      <w:pPr>
        <w:pStyle w:val="EndNoteBibliography"/>
      </w:pPr>
      <w:r w:rsidRPr="00DB0409">
        <w:rPr>
          <w:rFonts w:ascii="Times New Roman" w:hAnsi="Times New Roman" w:cs="Times New Roman"/>
        </w:rPr>
        <w:fldChar w:fldCharType="begin"/>
      </w:r>
      <w:r w:rsidRPr="00DB0409">
        <w:rPr>
          <w:rFonts w:ascii="Times New Roman" w:hAnsi="Times New Roman" w:cs="Times New Roman"/>
        </w:rPr>
        <w:instrText xml:space="preserve"> ADDIN EN.REFLIST </w:instrText>
      </w:r>
      <w:r w:rsidRPr="00DB0409">
        <w:rPr>
          <w:rFonts w:ascii="Times New Roman" w:hAnsi="Times New Roman" w:cs="Times New Roman"/>
        </w:rPr>
        <w:fldChar w:fldCharType="separate"/>
      </w:r>
      <w:r w:rsidR="00CD6DE1" w:rsidRPr="00CD6DE1">
        <w:t>1.</w:t>
      </w:r>
      <w:r w:rsidR="00CD6DE1" w:rsidRPr="00CD6DE1">
        <w:tab/>
        <w:t>Cockerell OC, Sander J, Hart YM, Shorvon SD, Johnson A. Remission of epilepsy: results from the National General Practice Study of Epilepsy. The Lancet. 1995;346:140-4.</w:t>
      </w:r>
    </w:p>
    <w:p w14:paraId="476899F6" w14:textId="77777777" w:rsidR="00CD6DE1" w:rsidRPr="00CD6DE1" w:rsidRDefault="00CD6DE1" w:rsidP="00CD6DE1">
      <w:pPr>
        <w:pStyle w:val="EndNoteBibliography"/>
      </w:pPr>
      <w:r w:rsidRPr="00CD6DE1">
        <w:t>2.</w:t>
      </w:r>
      <w:r w:rsidRPr="00CD6DE1">
        <w:tab/>
        <w:t>Bourgeois BF, Dodson E. Pediatric epilepsy: diagnosis and therapy: Demos Medical Publishing; 2007.</w:t>
      </w:r>
    </w:p>
    <w:p w14:paraId="4D386C60" w14:textId="77777777" w:rsidR="00CD6DE1" w:rsidRPr="00CD6DE1" w:rsidRDefault="00CD6DE1" w:rsidP="00CD6DE1">
      <w:pPr>
        <w:pStyle w:val="EndNoteBibliography"/>
      </w:pPr>
      <w:r w:rsidRPr="00CD6DE1">
        <w:t>3.</w:t>
      </w:r>
      <w:r w:rsidRPr="00CD6DE1">
        <w:tab/>
        <w:t>Brodie M, Barry S, Bamagous G, Norrie J, Kwan P. Patterns of treatment response in newly diagnosed epilepsy. Neurology. 2012:WNL. 0b013e3182563b19.</w:t>
      </w:r>
    </w:p>
    <w:p w14:paraId="069B5A98" w14:textId="77777777" w:rsidR="00CD6DE1" w:rsidRPr="00CD6DE1" w:rsidRDefault="00CD6DE1" w:rsidP="00CD6DE1">
      <w:pPr>
        <w:pStyle w:val="EndNoteBibliography"/>
      </w:pPr>
      <w:r w:rsidRPr="00CD6DE1">
        <w:t>4.</w:t>
      </w:r>
      <w:r w:rsidRPr="00CD6DE1">
        <w:tab/>
        <w:t>Bonnett L, Powell G, Smith CT, Marson A. Risk of a seizure recurrence after a breakthrough seizure and the implications for driving: further analysis of the standard versus new antiepileptic drugs (SANAD) randomised controlled trial. BMJ open. 2017;7(7):e015868.</w:t>
      </w:r>
    </w:p>
    <w:p w14:paraId="608F88C0" w14:textId="77777777" w:rsidR="00CD6DE1" w:rsidRPr="00CD6DE1" w:rsidRDefault="00CD6DE1" w:rsidP="00CD6DE1">
      <w:pPr>
        <w:pStyle w:val="EndNoteBibliography"/>
      </w:pPr>
      <w:r w:rsidRPr="00CD6DE1">
        <w:t>5.</w:t>
      </w:r>
      <w:r w:rsidRPr="00CD6DE1">
        <w:tab/>
        <w:t>Bonnett L, Powell GA, Tudur-Smith C, Marson A. Breakthrough Seizures - Further analysis of the Standard versus New Antiepileptic Drugs (SANAD) study.</w:t>
      </w:r>
    </w:p>
    <w:p w14:paraId="6809F11C" w14:textId="1B7B39D3" w:rsidR="00CD6DE1" w:rsidRPr="00CD6DE1" w:rsidRDefault="00CD6DE1" w:rsidP="00CD6DE1">
      <w:pPr>
        <w:pStyle w:val="EndNoteBibliography"/>
      </w:pPr>
      <w:r w:rsidRPr="00CD6DE1">
        <w:t>6.</w:t>
      </w:r>
      <w:r w:rsidRPr="00CD6DE1">
        <w:tab/>
        <w:t>Schiller Y. Seizure relapse and development of drug resistance following long-term seizure remission. Archives of neurology. 2009;66:1233-9.</w:t>
      </w:r>
    </w:p>
    <w:p w14:paraId="0883D92F" w14:textId="61660601" w:rsidR="00CD6DE1" w:rsidRPr="00CD6DE1" w:rsidRDefault="00CD6DE1" w:rsidP="00CD6DE1">
      <w:pPr>
        <w:pStyle w:val="EndNoteBibliography"/>
      </w:pPr>
      <w:r w:rsidRPr="00CD6DE1">
        <w:t>7.</w:t>
      </w:r>
      <w:r w:rsidRPr="00CD6DE1">
        <w:tab/>
        <w:t>Kaddumukasa M, Kaddumukasa M, Matovu S, Katabira E. The frequency and precipitating factors for breakthrough seizures among patients with epilepsy in Uganda. BMC neurology. 2013;13:182.</w:t>
      </w:r>
    </w:p>
    <w:p w14:paraId="3ACBC439" w14:textId="2201309A" w:rsidR="00CD6DE1" w:rsidRPr="00CD6DE1" w:rsidRDefault="00CD6DE1" w:rsidP="00CD6DE1">
      <w:pPr>
        <w:pStyle w:val="EndNoteBibliography"/>
      </w:pPr>
      <w:r w:rsidRPr="00CD6DE1">
        <w:t>8.</w:t>
      </w:r>
      <w:r w:rsidRPr="00CD6DE1">
        <w:tab/>
        <w:t>Al-Kattan M, Afifi L, Shamloul R, Mostafa EED. Assessment of precipitating factors of breakthrough seizures in epileptic patients. The Egyptian Journal of Neurology, Psychiatry and Neurosurgery. 2015;52:165.</w:t>
      </w:r>
    </w:p>
    <w:p w14:paraId="4D2BE8F4" w14:textId="22B24E6D" w:rsidR="00CD6DE1" w:rsidRPr="00CD6DE1" w:rsidRDefault="00CD6DE1" w:rsidP="00CD6DE1">
      <w:pPr>
        <w:pStyle w:val="EndNoteBibliography"/>
      </w:pPr>
      <w:r w:rsidRPr="00CD6DE1">
        <w:lastRenderedPageBreak/>
        <w:t>9.</w:t>
      </w:r>
      <w:r w:rsidRPr="00CD6DE1">
        <w:tab/>
        <w:t>Arts WF, Brouwer OF, Peters AB, Stroink H, Peeters EA, Schmitz PI, et al. Course and prognosis of childhood epilepsy: 5-year follow-up of the Dutch study of epilepsy in childhood. Brain. 2004;127</w:t>
      </w:r>
      <w:r w:rsidR="00EA4DC1">
        <w:t>:</w:t>
      </w:r>
      <w:r w:rsidRPr="00CD6DE1">
        <w:t>1774-84.</w:t>
      </w:r>
    </w:p>
    <w:p w14:paraId="6EE2C413" w14:textId="77777777" w:rsidR="00CD6DE1" w:rsidRPr="00CD6DE1" w:rsidRDefault="00CD6DE1" w:rsidP="00CD6DE1">
      <w:pPr>
        <w:pStyle w:val="EndNoteBibliography"/>
      </w:pPr>
      <w:r w:rsidRPr="00CD6DE1">
        <w:t>10.</w:t>
      </w:r>
      <w:r w:rsidRPr="00CD6DE1">
        <w:tab/>
        <w:t>Huang L, Li S, He D, Bao W, Li L. A predictive risk model for medical intractability in epilepsy. Epilepsy &amp; Behavior. 2014;37:282-6.</w:t>
      </w:r>
    </w:p>
    <w:p w14:paraId="54656735" w14:textId="2D777434" w:rsidR="00CD6DE1" w:rsidRPr="00CD6DE1" w:rsidRDefault="00CD6DE1" w:rsidP="00CD6DE1">
      <w:pPr>
        <w:pStyle w:val="EndNoteBibliography"/>
      </w:pPr>
      <w:r w:rsidRPr="00CD6DE1">
        <w:t>11.</w:t>
      </w:r>
      <w:r w:rsidRPr="00CD6DE1">
        <w:tab/>
        <w:t>Sillanpää M, Schmidt D. Early seizure frequency and aetiology predict long-term medical outcome in childhood-onset epilepsy. Brain. 2009;132:989-98.</w:t>
      </w:r>
    </w:p>
    <w:p w14:paraId="52778F1A" w14:textId="5AB1C91A" w:rsidR="00CD6DE1" w:rsidRPr="00CD6DE1" w:rsidRDefault="00CD6DE1" w:rsidP="00CD6DE1">
      <w:pPr>
        <w:pStyle w:val="EndNoteBibliography"/>
      </w:pPr>
      <w:r w:rsidRPr="00CD6DE1">
        <w:t>12.</w:t>
      </w:r>
      <w:r w:rsidRPr="00CD6DE1">
        <w:tab/>
        <w:t>Hughes DM, Bonnett L, Czanner G, Komárek A, Marson A, Garcia-Fiñana M. Early identification of patients who will not achieve seizure remission on AEDs within 5 years of starting treatment.</w:t>
      </w:r>
      <w:r w:rsidR="00EA4DC1">
        <w:t xml:space="preserve"> Neurology. 2018;91:e2035-44</w:t>
      </w:r>
    </w:p>
    <w:p w14:paraId="2B81D707" w14:textId="5E824826" w:rsidR="00CD6DE1" w:rsidRPr="00CD6DE1" w:rsidRDefault="00CD6DE1" w:rsidP="00CD6DE1">
      <w:pPr>
        <w:pStyle w:val="EndNoteBibliography"/>
      </w:pPr>
      <w:r w:rsidRPr="00CD6DE1">
        <w:t>13.</w:t>
      </w:r>
      <w:r w:rsidRPr="00CD6DE1">
        <w:tab/>
        <w:t>Keller SS, Glenn GR, Weber B, Kreilkamp B, Jensen JH, Helpern JA, et al. Preoperative automare fibre quantification predicts postoperative seizure outcome in temporal lobe epilepsy. Brain. 201</w:t>
      </w:r>
      <w:r w:rsidR="00EA4DC1">
        <w:t>7;140:68-82.</w:t>
      </w:r>
    </w:p>
    <w:p w14:paraId="421960E9" w14:textId="4716D06B" w:rsidR="00CD6DE1" w:rsidRPr="00CD6DE1" w:rsidRDefault="00CD6DE1" w:rsidP="00CD6DE1">
      <w:pPr>
        <w:pStyle w:val="EndNoteBibliography"/>
      </w:pPr>
      <w:r w:rsidRPr="00CD6DE1">
        <w:t>14.</w:t>
      </w:r>
      <w:r w:rsidRPr="00CD6DE1">
        <w:tab/>
        <w:t>Marson AG, Al-Kharusi AM, Alwaidh M, Appleton R, Baker GA, Chadwick DW, et al. The SANAD study of effectiveness of valproate, lamotrigine, or topiramate for generalised and unclassifiable epilepsy: an unblinded randomised controlled trial. The Lancet. 2007;369:1016-26.</w:t>
      </w:r>
    </w:p>
    <w:p w14:paraId="091B478D" w14:textId="514660F4" w:rsidR="00CD6DE1" w:rsidRPr="00CD6DE1" w:rsidRDefault="00CD6DE1" w:rsidP="00CD6DE1">
      <w:pPr>
        <w:pStyle w:val="EndNoteBibliography"/>
      </w:pPr>
      <w:r w:rsidRPr="00CD6DE1">
        <w:t>15.</w:t>
      </w:r>
      <w:r w:rsidRPr="00CD6DE1">
        <w:tab/>
        <w:t>Marson AG, Al-Kharusi AM, Alwaidh M, Appleton R, Baker GA, Chadwick DW, et al. The SANAD study of effectiveness of carbamazepine, gabapentin, lamotrigine, oxcarbazepine, or topiramate for treatment of partial epilepsy: an unblinded randomised controlled trial. The Lancet. 2007;369:1000-15.</w:t>
      </w:r>
    </w:p>
    <w:p w14:paraId="32D72900" w14:textId="14024071" w:rsidR="00CD6DE1" w:rsidRPr="00CD6DE1" w:rsidRDefault="00CD6DE1" w:rsidP="00CD6DE1">
      <w:pPr>
        <w:pStyle w:val="EndNoteBibliography"/>
      </w:pPr>
      <w:r w:rsidRPr="00CD6DE1">
        <w:t>16.</w:t>
      </w:r>
      <w:r w:rsidRPr="00CD6DE1">
        <w:tab/>
        <w:t>Bonnett L, Smith CT, Smith D, Williamson P, Chadwick D, Marson AG. Prognostic factors for time to treatment failure and time to 12 months of remission for patients with focal epilepsy: post-hoc, subgroup analyses of data from the SANAD trial. The Lancet Neurology. 2012;11:331-40.</w:t>
      </w:r>
    </w:p>
    <w:p w14:paraId="7E4F6109" w14:textId="356EF3B0" w:rsidR="00CD6DE1" w:rsidRPr="00CD6DE1" w:rsidRDefault="00CD6DE1" w:rsidP="00CD6DE1">
      <w:pPr>
        <w:pStyle w:val="EndNoteBibliography"/>
      </w:pPr>
      <w:r w:rsidRPr="00CD6DE1">
        <w:t>17.</w:t>
      </w:r>
      <w:r w:rsidRPr="00CD6DE1">
        <w:tab/>
        <w:t>Bonnett LJ, Marson AG, Johnson A, Kim L, Sander JW, Lawn N, et al. External validation of a prognostic model for seizure recurrence following a first unprovoked seizure and implications for driving. PloS one. 2014;9:e99063.</w:t>
      </w:r>
    </w:p>
    <w:p w14:paraId="5E03B9CB" w14:textId="77777777" w:rsidR="00CD6DE1" w:rsidRPr="00CD6DE1" w:rsidRDefault="00CD6DE1" w:rsidP="00CD6DE1">
      <w:pPr>
        <w:pStyle w:val="EndNoteBibliography"/>
      </w:pPr>
      <w:r w:rsidRPr="00CD6DE1">
        <w:t>18.</w:t>
      </w:r>
      <w:r w:rsidRPr="00CD6DE1">
        <w:tab/>
        <w:t>Bonnett LJ, Smith CT, Smith D, Williamson PR, Chadwick D, Marson AG. Time to 12-month remission and treatment failure for generalised and unclassified epilepsy. Journal of Neurology, Neurosurgery &amp; Psychiatry. 2013:jnnp-2013-306040.</w:t>
      </w:r>
    </w:p>
    <w:p w14:paraId="42F5AD80" w14:textId="7C876919" w:rsidR="00CD6DE1" w:rsidRPr="00CD6DE1" w:rsidRDefault="00CD6DE1" w:rsidP="00CD6DE1">
      <w:pPr>
        <w:pStyle w:val="EndNoteBibliography"/>
      </w:pPr>
      <w:r w:rsidRPr="00CD6DE1">
        <w:t>19.</w:t>
      </w:r>
      <w:r w:rsidRPr="00CD6DE1">
        <w:tab/>
        <w:t>Hughes DM, Komárek A, Czanner G, Garcia-Fiñana M. Dynamic longitudinal discriminant analysis using multiple longitudinal markers of different types. Statistical methods in medical research. 2016</w:t>
      </w:r>
      <w:r w:rsidR="00EA4DC1">
        <w:t>;27:2060-80</w:t>
      </w:r>
      <w:r w:rsidRPr="00CD6DE1">
        <w:t>.</w:t>
      </w:r>
    </w:p>
    <w:p w14:paraId="0D2E9D87" w14:textId="71D7CCD4" w:rsidR="00CD6DE1" w:rsidRPr="00CD6DE1" w:rsidRDefault="00CD6DE1" w:rsidP="00CD6DE1">
      <w:pPr>
        <w:pStyle w:val="EndNoteBibliography"/>
      </w:pPr>
      <w:r w:rsidRPr="00CD6DE1">
        <w:t>20.</w:t>
      </w:r>
      <w:r w:rsidRPr="00CD6DE1">
        <w:tab/>
        <w:t>Shukralla AA, Tudur-Smith C, Powell GA, Williamson PR, Marson AG. Reporting of adverse events in randomised controlled trials of antiepileptic drugs using the CONSORT criteria for reporting harms. Epilepsy Research. 2011;97:20-9.</w:t>
      </w:r>
    </w:p>
    <w:p w14:paraId="3EB708F5" w14:textId="7ED9DED1" w:rsidR="00CD6DE1" w:rsidRPr="00CD6DE1" w:rsidRDefault="00CD6DE1" w:rsidP="00CD6DE1">
      <w:pPr>
        <w:pStyle w:val="EndNoteBibliography"/>
      </w:pPr>
      <w:r w:rsidRPr="00CD6DE1">
        <w:t>21.</w:t>
      </w:r>
      <w:r w:rsidRPr="00CD6DE1">
        <w:tab/>
        <w:t>Plummer M. Penalized loss functions for Bayesian model comparison. Biostatistics. 2008;</w:t>
      </w:r>
      <w:r w:rsidR="00EA4DC1">
        <w:t>9</w:t>
      </w:r>
      <w:r w:rsidRPr="00CD6DE1">
        <w:t>:523-39.</w:t>
      </w:r>
    </w:p>
    <w:p w14:paraId="6AE7096D" w14:textId="0745F73C" w:rsidR="00CD6DE1" w:rsidRPr="00CD6DE1" w:rsidRDefault="00CD6DE1" w:rsidP="00CD6DE1">
      <w:pPr>
        <w:pStyle w:val="EndNoteBibliography"/>
      </w:pPr>
      <w:r w:rsidRPr="00CD6DE1">
        <w:rPr>
          <w:rFonts w:hint="eastAsia"/>
        </w:rPr>
        <w:t>22.</w:t>
      </w:r>
      <w:r w:rsidRPr="00CD6DE1">
        <w:rPr>
          <w:rFonts w:hint="eastAsia"/>
        </w:rPr>
        <w:tab/>
        <w:t>Hughes DM, Komárek A, Bonnett LJ, Czanner G, García</w:t>
      </w:r>
      <w:r w:rsidRPr="00CD6DE1">
        <w:rPr>
          <w:rFonts w:hint="eastAsia"/>
        </w:rPr>
        <w:t>‐</w:t>
      </w:r>
      <w:r w:rsidRPr="00CD6DE1">
        <w:rPr>
          <w:rFonts w:hint="eastAsia"/>
        </w:rPr>
        <w:t>Fiñana M. Dynamic classification using credible intervals in longitudi</w:t>
      </w:r>
      <w:r w:rsidRPr="00CD6DE1">
        <w:t>nal discriminant analysis. Statistics in medicine. 2017;36:3858-74.</w:t>
      </w:r>
    </w:p>
    <w:p w14:paraId="057433B5" w14:textId="222A5D4A" w:rsidR="00CD6DE1" w:rsidRPr="00CD6DE1" w:rsidRDefault="00CD6DE1" w:rsidP="00CD6DE1">
      <w:pPr>
        <w:pStyle w:val="EndNoteBibliography"/>
      </w:pPr>
      <w:r w:rsidRPr="00CD6DE1">
        <w:t>23.</w:t>
      </w:r>
      <w:r w:rsidRPr="00CD6DE1">
        <w:tab/>
        <w:t>Bonnett LJ, Powell GA, Smith CT, Marson AG. Breakthrough seizures—Further analysis of the Standard versus New Antiepileptic Drugs (SANAD) study. PloS one. 2017;12:e0190035.</w:t>
      </w:r>
    </w:p>
    <w:p w14:paraId="4BA1CCA3" w14:textId="3C618D3D" w:rsidR="009F04AF" w:rsidRDefault="00F0507B" w:rsidP="005E16CF">
      <w:pPr>
        <w:spacing w:after="120" w:line="480" w:lineRule="auto"/>
        <w:rPr>
          <w:rFonts w:ascii="Times New Roman" w:hAnsi="Times New Roman" w:cs="Times New Roman"/>
        </w:rPr>
      </w:pPr>
      <w:r w:rsidRPr="00DB0409">
        <w:rPr>
          <w:rFonts w:ascii="Times New Roman" w:hAnsi="Times New Roman" w:cs="Times New Roman"/>
        </w:rPr>
        <w:fldChar w:fldCharType="end"/>
      </w:r>
    </w:p>
    <w:p w14:paraId="1CAF15C2" w14:textId="77777777" w:rsidR="008A3599" w:rsidRDefault="008A3599" w:rsidP="005E16CF">
      <w:pPr>
        <w:spacing w:after="120" w:line="480" w:lineRule="auto"/>
        <w:rPr>
          <w:rFonts w:ascii="Times New Roman" w:hAnsi="Times New Roman" w:cs="Times New Roman"/>
        </w:rPr>
      </w:pPr>
      <w:r>
        <w:rPr>
          <w:rFonts w:ascii="Times New Roman" w:hAnsi="Times New Roman" w:cs="Times New Roman"/>
        </w:rPr>
        <w:lastRenderedPageBreak/>
        <w:t>Figure Legends:</w:t>
      </w:r>
    </w:p>
    <w:p w14:paraId="03E2865A" w14:textId="77777777" w:rsidR="008A3599" w:rsidRPr="00C72FFE" w:rsidRDefault="008A3599" w:rsidP="005E16CF">
      <w:pPr>
        <w:spacing w:after="120" w:line="480" w:lineRule="auto"/>
        <w:rPr>
          <w:rFonts w:ascii="Times New Roman" w:hAnsi="Times New Roman" w:cs="Times New Roman"/>
        </w:rPr>
      </w:pPr>
      <w:r>
        <w:rPr>
          <w:rFonts w:ascii="Times New Roman" w:hAnsi="Times New Roman" w:cs="Times New Roman"/>
        </w:rPr>
        <w:t>F</w:t>
      </w:r>
      <w:r w:rsidR="00A7530D">
        <w:rPr>
          <w:rFonts w:ascii="Times New Roman" w:hAnsi="Times New Roman" w:cs="Times New Roman"/>
        </w:rPr>
        <w:t>igure 1: Allocation Scheme for i</w:t>
      </w:r>
      <w:r>
        <w:rPr>
          <w:rFonts w:ascii="Times New Roman" w:hAnsi="Times New Roman" w:cs="Times New Roman"/>
        </w:rPr>
        <w:t>dentifying patients who will not re-achieve remission</w:t>
      </w:r>
      <w:r w:rsidRPr="00C72FFE">
        <w:rPr>
          <w:rFonts w:ascii="Times New Roman" w:hAnsi="Times New Roman" w:cs="Times New Roman"/>
        </w:rPr>
        <w:t xml:space="preserve"> within 2 years of breakthrough seizure.</w:t>
      </w:r>
    </w:p>
    <w:p w14:paraId="2448DA20" w14:textId="77777777" w:rsidR="008A3599" w:rsidRPr="00C72FFE" w:rsidRDefault="00C75513" w:rsidP="00E44D13">
      <w:pPr>
        <w:pStyle w:val="Caption"/>
        <w:spacing w:line="48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Figure 2</w:t>
      </w:r>
      <w:r w:rsidR="008A3599" w:rsidRPr="00C72FFE">
        <w:rPr>
          <w:rFonts w:ascii="Times New Roman" w:hAnsi="Times New Roman" w:cs="Times New Roman"/>
          <w:i w:val="0"/>
          <w:color w:val="auto"/>
          <w:sz w:val="24"/>
          <w:szCs w:val="24"/>
        </w:rPr>
        <w:t>: Three individual patient’s probabilities of not achieving a second remission. The crosses show the probability assigned by the model at the clinical visits and the grey shaded area represent 99% credible bands around the predicted probabilities. The dotted line denotes the threshold of 0.38, used in the classification scheme.</w:t>
      </w:r>
    </w:p>
    <w:p w14:paraId="19E4D6A4" w14:textId="77777777" w:rsidR="008A3599" w:rsidRPr="00C72FFE" w:rsidRDefault="00C75513" w:rsidP="00E44D13">
      <w:pPr>
        <w:pStyle w:val="Caption"/>
        <w:spacing w:line="480" w:lineRule="auto"/>
        <w:rPr>
          <w:rFonts w:ascii="Times New Roman" w:hAnsi="Times New Roman" w:cs="Times New Roman"/>
          <w:i w:val="0"/>
          <w:noProof/>
          <w:color w:val="auto"/>
          <w:sz w:val="24"/>
          <w:szCs w:val="24"/>
        </w:rPr>
      </w:pPr>
      <w:r>
        <w:rPr>
          <w:rFonts w:ascii="Times New Roman" w:hAnsi="Times New Roman" w:cs="Times New Roman"/>
          <w:i w:val="0"/>
          <w:color w:val="auto"/>
          <w:sz w:val="24"/>
          <w:szCs w:val="24"/>
        </w:rPr>
        <w:t>Figure 3</w:t>
      </w:r>
      <w:r w:rsidR="008A3599" w:rsidRPr="00C72FFE">
        <w:rPr>
          <w:rFonts w:ascii="Times New Roman" w:hAnsi="Times New Roman" w:cs="Times New Roman"/>
          <w:i w:val="0"/>
          <w:color w:val="auto"/>
          <w:sz w:val="24"/>
          <w:szCs w:val="24"/>
        </w:rPr>
        <w:t>: Left Panel: Boxplots showing the probabilities assigned to patients who did achieve a second remission and those who did not for both the Discriminant model and the cox model. Right Panel: Corresponding ROC plot for the Discriminant model (solid red curve) and the cox model (dashed blue curve).</w:t>
      </w:r>
    </w:p>
    <w:p w14:paraId="7B0B2352" w14:textId="77777777" w:rsidR="008A3599" w:rsidRPr="00E44D13" w:rsidRDefault="008A3599" w:rsidP="00E44D13"/>
    <w:p w14:paraId="75570782" w14:textId="77777777" w:rsidR="008A3599" w:rsidRPr="00E44D13" w:rsidRDefault="008A3599" w:rsidP="00E44D13"/>
    <w:p w14:paraId="26C7F6D8" w14:textId="77777777" w:rsidR="008A3599" w:rsidRDefault="008A3599" w:rsidP="005E16CF">
      <w:pPr>
        <w:spacing w:after="120" w:line="480" w:lineRule="auto"/>
        <w:rPr>
          <w:rFonts w:ascii="Times New Roman" w:hAnsi="Times New Roman" w:cs="Times New Roman"/>
        </w:rPr>
      </w:pPr>
    </w:p>
    <w:p w14:paraId="6055969B" w14:textId="77777777" w:rsidR="008F01DA" w:rsidRDefault="008F01DA" w:rsidP="005E16CF">
      <w:pPr>
        <w:spacing w:after="120" w:line="480" w:lineRule="auto"/>
        <w:rPr>
          <w:rFonts w:ascii="Times New Roman" w:hAnsi="Times New Roman" w:cs="Times New Roman"/>
        </w:rPr>
      </w:pPr>
    </w:p>
    <w:p w14:paraId="4E7FA5DA" w14:textId="77777777" w:rsidR="008F01DA" w:rsidRDefault="008F01DA" w:rsidP="005E16CF">
      <w:pPr>
        <w:spacing w:after="120" w:line="480" w:lineRule="auto"/>
        <w:rPr>
          <w:rFonts w:ascii="Times New Roman" w:hAnsi="Times New Roman" w:cs="Times New Roman"/>
        </w:rPr>
      </w:pPr>
    </w:p>
    <w:p w14:paraId="120A8B78" w14:textId="77777777" w:rsidR="00051C56" w:rsidRDefault="00051C56" w:rsidP="005E16CF">
      <w:pPr>
        <w:spacing w:after="120" w:line="480" w:lineRule="auto"/>
        <w:rPr>
          <w:rFonts w:ascii="Times New Roman" w:hAnsi="Times New Roman" w:cs="Times New Roman"/>
        </w:rPr>
      </w:pPr>
    </w:p>
    <w:p w14:paraId="399523F4" w14:textId="77777777" w:rsidR="00051C56" w:rsidRDefault="00051C56" w:rsidP="005E16CF">
      <w:pPr>
        <w:spacing w:after="120" w:line="480" w:lineRule="auto"/>
        <w:rPr>
          <w:rFonts w:ascii="Times New Roman" w:hAnsi="Times New Roman" w:cs="Times New Roman"/>
        </w:rPr>
      </w:pPr>
    </w:p>
    <w:p w14:paraId="29912BAC" w14:textId="77777777" w:rsidR="00051C56" w:rsidRDefault="00051C56" w:rsidP="005E16CF">
      <w:pPr>
        <w:spacing w:after="120" w:line="480" w:lineRule="auto"/>
        <w:rPr>
          <w:rFonts w:ascii="Times New Roman" w:hAnsi="Times New Roman" w:cs="Times New Roman"/>
        </w:rPr>
      </w:pPr>
    </w:p>
    <w:p w14:paraId="41452BC4" w14:textId="77777777" w:rsidR="00051C56" w:rsidRDefault="00051C56" w:rsidP="005E16CF">
      <w:pPr>
        <w:spacing w:after="120" w:line="480" w:lineRule="auto"/>
        <w:rPr>
          <w:rFonts w:ascii="Times New Roman" w:hAnsi="Times New Roman" w:cs="Times New Roman"/>
        </w:rPr>
      </w:pPr>
    </w:p>
    <w:p w14:paraId="15ACE695" w14:textId="77777777" w:rsidR="0077236D" w:rsidRPr="00DB0409" w:rsidRDefault="0077236D" w:rsidP="0077236D">
      <w:pPr>
        <w:pStyle w:val="Caption"/>
        <w:keepNext/>
        <w:spacing w:line="480" w:lineRule="auto"/>
        <w:rPr>
          <w:rFonts w:ascii="Times New Roman" w:hAnsi="Times New Roman" w:cs="Times New Roman"/>
          <w:sz w:val="24"/>
          <w:szCs w:val="24"/>
        </w:rPr>
      </w:pPr>
      <w:r w:rsidRPr="00DB0409">
        <w:rPr>
          <w:rFonts w:ascii="Times New Roman" w:hAnsi="Times New Roman" w:cs="Times New Roman"/>
          <w:sz w:val="24"/>
          <w:szCs w:val="24"/>
        </w:rPr>
        <w:lastRenderedPageBreak/>
        <w:t>Table 1: Patient Demographics for patients who have</w:t>
      </w:r>
      <w:r w:rsidR="00AF1741">
        <w:rPr>
          <w:rFonts w:ascii="Times New Roman" w:hAnsi="Times New Roman" w:cs="Times New Roman"/>
          <w:sz w:val="24"/>
          <w:szCs w:val="24"/>
        </w:rPr>
        <w:t xml:space="preserve"> and have not</w:t>
      </w:r>
      <w:r w:rsidRPr="00DB0409">
        <w:rPr>
          <w:rFonts w:ascii="Times New Roman" w:hAnsi="Times New Roman" w:cs="Times New Roman"/>
          <w:sz w:val="24"/>
          <w:szCs w:val="24"/>
        </w:rPr>
        <w:t xml:space="preserve"> experienced a </w:t>
      </w:r>
      <w:r w:rsidR="00AF1741">
        <w:rPr>
          <w:rFonts w:ascii="Times New Roman" w:hAnsi="Times New Roman" w:cs="Times New Roman"/>
          <w:sz w:val="24"/>
          <w:szCs w:val="24"/>
        </w:rPr>
        <w:t>b</w:t>
      </w:r>
      <w:r w:rsidRPr="00DB0409">
        <w:rPr>
          <w:rFonts w:ascii="Times New Roman" w:hAnsi="Times New Roman" w:cs="Times New Roman"/>
          <w:sz w:val="24"/>
          <w:szCs w:val="24"/>
        </w:rPr>
        <w:t xml:space="preserve">reakthrough seizure and </w:t>
      </w:r>
      <w:r w:rsidR="00AF1741">
        <w:rPr>
          <w:rFonts w:ascii="Times New Roman" w:hAnsi="Times New Roman" w:cs="Times New Roman"/>
          <w:sz w:val="24"/>
          <w:szCs w:val="24"/>
        </w:rPr>
        <w:t xml:space="preserve">have </w:t>
      </w:r>
      <w:r w:rsidRPr="00DB0409">
        <w:rPr>
          <w:rFonts w:ascii="Times New Roman" w:hAnsi="Times New Roman" w:cs="Times New Roman"/>
          <w:sz w:val="24"/>
          <w:szCs w:val="24"/>
        </w:rPr>
        <w:t>been observed for long enough to determine their two</w:t>
      </w:r>
      <w:r w:rsidR="00852201">
        <w:rPr>
          <w:rFonts w:ascii="Times New Roman" w:hAnsi="Times New Roman" w:cs="Times New Roman"/>
          <w:sz w:val="24"/>
          <w:szCs w:val="24"/>
        </w:rPr>
        <w:t>-</w:t>
      </w:r>
      <w:r w:rsidRPr="00DB0409">
        <w:rPr>
          <w:rFonts w:ascii="Times New Roman" w:hAnsi="Times New Roman" w:cs="Times New Roman"/>
          <w:sz w:val="24"/>
          <w:szCs w:val="24"/>
        </w:rPr>
        <w:t>year status.</w:t>
      </w:r>
    </w:p>
    <w:tbl>
      <w:tblPr>
        <w:tblStyle w:val="TableGrid"/>
        <w:tblW w:w="5797" w:type="pct"/>
        <w:jc w:val="center"/>
        <w:tblLayout w:type="fixed"/>
        <w:tblLook w:val="04A0" w:firstRow="1" w:lastRow="0" w:firstColumn="1" w:lastColumn="0" w:noHBand="0" w:noVBand="1"/>
      </w:tblPr>
      <w:tblGrid>
        <w:gridCol w:w="6111"/>
        <w:gridCol w:w="1894"/>
        <w:gridCol w:w="1868"/>
      </w:tblGrid>
      <w:tr w:rsidR="0077236D" w:rsidRPr="00DB0409" w14:paraId="72205269" w14:textId="77777777" w:rsidTr="00E73500">
        <w:trPr>
          <w:trHeight w:val="303"/>
          <w:jc w:val="center"/>
        </w:trPr>
        <w:tc>
          <w:tcPr>
            <w:tcW w:w="3095" w:type="pct"/>
            <w:vMerge w:val="restart"/>
            <w:vAlign w:val="center"/>
          </w:tcPr>
          <w:p w14:paraId="25169695" w14:textId="77777777" w:rsidR="0077236D" w:rsidRPr="00DB0409" w:rsidRDefault="0077236D" w:rsidP="00A65607">
            <w:pPr>
              <w:spacing w:after="200"/>
              <w:jc w:val="center"/>
              <w:rPr>
                <w:rFonts w:ascii="Times New Roman" w:hAnsi="Times New Roman" w:cs="Times New Roman"/>
                <w:b/>
              </w:rPr>
            </w:pPr>
            <w:r w:rsidRPr="00DB0409">
              <w:rPr>
                <w:rFonts w:ascii="Times New Roman" w:hAnsi="Times New Roman" w:cs="Times New Roman"/>
                <w:b/>
              </w:rPr>
              <w:t>Characteristic</w:t>
            </w:r>
          </w:p>
        </w:tc>
        <w:tc>
          <w:tcPr>
            <w:tcW w:w="959" w:type="pct"/>
            <w:vAlign w:val="center"/>
          </w:tcPr>
          <w:p w14:paraId="6E9B8B4C" w14:textId="77777777" w:rsidR="0077236D" w:rsidRPr="00DB0409" w:rsidRDefault="0077236D" w:rsidP="00A65607">
            <w:pPr>
              <w:jc w:val="center"/>
              <w:rPr>
                <w:rFonts w:ascii="Times New Roman" w:hAnsi="Times New Roman" w:cs="Times New Roman"/>
                <w:b/>
              </w:rPr>
            </w:pPr>
            <w:r w:rsidRPr="00DB0409">
              <w:rPr>
                <w:rFonts w:ascii="Times New Roman" w:hAnsi="Times New Roman" w:cs="Times New Roman"/>
                <w:b/>
              </w:rPr>
              <w:t>Patients who achieve 12-month remission within 2 years of breakthrough seizure</w:t>
            </w:r>
          </w:p>
        </w:tc>
        <w:tc>
          <w:tcPr>
            <w:tcW w:w="946" w:type="pct"/>
            <w:vAlign w:val="center"/>
          </w:tcPr>
          <w:p w14:paraId="603BD326" w14:textId="77777777" w:rsidR="0077236D" w:rsidRPr="00DB0409" w:rsidRDefault="0077236D" w:rsidP="00A65607">
            <w:pPr>
              <w:contextualSpacing/>
              <w:jc w:val="center"/>
              <w:rPr>
                <w:rFonts w:ascii="Times New Roman" w:hAnsi="Times New Roman" w:cs="Times New Roman"/>
                <w:b/>
              </w:rPr>
            </w:pPr>
            <w:r w:rsidRPr="00DB0409">
              <w:rPr>
                <w:rFonts w:ascii="Times New Roman" w:hAnsi="Times New Roman" w:cs="Times New Roman"/>
                <w:b/>
              </w:rPr>
              <w:t>Patients who do not achieve 12-month remission within 2 years of breakthrough seizure</w:t>
            </w:r>
          </w:p>
        </w:tc>
      </w:tr>
      <w:tr w:rsidR="0077236D" w:rsidRPr="00DB0409" w14:paraId="2D76FA97" w14:textId="77777777" w:rsidTr="00E73500">
        <w:trPr>
          <w:trHeight w:val="303"/>
          <w:jc w:val="center"/>
        </w:trPr>
        <w:tc>
          <w:tcPr>
            <w:tcW w:w="3095" w:type="pct"/>
            <w:vMerge/>
            <w:vAlign w:val="center"/>
          </w:tcPr>
          <w:p w14:paraId="5D067EC7" w14:textId="77777777" w:rsidR="0077236D" w:rsidRPr="00DB0409" w:rsidRDefault="0077236D" w:rsidP="00A65607">
            <w:pPr>
              <w:jc w:val="center"/>
              <w:rPr>
                <w:rFonts w:ascii="Times New Roman" w:hAnsi="Times New Roman" w:cs="Times New Roman"/>
                <w:b/>
              </w:rPr>
            </w:pPr>
          </w:p>
        </w:tc>
        <w:tc>
          <w:tcPr>
            <w:tcW w:w="959" w:type="pct"/>
            <w:vAlign w:val="center"/>
          </w:tcPr>
          <w:p w14:paraId="5D3A8337" w14:textId="77777777" w:rsidR="0077236D" w:rsidRPr="00DB0409" w:rsidRDefault="0077236D" w:rsidP="00A65607">
            <w:pPr>
              <w:jc w:val="center"/>
              <w:rPr>
                <w:rFonts w:ascii="Times New Roman" w:hAnsi="Times New Roman" w:cs="Times New Roman"/>
                <w:b/>
              </w:rPr>
            </w:pPr>
            <w:r w:rsidRPr="00DB0409">
              <w:rPr>
                <w:rFonts w:ascii="Times New Roman" w:hAnsi="Times New Roman" w:cs="Times New Roman"/>
                <w:b/>
              </w:rPr>
              <w:t>Total</w:t>
            </w:r>
          </w:p>
          <w:p w14:paraId="28C8B68A" w14:textId="77777777" w:rsidR="0077236D" w:rsidRPr="00DB0409" w:rsidRDefault="0077236D" w:rsidP="00A65607">
            <w:pPr>
              <w:jc w:val="center"/>
              <w:rPr>
                <w:rFonts w:ascii="Times New Roman" w:hAnsi="Times New Roman" w:cs="Times New Roman"/>
                <w:b/>
              </w:rPr>
            </w:pPr>
            <w:r w:rsidRPr="00DB0409">
              <w:rPr>
                <w:rFonts w:ascii="Times New Roman" w:hAnsi="Times New Roman" w:cs="Times New Roman"/>
                <w:b/>
              </w:rPr>
              <w:t>(n=185)</w:t>
            </w:r>
          </w:p>
        </w:tc>
        <w:tc>
          <w:tcPr>
            <w:tcW w:w="946" w:type="pct"/>
            <w:vAlign w:val="center"/>
          </w:tcPr>
          <w:p w14:paraId="370F92A4" w14:textId="77777777" w:rsidR="0077236D" w:rsidRPr="00DB0409" w:rsidRDefault="0077236D" w:rsidP="00A65607">
            <w:pPr>
              <w:jc w:val="center"/>
              <w:rPr>
                <w:rFonts w:ascii="Times New Roman" w:hAnsi="Times New Roman" w:cs="Times New Roman"/>
                <w:b/>
              </w:rPr>
            </w:pPr>
            <w:r w:rsidRPr="00DB0409">
              <w:rPr>
                <w:rFonts w:ascii="Times New Roman" w:hAnsi="Times New Roman" w:cs="Times New Roman"/>
                <w:b/>
              </w:rPr>
              <w:t>Total</w:t>
            </w:r>
          </w:p>
          <w:p w14:paraId="6B79747E" w14:textId="77777777" w:rsidR="0077236D" w:rsidRPr="00DB0409" w:rsidRDefault="0077236D" w:rsidP="00A65607">
            <w:pPr>
              <w:jc w:val="center"/>
              <w:rPr>
                <w:rFonts w:ascii="Times New Roman" w:hAnsi="Times New Roman" w:cs="Times New Roman"/>
                <w:b/>
              </w:rPr>
            </w:pPr>
            <w:r w:rsidRPr="00DB0409">
              <w:rPr>
                <w:rFonts w:ascii="Times New Roman" w:hAnsi="Times New Roman" w:cs="Times New Roman"/>
                <w:b/>
              </w:rPr>
              <w:t>(n=115)</w:t>
            </w:r>
          </w:p>
        </w:tc>
      </w:tr>
      <w:tr w:rsidR="0077236D" w:rsidRPr="00DB0409" w14:paraId="61F435EA" w14:textId="77777777" w:rsidTr="00E73500">
        <w:trPr>
          <w:jc w:val="center"/>
        </w:trPr>
        <w:tc>
          <w:tcPr>
            <w:tcW w:w="3095" w:type="pct"/>
          </w:tcPr>
          <w:p w14:paraId="48782D39"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Male</w:t>
            </w:r>
          </w:p>
        </w:tc>
        <w:tc>
          <w:tcPr>
            <w:tcW w:w="959" w:type="pct"/>
          </w:tcPr>
          <w:p w14:paraId="456BD0A7"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114 (62%)</w:t>
            </w:r>
          </w:p>
        </w:tc>
        <w:tc>
          <w:tcPr>
            <w:tcW w:w="946" w:type="pct"/>
          </w:tcPr>
          <w:p w14:paraId="5430748D"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61 (53%)</w:t>
            </w:r>
          </w:p>
        </w:tc>
      </w:tr>
      <w:tr w:rsidR="0077236D" w:rsidRPr="00DB0409" w14:paraId="20C7720C" w14:textId="77777777" w:rsidTr="00E73500">
        <w:trPr>
          <w:jc w:val="center"/>
        </w:trPr>
        <w:tc>
          <w:tcPr>
            <w:tcW w:w="3095" w:type="pct"/>
          </w:tcPr>
          <w:p w14:paraId="70C5330A"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Epilepsy in first degree relative </w:t>
            </w:r>
          </w:p>
        </w:tc>
        <w:tc>
          <w:tcPr>
            <w:tcW w:w="959" w:type="pct"/>
          </w:tcPr>
          <w:p w14:paraId="5843E916"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26 (14%)</w:t>
            </w:r>
          </w:p>
        </w:tc>
        <w:tc>
          <w:tcPr>
            <w:tcW w:w="946" w:type="pct"/>
          </w:tcPr>
          <w:p w14:paraId="4051E4E8"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15 (13%)</w:t>
            </w:r>
          </w:p>
        </w:tc>
      </w:tr>
      <w:tr w:rsidR="0077236D" w:rsidRPr="00DB0409" w14:paraId="56D21BA3" w14:textId="77777777" w:rsidTr="00E73500">
        <w:trPr>
          <w:jc w:val="center"/>
        </w:trPr>
        <w:tc>
          <w:tcPr>
            <w:tcW w:w="3095" w:type="pct"/>
          </w:tcPr>
          <w:p w14:paraId="1E6F0111"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Neurological insult</w:t>
            </w:r>
          </w:p>
        </w:tc>
        <w:tc>
          <w:tcPr>
            <w:tcW w:w="959" w:type="pct"/>
          </w:tcPr>
          <w:p w14:paraId="2388A053"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31 (17%)</w:t>
            </w:r>
          </w:p>
        </w:tc>
        <w:tc>
          <w:tcPr>
            <w:tcW w:w="946" w:type="pct"/>
          </w:tcPr>
          <w:p w14:paraId="4B7B5E01"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19 (17%)</w:t>
            </w:r>
          </w:p>
        </w:tc>
      </w:tr>
      <w:tr w:rsidR="0077236D" w:rsidRPr="00DB0409" w14:paraId="5D3F7135" w14:textId="77777777" w:rsidTr="00E73500">
        <w:trPr>
          <w:jc w:val="center"/>
        </w:trPr>
        <w:tc>
          <w:tcPr>
            <w:tcW w:w="3095" w:type="pct"/>
          </w:tcPr>
          <w:p w14:paraId="557B1CCC" w14:textId="77777777" w:rsidR="0077236D" w:rsidRPr="00DB0409" w:rsidRDefault="0077236D" w:rsidP="00A65607">
            <w:pPr>
              <w:rPr>
                <w:rFonts w:ascii="Times New Roman" w:hAnsi="Times New Roman" w:cs="Times New Roman"/>
                <w:b/>
              </w:rPr>
            </w:pPr>
            <w:r w:rsidRPr="00DB0409">
              <w:rPr>
                <w:rFonts w:ascii="Times New Roman" w:hAnsi="Times New Roman" w:cs="Times New Roman"/>
                <w:b/>
              </w:rPr>
              <w:t>Epilepsy type</w:t>
            </w:r>
          </w:p>
          <w:p w14:paraId="6F0C9D1E" w14:textId="1D19EB74"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w:t>
            </w:r>
            <w:r w:rsidR="00D51AE9">
              <w:rPr>
                <w:rFonts w:ascii="Times New Roman" w:hAnsi="Times New Roman" w:cs="Times New Roman"/>
              </w:rPr>
              <w:t xml:space="preserve">Focal </w:t>
            </w:r>
          </w:p>
          <w:p w14:paraId="51F46E06"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Generalised</w:t>
            </w:r>
          </w:p>
          <w:p w14:paraId="292DCC33"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Unclassified</w:t>
            </w:r>
          </w:p>
        </w:tc>
        <w:tc>
          <w:tcPr>
            <w:tcW w:w="959" w:type="pct"/>
          </w:tcPr>
          <w:p w14:paraId="5CFF8935" w14:textId="77777777" w:rsidR="0077236D" w:rsidRPr="00DB0409" w:rsidRDefault="0077236D" w:rsidP="00A65607">
            <w:pPr>
              <w:jc w:val="center"/>
              <w:rPr>
                <w:rFonts w:ascii="Times New Roman" w:hAnsi="Times New Roman" w:cs="Times New Roman"/>
              </w:rPr>
            </w:pPr>
          </w:p>
          <w:p w14:paraId="523F976F"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105 (57%) </w:t>
            </w:r>
          </w:p>
          <w:p w14:paraId="6CA16DB7"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51 (28%) </w:t>
            </w:r>
          </w:p>
          <w:p w14:paraId="07FAF102"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29 (16%)</w:t>
            </w:r>
          </w:p>
        </w:tc>
        <w:tc>
          <w:tcPr>
            <w:tcW w:w="946" w:type="pct"/>
          </w:tcPr>
          <w:p w14:paraId="40FC8004" w14:textId="77777777" w:rsidR="0077236D" w:rsidRPr="00DB0409" w:rsidRDefault="0077236D" w:rsidP="00A65607">
            <w:pPr>
              <w:jc w:val="center"/>
              <w:rPr>
                <w:rFonts w:ascii="Times New Roman" w:hAnsi="Times New Roman" w:cs="Times New Roman"/>
                <w:highlight w:val="yellow"/>
              </w:rPr>
            </w:pPr>
          </w:p>
          <w:p w14:paraId="31C7EC53"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80 (70%)</w:t>
            </w:r>
          </w:p>
          <w:p w14:paraId="5DC201F2"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23 (20%)</w:t>
            </w:r>
          </w:p>
          <w:p w14:paraId="76D179ED"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12 (10%)</w:t>
            </w:r>
          </w:p>
        </w:tc>
      </w:tr>
      <w:tr w:rsidR="0077236D" w:rsidRPr="00DB0409" w14:paraId="765215FD" w14:textId="77777777" w:rsidTr="00E73500">
        <w:trPr>
          <w:trHeight w:val="267"/>
          <w:jc w:val="center"/>
        </w:trPr>
        <w:tc>
          <w:tcPr>
            <w:tcW w:w="3095" w:type="pct"/>
          </w:tcPr>
          <w:p w14:paraId="65E6DEAF" w14:textId="77777777" w:rsidR="0077236D" w:rsidRPr="00DB0409" w:rsidRDefault="0077236D" w:rsidP="00A65607">
            <w:pPr>
              <w:rPr>
                <w:rFonts w:ascii="Times New Roman" w:hAnsi="Times New Roman" w:cs="Times New Roman"/>
                <w:b/>
              </w:rPr>
            </w:pPr>
            <w:r w:rsidRPr="00DB0409">
              <w:rPr>
                <w:rFonts w:ascii="Times New Roman" w:hAnsi="Times New Roman" w:cs="Times New Roman"/>
                <w:b/>
              </w:rPr>
              <w:t>EEG results</w:t>
            </w:r>
          </w:p>
          <w:p w14:paraId="64F9D702"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Normal</w:t>
            </w:r>
          </w:p>
          <w:p w14:paraId="5FBA5618"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Abnormal</w:t>
            </w:r>
          </w:p>
          <w:p w14:paraId="0A85C5EA" w14:textId="77777777" w:rsidR="0077236D" w:rsidRPr="00DB0409" w:rsidRDefault="0077236D" w:rsidP="00A65607">
            <w:pPr>
              <w:rPr>
                <w:rFonts w:ascii="Times New Roman" w:hAnsi="Times New Roman" w:cs="Times New Roman"/>
                <w:highlight w:val="yellow"/>
              </w:rPr>
            </w:pPr>
            <w:r w:rsidRPr="00DB0409">
              <w:rPr>
                <w:rFonts w:ascii="Times New Roman" w:hAnsi="Times New Roman" w:cs="Times New Roman"/>
              </w:rPr>
              <w:t xml:space="preserve"> Not done</w:t>
            </w:r>
          </w:p>
        </w:tc>
        <w:tc>
          <w:tcPr>
            <w:tcW w:w="959" w:type="pct"/>
          </w:tcPr>
          <w:p w14:paraId="49066AC3" w14:textId="77777777" w:rsidR="0077236D" w:rsidRPr="00DB0409" w:rsidRDefault="0077236D" w:rsidP="00A65607">
            <w:pPr>
              <w:jc w:val="center"/>
              <w:rPr>
                <w:rFonts w:ascii="Times New Roman" w:hAnsi="Times New Roman" w:cs="Times New Roman"/>
              </w:rPr>
            </w:pPr>
          </w:p>
          <w:p w14:paraId="163AA2FE"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58 (32%) </w:t>
            </w:r>
          </w:p>
          <w:p w14:paraId="628BB02E"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110 (59%) </w:t>
            </w:r>
          </w:p>
          <w:p w14:paraId="23F2C09C"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17 (9%)</w:t>
            </w:r>
          </w:p>
        </w:tc>
        <w:tc>
          <w:tcPr>
            <w:tcW w:w="946" w:type="pct"/>
          </w:tcPr>
          <w:p w14:paraId="32D3E9BA" w14:textId="77777777" w:rsidR="0077236D" w:rsidRPr="00DB0409" w:rsidRDefault="0077236D" w:rsidP="00A65607">
            <w:pPr>
              <w:jc w:val="center"/>
              <w:rPr>
                <w:rFonts w:ascii="Times New Roman" w:hAnsi="Times New Roman" w:cs="Times New Roman"/>
                <w:highlight w:val="yellow"/>
              </w:rPr>
            </w:pPr>
          </w:p>
          <w:p w14:paraId="06BA623C"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49 (43%)</w:t>
            </w:r>
          </w:p>
          <w:p w14:paraId="37574D39"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61 (53%)</w:t>
            </w:r>
          </w:p>
          <w:p w14:paraId="2B3A4ABE"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5 (4%)</w:t>
            </w:r>
          </w:p>
        </w:tc>
      </w:tr>
      <w:tr w:rsidR="0077236D" w:rsidRPr="00DB0409" w14:paraId="5DFA3F7F" w14:textId="77777777" w:rsidTr="00E73500">
        <w:trPr>
          <w:trHeight w:val="274"/>
          <w:jc w:val="center"/>
        </w:trPr>
        <w:tc>
          <w:tcPr>
            <w:tcW w:w="3095" w:type="pct"/>
          </w:tcPr>
          <w:p w14:paraId="4622893D" w14:textId="77777777" w:rsidR="0077236D" w:rsidRPr="00DB0409" w:rsidRDefault="0077236D" w:rsidP="00A65607">
            <w:pPr>
              <w:rPr>
                <w:rFonts w:ascii="Times New Roman" w:hAnsi="Times New Roman" w:cs="Times New Roman"/>
                <w:b/>
              </w:rPr>
            </w:pPr>
            <w:r w:rsidRPr="00DB0409">
              <w:rPr>
                <w:rFonts w:ascii="Times New Roman" w:hAnsi="Times New Roman" w:cs="Times New Roman"/>
                <w:b/>
              </w:rPr>
              <w:t>CT/MRI scan results</w:t>
            </w:r>
          </w:p>
          <w:p w14:paraId="35F7CC97"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Normal</w:t>
            </w:r>
          </w:p>
          <w:p w14:paraId="7E70981D"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Abnormal</w:t>
            </w:r>
          </w:p>
          <w:p w14:paraId="408899E1"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Not done</w:t>
            </w:r>
          </w:p>
        </w:tc>
        <w:tc>
          <w:tcPr>
            <w:tcW w:w="959" w:type="pct"/>
          </w:tcPr>
          <w:p w14:paraId="538424A1" w14:textId="77777777" w:rsidR="0077236D" w:rsidRPr="00DB0409" w:rsidRDefault="0077236D" w:rsidP="00A65607">
            <w:pPr>
              <w:jc w:val="center"/>
              <w:rPr>
                <w:rFonts w:ascii="Times New Roman" w:hAnsi="Times New Roman" w:cs="Times New Roman"/>
              </w:rPr>
            </w:pPr>
          </w:p>
          <w:p w14:paraId="0F7E10CE"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91 (49%) </w:t>
            </w:r>
          </w:p>
          <w:p w14:paraId="725759EB"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33 (18%) </w:t>
            </w:r>
          </w:p>
          <w:p w14:paraId="1C217739"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61 (33%)</w:t>
            </w:r>
          </w:p>
        </w:tc>
        <w:tc>
          <w:tcPr>
            <w:tcW w:w="946" w:type="pct"/>
          </w:tcPr>
          <w:p w14:paraId="4AE77A15" w14:textId="77777777" w:rsidR="0077236D" w:rsidRPr="00DB0409" w:rsidRDefault="0077236D" w:rsidP="00A65607">
            <w:pPr>
              <w:jc w:val="center"/>
              <w:rPr>
                <w:rFonts w:ascii="Times New Roman" w:hAnsi="Times New Roman" w:cs="Times New Roman"/>
                <w:highlight w:val="yellow"/>
              </w:rPr>
            </w:pPr>
          </w:p>
          <w:p w14:paraId="2D435032"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59 (52%)</w:t>
            </w:r>
          </w:p>
          <w:p w14:paraId="0A685C78"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28 (24%)</w:t>
            </w:r>
          </w:p>
          <w:p w14:paraId="60B013F3" w14:textId="77777777" w:rsidR="0077236D" w:rsidRPr="00DB0409" w:rsidRDefault="0077236D" w:rsidP="00A65607">
            <w:pPr>
              <w:jc w:val="center"/>
              <w:rPr>
                <w:rFonts w:ascii="Times New Roman" w:hAnsi="Times New Roman" w:cs="Times New Roman"/>
                <w:highlight w:val="yellow"/>
              </w:rPr>
            </w:pPr>
            <w:r w:rsidRPr="00DB0409">
              <w:rPr>
                <w:rFonts w:ascii="Times New Roman" w:hAnsi="Times New Roman" w:cs="Times New Roman"/>
              </w:rPr>
              <w:t>28 (24%)</w:t>
            </w:r>
          </w:p>
        </w:tc>
      </w:tr>
      <w:tr w:rsidR="0077236D" w:rsidRPr="00DB0409" w14:paraId="14D75604" w14:textId="77777777" w:rsidTr="00E73500">
        <w:trPr>
          <w:trHeight w:val="274"/>
          <w:jc w:val="center"/>
        </w:trPr>
        <w:tc>
          <w:tcPr>
            <w:tcW w:w="3095" w:type="pct"/>
          </w:tcPr>
          <w:p w14:paraId="6462CC64" w14:textId="77777777" w:rsidR="0077236D" w:rsidRPr="00DB0409" w:rsidRDefault="0077236D" w:rsidP="00A65607">
            <w:pPr>
              <w:rPr>
                <w:rFonts w:ascii="Times New Roman" w:hAnsi="Times New Roman" w:cs="Times New Roman"/>
                <w:b/>
              </w:rPr>
            </w:pPr>
            <w:r w:rsidRPr="00DB0409">
              <w:rPr>
                <w:rFonts w:ascii="Times New Roman" w:hAnsi="Times New Roman" w:cs="Times New Roman"/>
                <w:b/>
              </w:rPr>
              <w:t>Drugs attempted to achieve 12-month remission</w:t>
            </w:r>
          </w:p>
          <w:p w14:paraId="3D480FB0"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One</w:t>
            </w:r>
          </w:p>
          <w:p w14:paraId="108EBA57"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Two or more</w:t>
            </w:r>
          </w:p>
        </w:tc>
        <w:tc>
          <w:tcPr>
            <w:tcW w:w="959" w:type="pct"/>
          </w:tcPr>
          <w:p w14:paraId="4E8F688E" w14:textId="77777777" w:rsidR="0077236D" w:rsidRPr="00DB0409" w:rsidRDefault="0077236D" w:rsidP="00A65607">
            <w:pPr>
              <w:jc w:val="center"/>
              <w:rPr>
                <w:rFonts w:ascii="Times New Roman" w:hAnsi="Times New Roman" w:cs="Times New Roman"/>
              </w:rPr>
            </w:pPr>
          </w:p>
          <w:p w14:paraId="6EAAFE54"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135 (73%) </w:t>
            </w:r>
          </w:p>
          <w:p w14:paraId="30EBC830"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50 (27%)</w:t>
            </w:r>
          </w:p>
        </w:tc>
        <w:tc>
          <w:tcPr>
            <w:tcW w:w="946" w:type="pct"/>
          </w:tcPr>
          <w:p w14:paraId="606BB406" w14:textId="77777777" w:rsidR="0077236D" w:rsidRPr="00DB0409" w:rsidRDefault="0077236D" w:rsidP="00A65607">
            <w:pPr>
              <w:jc w:val="center"/>
              <w:rPr>
                <w:rFonts w:ascii="Times New Roman" w:hAnsi="Times New Roman" w:cs="Times New Roman"/>
              </w:rPr>
            </w:pPr>
          </w:p>
          <w:p w14:paraId="1EE63B2D"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79 (69%)</w:t>
            </w:r>
          </w:p>
          <w:p w14:paraId="0178DD88"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36 (31%)</w:t>
            </w:r>
          </w:p>
        </w:tc>
      </w:tr>
      <w:tr w:rsidR="0077236D" w:rsidRPr="00DB0409" w14:paraId="32E4C513" w14:textId="77777777" w:rsidTr="00E73500">
        <w:trPr>
          <w:trHeight w:val="274"/>
          <w:jc w:val="center"/>
        </w:trPr>
        <w:tc>
          <w:tcPr>
            <w:tcW w:w="3095" w:type="pct"/>
            <w:vAlign w:val="center"/>
          </w:tcPr>
          <w:p w14:paraId="240BA65B"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Number of tonic-</w:t>
            </w:r>
            <w:proofErr w:type="spellStart"/>
            <w:r w:rsidRPr="00DB0409">
              <w:rPr>
                <w:rFonts w:ascii="Times New Roman" w:hAnsi="Times New Roman" w:cs="Times New Roman"/>
              </w:rPr>
              <w:t>clonic</w:t>
            </w:r>
            <w:proofErr w:type="spellEnd"/>
            <w:r w:rsidRPr="00DB0409">
              <w:rPr>
                <w:rFonts w:ascii="Times New Roman" w:hAnsi="Times New Roman" w:cs="Times New Roman"/>
              </w:rPr>
              <w:t xml:space="preserve"> seizures ever until first breakthrough seizure, median (IQR)</w:t>
            </w:r>
          </w:p>
        </w:tc>
        <w:tc>
          <w:tcPr>
            <w:tcW w:w="959" w:type="pct"/>
          </w:tcPr>
          <w:p w14:paraId="6DF9BA4C" w14:textId="77777777" w:rsidR="0077236D" w:rsidRPr="00DB0409" w:rsidRDefault="0077236D" w:rsidP="00A65607">
            <w:pPr>
              <w:jc w:val="center"/>
              <w:rPr>
                <w:rFonts w:ascii="Times New Roman" w:hAnsi="Times New Roman" w:cs="Times New Roman"/>
              </w:rPr>
            </w:pPr>
          </w:p>
          <w:p w14:paraId="206CF7E0"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 (1,5)</w:t>
            </w:r>
          </w:p>
        </w:tc>
        <w:tc>
          <w:tcPr>
            <w:tcW w:w="946" w:type="pct"/>
          </w:tcPr>
          <w:p w14:paraId="0F6E0ACB" w14:textId="77777777" w:rsidR="0077236D" w:rsidRPr="00DB0409" w:rsidRDefault="0077236D" w:rsidP="00A65607">
            <w:pPr>
              <w:jc w:val="center"/>
              <w:rPr>
                <w:rFonts w:ascii="Times New Roman" w:hAnsi="Times New Roman" w:cs="Times New Roman"/>
              </w:rPr>
            </w:pPr>
          </w:p>
          <w:p w14:paraId="0BA0CCFD"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 (0,6)</w:t>
            </w:r>
          </w:p>
        </w:tc>
      </w:tr>
      <w:tr w:rsidR="0077236D" w:rsidRPr="00DB0409" w14:paraId="2FE08AE1" w14:textId="77777777" w:rsidTr="00E73500">
        <w:trPr>
          <w:trHeight w:val="274"/>
          <w:jc w:val="center"/>
        </w:trPr>
        <w:tc>
          <w:tcPr>
            <w:tcW w:w="3095" w:type="pct"/>
            <w:vAlign w:val="center"/>
          </w:tcPr>
          <w:p w14:paraId="0D694877"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Total number of seizures before diagnosis, median (IQR)</w:t>
            </w:r>
          </w:p>
        </w:tc>
        <w:tc>
          <w:tcPr>
            <w:tcW w:w="959" w:type="pct"/>
            <w:vAlign w:val="center"/>
          </w:tcPr>
          <w:p w14:paraId="1B0DB98D" w14:textId="77777777" w:rsidR="0077236D" w:rsidRPr="00DB0409" w:rsidRDefault="0077236D" w:rsidP="00A65607">
            <w:pPr>
              <w:jc w:val="center"/>
              <w:rPr>
                <w:rFonts w:ascii="Times New Roman" w:hAnsi="Times New Roman" w:cs="Times New Roman"/>
              </w:rPr>
            </w:pPr>
          </w:p>
          <w:p w14:paraId="7894122A"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10 (3,51)</w:t>
            </w:r>
          </w:p>
        </w:tc>
        <w:tc>
          <w:tcPr>
            <w:tcW w:w="946" w:type="pct"/>
          </w:tcPr>
          <w:p w14:paraId="6389BB15" w14:textId="77777777" w:rsidR="0077236D" w:rsidRPr="00DB0409" w:rsidRDefault="0077236D" w:rsidP="00A65607">
            <w:pPr>
              <w:jc w:val="center"/>
              <w:rPr>
                <w:rFonts w:ascii="Times New Roman" w:hAnsi="Times New Roman" w:cs="Times New Roman"/>
              </w:rPr>
            </w:pPr>
          </w:p>
          <w:p w14:paraId="35DB0F23"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20 (5,100)</w:t>
            </w:r>
          </w:p>
        </w:tc>
      </w:tr>
      <w:tr w:rsidR="0077236D" w:rsidRPr="00DB0409" w14:paraId="1F2F47BA" w14:textId="77777777" w:rsidTr="00E73500">
        <w:trPr>
          <w:trHeight w:val="274"/>
          <w:jc w:val="center"/>
        </w:trPr>
        <w:tc>
          <w:tcPr>
            <w:tcW w:w="3095" w:type="pct"/>
            <w:vAlign w:val="center"/>
          </w:tcPr>
          <w:p w14:paraId="543CB96C"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Age at first breakthrough seizure, median (IQR)</w:t>
            </w:r>
          </w:p>
        </w:tc>
        <w:tc>
          <w:tcPr>
            <w:tcW w:w="959" w:type="pct"/>
            <w:vAlign w:val="center"/>
          </w:tcPr>
          <w:p w14:paraId="38A23C5A" w14:textId="77777777" w:rsidR="0077236D" w:rsidRPr="00DB0409" w:rsidRDefault="0077236D" w:rsidP="00A65607">
            <w:pPr>
              <w:jc w:val="center"/>
              <w:rPr>
                <w:rFonts w:ascii="Times New Roman" w:hAnsi="Times New Roman" w:cs="Times New Roman"/>
              </w:rPr>
            </w:pPr>
          </w:p>
          <w:p w14:paraId="42F2138C"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24 (16,44)</w:t>
            </w:r>
          </w:p>
        </w:tc>
        <w:tc>
          <w:tcPr>
            <w:tcW w:w="946" w:type="pct"/>
          </w:tcPr>
          <w:p w14:paraId="5BE4CD4E" w14:textId="77777777" w:rsidR="0077236D" w:rsidRPr="00DB0409" w:rsidRDefault="0077236D" w:rsidP="00A65607">
            <w:pPr>
              <w:jc w:val="center"/>
              <w:rPr>
                <w:rFonts w:ascii="Times New Roman" w:hAnsi="Times New Roman" w:cs="Times New Roman"/>
              </w:rPr>
            </w:pPr>
          </w:p>
          <w:p w14:paraId="73A5154E"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35 (20,50)</w:t>
            </w:r>
          </w:p>
        </w:tc>
      </w:tr>
      <w:tr w:rsidR="0077236D" w:rsidRPr="00DB0409" w14:paraId="095E6AE6" w14:textId="77777777" w:rsidTr="00E73500">
        <w:trPr>
          <w:trHeight w:val="274"/>
          <w:jc w:val="center"/>
        </w:trPr>
        <w:tc>
          <w:tcPr>
            <w:tcW w:w="3095" w:type="pct"/>
            <w:vAlign w:val="center"/>
          </w:tcPr>
          <w:p w14:paraId="73DF5DBE"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Time to achieve 12-month remission from randomisation (years), median (IQR)</w:t>
            </w:r>
          </w:p>
        </w:tc>
        <w:tc>
          <w:tcPr>
            <w:tcW w:w="959" w:type="pct"/>
          </w:tcPr>
          <w:p w14:paraId="5B1C448C" w14:textId="77777777" w:rsidR="0077236D" w:rsidRPr="00DB0409" w:rsidRDefault="0077236D" w:rsidP="00A65607">
            <w:pPr>
              <w:jc w:val="center"/>
              <w:rPr>
                <w:rFonts w:ascii="Times New Roman" w:hAnsi="Times New Roman" w:cs="Times New Roman"/>
              </w:rPr>
            </w:pPr>
          </w:p>
          <w:p w14:paraId="667E98E2"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 (1,1.52)</w:t>
            </w:r>
          </w:p>
        </w:tc>
        <w:tc>
          <w:tcPr>
            <w:tcW w:w="946" w:type="pct"/>
          </w:tcPr>
          <w:p w14:paraId="21BBF0C4" w14:textId="77777777" w:rsidR="0077236D" w:rsidRPr="00DB0409" w:rsidRDefault="0077236D" w:rsidP="00A65607">
            <w:pPr>
              <w:jc w:val="center"/>
              <w:rPr>
                <w:rFonts w:ascii="Times New Roman" w:hAnsi="Times New Roman" w:cs="Times New Roman"/>
              </w:rPr>
            </w:pPr>
          </w:p>
          <w:p w14:paraId="421060CD"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1.24 (1.0,2.0)</w:t>
            </w:r>
          </w:p>
        </w:tc>
      </w:tr>
      <w:tr w:rsidR="0077236D" w:rsidRPr="00DB0409" w14:paraId="49897FE3" w14:textId="77777777" w:rsidTr="00E73500">
        <w:trPr>
          <w:trHeight w:val="274"/>
          <w:jc w:val="center"/>
        </w:trPr>
        <w:tc>
          <w:tcPr>
            <w:tcW w:w="3095" w:type="pct"/>
          </w:tcPr>
          <w:p w14:paraId="0637A58B" w14:textId="77777777" w:rsidR="0077236D" w:rsidRPr="00DB0409" w:rsidRDefault="0077236D" w:rsidP="00A65607">
            <w:pPr>
              <w:rPr>
                <w:rFonts w:ascii="Times New Roman" w:hAnsi="Times New Roman" w:cs="Times New Roman"/>
                <w:b/>
              </w:rPr>
            </w:pPr>
            <w:r w:rsidRPr="00DB0409">
              <w:rPr>
                <w:rFonts w:ascii="Times New Roman" w:hAnsi="Times New Roman" w:cs="Times New Roman"/>
                <w:b/>
              </w:rPr>
              <w:t>Breakthrough seizure treatment decision</w:t>
            </w:r>
          </w:p>
          <w:p w14:paraId="1FD66A83"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No change to treatment plan</w:t>
            </w:r>
          </w:p>
          <w:p w14:paraId="7FC0F316"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Increase dosage</w:t>
            </w:r>
          </w:p>
          <w:p w14:paraId="283A887B"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 Decrease dosage (or not specified)</w:t>
            </w:r>
          </w:p>
        </w:tc>
        <w:tc>
          <w:tcPr>
            <w:tcW w:w="959" w:type="pct"/>
          </w:tcPr>
          <w:p w14:paraId="6892A954" w14:textId="77777777" w:rsidR="0077236D" w:rsidRPr="00DB0409" w:rsidRDefault="0077236D" w:rsidP="00A65607">
            <w:pPr>
              <w:jc w:val="center"/>
              <w:rPr>
                <w:rFonts w:ascii="Times New Roman" w:hAnsi="Times New Roman" w:cs="Times New Roman"/>
              </w:rPr>
            </w:pPr>
          </w:p>
          <w:p w14:paraId="5D76E2C4"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123 (66%) </w:t>
            </w:r>
          </w:p>
          <w:p w14:paraId="34E65E95"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 xml:space="preserve">59 (32%)  </w:t>
            </w:r>
          </w:p>
          <w:p w14:paraId="04C74AC1"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3 (2%)</w:t>
            </w:r>
          </w:p>
        </w:tc>
        <w:tc>
          <w:tcPr>
            <w:tcW w:w="946" w:type="pct"/>
          </w:tcPr>
          <w:p w14:paraId="6C8B92AC" w14:textId="77777777" w:rsidR="0077236D" w:rsidRPr="00DB0409" w:rsidRDefault="0077236D" w:rsidP="00A65607">
            <w:pPr>
              <w:jc w:val="center"/>
              <w:rPr>
                <w:rFonts w:ascii="Times New Roman" w:hAnsi="Times New Roman" w:cs="Times New Roman"/>
              </w:rPr>
            </w:pPr>
          </w:p>
          <w:p w14:paraId="4186B20B"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60 (52%)</w:t>
            </w:r>
          </w:p>
          <w:p w14:paraId="676916A7"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52 (45%)</w:t>
            </w:r>
          </w:p>
          <w:p w14:paraId="4596E985"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3 (3%)</w:t>
            </w:r>
          </w:p>
        </w:tc>
      </w:tr>
    </w:tbl>
    <w:p w14:paraId="3AFC08DF" w14:textId="77777777" w:rsidR="0077236D" w:rsidRDefault="0077236D" w:rsidP="005E16CF">
      <w:pPr>
        <w:spacing w:after="120" w:line="480" w:lineRule="auto"/>
        <w:rPr>
          <w:rFonts w:ascii="Times New Roman" w:hAnsi="Times New Roman" w:cs="Times New Roman"/>
        </w:rPr>
      </w:pPr>
    </w:p>
    <w:p w14:paraId="71ED31F1" w14:textId="066A92F7" w:rsidR="0077236D" w:rsidRPr="00DB0409" w:rsidRDefault="0077236D" w:rsidP="0077236D">
      <w:pPr>
        <w:pStyle w:val="Caption"/>
        <w:keepNext/>
        <w:spacing w:line="480" w:lineRule="auto"/>
        <w:rPr>
          <w:rFonts w:ascii="Times New Roman" w:hAnsi="Times New Roman" w:cs="Times New Roman"/>
          <w:sz w:val="24"/>
          <w:szCs w:val="24"/>
        </w:rPr>
      </w:pPr>
      <w:r w:rsidRPr="00DB0409">
        <w:rPr>
          <w:rFonts w:ascii="Times New Roman" w:hAnsi="Times New Roman" w:cs="Times New Roman"/>
          <w:sz w:val="24"/>
          <w:szCs w:val="24"/>
        </w:rPr>
        <w:lastRenderedPageBreak/>
        <w:t xml:space="preserve">Table 2: Model </w:t>
      </w:r>
      <w:r w:rsidR="004C7A0E">
        <w:rPr>
          <w:rFonts w:ascii="Times New Roman" w:hAnsi="Times New Roman" w:cs="Times New Roman"/>
          <w:sz w:val="24"/>
          <w:szCs w:val="24"/>
        </w:rPr>
        <w:t>fixed-effects p</w:t>
      </w:r>
      <w:r w:rsidRPr="00DB0409">
        <w:rPr>
          <w:rFonts w:ascii="Times New Roman" w:hAnsi="Times New Roman" w:cs="Times New Roman"/>
          <w:sz w:val="24"/>
          <w:szCs w:val="24"/>
        </w:rPr>
        <w:t xml:space="preserve">arameters for the multivariate mixed model. </w:t>
      </w:r>
    </w:p>
    <w:tbl>
      <w:tblPr>
        <w:tblStyle w:val="TableGrid"/>
        <w:tblW w:w="10250" w:type="dxa"/>
        <w:jc w:val="center"/>
        <w:tblLayout w:type="fixed"/>
        <w:tblLook w:val="04A0" w:firstRow="1" w:lastRow="0" w:firstColumn="1" w:lastColumn="0" w:noHBand="0" w:noVBand="1"/>
      </w:tblPr>
      <w:tblGrid>
        <w:gridCol w:w="1271"/>
        <w:gridCol w:w="3119"/>
        <w:gridCol w:w="850"/>
        <w:gridCol w:w="1843"/>
        <w:gridCol w:w="1303"/>
        <w:gridCol w:w="1864"/>
      </w:tblGrid>
      <w:tr w:rsidR="0077236D" w:rsidRPr="00DB0409" w14:paraId="6AD27963" w14:textId="77777777" w:rsidTr="008D1BFA">
        <w:trPr>
          <w:jc w:val="center"/>
        </w:trPr>
        <w:tc>
          <w:tcPr>
            <w:tcW w:w="4390" w:type="dxa"/>
            <w:gridSpan w:val="2"/>
            <w:vMerge w:val="restart"/>
          </w:tcPr>
          <w:p w14:paraId="33A1F013" w14:textId="77777777" w:rsidR="0077236D" w:rsidRPr="00DB0409" w:rsidRDefault="0077236D" w:rsidP="00A65607">
            <w:pPr>
              <w:rPr>
                <w:rFonts w:ascii="Times New Roman" w:hAnsi="Times New Roman" w:cs="Times New Roman"/>
              </w:rPr>
            </w:pPr>
          </w:p>
        </w:tc>
        <w:tc>
          <w:tcPr>
            <w:tcW w:w="5860" w:type="dxa"/>
            <w:gridSpan w:val="4"/>
            <w:tcBorders>
              <w:bottom w:val="single" w:sz="4" w:space="0" w:color="auto"/>
            </w:tcBorders>
          </w:tcPr>
          <w:p w14:paraId="6683D6C0"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Longitudinal Variable</w:t>
            </w:r>
          </w:p>
        </w:tc>
      </w:tr>
      <w:tr w:rsidR="0077236D" w:rsidRPr="00DB0409" w14:paraId="2978FFC4" w14:textId="77777777" w:rsidTr="008D1BFA">
        <w:trPr>
          <w:jc w:val="center"/>
        </w:trPr>
        <w:tc>
          <w:tcPr>
            <w:tcW w:w="4390" w:type="dxa"/>
            <w:gridSpan w:val="2"/>
            <w:vMerge/>
            <w:tcBorders>
              <w:bottom w:val="single" w:sz="4" w:space="0" w:color="auto"/>
            </w:tcBorders>
          </w:tcPr>
          <w:p w14:paraId="2787AB8D" w14:textId="77777777" w:rsidR="0077236D" w:rsidRPr="00DB0409" w:rsidRDefault="0077236D" w:rsidP="00A65607">
            <w:pPr>
              <w:rPr>
                <w:rFonts w:ascii="Times New Roman" w:hAnsi="Times New Roman" w:cs="Times New Roman"/>
              </w:rPr>
            </w:pPr>
          </w:p>
        </w:tc>
        <w:tc>
          <w:tcPr>
            <w:tcW w:w="2693" w:type="dxa"/>
            <w:gridSpan w:val="2"/>
            <w:tcBorders>
              <w:bottom w:val="single" w:sz="4" w:space="0" w:color="auto"/>
            </w:tcBorders>
          </w:tcPr>
          <w:p w14:paraId="1ACCF8F2"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Seizures since last visit (Yes/No)</w:t>
            </w:r>
          </w:p>
        </w:tc>
        <w:tc>
          <w:tcPr>
            <w:tcW w:w="3167" w:type="dxa"/>
            <w:gridSpan w:val="2"/>
            <w:tcBorders>
              <w:bottom w:val="single" w:sz="4" w:space="0" w:color="auto"/>
            </w:tcBorders>
          </w:tcPr>
          <w:p w14:paraId="447722A5"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Total Number of Seizures since last visit</w:t>
            </w:r>
          </w:p>
        </w:tc>
      </w:tr>
      <w:tr w:rsidR="0077236D" w:rsidRPr="00DB0409" w14:paraId="5CEE845B" w14:textId="77777777" w:rsidTr="008D1BFA">
        <w:trPr>
          <w:trHeight w:val="435"/>
          <w:jc w:val="center"/>
        </w:trPr>
        <w:tc>
          <w:tcPr>
            <w:tcW w:w="1271" w:type="dxa"/>
            <w:tcBorders>
              <w:top w:val="single" w:sz="4" w:space="0" w:color="auto"/>
              <w:bottom w:val="single" w:sz="36" w:space="0" w:color="auto"/>
            </w:tcBorders>
          </w:tcPr>
          <w:p w14:paraId="21F8C44B"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Patient Group</w:t>
            </w:r>
          </w:p>
        </w:tc>
        <w:tc>
          <w:tcPr>
            <w:tcW w:w="3119" w:type="dxa"/>
            <w:tcBorders>
              <w:top w:val="single" w:sz="4" w:space="0" w:color="auto"/>
              <w:bottom w:val="single" w:sz="36" w:space="0" w:color="auto"/>
            </w:tcBorders>
            <w:vAlign w:val="bottom"/>
          </w:tcPr>
          <w:p w14:paraId="5F8F2CAA"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Variable</w:t>
            </w:r>
          </w:p>
        </w:tc>
        <w:tc>
          <w:tcPr>
            <w:tcW w:w="850" w:type="dxa"/>
            <w:tcBorders>
              <w:top w:val="single" w:sz="4" w:space="0" w:color="auto"/>
              <w:bottom w:val="single" w:sz="36" w:space="0" w:color="auto"/>
            </w:tcBorders>
            <w:vAlign w:val="bottom"/>
          </w:tcPr>
          <w:p w14:paraId="12B1512C"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Odds Ratio</w:t>
            </w:r>
            <w:r w:rsidR="00C40E87" w:rsidRPr="00036662">
              <w:rPr>
                <w:rFonts w:ascii="Times New Roman" w:eastAsia="Times New Roman" w:hAnsi="Times New Roman" w:cs="Times New Roman"/>
                <w:color w:val="000000"/>
                <w:vertAlign w:val="superscript"/>
                <w:lang w:eastAsia="en-GB"/>
              </w:rPr>
              <w:t>1</w:t>
            </w:r>
          </w:p>
        </w:tc>
        <w:tc>
          <w:tcPr>
            <w:tcW w:w="1843" w:type="dxa"/>
            <w:tcBorders>
              <w:top w:val="single" w:sz="4" w:space="0" w:color="auto"/>
              <w:bottom w:val="single" w:sz="36" w:space="0" w:color="auto"/>
            </w:tcBorders>
            <w:vAlign w:val="bottom"/>
          </w:tcPr>
          <w:p w14:paraId="3783CF8A"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95% CI</w:t>
            </w:r>
          </w:p>
        </w:tc>
        <w:tc>
          <w:tcPr>
            <w:tcW w:w="1303" w:type="dxa"/>
            <w:tcBorders>
              <w:top w:val="single" w:sz="4" w:space="0" w:color="auto"/>
              <w:bottom w:val="single" w:sz="36" w:space="0" w:color="auto"/>
            </w:tcBorders>
            <w:vAlign w:val="bottom"/>
          </w:tcPr>
          <w:p w14:paraId="56BDB0B5" w14:textId="77777777" w:rsidR="0077236D" w:rsidRPr="00DB0409" w:rsidRDefault="00242C1A" w:rsidP="00A65607">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Parameter Estimate</w:t>
            </w:r>
            <w:r w:rsidR="00C40E87" w:rsidRPr="00036662">
              <w:rPr>
                <w:rFonts w:ascii="Times New Roman" w:eastAsia="Times New Roman" w:hAnsi="Times New Roman" w:cs="Times New Roman"/>
                <w:color w:val="000000"/>
                <w:vertAlign w:val="superscript"/>
                <w:lang w:eastAsia="en-GB"/>
              </w:rPr>
              <w:t>2</w:t>
            </w:r>
          </w:p>
        </w:tc>
        <w:tc>
          <w:tcPr>
            <w:tcW w:w="1864" w:type="dxa"/>
            <w:tcBorders>
              <w:top w:val="single" w:sz="4" w:space="0" w:color="auto"/>
              <w:bottom w:val="single" w:sz="36" w:space="0" w:color="auto"/>
            </w:tcBorders>
            <w:vAlign w:val="bottom"/>
          </w:tcPr>
          <w:p w14:paraId="4630E5D9"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95% CI</w:t>
            </w:r>
          </w:p>
        </w:tc>
      </w:tr>
      <w:tr w:rsidR="0077236D" w:rsidRPr="00DB0409" w14:paraId="36E55B55" w14:textId="77777777" w:rsidTr="008D1BFA">
        <w:trPr>
          <w:jc w:val="center"/>
        </w:trPr>
        <w:tc>
          <w:tcPr>
            <w:tcW w:w="1271" w:type="dxa"/>
            <w:vMerge w:val="restart"/>
            <w:tcBorders>
              <w:top w:val="single" w:sz="36" w:space="0" w:color="auto"/>
            </w:tcBorders>
          </w:tcPr>
          <w:p w14:paraId="45587EAF"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 xml:space="preserve">Patients who achieve </w:t>
            </w:r>
            <w:r w:rsidR="008F01DA">
              <w:rPr>
                <w:rFonts w:ascii="Times New Roman" w:hAnsi="Times New Roman" w:cs="Times New Roman"/>
              </w:rPr>
              <w:t xml:space="preserve">second </w:t>
            </w:r>
            <w:r w:rsidRPr="00DB0409">
              <w:rPr>
                <w:rFonts w:ascii="Times New Roman" w:hAnsi="Times New Roman" w:cs="Times New Roman"/>
              </w:rPr>
              <w:t>remission</w:t>
            </w:r>
          </w:p>
        </w:tc>
        <w:tc>
          <w:tcPr>
            <w:tcW w:w="3119" w:type="dxa"/>
            <w:tcBorders>
              <w:top w:val="single" w:sz="36" w:space="0" w:color="auto"/>
            </w:tcBorders>
            <w:vAlign w:val="bottom"/>
          </w:tcPr>
          <w:p w14:paraId="6F00E16E"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Time since last follow up (</w:t>
            </w:r>
            <w:r w:rsidR="00E467E4">
              <w:rPr>
                <w:rFonts w:ascii="Times New Roman" w:eastAsia="Times New Roman" w:hAnsi="Times New Roman" w:cs="Times New Roman"/>
                <w:color w:val="000000"/>
                <w:lang w:eastAsia="en-GB"/>
              </w:rPr>
              <w:t>months</w:t>
            </w:r>
            <w:r w:rsidRPr="00DB0409">
              <w:rPr>
                <w:rFonts w:ascii="Times New Roman" w:eastAsia="Times New Roman" w:hAnsi="Times New Roman" w:cs="Times New Roman"/>
                <w:color w:val="000000"/>
                <w:lang w:eastAsia="en-GB"/>
              </w:rPr>
              <w:t>)</w:t>
            </w:r>
          </w:p>
        </w:tc>
        <w:tc>
          <w:tcPr>
            <w:tcW w:w="850" w:type="dxa"/>
            <w:tcBorders>
              <w:top w:val="single" w:sz="36" w:space="0" w:color="auto"/>
            </w:tcBorders>
            <w:vAlign w:val="bottom"/>
          </w:tcPr>
          <w:p w14:paraId="0FD51B58" w14:textId="77777777" w:rsidR="0077236D" w:rsidRPr="00DB0409" w:rsidRDefault="00E467E4"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2.657</w:t>
            </w:r>
            <w:r w:rsidR="0077236D" w:rsidRPr="00DB0409">
              <w:rPr>
                <w:rFonts w:ascii="Times New Roman" w:eastAsia="Times New Roman" w:hAnsi="Times New Roman" w:cs="Times New Roman"/>
                <w:color w:val="000000"/>
                <w:lang w:eastAsia="en-GB"/>
              </w:rPr>
              <w:t xml:space="preserve"> </w:t>
            </w:r>
          </w:p>
        </w:tc>
        <w:tc>
          <w:tcPr>
            <w:tcW w:w="1843" w:type="dxa"/>
            <w:tcBorders>
              <w:top w:val="single" w:sz="36" w:space="0" w:color="auto"/>
            </w:tcBorders>
            <w:vAlign w:val="bottom"/>
          </w:tcPr>
          <w:p w14:paraId="7D86C579"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E467E4">
              <w:rPr>
                <w:rFonts w:ascii="Times New Roman" w:eastAsia="Times New Roman" w:hAnsi="Times New Roman" w:cs="Times New Roman"/>
                <w:color w:val="000000"/>
                <w:lang w:eastAsia="en-GB"/>
              </w:rPr>
              <w:t>2.002</w:t>
            </w:r>
            <w:r w:rsidRPr="00DB0409">
              <w:rPr>
                <w:rFonts w:ascii="Times New Roman" w:eastAsia="Times New Roman" w:hAnsi="Times New Roman" w:cs="Times New Roman"/>
                <w:color w:val="000000"/>
                <w:lang w:eastAsia="en-GB"/>
              </w:rPr>
              <w:t xml:space="preserve">, </w:t>
            </w:r>
            <w:r w:rsidR="00E467E4">
              <w:rPr>
                <w:rFonts w:ascii="Times New Roman" w:eastAsia="Times New Roman" w:hAnsi="Times New Roman" w:cs="Times New Roman"/>
                <w:color w:val="000000"/>
                <w:lang w:eastAsia="en-GB"/>
              </w:rPr>
              <w:t>3.495</w:t>
            </w:r>
            <w:r w:rsidRPr="00DB0409">
              <w:rPr>
                <w:rFonts w:ascii="Times New Roman" w:eastAsia="Times New Roman" w:hAnsi="Times New Roman" w:cs="Times New Roman"/>
                <w:color w:val="000000"/>
                <w:lang w:eastAsia="en-GB"/>
              </w:rPr>
              <w:t>)</w:t>
            </w:r>
          </w:p>
        </w:tc>
        <w:tc>
          <w:tcPr>
            <w:tcW w:w="1303" w:type="dxa"/>
            <w:tcBorders>
              <w:top w:val="single" w:sz="36" w:space="0" w:color="auto"/>
            </w:tcBorders>
            <w:vAlign w:val="bottom"/>
          </w:tcPr>
          <w:p w14:paraId="3652B03D" w14:textId="77777777" w:rsidR="0077236D" w:rsidRPr="00DB0409" w:rsidRDefault="00242C1A"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0.024</w:t>
            </w:r>
          </w:p>
        </w:tc>
        <w:tc>
          <w:tcPr>
            <w:tcW w:w="1864" w:type="dxa"/>
            <w:tcBorders>
              <w:top w:val="single" w:sz="36" w:space="0" w:color="auto"/>
            </w:tcBorders>
            <w:vAlign w:val="bottom"/>
          </w:tcPr>
          <w:p w14:paraId="1D3FE29D"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242C1A">
              <w:rPr>
                <w:rFonts w:ascii="Times New Roman" w:eastAsia="Times New Roman" w:hAnsi="Times New Roman" w:cs="Times New Roman"/>
                <w:color w:val="000000"/>
                <w:lang w:eastAsia="en-GB"/>
              </w:rPr>
              <w:t>0.012, 0.036</w:t>
            </w:r>
            <w:r w:rsidRPr="00DB0409">
              <w:rPr>
                <w:rFonts w:ascii="Times New Roman" w:eastAsia="Times New Roman" w:hAnsi="Times New Roman" w:cs="Times New Roman"/>
                <w:color w:val="000000"/>
                <w:lang w:eastAsia="en-GB"/>
              </w:rPr>
              <w:t>)</w:t>
            </w:r>
          </w:p>
        </w:tc>
      </w:tr>
      <w:tr w:rsidR="0077236D" w:rsidRPr="00DB0409" w14:paraId="0AE70128" w14:textId="77777777" w:rsidTr="008D1BFA">
        <w:trPr>
          <w:jc w:val="center"/>
        </w:trPr>
        <w:tc>
          <w:tcPr>
            <w:tcW w:w="1271" w:type="dxa"/>
            <w:vMerge/>
          </w:tcPr>
          <w:p w14:paraId="17ED8B7F" w14:textId="77777777" w:rsidR="0077236D" w:rsidRPr="00DB0409" w:rsidRDefault="0077236D" w:rsidP="00A65607">
            <w:pPr>
              <w:rPr>
                <w:rFonts w:ascii="Times New Roman" w:hAnsi="Times New Roman" w:cs="Times New Roman"/>
              </w:rPr>
            </w:pPr>
          </w:p>
        </w:tc>
        <w:tc>
          <w:tcPr>
            <w:tcW w:w="3119" w:type="dxa"/>
            <w:vAlign w:val="bottom"/>
          </w:tcPr>
          <w:p w14:paraId="0F0D42C8"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Time since Breakthrough (</w:t>
            </w:r>
            <w:r w:rsidR="00E467E4">
              <w:rPr>
                <w:rFonts w:ascii="Times New Roman" w:eastAsia="Times New Roman" w:hAnsi="Times New Roman" w:cs="Times New Roman"/>
                <w:color w:val="000000"/>
                <w:lang w:eastAsia="en-GB"/>
              </w:rPr>
              <w:t>months</w:t>
            </w:r>
            <w:r w:rsidRPr="00DB0409">
              <w:rPr>
                <w:rFonts w:ascii="Times New Roman" w:eastAsia="Times New Roman" w:hAnsi="Times New Roman" w:cs="Times New Roman"/>
                <w:color w:val="000000"/>
                <w:lang w:eastAsia="en-GB"/>
              </w:rPr>
              <w:t>)</w:t>
            </w:r>
          </w:p>
        </w:tc>
        <w:tc>
          <w:tcPr>
            <w:tcW w:w="850" w:type="dxa"/>
            <w:vAlign w:val="bottom"/>
          </w:tcPr>
          <w:p w14:paraId="0AC7BC9D"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w:t>
            </w:r>
            <w:r w:rsidR="00E467E4">
              <w:rPr>
                <w:rFonts w:ascii="Times New Roman" w:eastAsia="Times New Roman" w:hAnsi="Times New Roman" w:cs="Times New Roman"/>
                <w:color w:val="000000"/>
                <w:lang w:eastAsia="en-GB"/>
              </w:rPr>
              <w:t>426</w:t>
            </w:r>
          </w:p>
        </w:tc>
        <w:tc>
          <w:tcPr>
            <w:tcW w:w="1843" w:type="dxa"/>
            <w:vAlign w:val="bottom"/>
          </w:tcPr>
          <w:p w14:paraId="2B9B913A"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w:t>
            </w:r>
            <w:r w:rsidR="00E467E4">
              <w:rPr>
                <w:rFonts w:ascii="Times New Roman" w:eastAsia="Times New Roman" w:hAnsi="Times New Roman" w:cs="Times New Roman"/>
                <w:color w:val="000000"/>
                <w:lang w:eastAsia="en-GB"/>
              </w:rPr>
              <w:t>330</w:t>
            </w:r>
            <w:r w:rsidRPr="00DB0409">
              <w:rPr>
                <w:rFonts w:ascii="Times New Roman" w:eastAsia="Times New Roman" w:hAnsi="Times New Roman" w:cs="Times New Roman"/>
                <w:color w:val="000000"/>
                <w:lang w:eastAsia="en-GB"/>
              </w:rPr>
              <w:t>, 0.</w:t>
            </w:r>
            <w:r w:rsidR="00E467E4">
              <w:rPr>
                <w:rFonts w:ascii="Times New Roman" w:eastAsia="Times New Roman" w:hAnsi="Times New Roman" w:cs="Times New Roman"/>
                <w:color w:val="000000"/>
                <w:lang w:eastAsia="en-GB"/>
              </w:rPr>
              <w:t>543</w:t>
            </w:r>
            <w:r w:rsidRPr="00DB0409">
              <w:rPr>
                <w:rFonts w:ascii="Times New Roman" w:eastAsia="Times New Roman" w:hAnsi="Times New Roman" w:cs="Times New Roman"/>
                <w:color w:val="000000"/>
                <w:lang w:eastAsia="en-GB"/>
              </w:rPr>
              <w:t>)</w:t>
            </w:r>
          </w:p>
        </w:tc>
        <w:tc>
          <w:tcPr>
            <w:tcW w:w="1303" w:type="dxa"/>
            <w:vAlign w:val="bottom"/>
          </w:tcPr>
          <w:p w14:paraId="0A1F2EC6" w14:textId="77777777" w:rsidR="0077236D" w:rsidRPr="00DB0409" w:rsidRDefault="00242C1A"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-0.069</w:t>
            </w:r>
          </w:p>
        </w:tc>
        <w:tc>
          <w:tcPr>
            <w:tcW w:w="1864" w:type="dxa"/>
            <w:vAlign w:val="bottom"/>
          </w:tcPr>
          <w:p w14:paraId="69520718"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242C1A">
              <w:rPr>
                <w:rFonts w:ascii="Times New Roman" w:eastAsia="Times New Roman" w:hAnsi="Times New Roman" w:cs="Times New Roman"/>
                <w:color w:val="000000"/>
                <w:lang w:eastAsia="en-GB"/>
              </w:rPr>
              <w:t>-0.080, -0.057</w:t>
            </w:r>
            <w:r w:rsidRPr="00DB0409">
              <w:rPr>
                <w:rFonts w:ascii="Times New Roman" w:eastAsia="Times New Roman" w:hAnsi="Times New Roman" w:cs="Times New Roman"/>
                <w:color w:val="000000"/>
                <w:lang w:eastAsia="en-GB"/>
              </w:rPr>
              <w:t>)</w:t>
            </w:r>
          </w:p>
        </w:tc>
      </w:tr>
      <w:tr w:rsidR="0077236D" w:rsidRPr="00DB0409" w14:paraId="48928772" w14:textId="77777777" w:rsidTr="008D1BFA">
        <w:trPr>
          <w:jc w:val="center"/>
        </w:trPr>
        <w:tc>
          <w:tcPr>
            <w:tcW w:w="1271" w:type="dxa"/>
            <w:vMerge/>
          </w:tcPr>
          <w:p w14:paraId="5B242269" w14:textId="77777777" w:rsidR="0077236D" w:rsidRPr="00DB0409" w:rsidRDefault="0077236D" w:rsidP="00A65607">
            <w:pPr>
              <w:rPr>
                <w:rFonts w:ascii="Times New Roman" w:hAnsi="Times New Roman" w:cs="Times New Roman"/>
              </w:rPr>
            </w:pPr>
          </w:p>
        </w:tc>
        <w:tc>
          <w:tcPr>
            <w:tcW w:w="3119" w:type="dxa"/>
            <w:vAlign w:val="bottom"/>
          </w:tcPr>
          <w:p w14:paraId="14490FE8"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Drugs attempted to achieve first remission</w:t>
            </w:r>
          </w:p>
        </w:tc>
        <w:tc>
          <w:tcPr>
            <w:tcW w:w="850" w:type="dxa"/>
            <w:shd w:val="clear" w:color="auto" w:fill="FFFFFF" w:themeFill="background1"/>
            <w:vAlign w:val="bottom"/>
          </w:tcPr>
          <w:p w14:paraId="51F3F120" w14:textId="77777777" w:rsidR="0077236D" w:rsidRPr="00DB0409" w:rsidRDefault="0077236D" w:rsidP="00A65607">
            <w:pPr>
              <w:jc w:val="center"/>
              <w:rPr>
                <w:rFonts w:ascii="Times New Roman" w:eastAsia="Times New Roman" w:hAnsi="Times New Roman" w:cs="Times New Roman"/>
                <w:color w:val="000000"/>
                <w:lang w:eastAsia="en-GB"/>
              </w:rPr>
            </w:pPr>
          </w:p>
        </w:tc>
        <w:tc>
          <w:tcPr>
            <w:tcW w:w="1843" w:type="dxa"/>
            <w:shd w:val="clear" w:color="auto" w:fill="FFFFFF" w:themeFill="background1"/>
            <w:vAlign w:val="bottom"/>
          </w:tcPr>
          <w:p w14:paraId="16763B29" w14:textId="77777777" w:rsidR="0077236D" w:rsidRPr="00DB0409" w:rsidRDefault="0077236D" w:rsidP="00A65607">
            <w:pPr>
              <w:jc w:val="center"/>
              <w:rPr>
                <w:rFonts w:ascii="Times New Roman" w:eastAsia="Times New Roman" w:hAnsi="Times New Roman" w:cs="Times New Roman"/>
                <w:color w:val="000000"/>
                <w:lang w:eastAsia="en-GB"/>
              </w:rPr>
            </w:pPr>
          </w:p>
        </w:tc>
        <w:tc>
          <w:tcPr>
            <w:tcW w:w="1303" w:type="dxa"/>
            <w:vAlign w:val="bottom"/>
          </w:tcPr>
          <w:p w14:paraId="50C841E6" w14:textId="77777777" w:rsidR="0077236D" w:rsidRPr="00DB0409" w:rsidRDefault="00242C1A"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0.207</w:t>
            </w:r>
          </w:p>
        </w:tc>
        <w:tc>
          <w:tcPr>
            <w:tcW w:w="1864" w:type="dxa"/>
            <w:vAlign w:val="bottom"/>
          </w:tcPr>
          <w:p w14:paraId="2D9502A0"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242C1A">
              <w:rPr>
                <w:rFonts w:ascii="Times New Roman" w:eastAsia="Times New Roman" w:hAnsi="Times New Roman" w:cs="Times New Roman"/>
                <w:color w:val="000000"/>
                <w:lang w:eastAsia="en-GB"/>
              </w:rPr>
              <w:t>0.116, 0.302</w:t>
            </w:r>
            <w:r w:rsidRPr="00DB0409">
              <w:rPr>
                <w:rFonts w:ascii="Times New Roman" w:eastAsia="Times New Roman" w:hAnsi="Times New Roman" w:cs="Times New Roman"/>
                <w:color w:val="000000"/>
                <w:lang w:eastAsia="en-GB"/>
              </w:rPr>
              <w:t>)</w:t>
            </w:r>
          </w:p>
        </w:tc>
      </w:tr>
      <w:tr w:rsidR="0077236D" w:rsidRPr="00DB0409" w14:paraId="0FF4273B" w14:textId="77777777" w:rsidTr="008D1BFA">
        <w:trPr>
          <w:jc w:val="center"/>
        </w:trPr>
        <w:tc>
          <w:tcPr>
            <w:tcW w:w="1271" w:type="dxa"/>
            <w:vMerge/>
          </w:tcPr>
          <w:p w14:paraId="3862F9A8" w14:textId="77777777" w:rsidR="0077236D" w:rsidRPr="00DB0409" w:rsidRDefault="0077236D" w:rsidP="00A65607">
            <w:pPr>
              <w:rPr>
                <w:rFonts w:ascii="Times New Roman" w:hAnsi="Times New Roman" w:cs="Times New Roman"/>
              </w:rPr>
            </w:pPr>
          </w:p>
        </w:tc>
        <w:tc>
          <w:tcPr>
            <w:tcW w:w="3119" w:type="dxa"/>
            <w:vAlign w:val="bottom"/>
          </w:tcPr>
          <w:p w14:paraId="48106252"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Age at Breakthrough (Years)</w:t>
            </w:r>
          </w:p>
        </w:tc>
        <w:tc>
          <w:tcPr>
            <w:tcW w:w="850" w:type="dxa"/>
            <w:shd w:val="clear" w:color="auto" w:fill="FFFFFF" w:themeFill="background1"/>
            <w:vAlign w:val="bottom"/>
          </w:tcPr>
          <w:p w14:paraId="3798B7C9" w14:textId="77777777" w:rsidR="0077236D" w:rsidRPr="00DB0409" w:rsidRDefault="0077236D" w:rsidP="00A65607">
            <w:pPr>
              <w:jc w:val="center"/>
              <w:rPr>
                <w:rFonts w:ascii="Times New Roman" w:eastAsia="Times New Roman" w:hAnsi="Times New Roman" w:cs="Times New Roman"/>
                <w:color w:val="000000"/>
                <w:lang w:eastAsia="en-GB"/>
              </w:rPr>
            </w:pPr>
          </w:p>
        </w:tc>
        <w:tc>
          <w:tcPr>
            <w:tcW w:w="1843" w:type="dxa"/>
            <w:shd w:val="clear" w:color="auto" w:fill="FFFFFF" w:themeFill="background1"/>
            <w:vAlign w:val="bottom"/>
          </w:tcPr>
          <w:p w14:paraId="78CF653F" w14:textId="77777777" w:rsidR="0077236D" w:rsidRPr="00DB0409" w:rsidRDefault="0077236D" w:rsidP="00A65607">
            <w:pPr>
              <w:jc w:val="center"/>
              <w:rPr>
                <w:rFonts w:ascii="Times New Roman" w:eastAsia="Times New Roman" w:hAnsi="Times New Roman" w:cs="Times New Roman"/>
                <w:color w:val="000000"/>
                <w:lang w:eastAsia="en-GB"/>
              </w:rPr>
            </w:pPr>
          </w:p>
        </w:tc>
        <w:tc>
          <w:tcPr>
            <w:tcW w:w="1303" w:type="dxa"/>
            <w:shd w:val="clear" w:color="auto" w:fill="auto"/>
          </w:tcPr>
          <w:p w14:paraId="476C09D0" w14:textId="77777777" w:rsidR="0077236D" w:rsidRPr="00DB0409" w:rsidRDefault="00242C1A" w:rsidP="00A65607">
            <w:pPr>
              <w:jc w:val="center"/>
              <w:rPr>
                <w:rFonts w:ascii="Times New Roman" w:hAnsi="Times New Roman" w:cs="Times New Roman"/>
              </w:rPr>
            </w:pPr>
            <w:r>
              <w:rPr>
                <w:rFonts w:ascii="Times New Roman" w:hAnsi="Times New Roman" w:cs="Times New Roman"/>
              </w:rPr>
              <w:t>0.002</w:t>
            </w:r>
          </w:p>
        </w:tc>
        <w:tc>
          <w:tcPr>
            <w:tcW w:w="1864" w:type="dxa"/>
            <w:shd w:val="clear" w:color="auto" w:fill="auto"/>
          </w:tcPr>
          <w:p w14:paraId="16C14802"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w:t>
            </w:r>
            <w:r w:rsidR="00242C1A">
              <w:rPr>
                <w:rFonts w:ascii="Times New Roman" w:hAnsi="Times New Roman" w:cs="Times New Roman"/>
              </w:rPr>
              <w:t>-0.001, 0.005</w:t>
            </w:r>
            <w:r w:rsidRPr="00DB0409">
              <w:rPr>
                <w:rFonts w:ascii="Times New Roman" w:hAnsi="Times New Roman" w:cs="Times New Roman"/>
              </w:rPr>
              <w:t>)</w:t>
            </w:r>
          </w:p>
        </w:tc>
      </w:tr>
      <w:tr w:rsidR="0077236D" w:rsidRPr="00DB0409" w14:paraId="1F93BDAC" w14:textId="77777777" w:rsidTr="008D1BFA">
        <w:trPr>
          <w:jc w:val="center"/>
        </w:trPr>
        <w:tc>
          <w:tcPr>
            <w:tcW w:w="1271" w:type="dxa"/>
            <w:vMerge/>
          </w:tcPr>
          <w:p w14:paraId="2491C63F" w14:textId="77777777" w:rsidR="0077236D" w:rsidRPr="00DB0409" w:rsidRDefault="0077236D" w:rsidP="00A65607">
            <w:pPr>
              <w:rPr>
                <w:rFonts w:ascii="Times New Roman" w:hAnsi="Times New Roman" w:cs="Times New Roman"/>
              </w:rPr>
            </w:pPr>
          </w:p>
        </w:tc>
        <w:tc>
          <w:tcPr>
            <w:tcW w:w="3119" w:type="dxa"/>
            <w:vAlign w:val="bottom"/>
          </w:tcPr>
          <w:p w14:paraId="076F2121"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 xml:space="preserve">Neurological Insult </w:t>
            </w:r>
          </w:p>
        </w:tc>
        <w:tc>
          <w:tcPr>
            <w:tcW w:w="850" w:type="dxa"/>
            <w:vAlign w:val="bottom"/>
          </w:tcPr>
          <w:p w14:paraId="4D5691FB"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3.739</w:t>
            </w:r>
          </w:p>
        </w:tc>
        <w:tc>
          <w:tcPr>
            <w:tcW w:w="1843" w:type="dxa"/>
            <w:vAlign w:val="bottom"/>
          </w:tcPr>
          <w:p w14:paraId="0D2B1D5C"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(1.147, 11.928)</w:t>
            </w:r>
          </w:p>
        </w:tc>
        <w:tc>
          <w:tcPr>
            <w:tcW w:w="1303" w:type="dxa"/>
            <w:shd w:val="clear" w:color="auto" w:fill="FFFFFF" w:themeFill="background1"/>
          </w:tcPr>
          <w:p w14:paraId="4A11F75C" w14:textId="77777777" w:rsidR="0077236D" w:rsidRPr="00DB0409" w:rsidRDefault="0077236D" w:rsidP="00A65607">
            <w:pPr>
              <w:jc w:val="center"/>
              <w:rPr>
                <w:rFonts w:ascii="Times New Roman" w:hAnsi="Times New Roman" w:cs="Times New Roman"/>
              </w:rPr>
            </w:pPr>
          </w:p>
        </w:tc>
        <w:tc>
          <w:tcPr>
            <w:tcW w:w="1864" w:type="dxa"/>
            <w:shd w:val="clear" w:color="auto" w:fill="FFFFFF" w:themeFill="background1"/>
          </w:tcPr>
          <w:p w14:paraId="2E4B7351" w14:textId="77777777" w:rsidR="0077236D" w:rsidRPr="00DB0409" w:rsidRDefault="0077236D" w:rsidP="00A65607">
            <w:pPr>
              <w:jc w:val="center"/>
              <w:rPr>
                <w:rFonts w:ascii="Times New Roman" w:hAnsi="Times New Roman" w:cs="Times New Roman"/>
              </w:rPr>
            </w:pPr>
          </w:p>
        </w:tc>
      </w:tr>
      <w:tr w:rsidR="0077236D" w:rsidRPr="00DB0409" w14:paraId="37C10000" w14:textId="77777777" w:rsidTr="008D1BFA">
        <w:trPr>
          <w:jc w:val="center"/>
        </w:trPr>
        <w:tc>
          <w:tcPr>
            <w:tcW w:w="1271" w:type="dxa"/>
            <w:vMerge w:val="restart"/>
            <w:tcBorders>
              <w:top w:val="single" w:sz="36" w:space="0" w:color="auto"/>
            </w:tcBorders>
          </w:tcPr>
          <w:p w14:paraId="01E041C2" w14:textId="77777777" w:rsidR="0077236D" w:rsidRPr="00DB0409" w:rsidRDefault="0077236D" w:rsidP="00A65607">
            <w:pPr>
              <w:rPr>
                <w:rFonts w:ascii="Times New Roman" w:hAnsi="Times New Roman" w:cs="Times New Roman"/>
              </w:rPr>
            </w:pPr>
            <w:r w:rsidRPr="00DB0409">
              <w:rPr>
                <w:rFonts w:ascii="Times New Roman" w:hAnsi="Times New Roman" w:cs="Times New Roman"/>
              </w:rPr>
              <w:t>Patients w</w:t>
            </w:r>
            <w:r w:rsidR="008F01DA">
              <w:rPr>
                <w:rFonts w:ascii="Times New Roman" w:hAnsi="Times New Roman" w:cs="Times New Roman"/>
              </w:rPr>
              <w:t>ith no second remission observed</w:t>
            </w:r>
          </w:p>
        </w:tc>
        <w:tc>
          <w:tcPr>
            <w:tcW w:w="3119" w:type="dxa"/>
            <w:tcBorders>
              <w:top w:val="single" w:sz="36" w:space="0" w:color="auto"/>
            </w:tcBorders>
            <w:vAlign w:val="bottom"/>
          </w:tcPr>
          <w:p w14:paraId="134773E4"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Time since last follow up (</w:t>
            </w:r>
            <w:r w:rsidR="00E467E4">
              <w:rPr>
                <w:rFonts w:ascii="Times New Roman" w:eastAsia="Times New Roman" w:hAnsi="Times New Roman" w:cs="Times New Roman"/>
                <w:color w:val="000000"/>
                <w:lang w:eastAsia="en-GB"/>
              </w:rPr>
              <w:t>months</w:t>
            </w:r>
            <w:r w:rsidRPr="00DB0409">
              <w:rPr>
                <w:rFonts w:ascii="Times New Roman" w:eastAsia="Times New Roman" w:hAnsi="Times New Roman" w:cs="Times New Roman"/>
                <w:color w:val="000000"/>
                <w:lang w:eastAsia="en-GB"/>
              </w:rPr>
              <w:t>)</w:t>
            </w:r>
          </w:p>
        </w:tc>
        <w:tc>
          <w:tcPr>
            <w:tcW w:w="850" w:type="dxa"/>
            <w:tcBorders>
              <w:top w:val="single" w:sz="36" w:space="0" w:color="auto"/>
            </w:tcBorders>
            <w:vAlign w:val="bottom"/>
          </w:tcPr>
          <w:p w14:paraId="37359F17"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w:t>
            </w:r>
            <w:r w:rsidR="00CD6D85">
              <w:rPr>
                <w:rFonts w:ascii="Times New Roman" w:eastAsia="Times New Roman" w:hAnsi="Times New Roman" w:cs="Times New Roman"/>
                <w:color w:val="000000"/>
                <w:lang w:eastAsia="en-GB"/>
              </w:rPr>
              <w:t>487</w:t>
            </w:r>
          </w:p>
        </w:tc>
        <w:tc>
          <w:tcPr>
            <w:tcW w:w="1843" w:type="dxa"/>
            <w:tcBorders>
              <w:top w:val="single" w:sz="36" w:space="0" w:color="auto"/>
            </w:tcBorders>
            <w:vAlign w:val="bottom"/>
          </w:tcPr>
          <w:p w14:paraId="1F24F4BF"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w:t>
            </w:r>
            <w:r w:rsidR="00CD6D85">
              <w:rPr>
                <w:rFonts w:ascii="Times New Roman" w:eastAsia="Times New Roman" w:hAnsi="Times New Roman" w:cs="Times New Roman"/>
                <w:color w:val="000000"/>
                <w:lang w:eastAsia="en-GB"/>
              </w:rPr>
              <w:t>291</w:t>
            </w:r>
            <w:r w:rsidRPr="00DB0409">
              <w:rPr>
                <w:rFonts w:ascii="Times New Roman" w:eastAsia="Times New Roman" w:hAnsi="Times New Roman" w:cs="Times New Roman"/>
                <w:color w:val="000000"/>
                <w:lang w:eastAsia="en-GB"/>
              </w:rPr>
              <w:t>,1.</w:t>
            </w:r>
            <w:r w:rsidR="00CD6D85">
              <w:rPr>
                <w:rFonts w:ascii="Times New Roman" w:eastAsia="Times New Roman" w:hAnsi="Times New Roman" w:cs="Times New Roman"/>
                <w:color w:val="000000"/>
                <w:lang w:eastAsia="en-GB"/>
              </w:rPr>
              <w:t>730</w:t>
            </w:r>
            <w:r w:rsidRPr="00DB0409">
              <w:rPr>
                <w:rFonts w:ascii="Times New Roman" w:eastAsia="Times New Roman" w:hAnsi="Times New Roman" w:cs="Times New Roman"/>
                <w:color w:val="000000"/>
                <w:lang w:eastAsia="en-GB"/>
              </w:rPr>
              <w:t>)</w:t>
            </w:r>
          </w:p>
        </w:tc>
        <w:tc>
          <w:tcPr>
            <w:tcW w:w="1303" w:type="dxa"/>
            <w:tcBorders>
              <w:top w:val="single" w:sz="36" w:space="0" w:color="auto"/>
            </w:tcBorders>
            <w:vAlign w:val="bottom"/>
          </w:tcPr>
          <w:p w14:paraId="67CE107C" w14:textId="77777777" w:rsidR="0077236D" w:rsidRPr="00DB0409" w:rsidRDefault="00242C1A"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0.045</w:t>
            </w:r>
          </w:p>
        </w:tc>
        <w:tc>
          <w:tcPr>
            <w:tcW w:w="1864" w:type="dxa"/>
            <w:tcBorders>
              <w:top w:val="single" w:sz="36" w:space="0" w:color="auto"/>
            </w:tcBorders>
            <w:vAlign w:val="bottom"/>
          </w:tcPr>
          <w:p w14:paraId="675B61BA"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242C1A">
              <w:rPr>
                <w:rFonts w:ascii="Times New Roman" w:eastAsia="Times New Roman" w:hAnsi="Times New Roman" w:cs="Times New Roman"/>
                <w:color w:val="000000"/>
                <w:lang w:eastAsia="en-GB"/>
              </w:rPr>
              <w:t>0.021, 0.070</w:t>
            </w:r>
            <w:r w:rsidRPr="00DB0409">
              <w:rPr>
                <w:rFonts w:ascii="Times New Roman" w:eastAsia="Times New Roman" w:hAnsi="Times New Roman" w:cs="Times New Roman"/>
                <w:color w:val="000000"/>
                <w:lang w:eastAsia="en-GB"/>
              </w:rPr>
              <w:t>)</w:t>
            </w:r>
          </w:p>
        </w:tc>
      </w:tr>
      <w:tr w:rsidR="0077236D" w:rsidRPr="00DB0409" w14:paraId="7AAC4F4B" w14:textId="77777777" w:rsidTr="008D1BFA">
        <w:trPr>
          <w:jc w:val="center"/>
        </w:trPr>
        <w:tc>
          <w:tcPr>
            <w:tcW w:w="1271" w:type="dxa"/>
            <w:vMerge/>
          </w:tcPr>
          <w:p w14:paraId="0229DB44" w14:textId="77777777" w:rsidR="0077236D" w:rsidRPr="00DB0409" w:rsidRDefault="0077236D" w:rsidP="00A65607">
            <w:pPr>
              <w:rPr>
                <w:rFonts w:ascii="Times New Roman" w:hAnsi="Times New Roman" w:cs="Times New Roman"/>
              </w:rPr>
            </w:pPr>
          </w:p>
        </w:tc>
        <w:tc>
          <w:tcPr>
            <w:tcW w:w="3119" w:type="dxa"/>
            <w:vAlign w:val="bottom"/>
          </w:tcPr>
          <w:p w14:paraId="1ACD7C53"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Time since Breakthrough (</w:t>
            </w:r>
            <w:r w:rsidR="00E467E4">
              <w:rPr>
                <w:rFonts w:ascii="Times New Roman" w:eastAsia="Times New Roman" w:hAnsi="Times New Roman" w:cs="Times New Roman"/>
                <w:color w:val="000000"/>
                <w:lang w:eastAsia="en-GB"/>
              </w:rPr>
              <w:t>months</w:t>
            </w:r>
            <w:r w:rsidRPr="00DB0409">
              <w:rPr>
                <w:rFonts w:ascii="Times New Roman" w:eastAsia="Times New Roman" w:hAnsi="Times New Roman" w:cs="Times New Roman"/>
                <w:color w:val="000000"/>
                <w:lang w:eastAsia="en-GB"/>
              </w:rPr>
              <w:t>)</w:t>
            </w:r>
          </w:p>
        </w:tc>
        <w:tc>
          <w:tcPr>
            <w:tcW w:w="850" w:type="dxa"/>
            <w:vAlign w:val="bottom"/>
          </w:tcPr>
          <w:p w14:paraId="58272D9B"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w:t>
            </w:r>
            <w:r w:rsidR="00CD6D85">
              <w:rPr>
                <w:rFonts w:ascii="Times New Roman" w:eastAsia="Times New Roman" w:hAnsi="Times New Roman" w:cs="Times New Roman"/>
                <w:color w:val="000000"/>
                <w:lang w:eastAsia="en-GB"/>
              </w:rPr>
              <w:t>819</w:t>
            </w:r>
          </w:p>
        </w:tc>
        <w:tc>
          <w:tcPr>
            <w:tcW w:w="1843" w:type="dxa"/>
            <w:vAlign w:val="bottom"/>
          </w:tcPr>
          <w:p w14:paraId="720D7FA7"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w:t>
            </w:r>
            <w:r w:rsidR="00CD6D85">
              <w:rPr>
                <w:rFonts w:ascii="Times New Roman" w:eastAsia="Times New Roman" w:hAnsi="Times New Roman" w:cs="Times New Roman"/>
                <w:color w:val="000000"/>
                <w:lang w:eastAsia="en-GB"/>
              </w:rPr>
              <w:t>769</w:t>
            </w:r>
            <w:r w:rsidRPr="00DB0409">
              <w:rPr>
                <w:rFonts w:ascii="Times New Roman" w:eastAsia="Times New Roman" w:hAnsi="Times New Roman" w:cs="Times New Roman"/>
                <w:color w:val="000000"/>
                <w:lang w:eastAsia="en-GB"/>
              </w:rPr>
              <w:t>, 0.</w:t>
            </w:r>
            <w:r w:rsidR="00CD6D85">
              <w:rPr>
                <w:rFonts w:ascii="Times New Roman" w:eastAsia="Times New Roman" w:hAnsi="Times New Roman" w:cs="Times New Roman"/>
                <w:color w:val="000000"/>
                <w:lang w:eastAsia="en-GB"/>
              </w:rPr>
              <w:t>872</w:t>
            </w:r>
            <w:r w:rsidRPr="00DB0409">
              <w:rPr>
                <w:rFonts w:ascii="Times New Roman" w:eastAsia="Times New Roman" w:hAnsi="Times New Roman" w:cs="Times New Roman"/>
                <w:color w:val="000000"/>
                <w:lang w:eastAsia="en-GB"/>
              </w:rPr>
              <w:t>)</w:t>
            </w:r>
          </w:p>
        </w:tc>
        <w:tc>
          <w:tcPr>
            <w:tcW w:w="1303" w:type="dxa"/>
            <w:vAlign w:val="bottom"/>
          </w:tcPr>
          <w:p w14:paraId="0AE71C89" w14:textId="77777777" w:rsidR="0077236D" w:rsidRPr="00DB0409" w:rsidRDefault="00242C1A" w:rsidP="00A65607">
            <w:pPr>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-0.021</w:t>
            </w:r>
          </w:p>
        </w:tc>
        <w:tc>
          <w:tcPr>
            <w:tcW w:w="1864" w:type="dxa"/>
            <w:vAlign w:val="bottom"/>
          </w:tcPr>
          <w:p w14:paraId="5F3E78C7"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w:t>
            </w:r>
            <w:r w:rsidR="00242C1A">
              <w:rPr>
                <w:rFonts w:ascii="Times New Roman" w:eastAsia="Times New Roman" w:hAnsi="Times New Roman" w:cs="Times New Roman"/>
                <w:color w:val="000000"/>
                <w:lang w:eastAsia="en-GB"/>
              </w:rPr>
              <w:t>-0.039, -0.030</w:t>
            </w:r>
            <w:r w:rsidRPr="00DB0409">
              <w:rPr>
                <w:rFonts w:ascii="Times New Roman" w:eastAsia="Times New Roman" w:hAnsi="Times New Roman" w:cs="Times New Roman"/>
                <w:color w:val="000000"/>
                <w:lang w:eastAsia="en-GB"/>
              </w:rPr>
              <w:t>)</w:t>
            </w:r>
          </w:p>
        </w:tc>
      </w:tr>
      <w:tr w:rsidR="0077236D" w:rsidRPr="00DB0409" w14:paraId="7CE49488" w14:textId="77777777" w:rsidTr="00036662">
        <w:trPr>
          <w:jc w:val="center"/>
        </w:trPr>
        <w:tc>
          <w:tcPr>
            <w:tcW w:w="1271" w:type="dxa"/>
            <w:vMerge/>
            <w:tcBorders>
              <w:bottom w:val="single" w:sz="4" w:space="0" w:color="auto"/>
            </w:tcBorders>
          </w:tcPr>
          <w:p w14:paraId="3F6AEAC1" w14:textId="77777777" w:rsidR="0077236D" w:rsidRPr="00DB0409" w:rsidRDefault="0077236D" w:rsidP="00A65607">
            <w:pPr>
              <w:rPr>
                <w:rFonts w:ascii="Times New Roman" w:hAnsi="Times New Roman" w:cs="Times New Roman"/>
              </w:rPr>
            </w:pPr>
          </w:p>
        </w:tc>
        <w:tc>
          <w:tcPr>
            <w:tcW w:w="3119" w:type="dxa"/>
            <w:tcBorders>
              <w:bottom w:val="single" w:sz="4" w:space="0" w:color="auto"/>
            </w:tcBorders>
            <w:vAlign w:val="bottom"/>
          </w:tcPr>
          <w:p w14:paraId="03BCC75B" w14:textId="77777777" w:rsidR="0077236D" w:rsidRPr="00DB0409" w:rsidRDefault="0077236D"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Age at Breakthrough (Years)</w:t>
            </w:r>
          </w:p>
        </w:tc>
        <w:tc>
          <w:tcPr>
            <w:tcW w:w="850" w:type="dxa"/>
            <w:tcBorders>
              <w:bottom w:val="single" w:sz="4" w:space="0" w:color="auto"/>
            </w:tcBorders>
            <w:vAlign w:val="bottom"/>
          </w:tcPr>
          <w:p w14:paraId="7C38AE58"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1.030</w:t>
            </w:r>
          </w:p>
        </w:tc>
        <w:tc>
          <w:tcPr>
            <w:tcW w:w="1843" w:type="dxa"/>
            <w:tcBorders>
              <w:bottom w:val="single" w:sz="4" w:space="0" w:color="auto"/>
            </w:tcBorders>
            <w:vAlign w:val="bottom"/>
          </w:tcPr>
          <w:p w14:paraId="25856054" w14:textId="77777777" w:rsidR="0077236D" w:rsidRPr="00DB0409" w:rsidRDefault="0077236D" w:rsidP="00A65607">
            <w:pPr>
              <w:jc w:val="cente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(1.010, 1.053)</w:t>
            </w:r>
          </w:p>
        </w:tc>
        <w:tc>
          <w:tcPr>
            <w:tcW w:w="1303" w:type="dxa"/>
            <w:tcBorders>
              <w:bottom w:val="single" w:sz="4" w:space="0" w:color="auto"/>
            </w:tcBorders>
            <w:shd w:val="clear" w:color="auto" w:fill="auto"/>
          </w:tcPr>
          <w:p w14:paraId="08CD41D2" w14:textId="77777777" w:rsidR="0077236D" w:rsidRPr="00DB0409" w:rsidRDefault="00242C1A" w:rsidP="00A65607">
            <w:pPr>
              <w:jc w:val="center"/>
              <w:rPr>
                <w:rFonts w:ascii="Times New Roman" w:hAnsi="Times New Roman" w:cs="Times New Roman"/>
              </w:rPr>
            </w:pPr>
            <w:r>
              <w:rPr>
                <w:rFonts w:ascii="Times New Roman" w:hAnsi="Times New Roman" w:cs="Times New Roman"/>
              </w:rPr>
              <w:t>0.006</w:t>
            </w:r>
          </w:p>
        </w:tc>
        <w:tc>
          <w:tcPr>
            <w:tcW w:w="1864" w:type="dxa"/>
            <w:tcBorders>
              <w:bottom w:val="single" w:sz="4" w:space="0" w:color="auto"/>
            </w:tcBorders>
            <w:shd w:val="clear" w:color="auto" w:fill="auto"/>
          </w:tcPr>
          <w:p w14:paraId="4562DDD2" w14:textId="77777777" w:rsidR="0077236D" w:rsidRPr="00DB0409" w:rsidRDefault="0077236D" w:rsidP="00A65607">
            <w:pPr>
              <w:jc w:val="center"/>
              <w:rPr>
                <w:rFonts w:ascii="Times New Roman" w:hAnsi="Times New Roman" w:cs="Times New Roman"/>
              </w:rPr>
            </w:pPr>
            <w:r w:rsidRPr="00DB0409">
              <w:rPr>
                <w:rFonts w:ascii="Times New Roman" w:hAnsi="Times New Roman" w:cs="Times New Roman"/>
              </w:rPr>
              <w:t>(</w:t>
            </w:r>
            <w:r w:rsidR="00242C1A">
              <w:rPr>
                <w:rFonts w:ascii="Times New Roman" w:hAnsi="Times New Roman" w:cs="Times New Roman"/>
              </w:rPr>
              <w:t>-0.004, 0.014</w:t>
            </w:r>
            <w:r w:rsidRPr="00DB0409">
              <w:rPr>
                <w:rFonts w:ascii="Times New Roman" w:hAnsi="Times New Roman" w:cs="Times New Roman"/>
              </w:rPr>
              <w:t>)</w:t>
            </w:r>
          </w:p>
        </w:tc>
      </w:tr>
      <w:tr w:rsidR="00A95E60" w:rsidRPr="00DB0409" w14:paraId="334406F3" w14:textId="77777777" w:rsidTr="00036662">
        <w:trPr>
          <w:jc w:val="center"/>
        </w:trPr>
        <w:tc>
          <w:tcPr>
            <w:tcW w:w="10250" w:type="dxa"/>
            <w:gridSpan w:val="6"/>
            <w:tcBorders>
              <w:left w:val="nil"/>
              <w:bottom w:val="nil"/>
              <w:right w:val="nil"/>
            </w:tcBorders>
          </w:tcPr>
          <w:p w14:paraId="68231E0A" w14:textId="30B61B79" w:rsidR="00A95E60" w:rsidRPr="00036662" w:rsidRDefault="00A95E60" w:rsidP="00A65607">
            <w:pPr>
              <w:pStyle w:val="ListParagraph"/>
              <w:numPr>
                <w:ilvl w:val="0"/>
                <w:numId w:val="6"/>
              </w:numPr>
              <w:rPr>
                <w:rFonts w:ascii="Times New Roman" w:hAnsi="Times New Roman" w:cs="Times New Roman"/>
                <w:sz w:val="18"/>
                <w:szCs w:val="18"/>
              </w:rPr>
            </w:pPr>
            <w:r w:rsidRPr="00036662">
              <w:rPr>
                <w:rFonts w:ascii="Times New Roman" w:hAnsi="Times New Roman" w:cs="Times New Roman"/>
                <w:sz w:val="18"/>
                <w:szCs w:val="18"/>
              </w:rPr>
              <w:t xml:space="preserve">Odds ratios represent the </w:t>
            </w:r>
            <w:r w:rsidR="000F6C8E">
              <w:rPr>
                <w:rFonts w:ascii="Times New Roman" w:hAnsi="Times New Roman" w:cs="Times New Roman"/>
                <w:sz w:val="18"/>
                <w:szCs w:val="18"/>
              </w:rPr>
              <w:t xml:space="preserve">predicted </w:t>
            </w:r>
            <w:r w:rsidRPr="00036662">
              <w:rPr>
                <w:rFonts w:ascii="Times New Roman" w:hAnsi="Times New Roman" w:cs="Times New Roman"/>
                <w:sz w:val="18"/>
                <w:szCs w:val="18"/>
              </w:rPr>
              <w:t xml:space="preserve">increase/reduction in the odds of experiencing seizures </w:t>
            </w:r>
            <w:r w:rsidR="000F6C8E">
              <w:rPr>
                <w:rFonts w:ascii="Times New Roman" w:hAnsi="Times New Roman" w:cs="Times New Roman"/>
                <w:sz w:val="18"/>
                <w:szCs w:val="18"/>
              </w:rPr>
              <w:t xml:space="preserve">for </w:t>
            </w:r>
            <w:r w:rsidRPr="00036662">
              <w:rPr>
                <w:rFonts w:ascii="Times New Roman" w:hAnsi="Times New Roman" w:cs="Times New Roman"/>
                <w:sz w:val="18"/>
                <w:szCs w:val="18"/>
              </w:rPr>
              <w:t>a given covariate</w:t>
            </w:r>
            <w:r w:rsidR="000F6C8E">
              <w:rPr>
                <w:rFonts w:ascii="Times New Roman" w:hAnsi="Times New Roman" w:cs="Times New Roman"/>
                <w:sz w:val="18"/>
                <w:szCs w:val="18"/>
              </w:rPr>
              <w:t xml:space="preserve"> (per </w:t>
            </w:r>
            <w:r w:rsidR="000F6C8E" w:rsidRPr="00036662">
              <w:rPr>
                <w:rFonts w:ascii="Times New Roman" w:hAnsi="Times New Roman" w:cs="Times New Roman"/>
                <w:sz w:val="18"/>
                <w:szCs w:val="18"/>
              </w:rPr>
              <w:t xml:space="preserve">one unit increase in continuous covariates, or </w:t>
            </w:r>
            <w:r w:rsidR="000F6C8E">
              <w:rPr>
                <w:rFonts w:ascii="Times New Roman" w:hAnsi="Times New Roman" w:cs="Times New Roman"/>
                <w:sz w:val="18"/>
                <w:szCs w:val="18"/>
              </w:rPr>
              <w:t>due to the</w:t>
            </w:r>
            <w:r w:rsidR="000F6C8E" w:rsidRPr="00036662">
              <w:rPr>
                <w:rFonts w:ascii="Times New Roman" w:hAnsi="Times New Roman" w:cs="Times New Roman"/>
                <w:sz w:val="18"/>
                <w:szCs w:val="18"/>
              </w:rPr>
              <w:t xml:space="preserve"> presence of a binary </w:t>
            </w:r>
            <w:r w:rsidR="000F6C8E">
              <w:rPr>
                <w:rFonts w:ascii="Times New Roman" w:hAnsi="Times New Roman" w:cs="Times New Roman"/>
                <w:sz w:val="18"/>
                <w:szCs w:val="18"/>
              </w:rPr>
              <w:t>covariate)</w:t>
            </w:r>
          </w:p>
          <w:p w14:paraId="2644508F" w14:textId="62797E39" w:rsidR="00A95E60" w:rsidRPr="00036662" w:rsidRDefault="00A95E60" w:rsidP="00A65607">
            <w:pPr>
              <w:pStyle w:val="ListParagraph"/>
              <w:numPr>
                <w:ilvl w:val="0"/>
                <w:numId w:val="6"/>
              </w:numPr>
              <w:rPr>
                <w:rFonts w:ascii="Times New Roman" w:hAnsi="Times New Roman" w:cs="Times New Roman"/>
                <w:sz w:val="18"/>
                <w:szCs w:val="18"/>
              </w:rPr>
            </w:pPr>
            <w:r w:rsidRPr="00036662">
              <w:rPr>
                <w:rFonts w:ascii="Times New Roman" w:hAnsi="Times New Roman" w:cs="Times New Roman"/>
                <w:sz w:val="18"/>
                <w:szCs w:val="18"/>
              </w:rPr>
              <w:t>Parameter estimates relate to the predic</w:t>
            </w:r>
            <w:r w:rsidR="000F6C8E">
              <w:rPr>
                <w:rFonts w:ascii="Times New Roman" w:hAnsi="Times New Roman" w:cs="Times New Roman"/>
                <w:sz w:val="18"/>
                <w:szCs w:val="18"/>
              </w:rPr>
              <w:t xml:space="preserve">ted increase/reduction </w:t>
            </w:r>
            <w:r w:rsidRPr="00036662">
              <w:rPr>
                <w:rFonts w:ascii="Times New Roman" w:hAnsi="Times New Roman" w:cs="Times New Roman"/>
                <w:sz w:val="18"/>
                <w:szCs w:val="18"/>
              </w:rPr>
              <w:t>of the total number of seizures for a given covariate</w:t>
            </w:r>
            <w:r w:rsidR="000F6C8E">
              <w:rPr>
                <w:rFonts w:ascii="Times New Roman" w:hAnsi="Times New Roman" w:cs="Times New Roman"/>
                <w:sz w:val="18"/>
                <w:szCs w:val="18"/>
              </w:rPr>
              <w:t xml:space="preserve"> (per </w:t>
            </w:r>
            <w:r w:rsidR="00036662" w:rsidRPr="00036662">
              <w:rPr>
                <w:rFonts w:ascii="Times New Roman" w:hAnsi="Times New Roman" w:cs="Times New Roman"/>
                <w:sz w:val="18"/>
                <w:szCs w:val="18"/>
              </w:rPr>
              <w:t xml:space="preserve">one unit increase in continuous covariates, or </w:t>
            </w:r>
            <w:r w:rsidR="000F6C8E">
              <w:rPr>
                <w:rFonts w:ascii="Times New Roman" w:hAnsi="Times New Roman" w:cs="Times New Roman"/>
                <w:sz w:val="18"/>
                <w:szCs w:val="18"/>
              </w:rPr>
              <w:t>due to the</w:t>
            </w:r>
            <w:r w:rsidR="000F6C8E" w:rsidRPr="00036662">
              <w:rPr>
                <w:rFonts w:ascii="Times New Roman" w:hAnsi="Times New Roman" w:cs="Times New Roman"/>
                <w:sz w:val="18"/>
                <w:szCs w:val="18"/>
              </w:rPr>
              <w:t xml:space="preserve"> </w:t>
            </w:r>
            <w:r w:rsidR="00036662" w:rsidRPr="00036662">
              <w:rPr>
                <w:rFonts w:ascii="Times New Roman" w:hAnsi="Times New Roman" w:cs="Times New Roman"/>
                <w:sz w:val="18"/>
                <w:szCs w:val="18"/>
              </w:rPr>
              <w:t xml:space="preserve">presence of a binary </w:t>
            </w:r>
            <w:r w:rsidR="000F6C8E">
              <w:rPr>
                <w:rFonts w:ascii="Times New Roman" w:hAnsi="Times New Roman" w:cs="Times New Roman"/>
                <w:sz w:val="18"/>
                <w:szCs w:val="18"/>
              </w:rPr>
              <w:t>covariate)</w:t>
            </w:r>
            <w:r w:rsidR="00036662" w:rsidRPr="00036662">
              <w:rPr>
                <w:rFonts w:ascii="Times New Roman" w:hAnsi="Times New Roman" w:cs="Times New Roman"/>
                <w:sz w:val="18"/>
                <w:szCs w:val="18"/>
              </w:rPr>
              <w:t>.</w:t>
            </w:r>
          </w:p>
          <w:p w14:paraId="25D33925" w14:textId="77777777" w:rsidR="00A95E60" w:rsidRPr="009E6843" w:rsidRDefault="00A95E60" w:rsidP="00A65607">
            <w:pPr>
              <w:pStyle w:val="ListParagraph"/>
              <w:numPr>
                <w:ilvl w:val="0"/>
                <w:numId w:val="6"/>
              </w:numPr>
              <w:rPr>
                <w:rFonts w:ascii="Times New Roman" w:hAnsi="Times New Roman" w:cs="Times New Roman"/>
              </w:rPr>
            </w:pPr>
            <w:r w:rsidRPr="00036662">
              <w:rPr>
                <w:rFonts w:ascii="Times New Roman" w:hAnsi="Times New Roman" w:cs="Times New Roman"/>
                <w:sz w:val="18"/>
                <w:szCs w:val="18"/>
              </w:rPr>
              <w:t xml:space="preserve">Blank entries show that the variable was not included in the </w:t>
            </w:r>
            <w:proofErr w:type="spellStart"/>
            <w:r w:rsidRPr="00036662">
              <w:rPr>
                <w:rFonts w:ascii="Times New Roman" w:hAnsi="Times New Roman" w:cs="Times New Roman"/>
                <w:sz w:val="18"/>
                <w:szCs w:val="18"/>
              </w:rPr>
              <w:t>submodel</w:t>
            </w:r>
            <w:proofErr w:type="spellEnd"/>
            <w:r w:rsidRPr="00036662">
              <w:rPr>
                <w:rFonts w:ascii="Times New Roman" w:hAnsi="Times New Roman" w:cs="Times New Roman"/>
                <w:sz w:val="18"/>
                <w:szCs w:val="18"/>
              </w:rPr>
              <w:t xml:space="preserve"> for the longitudinal variable described in that column.</w:t>
            </w:r>
          </w:p>
        </w:tc>
      </w:tr>
    </w:tbl>
    <w:p w14:paraId="53CB6F31" w14:textId="77777777" w:rsidR="0077236D" w:rsidRPr="00DB0409" w:rsidRDefault="0077236D" w:rsidP="0077236D">
      <w:pPr>
        <w:spacing w:after="120" w:line="480" w:lineRule="auto"/>
        <w:rPr>
          <w:rFonts w:ascii="Times New Roman" w:hAnsi="Times New Roman" w:cs="Times New Roman"/>
        </w:rPr>
      </w:pPr>
    </w:p>
    <w:p w14:paraId="3E759F9D" w14:textId="77777777" w:rsidR="00A65607" w:rsidRDefault="00A65607" w:rsidP="005E16CF">
      <w:pPr>
        <w:spacing w:after="120" w:line="480" w:lineRule="auto"/>
        <w:rPr>
          <w:rFonts w:ascii="Times New Roman" w:hAnsi="Times New Roman" w:cs="Times New Roman"/>
        </w:rPr>
      </w:pPr>
    </w:p>
    <w:p w14:paraId="41792AB1" w14:textId="77777777" w:rsidR="00A65607" w:rsidRPr="00A65607" w:rsidRDefault="00A65607" w:rsidP="00A65607">
      <w:pPr>
        <w:rPr>
          <w:rFonts w:ascii="Times New Roman" w:hAnsi="Times New Roman" w:cs="Times New Roman"/>
        </w:rPr>
      </w:pPr>
    </w:p>
    <w:p w14:paraId="6067AE47" w14:textId="77777777" w:rsidR="00A65607" w:rsidRPr="00A65607" w:rsidRDefault="00A65607" w:rsidP="00A65607">
      <w:pPr>
        <w:rPr>
          <w:rFonts w:ascii="Times New Roman" w:hAnsi="Times New Roman" w:cs="Times New Roman"/>
        </w:rPr>
      </w:pPr>
    </w:p>
    <w:p w14:paraId="0495BBCE" w14:textId="77777777" w:rsidR="00A65607" w:rsidRPr="00A65607" w:rsidRDefault="00A65607" w:rsidP="00A65607">
      <w:pPr>
        <w:rPr>
          <w:rFonts w:ascii="Times New Roman" w:hAnsi="Times New Roman" w:cs="Times New Roman"/>
        </w:rPr>
      </w:pPr>
    </w:p>
    <w:p w14:paraId="7F52716C" w14:textId="77777777" w:rsidR="00A65607" w:rsidRPr="00A65607" w:rsidRDefault="00A65607" w:rsidP="00A65607">
      <w:pPr>
        <w:rPr>
          <w:rFonts w:ascii="Times New Roman" w:hAnsi="Times New Roman" w:cs="Times New Roman"/>
        </w:rPr>
      </w:pPr>
    </w:p>
    <w:p w14:paraId="18D64727" w14:textId="77777777" w:rsidR="00A65607" w:rsidRPr="00A65607" w:rsidRDefault="00A65607" w:rsidP="00A65607">
      <w:pPr>
        <w:rPr>
          <w:rFonts w:ascii="Times New Roman" w:hAnsi="Times New Roman" w:cs="Times New Roman"/>
        </w:rPr>
      </w:pPr>
    </w:p>
    <w:p w14:paraId="6F747403" w14:textId="77777777" w:rsidR="00A65607" w:rsidRPr="00A65607" w:rsidRDefault="00A65607" w:rsidP="00A65607">
      <w:pPr>
        <w:rPr>
          <w:rFonts w:ascii="Times New Roman" w:hAnsi="Times New Roman" w:cs="Times New Roman"/>
        </w:rPr>
      </w:pPr>
    </w:p>
    <w:p w14:paraId="619396EA" w14:textId="77777777" w:rsidR="00A65607" w:rsidRPr="00A65607" w:rsidRDefault="00A65607" w:rsidP="00A65607">
      <w:pPr>
        <w:rPr>
          <w:rFonts w:ascii="Times New Roman" w:hAnsi="Times New Roman" w:cs="Times New Roman"/>
        </w:rPr>
      </w:pPr>
    </w:p>
    <w:p w14:paraId="76118AB6" w14:textId="77777777" w:rsidR="00A65607" w:rsidRPr="00A65607" w:rsidRDefault="00A65607" w:rsidP="00A65607">
      <w:pPr>
        <w:rPr>
          <w:rFonts w:ascii="Times New Roman" w:hAnsi="Times New Roman" w:cs="Times New Roman"/>
        </w:rPr>
      </w:pPr>
    </w:p>
    <w:p w14:paraId="1A03640D" w14:textId="77777777" w:rsidR="00A65607" w:rsidRPr="00A65607" w:rsidRDefault="00A65607" w:rsidP="00A65607">
      <w:pPr>
        <w:rPr>
          <w:rFonts w:ascii="Times New Roman" w:hAnsi="Times New Roman" w:cs="Times New Roman"/>
        </w:rPr>
      </w:pPr>
    </w:p>
    <w:p w14:paraId="0F220AFC" w14:textId="77777777" w:rsidR="00A65607" w:rsidRPr="00A65607" w:rsidRDefault="00A65607" w:rsidP="00A65607">
      <w:pPr>
        <w:rPr>
          <w:rFonts w:ascii="Times New Roman" w:hAnsi="Times New Roman" w:cs="Times New Roman"/>
        </w:rPr>
      </w:pPr>
    </w:p>
    <w:p w14:paraId="280C2B3B" w14:textId="77777777" w:rsidR="00A65607" w:rsidRPr="00A65607" w:rsidRDefault="00A65607" w:rsidP="00A65607">
      <w:pPr>
        <w:rPr>
          <w:rFonts w:ascii="Times New Roman" w:hAnsi="Times New Roman" w:cs="Times New Roman"/>
        </w:rPr>
      </w:pPr>
    </w:p>
    <w:p w14:paraId="75E34D6C" w14:textId="77777777" w:rsidR="00A65607" w:rsidRPr="00A65607" w:rsidRDefault="00A65607" w:rsidP="00A65607">
      <w:pPr>
        <w:rPr>
          <w:rFonts w:ascii="Times New Roman" w:hAnsi="Times New Roman" w:cs="Times New Roman"/>
        </w:rPr>
      </w:pPr>
    </w:p>
    <w:p w14:paraId="2C1E2404" w14:textId="77777777" w:rsidR="00A65607" w:rsidRPr="00A65607" w:rsidRDefault="00A65607" w:rsidP="00A65607">
      <w:pPr>
        <w:rPr>
          <w:rFonts w:ascii="Times New Roman" w:hAnsi="Times New Roman" w:cs="Times New Roman"/>
        </w:rPr>
      </w:pPr>
    </w:p>
    <w:p w14:paraId="1B5889FE" w14:textId="77777777" w:rsidR="00A65607" w:rsidRPr="00A65607" w:rsidRDefault="00A65607" w:rsidP="00A65607">
      <w:pPr>
        <w:rPr>
          <w:rFonts w:ascii="Times New Roman" w:hAnsi="Times New Roman" w:cs="Times New Roman"/>
        </w:rPr>
      </w:pPr>
    </w:p>
    <w:p w14:paraId="2EB29543" w14:textId="77777777" w:rsidR="00A65607" w:rsidRDefault="00A65607" w:rsidP="00A65607">
      <w:pPr>
        <w:rPr>
          <w:rFonts w:ascii="Times New Roman" w:hAnsi="Times New Roman" w:cs="Times New Roman"/>
        </w:rPr>
      </w:pPr>
    </w:p>
    <w:p w14:paraId="141509D4" w14:textId="77777777" w:rsidR="0077236D" w:rsidRPr="00A65607" w:rsidRDefault="0077236D" w:rsidP="00A65607">
      <w:pPr>
        <w:jc w:val="center"/>
        <w:rPr>
          <w:rFonts w:ascii="Times New Roman" w:hAnsi="Times New Roman" w:cs="Times New Roman"/>
        </w:rPr>
      </w:pPr>
    </w:p>
    <w:p w14:paraId="0626BF5E" w14:textId="77777777" w:rsidR="00A65607" w:rsidRDefault="00A65607" w:rsidP="0077236D">
      <w:pPr>
        <w:pStyle w:val="Caption"/>
        <w:keepNext/>
        <w:spacing w:line="480" w:lineRule="auto"/>
        <w:rPr>
          <w:rFonts w:ascii="Times New Roman" w:hAnsi="Times New Roman" w:cs="Times New Roman"/>
          <w:sz w:val="24"/>
          <w:szCs w:val="24"/>
        </w:rPr>
      </w:pPr>
    </w:p>
    <w:p w14:paraId="17883937" w14:textId="77777777" w:rsidR="0077236D" w:rsidRPr="00DB0409" w:rsidRDefault="0077236D" w:rsidP="0077236D">
      <w:pPr>
        <w:pStyle w:val="Caption"/>
        <w:keepNext/>
        <w:spacing w:line="480" w:lineRule="auto"/>
        <w:rPr>
          <w:rFonts w:ascii="Times New Roman" w:hAnsi="Times New Roman" w:cs="Times New Roman"/>
          <w:sz w:val="24"/>
          <w:szCs w:val="24"/>
        </w:rPr>
      </w:pPr>
      <w:r w:rsidRPr="00DB0409">
        <w:rPr>
          <w:rFonts w:ascii="Times New Roman" w:hAnsi="Times New Roman" w:cs="Times New Roman"/>
          <w:sz w:val="24"/>
          <w:szCs w:val="24"/>
        </w:rPr>
        <w:t xml:space="preserve">Table 3: Prediction Accuracy of the discriminant analysis models and predictions at baseline from a </w:t>
      </w:r>
      <w:r w:rsidR="009E6843">
        <w:rPr>
          <w:rFonts w:ascii="Times New Roman" w:hAnsi="Times New Roman" w:cs="Times New Roman"/>
          <w:sz w:val="24"/>
          <w:szCs w:val="24"/>
        </w:rPr>
        <w:t xml:space="preserve">Cox proportional hazards </w:t>
      </w:r>
      <w:r w:rsidRPr="00DB0409">
        <w:rPr>
          <w:rFonts w:ascii="Times New Roman" w:hAnsi="Times New Roman" w:cs="Times New Roman"/>
          <w:sz w:val="24"/>
          <w:szCs w:val="24"/>
        </w:rPr>
        <w:t>model. The accuracies recorded are the averages across 100 splits of the data into training and test sets.</w:t>
      </w:r>
    </w:p>
    <w:tbl>
      <w:tblPr>
        <w:tblStyle w:val="PlainTable11"/>
        <w:tblW w:w="8739" w:type="dxa"/>
        <w:tblLook w:val="04A0" w:firstRow="1" w:lastRow="0" w:firstColumn="1" w:lastColumn="0" w:noHBand="0" w:noVBand="1"/>
      </w:tblPr>
      <w:tblGrid>
        <w:gridCol w:w="3397"/>
        <w:gridCol w:w="3941"/>
        <w:gridCol w:w="1401"/>
      </w:tblGrid>
      <w:tr w:rsidR="0077236D" w:rsidRPr="00DB0409" w14:paraId="5E027350" w14:textId="77777777" w:rsidTr="004A0F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6007B212" w14:textId="77777777" w:rsidR="0077236D" w:rsidRPr="00DB0409" w:rsidRDefault="0077236D" w:rsidP="00A65607">
            <w:pPr>
              <w:rPr>
                <w:rFonts w:ascii="Times New Roman" w:eastAsia="Times New Roman" w:hAnsi="Times New Roman" w:cs="Times New Roman"/>
                <w:lang w:eastAsia="en-GB"/>
              </w:rPr>
            </w:pPr>
          </w:p>
        </w:tc>
        <w:tc>
          <w:tcPr>
            <w:tcW w:w="3941" w:type="dxa"/>
            <w:shd w:val="clear" w:color="auto" w:fill="FFFFFF" w:themeFill="background1"/>
            <w:noWrap/>
            <w:hideMark/>
          </w:tcPr>
          <w:p w14:paraId="22473422" w14:textId="77777777" w:rsidR="0077236D" w:rsidRPr="00DB0409" w:rsidRDefault="0077236D" w:rsidP="00A6560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Longitudinal Discriminant Analysis</w:t>
            </w:r>
          </w:p>
        </w:tc>
        <w:tc>
          <w:tcPr>
            <w:tcW w:w="1401" w:type="dxa"/>
            <w:shd w:val="clear" w:color="auto" w:fill="FFFFFF" w:themeFill="background1"/>
            <w:noWrap/>
            <w:hideMark/>
          </w:tcPr>
          <w:p w14:paraId="20A7BCCB" w14:textId="77777777" w:rsidR="0077236D" w:rsidRPr="00DB0409" w:rsidRDefault="0077236D" w:rsidP="00A6560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Cox Model</w:t>
            </w:r>
          </w:p>
        </w:tc>
      </w:tr>
      <w:tr w:rsidR="00B42C04" w:rsidRPr="00DB0409" w14:paraId="00ECA317" w14:textId="77777777" w:rsidTr="004A0F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1F0EAD6A"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 xml:space="preserve">Optimal </w:t>
            </w:r>
            <w:proofErr w:type="spellStart"/>
            <w:r w:rsidRPr="00DB0409">
              <w:rPr>
                <w:rFonts w:ascii="Times New Roman" w:eastAsia="Times New Roman" w:hAnsi="Times New Roman" w:cs="Times New Roman"/>
                <w:color w:val="000000"/>
                <w:lang w:eastAsia="en-GB"/>
              </w:rPr>
              <w:t>Cutoff</w:t>
            </w:r>
            <w:proofErr w:type="spellEnd"/>
          </w:p>
        </w:tc>
        <w:tc>
          <w:tcPr>
            <w:tcW w:w="3941" w:type="dxa"/>
            <w:shd w:val="clear" w:color="auto" w:fill="FFFFFF" w:themeFill="background1"/>
            <w:noWrap/>
            <w:hideMark/>
          </w:tcPr>
          <w:p w14:paraId="111F7DD3"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0.38</w:t>
            </w:r>
          </w:p>
        </w:tc>
        <w:tc>
          <w:tcPr>
            <w:tcW w:w="1401" w:type="dxa"/>
            <w:shd w:val="clear" w:color="auto" w:fill="FFFFFF" w:themeFill="background1"/>
            <w:noWrap/>
            <w:hideMark/>
          </w:tcPr>
          <w:p w14:paraId="002AB19E"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0.37</w:t>
            </w:r>
          </w:p>
        </w:tc>
      </w:tr>
      <w:tr w:rsidR="00B42C04" w:rsidRPr="00DB0409" w14:paraId="2EE582C0" w14:textId="77777777" w:rsidTr="004A0FE9">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11394EAD"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Sensitivity</w:t>
            </w:r>
          </w:p>
        </w:tc>
        <w:tc>
          <w:tcPr>
            <w:tcW w:w="3941" w:type="dxa"/>
            <w:shd w:val="clear" w:color="auto" w:fill="FFFFFF" w:themeFill="background1"/>
            <w:noWrap/>
            <w:hideMark/>
          </w:tcPr>
          <w:p w14:paraId="5E8BEFDD"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0.73</w:t>
            </w:r>
          </w:p>
        </w:tc>
        <w:tc>
          <w:tcPr>
            <w:tcW w:w="1401" w:type="dxa"/>
            <w:shd w:val="clear" w:color="auto" w:fill="FFFFFF" w:themeFill="background1"/>
            <w:noWrap/>
            <w:hideMark/>
          </w:tcPr>
          <w:p w14:paraId="397DEC78"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0.62</w:t>
            </w:r>
          </w:p>
        </w:tc>
      </w:tr>
      <w:tr w:rsidR="00B42C04" w:rsidRPr="00DB0409" w14:paraId="017ECF00" w14:textId="77777777" w:rsidTr="004A0F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35D5BA58"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Specificity</w:t>
            </w:r>
          </w:p>
        </w:tc>
        <w:tc>
          <w:tcPr>
            <w:tcW w:w="3941" w:type="dxa"/>
            <w:shd w:val="clear" w:color="auto" w:fill="FFFFFF" w:themeFill="background1"/>
            <w:noWrap/>
          </w:tcPr>
          <w:p w14:paraId="635A9D74"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0.84</w:t>
            </w:r>
          </w:p>
        </w:tc>
        <w:tc>
          <w:tcPr>
            <w:tcW w:w="1401" w:type="dxa"/>
            <w:shd w:val="clear" w:color="auto" w:fill="FFFFFF" w:themeFill="background1"/>
            <w:noWrap/>
            <w:hideMark/>
          </w:tcPr>
          <w:p w14:paraId="26576307"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0.66</w:t>
            </w:r>
          </w:p>
        </w:tc>
      </w:tr>
      <w:tr w:rsidR="00B42C04" w:rsidRPr="00DB0409" w14:paraId="7A557ECF" w14:textId="77777777" w:rsidTr="004A0FE9">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78D7E31A"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PCC</w:t>
            </w:r>
          </w:p>
        </w:tc>
        <w:tc>
          <w:tcPr>
            <w:tcW w:w="3941" w:type="dxa"/>
            <w:shd w:val="clear" w:color="auto" w:fill="FFFFFF" w:themeFill="background1"/>
            <w:noWrap/>
          </w:tcPr>
          <w:p w14:paraId="0D304DD1"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0.80</w:t>
            </w:r>
          </w:p>
        </w:tc>
        <w:tc>
          <w:tcPr>
            <w:tcW w:w="1401" w:type="dxa"/>
            <w:shd w:val="clear" w:color="auto" w:fill="FFFFFF" w:themeFill="background1"/>
            <w:noWrap/>
            <w:hideMark/>
          </w:tcPr>
          <w:p w14:paraId="11260333"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0.64</w:t>
            </w:r>
          </w:p>
        </w:tc>
      </w:tr>
      <w:tr w:rsidR="00B42C04" w:rsidRPr="00DB0409" w14:paraId="3D354243" w14:textId="77777777" w:rsidTr="004A0F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3CEECFBF"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AUC</w:t>
            </w:r>
          </w:p>
        </w:tc>
        <w:tc>
          <w:tcPr>
            <w:tcW w:w="3941" w:type="dxa"/>
            <w:shd w:val="clear" w:color="auto" w:fill="FFFFFF" w:themeFill="background1"/>
            <w:noWrap/>
          </w:tcPr>
          <w:p w14:paraId="30A4B8AA"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0.87</w:t>
            </w:r>
          </w:p>
        </w:tc>
        <w:tc>
          <w:tcPr>
            <w:tcW w:w="1401" w:type="dxa"/>
            <w:shd w:val="clear" w:color="auto" w:fill="FFFFFF" w:themeFill="background1"/>
            <w:noWrap/>
            <w:hideMark/>
          </w:tcPr>
          <w:p w14:paraId="3A4D2946"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0.66</w:t>
            </w:r>
          </w:p>
        </w:tc>
      </w:tr>
      <w:tr w:rsidR="00B42C04" w:rsidRPr="00DB0409" w14:paraId="396D938D" w14:textId="77777777" w:rsidTr="004A0FE9">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3F3BEA64"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PPV</w:t>
            </w:r>
          </w:p>
        </w:tc>
        <w:tc>
          <w:tcPr>
            <w:tcW w:w="3941" w:type="dxa"/>
            <w:shd w:val="clear" w:color="auto" w:fill="FFFFFF" w:themeFill="background1"/>
            <w:noWrap/>
          </w:tcPr>
          <w:p w14:paraId="789BE74D"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0.73</w:t>
            </w:r>
          </w:p>
        </w:tc>
        <w:tc>
          <w:tcPr>
            <w:tcW w:w="1401" w:type="dxa"/>
            <w:shd w:val="clear" w:color="auto" w:fill="FFFFFF" w:themeFill="background1"/>
            <w:noWrap/>
            <w:hideMark/>
          </w:tcPr>
          <w:p w14:paraId="1005612C"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0.53</w:t>
            </w:r>
          </w:p>
        </w:tc>
      </w:tr>
      <w:tr w:rsidR="00B42C04" w:rsidRPr="00DB0409" w14:paraId="4364B3A5" w14:textId="77777777" w:rsidTr="004A0F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3BC25566"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NPV</w:t>
            </w:r>
          </w:p>
        </w:tc>
        <w:tc>
          <w:tcPr>
            <w:tcW w:w="3941" w:type="dxa"/>
            <w:shd w:val="clear" w:color="auto" w:fill="FFFFFF" w:themeFill="background1"/>
            <w:noWrap/>
          </w:tcPr>
          <w:p w14:paraId="29530758"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0.85</w:t>
            </w:r>
          </w:p>
        </w:tc>
        <w:tc>
          <w:tcPr>
            <w:tcW w:w="1401" w:type="dxa"/>
            <w:shd w:val="clear" w:color="auto" w:fill="FFFFFF" w:themeFill="background1"/>
            <w:noWrap/>
            <w:hideMark/>
          </w:tcPr>
          <w:p w14:paraId="714D73E9"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0.74</w:t>
            </w:r>
          </w:p>
        </w:tc>
      </w:tr>
      <w:tr w:rsidR="00B42C04" w:rsidRPr="00DB0409" w14:paraId="4B1850EB" w14:textId="77777777" w:rsidTr="004A0FE9">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094CA07B"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Percentage Unclassified</w:t>
            </w:r>
            <w:r w:rsidR="003778F2">
              <w:rPr>
                <w:rFonts w:ascii="Times New Roman" w:eastAsia="Times New Roman" w:hAnsi="Times New Roman" w:cs="Times New Roman"/>
                <w:color w:val="000000"/>
                <w:lang w:eastAsia="en-GB"/>
              </w:rPr>
              <w:t xml:space="preserve"> (%)</w:t>
            </w:r>
          </w:p>
        </w:tc>
        <w:tc>
          <w:tcPr>
            <w:tcW w:w="3941" w:type="dxa"/>
            <w:shd w:val="clear" w:color="auto" w:fill="FFFFFF" w:themeFill="background1"/>
            <w:noWrap/>
          </w:tcPr>
          <w:p w14:paraId="5BB5327F"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17</w:t>
            </w:r>
          </w:p>
        </w:tc>
        <w:tc>
          <w:tcPr>
            <w:tcW w:w="1401" w:type="dxa"/>
            <w:shd w:val="clear" w:color="auto" w:fill="FFFFFF" w:themeFill="background1"/>
            <w:noWrap/>
            <w:hideMark/>
          </w:tcPr>
          <w:p w14:paraId="515F2B98"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0</w:t>
            </w:r>
          </w:p>
        </w:tc>
      </w:tr>
      <w:tr w:rsidR="00B42C04" w:rsidRPr="00DB0409" w14:paraId="75A9ADB5" w14:textId="77777777" w:rsidTr="004A0F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7EE51405"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Mean Lead Time</w:t>
            </w:r>
            <w:r>
              <w:rPr>
                <w:rFonts w:ascii="Times New Roman" w:eastAsia="Times New Roman" w:hAnsi="Times New Roman" w:cs="Times New Roman"/>
                <w:color w:val="000000"/>
                <w:lang w:eastAsia="en-GB"/>
              </w:rPr>
              <w:t xml:space="preserve"> (days)</w:t>
            </w:r>
          </w:p>
        </w:tc>
        <w:tc>
          <w:tcPr>
            <w:tcW w:w="3941" w:type="dxa"/>
            <w:shd w:val="clear" w:color="auto" w:fill="FFFFFF" w:themeFill="background1"/>
            <w:noWrap/>
          </w:tcPr>
          <w:p w14:paraId="353DFD0D" w14:textId="77777777" w:rsidR="00B42C04" w:rsidRPr="00DB0409" w:rsidRDefault="00B42C04"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37</w:t>
            </w:r>
            <w:r>
              <w:rPr>
                <w:rFonts w:ascii="Times New Roman" w:eastAsia="Times New Roman" w:hAnsi="Times New Roman" w:cs="Times New Roman"/>
                <w:color w:val="000000"/>
                <w:lang w:eastAsia="en-GB"/>
              </w:rPr>
              <w:t>2</w:t>
            </w:r>
          </w:p>
        </w:tc>
        <w:tc>
          <w:tcPr>
            <w:tcW w:w="1401" w:type="dxa"/>
            <w:shd w:val="clear" w:color="auto" w:fill="FFFFFF" w:themeFill="background1"/>
            <w:noWrap/>
            <w:hideMark/>
          </w:tcPr>
          <w:p w14:paraId="2621B1AB" w14:textId="77777777" w:rsidR="00B42C04" w:rsidRPr="00DB0409" w:rsidRDefault="00E25080" w:rsidP="00A656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730</w:t>
            </w:r>
          </w:p>
        </w:tc>
      </w:tr>
      <w:tr w:rsidR="00B42C04" w:rsidRPr="00DB0409" w14:paraId="1D479E13" w14:textId="77777777" w:rsidTr="004A0FE9">
        <w:trPr>
          <w:trHeight w:val="30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noWrap/>
            <w:hideMark/>
          </w:tcPr>
          <w:p w14:paraId="0979E8A0" w14:textId="77777777" w:rsidR="00B42C04" w:rsidRPr="00DB0409" w:rsidRDefault="00B42C04" w:rsidP="00A65607">
            <w:pPr>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Mean Prediction Time</w:t>
            </w:r>
            <w:r>
              <w:rPr>
                <w:rFonts w:ascii="Times New Roman" w:eastAsia="Times New Roman" w:hAnsi="Times New Roman" w:cs="Times New Roman"/>
                <w:color w:val="000000"/>
                <w:lang w:eastAsia="en-GB"/>
              </w:rPr>
              <w:t xml:space="preserve"> (days)</w:t>
            </w:r>
          </w:p>
        </w:tc>
        <w:tc>
          <w:tcPr>
            <w:tcW w:w="3941" w:type="dxa"/>
            <w:shd w:val="clear" w:color="auto" w:fill="FFFFFF" w:themeFill="background1"/>
            <w:noWrap/>
          </w:tcPr>
          <w:p w14:paraId="24DDFCF2" w14:textId="77777777" w:rsidR="00B42C04" w:rsidRPr="00DB0409" w:rsidRDefault="00B42C04"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DB0409">
              <w:rPr>
                <w:rFonts w:ascii="Times New Roman" w:eastAsia="Times New Roman" w:hAnsi="Times New Roman" w:cs="Times New Roman"/>
                <w:color w:val="000000"/>
                <w:lang w:eastAsia="en-GB"/>
              </w:rPr>
              <w:t>303</w:t>
            </w:r>
          </w:p>
        </w:tc>
        <w:tc>
          <w:tcPr>
            <w:tcW w:w="1401" w:type="dxa"/>
            <w:shd w:val="clear" w:color="auto" w:fill="FFFFFF" w:themeFill="background1"/>
            <w:noWrap/>
            <w:hideMark/>
          </w:tcPr>
          <w:p w14:paraId="733D99F1" w14:textId="77777777" w:rsidR="00B42C04" w:rsidRPr="00DB0409" w:rsidRDefault="00E25080" w:rsidP="00A656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p>
        </w:tc>
      </w:tr>
    </w:tbl>
    <w:p w14:paraId="5F880B8D" w14:textId="77777777" w:rsidR="0077236D" w:rsidRPr="00DB0409" w:rsidRDefault="0077236D" w:rsidP="0077236D">
      <w:pPr>
        <w:spacing w:after="120" w:line="480" w:lineRule="auto"/>
        <w:rPr>
          <w:rFonts w:ascii="Times New Roman" w:hAnsi="Times New Roman" w:cs="Times New Roman"/>
          <w:b/>
        </w:rPr>
      </w:pPr>
    </w:p>
    <w:p w14:paraId="01301976" w14:textId="77777777" w:rsidR="0077236D" w:rsidRDefault="0077236D" w:rsidP="005E16CF">
      <w:pPr>
        <w:spacing w:after="120" w:line="480" w:lineRule="auto"/>
        <w:rPr>
          <w:rFonts w:ascii="Times New Roman" w:hAnsi="Times New Roman" w:cs="Times New Roman"/>
        </w:rPr>
      </w:pPr>
    </w:p>
    <w:p w14:paraId="2D4D734C" w14:textId="77777777" w:rsidR="0077236D" w:rsidRDefault="0077236D" w:rsidP="005E16CF">
      <w:pPr>
        <w:spacing w:after="120" w:line="480" w:lineRule="auto"/>
        <w:rPr>
          <w:rFonts w:ascii="Times New Roman" w:hAnsi="Times New Roman" w:cs="Times New Roman"/>
        </w:rPr>
      </w:pPr>
    </w:p>
    <w:p w14:paraId="0F4D03A1" w14:textId="762F1CE1" w:rsidR="0077236D" w:rsidRPr="0077236D" w:rsidRDefault="0077236D" w:rsidP="00A65607">
      <w:pPr>
        <w:rPr>
          <w:rFonts w:ascii="Times New Roman" w:hAnsi="Times New Roman" w:cs="Times New Roman"/>
        </w:rPr>
      </w:pPr>
    </w:p>
    <w:sectPr w:rsidR="0077236D" w:rsidRPr="0077236D" w:rsidSect="00496A42">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2F648" w14:textId="77777777" w:rsidR="00EC6F5A" w:rsidRDefault="00EC6F5A" w:rsidP="001A2AE7">
      <w:r>
        <w:separator/>
      </w:r>
    </w:p>
  </w:endnote>
  <w:endnote w:type="continuationSeparator" w:id="0">
    <w:p w14:paraId="11EE88C9" w14:textId="77777777" w:rsidR="00EC6F5A" w:rsidRDefault="00EC6F5A" w:rsidP="001A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D65CE" w14:textId="77777777" w:rsidR="00EC6F5A" w:rsidRDefault="00EC6F5A" w:rsidP="001A2AE7">
      <w:r>
        <w:separator/>
      </w:r>
    </w:p>
  </w:footnote>
  <w:footnote w:type="continuationSeparator" w:id="0">
    <w:p w14:paraId="7AFAC97B" w14:textId="77777777" w:rsidR="00EC6F5A" w:rsidRDefault="00EC6F5A" w:rsidP="001A2A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402578"/>
      <w:docPartObj>
        <w:docPartGallery w:val="Page Numbers (Top of Page)"/>
        <w:docPartUnique/>
      </w:docPartObj>
    </w:sdtPr>
    <w:sdtEndPr>
      <w:rPr>
        <w:noProof/>
      </w:rPr>
    </w:sdtEndPr>
    <w:sdtContent>
      <w:p w14:paraId="7E98C8A1" w14:textId="1B01F800" w:rsidR="00EC6F5A" w:rsidRDefault="00EC6F5A">
        <w:pPr>
          <w:pStyle w:val="Header"/>
          <w:jc w:val="right"/>
        </w:pPr>
        <w:r>
          <w:t xml:space="preserve">Hughes </w:t>
        </w:r>
        <w:r>
          <w:fldChar w:fldCharType="begin"/>
        </w:r>
        <w:r>
          <w:instrText xml:space="preserve"> PAGE   \* MERGEFORMAT </w:instrText>
        </w:r>
        <w:r>
          <w:fldChar w:fldCharType="separate"/>
        </w:r>
        <w:r w:rsidR="00981D03">
          <w:rPr>
            <w:noProof/>
          </w:rPr>
          <w:t>2</w:t>
        </w:r>
        <w:r>
          <w:rPr>
            <w:noProof/>
          </w:rPr>
          <w:fldChar w:fldCharType="end"/>
        </w:r>
      </w:p>
    </w:sdtContent>
  </w:sdt>
  <w:p w14:paraId="4655BFD9" w14:textId="77777777" w:rsidR="00EC6F5A" w:rsidRDefault="00EC6F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32A7"/>
    <w:multiLevelType w:val="hybridMultilevel"/>
    <w:tmpl w:val="DB9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767E4"/>
    <w:multiLevelType w:val="hybridMultilevel"/>
    <w:tmpl w:val="E31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4013D"/>
    <w:multiLevelType w:val="hybridMultilevel"/>
    <w:tmpl w:val="3AD6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30152"/>
    <w:multiLevelType w:val="hybridMultilevel"/>
    <w:tmpl w:val="D170470E"/>
    <w:lvl w:ilvl="0" w:tplc="38E4E68E">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88438A"/>
    <w:multiLevelType w:val="hybridMultilevel"/>
    <w:tmpl w:val="79F0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CE230F"/>
    <w:multiLevelType w:val="multilevel"/>
    <w:tmpl w:val="D0C24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B81C25"/>
    <w:multiLevelType w:val="hybridMultilevel"/>
    <w:tmpl w:val="CF5C9FB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7B246BC4"/>
    <w:multiLevelType w:val="hybridMultilevel"/>
    <w:tmpl w:val="3FBE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6"/>
  </w:num>
  <w:num w:numId="6">
    <w:abstractNumId w:val="3"/>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ghes, David [dmhughes]">
    <w15:presenceInfo w15:providerId="AD" w15:userId="S-1-5-21-137024685-2204166116-4157399963-210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zpxe5r9zfet0e50ee5zx5vvzsdvs2wrpf9&quot;&gt;Hughes&lt;record-ids&gt;&lt;item&gt;1&lt;/item&gt;&lt;item&gt;2&lt;/item&gt;&lt;item&gt;3&lt;/item&gt;&lt;item&gt;5&lt;/item&gt;&lt;item&gt;6&lt;/item&gt;&lt;item&gt;7&lt;/item&gt;&lt;item&gt;8&lt;/item&gt;&lt;item&gt;9&lt;/item&gt;&lt;item&gt;10&lt;/item&gt;&lt;item&gt;12&lt;/item&gt;&lt;item&gt;13&lt;/item&gt;&lt;item&gt;14&lt;/item&gt;&lt;item&gt;15&lt;/item&gt;&lt;item&gt;17&lt;/item&gt;&lt;item&gt;19&lt;/item&gt;&lt;item&gt;20&lt;/item&gt;&lt;item&gt;22&lt;/item&gt;&lt;/record-ids&gt;&lt;/item&gt;&lt;/Libraries&gt;"/>
  </w:docVars>
  <w:rsids>
    <w:rsidRoot w:val="009F04AF"/>
    <w:rsid w:val="00006637"/>
    <w:rsid w:val="00010CE6"/>
    <w:rsid w:val="00010EE9"/>
    <w:rsid w:val="00020D03"/>
    <w:rsid w:val="00021D5F"/>
    <w:rsid w:val="000271A6"/>
    <w:rsid w:val="00031CD4"/>
    <w:rsid w:val="00036662"/>
    <w:rsid w:val="000366DE"/>
    <w:rsid w:val="00045CC3"/>
    <w:rsid w:val="00046C51"/>
    <w:rsid w:val="000500B9"/>
    <w:rsid w:val="00051C56"/>
    <w:rsid w:val="000609A9"/>
    <w:rsid w:val="00067369"/>
    <w:rsid w:val="00067BA2"/>
    <w:rsid w:val="00071539"/>
    <w:rsid w:val="00071D26"/>
    <w:rsid w:val="000729F1"/>
    <w:rsid w:val="00072B07"/>
    <w:rsid w:val="000768C5"/>
    <w:rsid w:val="000900C4"/>
    <w:rsid w:val="0009493D"/>
    <w:rsid w:val="000B42D3"/>
    <w:rsid w:val="000B4EE8"/>
    <w:rsid w:val="000C5B2C"/>
    <w:rsid w:val="000C728A"/>
    <w:rsid w:val="000D2DDF"/>
    <w:rsid w:val="000E1F7E"/>
    <w:rsid w:val="000E6603"/>
    <w:rsid w:val="000F1347"/>
    <w:rsid w:val="000F1A02"/>
    <w:rsid w:val="000F3C90"/>
    <w:rsid w:val="000F6B9D"/>
    <w:rsid w:val="000F6C8E"/>
    <w:rsid w:val="00106F04"/>
    <w:rsid w:val="00112CEA"/>
    <w:rsid w:val="001210D2"/>
    <w:rsid w:val="00123E73"/>
    <w:rsid w:val="00126640"/>
    <w:rsid w:val="00136991"/>
    <w:rsid w:val="00137938"/>
    <w:rsid w:val="00137B29"/>
    <w:rsid w:val="0014207E"/>
    <w:rsid w:val="00147F2E"/>
    <w:rsid w:val="00153A54"/>
    <w:rsid w:val="001558D2"/>
    <w:rsid w:val="00160AF1"/>
    <w:rsid w:val="00161ED1"/>
    <w:rsid w:val="0016716A"/>
    <w:rsid w:val="00172A79"/>
    <w:rsid w:val="00174261"/>
    <w:rsid w:val="00174A01"/>
    <w:rsid w:val="00175290"/>
    <w:rsid w:val="001A2AE7"/>
    <w:rsid w:val="001A2BAD"/>
    <w:rsid w:val="001A75D5"/>
    <w:rsid w:val="001D03EF"/>
    <w:rsid w:val="001D09FD"/>
    <w:rsid w:val="001E2EA2"/>
    <w:rsid w:val="001F0F29"/>
    <w:rsid w:val="001F2F2A"/>
    <w:rsid w:val="001F7CC1"/>
    <w:rsid w:val="00202CA6"/>
    <w:rsid w:val="00207CFA"/>
    <w:rsid w:val="002163DA"/>
    <w:rsid w:val="00242C1A"/>
    <w:rsid w:val="002467FB"/>
    <w:rsid w:val="00264BA0"/>
    <w:rsid w:val="002676A1"/>
    <w:rsid w:val="00270BEB"/>
    <w:rsid w:val="00284157"/>
    <w:rsid w:val="00287D39"/>
    <w:rsid w:val="00294EEC"/>
    <w:rsid w:val="002B761F"/>
    <w:rsid w:val="002C071F"/>
    <w:rsid w:val="002D0963"/>
    <w:rsid w:val="002D2384"/>
    <w:rsid w:val="002D5E46"/>
    <w:rsid w:val="002E770B"/>
    <w:rsid w:val="00304499"/>
    <w:rsid w:val="0031310E"/>
    <w:rsid w:val="00315340"/>
    <w:rsid w:val="00316414"/>
    <w:rsid w:val="0032030E"/>
    <w:rsid w:val="00320550"/>
    <w:rsid w:val="00324486"/>
    <w:rsid w:val="00355F67"/>
    <w:rsid w:val="00360E55"/>
    <w:rsid w:val="003626CB"/>
    <w:rsid w:val="00365BBB"/>
    <w:rsid w:val="00367173"/>
    <w:rsid w:val="00373B8D"/>
    <w:rsid w:val="003778F2"/>
    <w:rsid w:val="00384448"/>
    <w:rsid w:val="0038520A"/>
    <w:rsid w:val="003A171A"/>
    <w:rsid w:val="003A2F36"/>
    <w:rsid w:val="003A50D9"/>
    <w:rsid w:val="003A7C31"/>
    <w:rsid w:val="003E2F7B"/>
    <w:rsid w:val="003E30E5"/>
    <w:rsid w:val="003E481B"/>
    <w:rsid w:val="003E6502"/>
    <w:rsid w:val="003E6DE0"/>
    <w:rsid w:val="003E71CE"/>
    <w:rsid w:val="003F3526"/>
    <w:rsid w:val="003F7AB3"/>
    <w:rsid w:val="004024B5"/>
    <w:rsid w:val="00403850"/>
    <w:rsid w:val="00406FEB"/>
    <w:rsid w:val="004076A7"/>
    <w:rsid w:val="0042484B"/>
    <w:rsid w:val="00424F23"/>
    <w:rsid w:val="0042575D"/>
    <w:rsid w:val="004313AD"/>
    <w:rsid w:val="004314C6"/>
    <w:rsid w:val="00437E9D"/>
    <w:rsid w:val="004414AD"/>
    <w:rsid w:val="00457A86"/>
    <w:rsid w:val="00461C1C"/>
    <w:rsid w:val="00465E55"/>
    <w:rsid w:val="004710C3"/>
    <w:rsid w:val="00484E34"/>
    <w:rsid w:val="00494E90"/>
    <w:rsid w:val="00496535"/>
    <w:rsid w:val="00496859"/>
    <w:rsid w:val="00496A42"/>
    <w:rsid w:val="004A0FE9"/>
    <w:rsid w:val="004A2952"/>
    <w:rsid w:val="004A302C"/>
    <w:rsid w:val="004A4CB0"/>
    <w:rsid w:val="004B01FE"/>
    <w:rsid w:val="004B1D85"/>
    <w:rsid w:val="004C1C47"/>
    <w:rsid w:val="004C6BF8"/>
    <w:rsid w:val="004C7A0E"/>
    <w:rsid w:val="004C7F48"/>
    <w:rsid w:val="004D007E"/>
    <w:rsid w:val="004D2D24"/>
    <w:rsid w:val="004D5AE2"/>
    <w:rsid w:val="004D6BCF"/>
    <w:rsid w:val="004D7CFA"/>
    <w:rsid w:val="004E085D"/>
    <w:rsid w:val="004E3EC7"/>
    <w:rsid w:val="004E5A0B"/>
    <w:rsid w:val="004F0C35"/>
    <w:rsid w:val="004F3478"/>
    <w:rsid w:val="00502484"/>
    <w:rsid w:val="005035CB"/>
    <w:rsid w:val="00507966"/>
    <w:rsid w:val="00520524"/>
    <w:rsid w:val="00522076"/>
    <w:rsid w:val="00523FC4"/>
    <w:rsid w:val="00540857"/>
    <w:rsid w:val="00552C2C"/>
    <w:rsid w:val="005662D4"/>
    <w:rsid w:val="00567B7A"/>
    <w:rsid w:val="00570CFD"/>
    <w:rsid w:val="00575173"/>
    <w:rsid w:val="00584498"/>
    <w:rsid w:val="00592DCE"/>
    <w:rsid w:val="00594A0A"/>
    <w:rsid w:val="00595CC4"/>
    <w:rsid w:val="005A3DC2"/>
    <w:rsid w:val="005A405C"/>
    <w:rsid w:val="005B09A7"/>
    <w:rsid w:val="005B1A65"/>
    <w:rsid w:val="005B2748"/>
    <w:rsid w:val="005B30F6"/>
    <w:rsid w:val="005C3400"/>
    <w:rsid w:val="005C664F"/>
    <w:rsid w:val="005C68F5"/>
    <w:rsid w:val="005C6F7C"/>
    <w:rsid w:val="005D2781"/>
    <w:rsid w:val="005D2DE9"/>
    <w:rsid w:val="005D49C9"/>
    <w:rsid w:val="005E16CF"/>
    <w:rsid w:val="005E30FA"/>
    <w:rsid w:val="005E509B"/>
    <w:rsid w:val="0060188E"/>
    <w:rsid w:val="00602AA7"/>
    <w:rsid w:val="00603C48"/>
    <w:rsid w:val="006118CD"/>
    <w:rsid w:val="00611A0F"/>
    <w:rsid w:val="006143A7"/>
    <w:rsid w:val="00625697"/>
    <w:rsid w:val="0063150C"/>
    <w:rsid w:val="006350A3"/>
    <w:rsid w:val="00635B91"/>
    <w:rsid w:val="00644157"/>
    <w:rsid w:val="00644224"/>
    <w:rsid w:val="00646848"/>
    <w:rsid w:val="00651600"/>
    <w:rsid w:val="00655672"/>
    <w:rsid w:val="006570FC"/>
    <w:rsid w:val="00660CF8"/>
    <w:rsid w:val="006622C2"/>
    <w:rsid w:val="0067153F"/>
    <w:rsid w:val="00673A38"/>
    <w:rsid w:val="0067680E"/>
    <w:rsid w:val="006821D5"/>
    <w:rsid w:val="00685057"/>
    <w:rsid w:val="006925B3"/>
    <w:rsid w:val="00697256"/>
    <w:rsid w:val="00697A30"/>
    <w:rsid w:val="006A4658"/>
    <w:rsid w:val="006B158D"/>
    <w:rsid w:val="006C32C4"/>
    <w:rsid w:val="006D0781"/>
    <w:rsid w:val="006D6B09"/>
    <w:rsid w:val="006D6D07"/>
    <w:rsid w:val="006E0F88"/>
    <w:rsid w:val="006E3D26"/>
    <w:rsid w:val="006F0AC7"/>
    <w:rsid w:val="006F1716"/>
    <w:rsid w:val="006F4D1A"/>
    <w:rsid w:val="006F7A0B"/>
    <w:rsid w:val="0070027B"/>
    <w:rsid w:val="00704554"/>
    <w:rsid w:val="00721215"/>
    <w:rsid w:val="007219A8"/>
    <w:rsid w:val="00721E4A"/>
    <w:rsid w:val="007275E6"/>
    <w:rsid w:val="00737868"/>
    <w:rsid w:val="0074055F"/>
    <w:rsid w:val="0074419A"/>
    <w:rsid w:val="007507E6"/>
    <w:rsid w:val="00752045"/>
    <w:rsid w:val="00754322"/>
    <w:rsid w:val="00754B6D"/>
    <w:rsid w:val="00756A26"/>
    <w:rsid w:val="0077236D"/>
    <w:rsid w:val="00774C55"/>
    <w:rsid w:val="0078050E"/>
    <w:rsid w:val="00790A9C"/>
    <w:rsid w:val="007A14C7"/>
    <w:rsid w:val="007A1DCC"/>
    <w:rsid w:val="007A7156"/>
    <w:rsid w:val="007B00CC"/>
    <w:rsid w:val="007B392B"/>
    <w:rsid w:val="007C3007"/>
    <w:rsid w:val="007C512C"/>
    <w:rsid w:val="007E39E4"/>
    <w:rsid w:val="007E63C8"/>
    <w:rsid w:val="007F25CF"/>
    <w:rsid w:val="00805B08"/>
    <w:rsid w:val="008140E1"/>
    <w:rsid w:val="00814EAD"/>
    <w:rsid w:val="0082613D"/>
    <w:rsid w:val="00826462"/>
    <w:rsid w:val="00833BCD"/>
    <w:rsid w:val="00841C96"/>
    <w:rsid w:val="00852201"/>
    <w:rsid w:val="00866FC0"/>
    <w:rsid w:val="00870192"/>
    <w:rsid w:val="0087270D"/>
    <w:rsid w:val="008762DD"/>
    <w:rsid w:val="00876EFD"/>
    <w:rsid w:val="008846CD"/>
    <w:rsid w:val="00884B19"/>
    <w:rsid w:val="008929F1"/>
    <w:rsid w:val="008A3599"/>
    <w:rsid w:val="008A6657"/>
    <w:rsid w:val="008A6658"/>
    <w:rsid w:val="008C7D60"/>
    <w:rsid w:val="008D0FBB"/>
    <w:rsid w:val="008D14F5"/>
    <w:rsid w:val="008D1BFA"/>
    <w:rsid w:val="008D3422"/>
    <w:rsid w:val="008E66FF"/>
    <w:rsid w:val="008F01DA"/>
    <w:rsid w:val="008F504C"/>
    <w:rsid w:val="008F52E3"/>
    <w:rsid w:val="008F7DE6"/>
    <w:rsid w:val="00915BEA"/>
    <w:rsid w:val="00930C46"/>
    <w:rsid w:val="0095436E"/>
    <w:rsid w:val="00981D03"/>
    <w:rsid w:val="0098716F"/>
    <w:rsid w:val="00991253"/>
    <w:rsid w:val="009927E4"/>
    <w:rsid w:val="00994222"/>
    <w:rsid w:val="009959B8"/>
    <w:rsid w:val="00995EE8"/>
    <w:rsid w:val="009A576B"/>
    <w:rsid w:val="009B1363"/>
    <w:rsid w:val="009B4AE0"/>
    <w:rsid w:val="009D1A71"/>
    <w:rsid w:val="009D2660"/>
    <w:rsid w:val="009E3120"/>
    <w:rsid w:val="009E35B1"/>
    <w:rsid w:val="009E6843"/>
    <w:rsid w:val="009F04AF"/>
    <w:rsid w:val="009F084F"/>
    <w:rsid w:val="00A00AD3"/>
    <w:rsid w:val="00A1067B"/>
    <w:rsid w:val="00A12689"/>
    <w:rsid w:val="00A16E6B"/>
    <w:rsid w:val="00A17821"/>
    <w:rsid w:val="00A2042B"/>
    <w:rsid w:val="00A43631"/>
    <w:rsid w:val="00A44200"/>
    <w:rsid w:val="00A45B05"/>
    <w:rsid w:val="00A578A1"/>
    <w:rsid w:val="00A6237C"/>
    <w:rsid w:val="00A65139"/>
    <w:rsid w:val="00A65607"/>
    <w:rsid w:val="00A719A9"/>
    <w:rsid w:val="00A7530D"/>
    <w:rsid w:val="00A7735B"/>
    <w:rsid w:val="00A80828"/>
    <w:rsid w:val="00A83584"/>
    <w:rsid w:val="00A876DC"/>
    <w:rsid w:val="00A9059D"/>
    <w:rsid w:val="00A95E60"/>
    <w:rsid w:val="00A96AEB"/>
    <w:rsid w:val="00AB0F22"/>
    <w:rsid w:val="00AB233D"/>
    <w:rsid w:val="00AB3D7A"/>
    <w:rsid w:val="00AC1A4D"/>
    <w:rsid w:val="00AC56BE"/>
    <w:rsid w:val="00AD7617"/>
    <w:rsid w:val="00AE1360"/>
    <w:rsid w:val="00AE207D"/>
    <w:rsid w:val="00AE7267"/>
    <w:rsid w:val="00AF0478"/>
    <w:rsid w:val="00AF1034"/>
    <w:rsid w:val="00AF1741"/>
    <w:rsid w:val="00AF67E1"/>
    <w:rsid w:val="00B056EA"/>
    <w:rsid w:val="00B05BA9"/>
    <w:rsid w:val="00B2063A"/>
    <w:rsid w:val="00B238FF"/>
    <w:rsid w:val="00B333AF"/>
    <w:rsid w:val="00B416C6"/>
    <w:rsid w:val="00B42C04"/>
    <w:rsid w:val="00B65B21"/>
    <w:rsid w:val="00B67CC4"/>
    <w:rsid w:val="00B70E69"/>
    <w:rsid w:val="00B76AC1"/>
    <w:rsid w:val="00B830BC"/>
    <w:rsid w:val="00B86883"/>
    <w:rsid w:val="00B87690"/>
    <w:rsid w:val="00B87B32"/>
    <w:rsid w:val="00B91EAB"/>
    <w:rsid w:val="00B957AC"/>
    <w:rsid w:val="00B9682B"/>
    <w:rsid w:val="00B968FA"/>
    <w:rsid w:val="00BB51F3"/>
    <w:rsid w:val="00BB5AD1"/>
    <w:rsid w:val="00BC0201"/>
    <w:rsid w:val="00BC2774"/>
    <w:rsid w:val="00BC56EB"/>
    <w:rsid w:val="00BC7D36"/>
    <w:rsid w:val="00BE008E"/>
    <w:rsid w:val="00BE3DEF"/>
    <w:rsid w:val="00BE5995"/>
    <w:rsid w:val="00BF22B4"/>
    <w:rsid w:val="00BF3C44"/>
    <w:rsid w:val="00C059D8"/>
    <w:rsid w:val="00C05D97"/>
    <w:rsid w:val="00C11587"/>
    <w:rsid w:val="00C30E33"/>
    <w:rsid w:val="00C364EE"/>
    <w:rsid w:val="00C40E87"/>
    <w:rsid w:val="00C5615B"/>
    <w:rsid w:val="00C70411"/>
    <w:rsid w:val="00C71842"/>
    <w:rsid w:val="00C72FFE"/>
    <w:rsid w:val="00C74EFB"/>
    <w:rsid w:val="00C75513"/>
    <w:rsid w:val="00C84F40"/>
    <w:rsid w:val="00CA27B7"/>
    <w:rsid w:val="00CA6140"/>
    <w:rsid w:val="00CB5F07"/>
    <w:rsid w:val="00CC0744"/>
    <w:rsid w:val="00CD6D85"/>
    <w:rsid w:val="00CD6DE1"/>
    <w:rsid w:val="00CE17E6"/>
    <w:rsid w:val="00CE220C"/>
    <w:rsid w:val="00CE3DBC"/>
    <w:rsid w:val="00CE6D05"/>
    <w:rsid w:val="00CF78D8"/>
    <w:rsid w:val="00D03A44"/>
    <w:rsid w:val="00D371C6"/>
    <w:rsid w:val="00D37C71"/>
    <w:rsid w:val="00D51AE9"/>
    <w:rsid w:val="00D8322E"/>
    <w:rsid w:val="00D86476"/>
    <w:rsid w:val="00D9714F"/>
    <w:rsid w:val="00DA085D"/>
    <w:rsid w:val="00DA2F4E"/>
    <w:rsid w:val="00DA4D66"/>
    <w:rsid w:val="00DB0409"/>
    <w:rsid w:val="00DC0749"/>
    <w:rsid w:val="00DC0754"/>
    <w:rsid w:val="00DC193E"/>
    <w:rsid w:val="00DC1FA1"/>
    <w:rsid w:val="00DC7B7E"/>
    <w:rsid w:val="00DC7D85"/>
    <w:rsid w:val="00DD2023"/>
    <w:rsid w:val="00DD6543"/>
    <w:rsid w:val="00DE5741"/>
    <w:rsid w:val="00DF4967"/>
    <w:rsid w:val="00DF5C55"/>
    <w:rsid w:val="00DF66A5"/>
    <w:rsid w:val="00E0446A"/>
    <w:rsid w:val="00E06148"/>
    <w:rsid w:val="00E129A3"/>
    <w:rsid w:val="00E14044"/>
    <w:rsid w:val="00E1476C"/>
    <w:rsid w:val="00E16A2B"/>
    <w:rsid w:val="00E25080"/>
    <w:rsid w:val="00E267EE"/>
    <w:rsid w:val="00E26D98"/>
    <w:rsid w:val="00E325FC"/>
    <w:rsid w:val="00E330C7"/>
    <w:rsid w:val="00E350F9"/>
    <w:rsid w:val="00E44D13"/>
    <w:rsid w:val="00E467E4"/>
    <w:rsid w:val="00E47F9D"/>
    <w:rsid w:val="00E61F4A"/>
    <w:rsid w:val="00E6206A"/>
    <w:rsid w:val="00E65DF4"/>
    <w:rsid w:val="00E67D84"/>
    <w:rsid w:val="00E72023"/>
    <w:rsid w:val="00E73500"/>
    <w:rsid w:val="00E82061"/>
    <w:rsid w:val="00EA0E61"/>
    <w:rsid w:val="00EA4DC1"/>
    <w:rsid w:val="00EA55F2"/>
    <w:rsid w:val="00EB3A5B"/>
    <w:rsid w:val="00EC3264"/>
    <w:rsid w:val="00EC6F5A"/>
    <w:rsid w:val="00ED0656"/>
    <w:rsid w:val="00ED08DC"/>
    <w:rsid w:val="00EE4316"/>
    <w:rsid w:val="00EE53D4"/>
    <w:rsid w:val="00EF79A8"/>
    <w:rsid w:val="00F0507B"/>
    <w:rsid w:val="00F123B6"/>
    <w:rsid w:val="00F17B27"/>
    <w:rsid w:val="00F26119"/>
    <w:rsid w:val="00F26F3D"/>
    <w:rsid w:val="00F32FA0"/>
    <w:rsid w:val="00F405E5"/>
    <w:rsid w:val="00F56B4A"/>
    <w:rsid w:val="00F56F05"/>
    <w:rsid w:val="00F637D4"/>
    <w:rsid w:val="00F831A1"/>
    <w:rsid w:val="00F84E84"/>
    <w:rsid w:val="00F9231F"/>
    <w:rsid w:val="00F94B4A"/>
    <w:rsid w:val="00FB3259"/>
    <w:rsid w:val="00FB4E30"/>
    <w:rsid w:val="00FB6AFF"/>
    <w:rsid w:val="00FC0104"/>
    <w:rsid w:val="00FD3C9D"/>
    <w:rsid w:val="00FD528F"/>
    <w:rsid w:val="00FE0002"/>
    <w:rsid w:val="00FE11CF"/>
    <w:rsid w:val="00FE442C"/>
    <w:rsid w:val="00FF0526"/>
    <w:rsid w:val="00FF5D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C55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4AF"/>
    <w:pPr>
      <w:ind w:left="720"/>
      <w:contextualSpacing/>
    </w:pPr>
  </w:style>
  <w:style w:type="table" w:styleId="TableGrid">
    <w:name w:val="Table Grid"/>
    <w:basedOn w:val="TableNormal"/>
    <w:uiPriority w:val="59"/>
    <w:rsid w:val="004A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0507B"/>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F0507B"/>
    <w:rPr>
      <w:rFonts w:ascii="Cambria" w:hAnsi="Cambria"/>
      <w:noProof/>
      <w:lang w:val="en-US"/>
    </w:rPr>
  </w:style>
  <w:style w:type="paragraph" w:customStyle="1" w:styleId="EndNoteBibliography">
    <w:name w:val="EndNote Bibliography"/>
    <w:basedOn w:val="Normal"/>
    <w:link w:val="EndNoteBibliographyChar"/>
    <w:rsid w:val="00F0507B"/>
    <w:rPr>
      <w:rFonts w:ascii="Cambria" w:hAnsi="Cambria"/>
      <w:noProof/>
      <w:lang w:val="en-US"/>
    </w:rPr>
  </w:style>
  <w:style w:type="character" w:customStyle="1" w:styleId="EndNoteBibliographyChar">
    <w:name w:val="EndNote Bibliography Char"/>
    <w:basedOn w:val="DefaultParagraphFont"/>
    <w:link w:val="EndNoteBibliography"/>
    <w:rsid w:val="00F0507B"/>
    <w:rPr>
      <w:rFonts w:ascii="Cambria" w:hAnsi="Cambria"/>
      <w:noProof/>
      <w:lang w:val="en-US"/>
    </w:rPr>
  </w:style>
  <w:style w:type="paragraph" w:styleId="Caption">
    <w:name w:val="caption"/>
    <w:basedOn w:val="Normal"/>
    <w:next w:val="Normal"/>
    <w:uiPriority w:val="35"/>
    <w:unhideWhenUsed/>
    <w:qFormat/>
    <w:rsid w:val="00C74EFB"/>
    <w:pPr>
      <w:spacing w:after="200"/>
    </w:pPr>
    <w:rPr>
      <w:i/>
      <w:iCs/>
      <w:color w:val="1F497D" w:themeColor="text2"/>
      <w:sz w:val="18"/>
      <w:szCs w:val="18"/>
    </w:rPr>
  </w:style>
  <w:style w:type="table" w:customStyle="1" w:styleId="PlainTable11">
    <w:name w:val="Plain Table 11"/>
    <w:basedOn w:val="TableNormal"/>
    <w:uiPriority w:val="99"/>
    <w:rsid w:val="00FF052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719A9"/>
    <w:rPr>
      <w:sz w:val="16"/>
      <w:szCs w:val="16"/>
    </w:rPr>
  </w:style>
  <w:style w:type="paragraph" w:styleId="CommentText">
    <w:name w:val="annotation text"/>
    <w:basedOn w:val="Normal"/>
    <w:link w:val="CommentTextChar"/>
    <w:uiPriority w:val="99"/>
    <w:semiHidden/>
    <w:unhideWhenUsed/>
    <w:rsid w:val="00A719A9"/>
    <w:rPr>
      <w:sz w:val="20"/>
      <w:szCs w:val="20"/>
    </w:rPr>
  </w:style>
  <w:style w:type="character" w:customStyle="1" w:styleId="CommentTextChar">
    <w:name w:val="Comment Text Char"/>
    <w:basedOn w:val="DefaultParagraphFont"/>
    <w:link w:val="CommentText"/>
    <w:uiPriority w:val="99"/>
    <w:semiHidden/>
    <w:rsid w:val="00A719A9"/>
    <w:rPr>
      <w:sz w:val="20"/>
      <w:szCs w:val="20"/>
    </w:rPr>
  </w:style>
  <w:style w:type="paragraph" w:styleId="CommentSubject">
    <w:name w:val="annotation subject"/>
    <w:basedOn w:val="CommentText"/>
    <w:next w:val="CommentText"/>
    <w:link w:val="CommentSubjectChar"/>
    <w:uiPriority w:val="99"/>
    <w:semiHidden/>
    <w:unhideWhenUsed/>
    <w:rsid w:val="00A719A9"/>
    <w:rPr>
      <w:b/>
      <w:bCs/>
    </w:rPr>
  </w:style>
  <w:style w:type="character" w:customStyle="1" w:styleId="CommentSubjectChar">
    <w:name w:val="Comment Subject Char"/>
    <w:basedOn w:val="CommentTextChar"/>
    <w:link w:val="CommentSubject"/>
    <w:uiPriority w:val="99"/>
    <w:semiHidden/>
    <w:rsid w:val="00A719A9"/>
    <w:rPr>
      <w:b/>
      <w:bCs/>
      <w:sz w:val="20"/>
      <w:szCs w:val="20"/>
    </w:rPr>
  </w:style>
  <w:style w:type="paragraph" w:styleId="BalloonText">
    <w:name w:val="Balloon Text"/>
    <w:basedOn w:val="Normal"/>
    <w:link w:val="BalloonTextChar"/>
    <w:uiPriority w:val="99"/>
    <w:semiHidden/>
    <w:unhideWhenUsed/>
    <w:rsid w:val="00A7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A9"/>
    <w:rPr>
      <w:rFonts w:ascii="Segoe UI" w:hAnsi="Segoe UI" w:cs="Segoe UI"/>
      <w:sz w:val="18"/>
      <w:szCs w:val="18"/>
    </w:rPr>
  </w:style>
  <w:style w:type="character" w:styleId="Hyperlink">
    <w:name w:val="Hyperlink"/>
    <w:basedOn w:val="DefaultParagraphFont"/>
    <w:uiPriority w:val="99"/>
    <w:unhideWhenUsed/>
    <w:rsid w:val="006F1716"/>
    <w:rPr>
      <w:color w:val="0000FF" w:themeColor="hyperlink"/>
      <w:u w:val="single"/>
    </w:rPr>
  </w:style>
  <w:style w:type="paragraph" w:styleId="Header">
    <w:name w:val="header"/>
    <w:basedOn w:val="Normal"/>
    <w:link w:val="HeaderChar"/>
    <w:uiPriority w:val="99"/>
    <w:unhideWhenUsed/>
    <w:rsid w:val="001A2AE7"/>
    <w:pPr>
      <w:tabs>
        <w:tab w:val="center" w:pos="4513"/>
        <w:tab w:val="right" w:pos="9026"/>
      </w:tabs>
    </w:pPr>
  </w:style>
  <w:style w:type="character" w:customStyle="1" w:styleId="HeaderChar">
    <w:name w:val="Header Char"/>
    <w:basedOn w:val="DefaultParagraphFont"/>
    <w:link w:val="Header"/>
    <w:uiPriority w:val="99"/>
    <w:rsid w:val="001A2AE7"/>
  </w:style>
  <w:style w:type="paragraph" w:styleId="Footer">
    <w:name w:val="footer"/>
    <w:basedOn w:val="Normal"/>
    <w:link w:val="FooterChar"/>
    <w:uiPriority w:val="99"/>
    <w:unhideWhenUsed/>
    <w:rsid w:val="001A2AE7"/>
    <w:pPr>
      <w:tabs>
        <w:tab w:val="center" w:pos="4513"/>
        <w:tab w:val="right" w:pos="9026"/>
      </w:tabs>
    </w:pPr>
  </w:style>
  <w:style w:type="character" w:customStyle="1" w:styleId="FooterChar">
    <w:name w:val="Footer Char"/>
    <w:basedOn w:val="DefaultParagraphFont"/>
    <w:link w:val="Footer"/>
    <w:uiPriority w:val="99"/>
    <w:rsid w:val="001A2AE7"/>
  </w:style>
  <w:style w:type="paragraph" w:styleId="Revision">
    <w:name w:val="Revision"/>
    <w:hidden/>
    <w:uiPriority w:val="99"/>
    <w:semiHidden/>
    <w:rsid w:val="004D5AE2"/>
  </w:style>
  <w:style w:type="character" w:customStyle="1" w:styleId="xapple-converted-space">
    <w:name w:val="x_apple-converted-space"/>
    <w:basedOn w:val="DefaultParagraphFont"/>
    <w:rsid w:val="00E25080"/>
  </w:style>
  <w:style w:type="paragraph" w:styleId="PlainText">
    <w:name w:val="Plain Text"/>
    <w:basedOn w:val="Normal"/>
    <w:link w:val="PlainTextChar"/>
    <w:uiPriority w:val="99"/>
    <w:semiHidden/>
    <w:unhideWhenUsed/>
    <w:rsid w:val="00DE574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E5741"/>
    <w:rPr>
      <w:rFonts w:ascii="Calibri" w:eastAsiaTheme="minorHAnsi" w:hAnsi="Calibri"/>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4AF"/>
    <w:pPr>
      <w:ind w:left="720"/>
      <w:contextualSpacing/>
    </w:pPr>
  </w:style>
  <w:style w:type="table" w:styleId="TableGrid">
    <w:name w:val="Table Grid"/>
    <w:basedOn w:val="TableNormal"/>
    <w:uiPriority w:val="59"/>
    <w:rsid w:val="004A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0507B"/>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F0507B"/>
    <w:rPr>
      <w:rFonts w:ascii="Cambria" w:hAnsi="Cambria"/>
      <w:noProof/>
      <w:lang w:val="en-US"/>
    </w:rPr>
  </w:style>
  <w:style w:type="paragraph" w:customStyle="1" w:styleId="EndNoteBibliography">
    <w:name w:val="EndNote Bibliography"/>
    <w:basedOn w:val="Normal"/>
    <w:link w:val="EndNoteBibliographyChar"/>
    <w:rsid w:val="00F0507B"/>
    <w:rPr>
      <w:rFonts w:ascii="Cambria" w:hAnsi="Cambria"/>
      <w:noProof/>
      <w:lang w:val="en-US"/>
    </w:rPr>
  </w:style>
  <w:style w:type="character" w:customStyle="1" w:styleId="EndNoteBibliographyChar">
    <w:name w:val="EndNote Bibliography Char"/>
    <w:basedOn w:val="DefaultParagraphFont"/>
    <w:link w:val="EndNoteBibliography"/>
    <w:rsid w:val="00F0507B"/>
    <w:rPr>
      <w:rFonts w:ascii="Cambria" w:hAnsi="Cambria"/>
      <w:noProof/>
      <w:lang w:val="en-US"/>
    </w:rPr>
  </w:style>
  <w:style w:type="paragraph" w:styleId="Caption">
    <w:name w:val="caption"/>
    <w:basedOn w:val="Normal"/>
    <w:next w:val="Normal"/>
    <w:uiPriority w:val="35"/>
    <w:unhideWhenUsed/>
    <w:qFormat/>
    <w:rsid w:val="00C74EFB"/>
    <w:pPr>
      <w:spacing w:after="200"/>
    </w:pPr>
    <w:rPr>
      <w:i/>
      <w:iCs/>
      <w:color w:val="1F497D" w:themeColor="text2"/>
      <w:sz w:val="18"/>
      <w:szCs w:val="18"/>
    </w:rPr>
  </w:style>
  <w:style w:type="table" w:customStyle="1" w:styleId="PlainTable11">
    <w:name w:val="Plain Table 11"/>
    <w:basedOn w:val="TableNormal"/>
    <w:uiPriority w:val="99"/>
    <w:rsid w:val="00FF052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719A9"/>
    <w:rPr>
      <w:sz w:val="16"/>
      <w:szCs w:val="16"/>
    </w:rPr>
  </w:style>
  <w:style w:type="paragraph" w:styleId="CommentText">
    <w:name w:val="annotation text"/>
    <w:basedOn w:val="Normal"/>
    <w:link w:val="CommentTextChar"/>
    <w:uiPriority w:val="99"/>
    <w:semiHidden/>
    <w:unhideWhenUsed/>
    <w:rsid w:val="00A719A9"/>
    <w:rPr>
      <w:sz w:val="20"/>
      <w:szCs w:val="20"/>
    </w:rPr>
  </w:style>
  <w:style w:type="character" w:customStyle="1" w:styleId="CommentTextChar">
    <w:name w:val="Comment Text Char"/>
    <w:basedOn w:val="DefaultParagraphFont"/>
    <w:link w:val="CommentText"/>
    <w:uiPriority w:val="99"/>
    <w:semiHidden/>
    <w:rsid w:val="00A719A9"/>
    <w:rPr>
      <w:sz w:val="20"/>
      <w:szCs w:val="20"/>
    </w:rPr>
  </w:style>
  <w:style w:type="paragraph" w:styleId="CommentSubject">
    <w:name w:val="annotation subject"/>
    <w:basedOn w:val="CommentText"/>
    <w:next w:val="CommentText"/>
    <w:link w:val="CommentSubjectChar"/>
    <w:uiPriority w:val="99"/>
    <w:semiHidden/>
    <w:unhideWhenUsed/>
    <w:rsid w:val="00A719A9"/>
    <w:rPr>
      <w:b/>
      <w:bCs/>
    </w:rPr>
  </w:style>
  <w:style w:type="character" w:customStyle="1" w:styleId="CommentSubjectChar">
    <w:name w:val="Comment Subject Char"/>
    <w:basedOn w:val="CommentTextChar"/>
    <w:link w:val="CommentSubject"/>
    <w:uiPriority w:val="99"/>
    <w:semiHidden/>
    <w:rsid w:val="00A719A9"/>
    <w:rPr>
      <w:b/>
      <w:bCs/>
      <w:sz w:val="20"/>
      <w:szCs w:val="20"/>
    </w:rPr>
  </w:style>
  <w:style w:type="paragraph" w:styleId="BalloonText">
    <w:name w:val="Balloon Text"/>
    <w:basedOn w:val="Normal"/>
    <w:link w:val="BalloonTextChar"/>
    <w:uiPriority w:val="99"/>
    <w:semiHidden/>
    <w:unhideWhenUsed/>
    <w:rsid w:val="00A7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A9"/>
    <w:rPr>
      <w:rFonts w:ascii="Segoe UI" w:hAnsi="Segoe UI" w:cs="Segoe UI"/>
      <w:sz w:val="18"/>
      <w:szCs w:val="18"/>
    </w:rPr>
  </w:style>
  <w:style w:type="character" w:styleId="Hyperlink">
    <w:name w:val="Hyperlink"/>
    <w:basedOn w:val="DefaultParagraphFont"/>
    <w:uiPriority w:val="99"/>
    <w:unhideWhenUsed/>
    <w:rsid w:val="006F1716"/>
    <w:rPr>
      <w:color w:val="0000FF" w:themeColor="hyperlink"/>
      <w:u w:val="single"/>
    </w:rPr>
  </w:style>
  <w:style w:type="paragraph" w:styleId="Header">
    <w:name w:val="header"/>
    <w:basedOn w:val="Normal"/>
    <w:link w:val="HeaderChar"/>
    <w:uiPriority w:val="99"/>
    <w:unhideWhenUsed/>
    <w:rsid w:val="001A2AE7"/>
    <w:pPr>
      <w:tabs>
        <w:tab w:val="center" w:pos="4513"/>
        <w:tab w:val="right" w:pos="9026"/>
      </w:tabs>
    </w:pPr>
  </w:style>
  <w:style w:type="character" w:customStyle="1" w:styleId="HeaderChar">
    <w:name w:val="Header Char"/>
    <w:basedOn w:val="DefaultParagraphFont"/>
    <w:link w:val="Header"/>
    <w:uiPriority w:val="99"/>
    <w:rsid w:val="001A2AE7"/>
  </w:style>
  <w:style w:type="paragraph" w:styleId="Footer">
    <w:name w:val="footer"/>
    <w:basedOn w:val="Normal"/>
    <w:link w:val="FooterChar"/>
    <w:uiPriority w:val="99"/>
    <w:unhideWhenUsed/>
    <w:rsid w:val="001A2AE7"/>
    <w:pPr>
      <w:tabs>
        <w:tab w:val="center" w:pos="4513"/>
        <w:tab w:val="right" w:pos="9026"/>
      </w:tabs>
    </w:pPr>
  </w:style>
  <w:style w:type="character" w:customStyle="1" w:styleId="FooterChar">
    <w:name w:val="Footer Char"/>
    <w:basedOn w:val="DefaultParagraphFont"/>
    <w:link w:val="Footer"/>
    <w:uiPriority w:val="99"/>
    <w:rsid w:val="001A2AE7"/>
  </w:style>
  <w:style w:type="paragraph" w:styleId="Revision">
    <w:name w:val="Revision"/>
    <w:hidden/>
    <w:uiPriority w:val="99"/>
    <w:semiHidden/>
    <w:rsid w:val="004D5AE2"/>
  </w:style>
  <w:style w:type="character" w:customStyle="1" w:styleId="xapple-converted-space">
    <w:name w:val="x_apple-converted-space"/>
    <w:basedOn w:val="DefaultParagraphFont"/>
    <w:rsid w:val="00E25080"/>
  </w:style>
  <w:style w:type="paragraph" w:styleId="PlainText">
    <w:name w:val="Plain Text"/>
    <w:basedOn w:val="Normal"/>
    <w:link w:val="PlainTextChar"/>
    <w:uiPriority w:val="99"/>
    <w:semiHidden/>
    <w:unhideWhenUsed/>
    <w:rsid w:val="00DE574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E5741"/>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0386">
      <w:bodyDiv w:val="1"/>
      <w:marLeft w:val="0"/>
      <w:marRight w:val="0"/>
      <w:marTop w:val="0"/>
      <w:marBottom w:val="0"/>
      <w:divBdr>
        <w:top w:val="none" w:sz="0" w:space="0" w:color="auto"/>
        <w:left w:val="none" w:sz="0" w:space="0" w:color="auto"/>
        <w:bottom w:val="none" w:sz="0" w:space="0" w:color="auto"/>
        <w:right w:val="none" w:sz="0" w:space="0" w:color="auto"/>
      </w:divBdr>
    </w:div>
    <w:div w:id="1085765845">
      <w:bodyDiv w:val="1"/>
      <w:marLeft w:val="0"/>
      <w:marRight w:val="0"/>
      <w:marTop w:val="0"/>
      <w:marBottom w:val="0"/>
      <w:divBdr>
        <w:top w:val="none" w:sz="0" w:space="0" w:color="auto"/>
        <w:left w:val="none" w:sz="0" w:space="0" w:color="auto"/>
        <w:bottom w:val="none" w:sz="0" w:space="0" w:color="auto"/>
        <w:right w:val="none" w:sz="0" w:space="0" w:color="auto"/>
      </w:divBdr>
    </w:div>
    <w:div w:id="1534461485">
      <w:bodyDiv w:val="1"/>
      <w:marLeft w:val="0"/>
      <w:marRight w:val="0"/>
      <w:marTop w:val="0"/>
      <w:marBottom w:val="0"/>
      <w:divBdr>
        <w:top w:val="none" w:sz="0" w:space="0" w:color="auto"/>
        <w:left w:val="none" w:sz="0" w:space="0" w:color="auto"/>
        <w:bottom w:val="none" w:sz="0" w:space="0" w:color="auto"/>
        <w:right w:val="none" w:sz="0" w:space="0" w:color="auto"/>
      </w:divBdr>
    </w:div>
    <w:div w:id="159319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7A4D-C398-6443-8F09-A4CD2626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8875</Words>
  <Characters>50589</Characters>
  <Application>Microsoft Macintosh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59346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Marta García-Fiñana</cp:lastModifiedBy>
  <cp:revision>3</cp:revision>
  <dcterms:created xsi:type="dcterms:W3CDTF">2019-03-01T09:39:00Z</dcterms:created>
  <dcterms:modified xsi:type="dcterms:W3CDTF">2019-03-01T09:42:00Z</dcterms:modified>
</cp:coreProperties>
</file>