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7C8B" w14:textId="1274F69A" w:rsidR="001355CA" w:rsidRPr="0079159E" w:rsidRDefault="00FA271B" w:rsidP="003372FD">
      <w:pPr>
        <w:pStyle w:val="NoSpacing1"/>
        <w:rPr>
          <w:rFonts w:ascii="Arial" w:hAnsi="Arial" w:cs="Arial"/>
          <w:b/>
          <w:sz w:val="20"/>
          <w:szCs w:val="20"/>
          <w:lang w:val="en-US"/>
        </w:rPr>
      </w:pPr>
      <w:bookmarkStart w:id="0" w:name="_Hlk519846604"/>
      <w:r w:rsidRPr="0079159E">
        <w:rPr>
          <w:rFonts w:ascii="Arial" w:hAnsi="Arial" w:cs="Arial"/>
          <w:b/>
          <w:sz w:val="20"/>
          <w:szCs w:val="20"/>
        </w:rPr>
        <w:t>Feasibility of using point prevalence surveys to assess antimicrobial utilisation in public hospitals in South Africa; a pilot study and implications</w:t>
      </w:r>
    </w:p>
    <w:p w14:paraId="7489143A" w14:textId="77777777" w:rsidR="0079159E" w:rsidRDefault="0079159E" w:rsidP="003372FD">
      <w:pPr>
        <w:pStyle w:val="NoSpacing1"/>
        <w:rPr>
          <w:rFonts w:ascii="Arial" w:hAnsi="Arial" w:cs="Arial"/>
          <w:sz w:val="20"/>
          <w:szCs w:val="20"/>
          <w:lang w:val="en-US"/>
        </w:rPr>
      </w:pPr>
    </w:p>
    <w:p w14:paraId="186BBB76" w14:textId="5F485245" w:rsidR="001355CA" w:rsidRPr="0079159E" w:rsidRDefault="001355CA" w:rsidP="003372FD">
      <w:pPr>
        <w:pStyle w:val="NoSpacing1"/>
        <w:rPr>
          <w:rFonts w:ascii="Arial" w:hAnsi="Arial" w:cs="Arial"/>
          <w:sz w:val="20"/>
          <w:szCs w:val="20"/>
          <w:lang w:val="en-US"/>
        </w:rPr>
      </w:pPr>
      <w:r w:rsidRPr="0079159E">
        <w:rPr>
          <w:rFonts w:ascii="Arial" w:hAnsi="Arial" w:cs="Arial"/>
          <w:sz w:val="20"/>
          <w:szCs w:val="20"/>
          <w:lang w:val="en-US"/>
        </w:rPr>
        <w:t>*</w:t>
      </w:r>
      <w:r w:rsidRPr="0079159E">
        <w:rPr>
          <w:rFonts w:ascii="Arial" w:hAnsi="Arial" w:cs="Arial"/>
          <w:color w:val="000000"/>
          <w:sz w:val="20"/>
          <w:szCs w:val="20"/>
          <w:shd w:val="clear" w:color="auto" w:fill="FFFFFF"/>
        </w:rPr>
        <w:t xml:space="preserve">Nokuthula </w:t>
      </w:r>
      <w:r w:rsidRPr="0079159E">
        <w:rPr>
          <w:rFonts w:ascii="Arial" w:hAnsi="Arial" w:cs="Arial"/>
          <w:sz w:val="20"/>
          <w:szCs w:val="20"/>
          <w:lang w:val="en-US"/>
        </w:rPr>
        <w:t>N Dlamini</w:t>
      </w:r>
      <w:r w:rsidRPr="0079159E">
        <w:rPr>
          <w:rFonts w:ascii="Arial" w:hAnsi="Arial" w:cs="Arial"/>
          <w:sz w:val="20"/>
          <w:szCs w:val="20"/>
          <w:vertAlign w:val="superscript"/>
          <w:lang w:val="en-US"/>
        </w:rPr>
        <w:t>1</w:t>
      </w:r>
      <w:r w:rsidRPr="0079159E">
        <w:rPr>
          <w:rFonts w:ascii="Arial" w:hAnsi="Arial" w:cs="Arial"/>
          <w:sz w:val="20"/>
          <w:szCs w:val="20"/>
          <w:lang w:val="en-US"/>
        </w:rPr>
        <w:t xml:space="preserve">, </w:t>
      </w:r>
      <w:r w:rsidRPr="0079159E">
        <w:rPr>
          <w:rFonts w:ascii="Arial" w:hAnsi="Arial" w:cs="Arial"/>
          <w:sz w:val="20"/>
          <w:szCs w:val="20"/>
        </w:rPr>
        <w:t>Johanna</w:t>
      </w:r>
      <w:r w:rsidRPr="0079159E">
        <w:rPr>
          <w:rFonts w:ascii="Arial" w:hAnsi="Arial" w:cs="Arial"/>
          <w:sz w:val="20"/>
          <w:szCs w:val="20"/>
          <w:lang w:val="en-US"/>
        </w:rPr>
        <w:t xml:space="preserve"> C Meyer</w:t>
      </w:r>
      <w:r w:rsidRPr="0079159E">
        <w:rPr>
          <w:rFonts w:ascii="Arial" w:hAnsi="Arial" w:cs="Arial"/>
          <w:sz w:val="20"/>
          <w:szCs w:val="20"/>
          <w:vertAlign w:val="superscript"/>
          <w:lang w:val="en-US"/>
        </w:rPr>
        <w:t>1</w:t>
      </w:r>
      <w:r w:rsidRPr="0079159E">
        <w:rPr>
          <w:rFonts w:ascii="Arial" w:hAnsi="Arial" w:cs="Arial"/>
          <w:sz w:val="20"/>
          <w:szCs w:val="20"/>
          <w:lang w:val="en-US"/>
        </w:rPr>
        <w:t xml:space="preserve">, </w:t>
      </w:r>
      <w:r w:rsidRPr="0079159E">
        <w:rPr>
          <w:rFonts w:ascii="Arial" w:hAnsi="Arial" w:cs="Arial"/>
          <w:sz w:val="20"/>
          <w:szCs w:val="20"/>
          <w:lang w:val="de-DE"/>
        </w:rPr>
        <w:t>Danie Kruger</w:t>
      </w:r>
      <w:r w:rsidRPr="0079159E">
        <w:rPr>
          <w:rFonts w:ascii="Arial" w:hAnsi="Arial" w:cs="Arial"/>
          <w:sz w:val="20"/>
          <w:szCs w:val="20"/>
          <w:vertAlign w:val="superscript"/>
          <w:lang w:val="en-US"/>
        </w:rPr>
        <w:t>1,2</w:t>
      </w:r>
      <w:r w:rsidRPr="0079159E">
        <w:rPr>
          <w:rFonts w:ascii="Arial" w:hAnsi="Arial" w:cs="Arial"/>
          <w:sz w:val="20"/>
          <w:szCs w:val="20"/>
          <w:lang w:val="en-US"/>
        </w:rPr>
        <w:t xml:space="preserve">, </w:t>
      </w:r>
      <w:proofErr w:type="spellStart"/>
      <w:r w:rsidRPr="0079159E">
        <w:rPr>
          <w:rFonts w:ascii="Arial" w:hAnsi="Arial" w:cs="Arial"/>
          <w:sz w:val="20"/>
          <w:szCs w:val="20"/>
          <w:lang w:val="en-US"/>
        </w:rPr>
        <w:t>Amanj</w:t>
      </w:r>
      <w:proofErr w:type="spellEnd"/>
      <w:r w:rsidRPr="0079159E">
        <w:rPr>
          <w:rFonts w:ascii="Arial" w:hAnsi="Arial" w:cs="Arial"/>
          <w:sz w:val="20"/>
          <w:szCs w:val="20"/>
          <w:lang w:val="en-US"/>
        </w:rPr>
        <w:t xml:space="preserve"> Kurdi</w:t>
      </w:r>
      <w:r w:rsidRPr="0079159E">
        <w:rPr>
          <w:rFonts w:ascii="Arial" w:hAnsi="Arial" w:cs="Arial"/>
          <w:sz w:val="20"/>
          <w:szCs w:val="20"/>
          <w:vertAlign w:val="superscript"/>
          <w:lang w:val="en-US"/>
        </w:rPr>
        <w:t>3</w:t>
      </w:r>
      <w:r w:rsidRPr="0079159E">
        <w:rPr>
          <w:rFonts w:ascii="Arial" w:hAnsi="Arial" w:cs="Arial"/>
          <w:sz w:val="20"/>
          <w:szCs w:val="20"/>
          <w:lang w:val="en-US"/>
        </w:rPr>
        <w:t>, Brian Godman</w:t>
      </w:r>
      <w:r w:rsidRPr="0079159E">
        <w:rPr>
          <w:rFonts w:ascii="Arial" w:hAnsi="Arial" w:cs="Arial"/>
          <w:sz w:val="20"/>
          <w:szCs w:val="20"/>
          <w:vertAlign w:val="superscript"/>
          <w:lang w:val="en-US"/>
        </w:rPr>
        <w:t>1,3,4,5</w:t>
      </w:r>
      <w:r w:rsidRPr="0079159E">
        <w:rPr>
          <w:rFonts w:ascii="Arial" w:hAnsi="Arial" w:cs="Arial"/>
          <w:sz w:val="20"/>
          <w:szCs w:val="20"/>
          <w:lang w:val="en-US"/>
        </w:rPr>
        <w:t>, Natalie Schellack</w:t>
      </w:r>
      <w:r w:rsidRPr="0079159E">
        <w:rPr>
          <w:rFonts w:ascii="Arial" w:hAnsi="Arial" w:cs="Arial"/>
          <w:sz w:val="20"/>
          <w:szCs w:val="20"/>
          <w:vertAlign w:val="superscript"/>
          <w:lang w:val="en-US"/>
        </w:rPr>
        <w:t>1</w:t>
      </w:r>
    </w:p>
    <w:p w14:paraId="780364F9" w14:textId="77777777" w:rsidR="001355CA" w:rsidRPr="0079159E" w:rsidRDefault="001355CA" w:rsidP="003372FD">
      <w:pPr>
        <w:pStyle w:val="NoSpacing1"/>
        <w:rPr>
          <w:rFonts w:ascii="Arial" w:hAnsi="Arial" w:cs="Arial"/>
          <w:sz w:val="20"/>
          <w:szCs w:val="20"/>
          <w:vertAlign w:val="superscript"/>
          <w:lang w:val="en-US"/>
        </w:rPr>
      </w:pPr>
    </w:p>
    <w:p w14:paraId="35458CC2" w14:textId="77777777" w:rsidR="001355CA" w:rsidRPr="0079159E" w:rsidRDefault="001355CA" w:rsidP="003372FD">
      <w:pPr>
        <w:pStyle w:val="NoSpacing1"/>
        <w:rPr>
          <w:rFonts w:ascii="Arial" w:hAnsi="Arial" w:cs="Arial"/>
          <w:sz w:val="20"/>
          <w:szCs w:val="20"/>
          <w:lang w:val="en-US"/>
        </w:rPr>
      </w:pPr>
      <w:r w:rsidRPr="0079159E">
        <w:rPr>
          <w:rFonts w:ascii="Arial" w:hAnsi="Arial" w:cs="Arial"/>
          <w:sz w:val="20"/>
          <w:szCs w:val="20"/>
          <w:vertAlign w:val="superscript"/>
          <w:lang w:val="en-US"/>
        </w:rPr>
        <w:t>1</w:t>
      </w:r>
      <w:r w:rsidRPr="0079159E">
        <w:rPr>
          <w:rFonts w:ascii="Arial" w:hAnsi="Arial" w:cs="Arial"/>
          <w:sz w:val="20"/>
          <w:szCs w:val="20"/>
          <w:lang w:val="en-US"/>
        </w:rPr>
        <w:t xml:space="preserve">School of Pharmacy, </w:t>
      </w:r>
      <w:proofErr w:type="spellStart"/>
      <w:r w:rsidRPr="0079159E">
        <w:rPr>
          <w:rFonts w:ascii="Arial" w:hAnsi="Arial" w:cs="Arial"/>
          <w:sz w:val="20"/>
          <w:szCs w:val="20"/>
          <w:lang w:val="en-US"/>
        </w:rPr>
        <w:t>Sefako</w:t>
      </w:r>
      <w:proofErr w:type="spellEnd"/>
      <w:r w:rsidRPr="0079159E">
        <w:rPr>
          <w:rFonts w:ascii="Arial" w:hAnsi="Arial" w:cs="Arial"/>
          <w:sz w:val="20"/>
          <w:szCs w:val="20"/>
          <w:lang w:val="en-US"/>
        </w:rPr>
        <w:t xml:space="preserve"> </w:t>
      </w:r>
      <w:proofErr w:type="spellStart"/>
      <w:r w:rsidRPr="0079159E">
        <w:rPr>
          <w:rFonts w:ascii="Arial" w:hAnsi="Arial" w:cs="Arial"/>
          <w:sz w:val="20"/>
          <w:szCs w:val="20"/>
          <w:lang w:val="en-US"/>
        </w:rPr>
        <w:t>Makgatho</w:t>
      </w:r>
      <w:proofErr w:type="spellEnd"/>
      <w:r w:rsidRPr="0079159E">
        <w:rPr>
          <w:rFonts w:ascii="Arial" w:hAnsi="Arial" w:cs="Arial"/>
          <w:sz w:val="20"/>
          <w:szCs w:val="20"/>
          <w:lang w:val="en-US"/>
        </w:rPr>
        <w:t xml:space="preserve"> Health Sciences University, South Africa. Emails: </w:t>
      </w:r>
      <w:hyperlink r:id="rId8" w:history="1">
        <w:r w:rsidRPr="0079159E">
          <w:rPr>
            <w:rStyle w:val="Hyperlink"/>
            <w:rFonts w:ascii="Arial" w:hAnsi="Arial" w:cs="Arial"/>
            <w:sz w:val="20"/>
            <w:szCs w:val="20"/>
            <w:lang w:val="en-US"/>
          </w:rPr>
          <w:t>nokuthula.dlamini@smu.ac.za</w:t>
        </w:r>
      </w:hyperlink>
      <w:r w:rsidRPr="0079159E">
        <w:rPr>
          <w:rFonts w:ascii="Arial" w:hAnsi="Arial" w:cs="Arial"/>
          <w:sz w:val="20"/>
          <w:szCs w:val="20"/>
          <w:lang w:val="en-US"/>
        </w:rPr>
        <w:t xml:space="preserve">; </w:t>
      </w:r>
      <w:hyperlink r:id="rId9" w:history="1">
        <w:r w:rsidRPr="0079159E">
          <w:rPr>
            <w:rStyle w:val="Hyperlink"/>
            <w:rFonts w:ascii="Arial" w:hAnsi="Arial" w:cs="Arial"/>
            <w:sz w:val="20"/>
            <w:szCs w:val="20"/>
            <w:lang w:val="en-US"/>
          </w:rPr>
          <w:t>natalie.schellack@smu.ac.za</w:t>
        </w:r>
      </w:hyperlink>
      <w:r w:rsidRPr="0079159E">
        <w:rPr>
          <w:rFonts w:ascii="Arial" w:hAnsi="Arial" w:cs="Arial"/>
          <w:sz w:val="20"/>
          <w:szCs w:val="20"/>
          <w:lang w:val="en-US"/>
        </w:rPr>
        <w:t xml:space="preserve">; </w:t>
      </w:r>
      <w:hyperlink r:id="rId10" w:history="1">
        <w:r w:rsidRPr="0079159E">
          <w:rPr>
            <w:rStyle w:val="Hyperlink"/>
            <w:rFonts w:ascii="Arial" w:hAnsi="Arial" w:cs="Arial"/>
            <w:sz w:val="20"/>
            <w:szCs w:val="20"/>
            <w:lang w:val="en-US"/>
          </w:rPr>
          <w:t>hannelie.meyer@smu.ac.za</w:t>
        </w:r>
      </w:hyperlink>
    </w:p>
    <w:p w14:paraId="4835C252" w14:textId="77777777" w:rsidR="001355CA" w:rsidRPr="0079159E" w:rsidRDefault="001355CA" w:rsidP="003372FD">
      <w:pPr>
        <w:pStyle w:val="NoSpacing1"/>
        <w:rPr>
          <w:rFonts w:ascii="Arial" w:hAnsi="Arial" w:cs="Arial"/>
          <w:sz w:val="20"/>
          <w:szCs w:val="20"/>
          <w:lang w:val="en-US"/>
        </w:rPr>
      </w:pPr>
      <w:r w:rsidRPr="0079159E">
        <w:rPr>
          <w:rFonts w:ascii="Arial" w:hAnsi="Arial" w:cs="Arial"/>
          <w:sz w:val="20"/>
          <w:szCs w:val="20"/>
          <w:vertAlign w:val="superscript"/>
          <w:lang w:val="en-US"/>
        </w:rPr>
        <w:t>2</w:t>
      </w:r>
      <w:r w:rsidRPr="0079159E">
        <w:rPr>
          <w:rFonts w:ascii="Arial" w:hAnsi="Arial" w:cs="Arial"/>
          <w:sz w:val="20"/>
          <w:szCs w:val="20"/>
          <w:lang w:val="en-US"/>
        </w:rPr>
        <w:t xml:space="preserve">Pharmacy, Private Hospital, Pretoria, South Africa. Email: </w:t>
      </w:r>
      <w:hyperlink r:id="rId11" w:history="1">
        <w:r w:rsidRPr="0079159E">
          <w:rPr>
            <w:rStyle w:val="Hyperlink"/>
            <w:rFonts w:ascii="Arial" w:hAnsi="Arial" w:cs="Arial"/>
            <w:sz w:val="20"/>
            <w:szCs w:val="20"/>
            <w:lang w:val="en-US"/>
          </w:rPr>
          <w:t>Danie.Kruger@smu.ac.sa</w:t>
        </w:r>
      </w:hyperlink>
    </w:p>
    <w:p w14:paraId="516CA771" w14:textId="77777777" w:rsidR="001355CA" w:rsidRPr="0079159E" w:rsidRDefault="001355CA" w:rsidP="003372FD">
      <w:pPr>
        <w:pStyle w:val="NoSpacing1"/>
        <w:rPr>
          <w:rFonts w:ascii="Arial" w:hAnsi="Arial" w:cs="Arial"/>
          <w:sz w:val="20"/>
          <w:szCs w:val="20"/>
          <w:lang w:val="en-US"/>
        </w:rPr>
      </w:pPr>
      <w:r w:rsidRPr="0079159E">
        <w:rPr>
          <w:rFonts w:ascii="Arial" w:hAnsi="Arial" w:cs="Arial"/>
          <w:sz w:val="20"/>
          <w:szCs w:val="20"/>
          <w:vertAlign w:val="superscript"/>
          <w:lang w:val="en-US"/>
        </w:rPr>
        <w:t>3</w:t>
      </w:r>
      <w:r w:rsidRPr="0079159E">
        <w:rPr>
          <w:rFonts w:ascii="Arial" w:hAnsi="Arial" w:cs="Arial"/>
          <w:sz w:val="20"/>
          <w:szCs w:val="20"/>
          <w:lang w:val="en-US"/>
        </w:rPr>
        <w:t xml:space="preserve">Strathclyde Institute of Pharmacy and Biomedical Sciences, University of Strathclyde, Glasgow, United Kingdom. Email: </w:t>
      </w:r>
      <w:hyperlink r:id="rId12" w:history="1">
        <w:r w:rsidRPr="0079159E">
          <w:rPr>
            <w:rStyle w:val="Hyperlink"/>
            <w:rFonts w:ascii="Arial" w:hAnsi="Arial" w:cs="Arial"/>
            <w:sz w:val="20"/>
            <w:szCs w:val="20"/>
            <w:lang w:val="en-US"/>
          </w:rPr>
          <w:t>amanj.baker@strath.ac.uk</w:t>
        </w:r>
      </w:hyperlink>
      <w:r w:rsidRPr="0079159E">
        <w:rPr>
          <w:rFonts w:ascii="Arial" w:hAnsi="Arial" w:cs="Arial"/>
          <w:sz w:val="20"/>
          <w:szCs w:val="20"/>
          <w:lang w:val="en-US"/>
        </w:rPr>
        <w:t xml:space="preserve">, </w:t>
      </w:r>
      <w:hyperlink r:id="rId13" w:history="1">
        <w:r w:rsidRPr="0079159E">
          <w:rPr>
            <w:rStyle w:val="Hyperlink"/>
            <w:rFonts w:ascii="Arial" w:hAnsi="Arial" w:cs="Arial"/>
            <w:sz w:val="20"/>
            <w:szCs w:val="20"/>
            <w:lang w:val="en-US"/>
          </w:rPr>
          <w:t>Brian.godman@strath.ac.uk</w:t>
        </w:r>
      </w:hyperlink>
    </w:p>
    <w:p w14:paraId="50608A38" w14:textId="77777777" w:rsidR="001355CA" w:rsidRPr="0079159E" w:rsidRDefault="001355CA" w:rsidP="003372FD">
      <w:pPr>
        <w:pStyle w:val="NoSpacing1"/>
        <w:rPr>
          <w:rFonts w:ascii="Arial" w:hAnsi="Arial" w:cs="Arial"/>
          <w:sz w:val="20"/>
          <w:szCs w:val="20"/>
          <w:lang w:val="en-US"/>
        </w:rPr>
      </w:pPr>
      <w:r w:rsidRPr="0079159E">
        <w:rPr>
          <w:rFonts w:ascii="Arial" w:hAnsi="Arial" w:cs="Arial"/>
          <w:sz w:val="20"/>
          <w:szCs w:val="20"/>
          <w:vertAlign w:val="superscript"/>
          <w:lang w:val="en-US"/>
        </w:rPr>
        <w:t>4</w:t>
      </w:r>
      <w:r w:rsidRPr="0079159E">
        <w:rPr>
          <w:rFonts w:ascii="Arial" w:hAnsi="Arial" w:cs="Arial"/>
          <w:sz w:val="20"/>
          <w:szCs w:val="20"/>
          <w:lang w:val="en-US"/>
        </w:rPr>
        <w:t xml:space="preserve">Department of Laboratory Medicine, Division of Clinical Pharmacology, Karolinska </w:t>
      </w:r>
      <w:proofErr w:type="spellStart"/>
      <w:r w:rsidRPr="0079159E">
        <w:rPr>
          <w:rFonts w:ascii="Arial" w:hAnsi="Arial" w:cs="Arial"/>
          <w:sz w:val="20"/>
          <w:szCs w:val="20"/>
          <w:lang w:val="en-US"/>
        </w:rPr>
        <w:t>Institutet</w:t>
      </w:r>
      <w:proofErr w:type="spellEnd"/>
      <w:r w:rsidRPr="0079159E">
        <w:rPr>
          <w:rFonts w:ascii="Arial" w:hAnsi="Arial" w:cs="Arial"/>
          <w:sz w:val="20"/>
          <w:szCs w:val="20"/>
          <w:lang w:val="en-US"/>
        </w:rPr>
        <w:t xml:space="preserve">, Karolinska University Hospital Huddinge, Stockholm, Sweden. Email: </w:t>
      </w:r>
      <w:hyperlink r:id="rId14" w:history="1">
        <w:r w:rsidRPr="0079159E">
          <w:rPr>
            <w:rStyle w:val="Hyperlink"/>
            <w:rFonts w:ascii="Arial" w:hAnsi="Arial" w:cs="Arial"/>
            <w:sz w:val="20"/>
            <w:szCs w:val="20"/>
            <w:lang w:val="en-US"/>
          </w:rPr>
          <w:t>Brian.Godman@ki.se</w:t>
        </w:r>
      </w:hyperlink>
      <w:r w:rsidRPr="0079159E">
        <w:rPr>
          <w:rFonts w:ascii="Arial" w:hAnsi="Arial" w:cs="Arial"/>
          <w:sz w:val="20"/>
          <w:szCs w:val="20"/>
          <w:lang w:val="en-US"/>
        </w:rPr>
        <w:t xml:space="preserve"> </w:t>
      </w:r>
    </w:p>
    <w:p w14:paraId="22A35CF7" w14:textId="77777777" w:rsidR="001355CA" w:rsidRPr="0079159E" w:rsidRDefault="001355CA" w:rsidP="003372FD">
      <w:pPr>
        <w:pStyle w:val="NoSpacing1"/>
        <w:rPr>
          <w:rFonts w:ascii="Arial" w:hAnsi="Arial" w:cs="Arial"/>
          <w:sz w:val="20"/>
          <w:szCs w:val="20"/>
          <w:lang w:val="en-US"/>
        </w:rPr>
      </w:pPr>
      <w:r w:rsidRPr="0079159E">
        <w:rPr>
          <w:rFonts w:ascii="Arial" w:hAnsi="Arial" w:cs="Arial"/>
          <w:sz w:val="20"/>
          <w:szCs w:val="20"/>
          <w:vertAlign w:val="superscript"/>
          <w:lang w:val="en-US"/>
        </w:rPr>
        <w:t>5</w:t>
      </w:r>
      <w:r w:rsidRPr="0079159E">
        <w:rPr>
          <w:rFonts w:ascii="Arial" w:hAnsi="Arial" w:cs="Arial"/>
          <w:sz w:val="20"/>
          <w:szCs w:val="20"/>
          <w:lang w:val="en-US"/>
        </w:rPr>
        <w:t>Health Economics Centre, Liverpool University Management School, Liverpool, UK. Email: Brian.Godman@liverpool.ac.uk</w:t>
      </w:r>
    </w:p>
    <w:p w14:paraId="7032224E" w14:textId="77777777" w:rsidR="001355CA" w:rsidRPr="0079159E" w:rsidRDefault="001355CA" w:rsidP="003372FD">
      <w:pPr>
        <w:pStyle w:val="NoSpacing1"/>
        <w:rPr>
          <w:rFonts w:ascii="Arial" w:hAnsi="Arial" w:cs="Arial"/>
          <w:sz w:val="20"/>
          <w:szCs w:val="20"/>
        </w:rPr>
      </w:pPr>
    </w:p>
    <w:p w14:paraId="4E5AFB7A" w14:textId="77777777" w:rsidR="001355CA" w:rsidRPr="0079159E" w:rsidRDefault="001355CA" w:rsidP="003372FD">
      <w:pPr>
        <w:pStyle w:val="NoSpacing1"/>
        <w:rPr>
          <w:rFonts w:ascii="Arial" w:hAnsi="Arial" w:cs="Arial"/>
          <w:sz w:val="20"/>
          <w:szCs w:val="20"/>
        </w:rPr>
      </w:pPr>
      <w:r w:rsidRPr="0079159E">
        <w:rPr>
          <w:rFonts w:ascii="Arial" w:hAnsi="Arial" w:cs="Arial"/>
          <w:sz w:val="20"/>
          <w:szCs w:val="20"/>
          <w:vertAlign w:val="superscript"/>
          <w:lang w:val="en-US"/>
        </w:rPr>
        <w:t>*</w:t>
      </w:r>
      <w:r w:rsidRPr="0079159E">
        <w:rPr>
          <w:rFonts w:ascii="Arial" w:hAnsi="Arial" w:cs="Arial"/>
          <w:sz w:val="20"/>
          <w:szCs w:val="20"/>
          <w:lang w:val="en-US"/>
        </w:rPr>
        <w:t>Author for correspondence. NN Dlamini</w:t>
      </w:r>
      <w:r w:rsidRPr="0079159E">
        <w:rPr>
          <w:rFonts w:ascii="Arial" w:hAnsi="Arial" w:cs="Arial"/>
          <w:sz w:val="20"/>
          <w:szCs w:val="20"/>
          <w:vertAlign w:val="superscript"/>
          <w:lang w:val="en-US"/>
        </w:rPr>
        <w:t xml:space="preserve">, </w:t>
      </w:r>
      <w:r w:rsidRPr="0079159E">
        <w:rPr>
          <w:rFonts w:ascii="Arial" w:hAnsi="Arial" w:cs="Arial"/>
          <w:sz w:val="20"/>
          <w:szCs w:val="20"/>
          <w:lang w:val="en-US"/>
        </w:rPr>
        <w:t xml:space="preserve">School of Pharmacy, </w:t>
      </w:r>
      <w:proofErr w:type="spellStart"/>
      <w:r w:rsidRPr="0079159E">
        <w:rPr>
          <w:rFonts w:ascii="Arial" w:hAnsi="Arial" w:cs="Arial"/>
          <w:sz w:val="20"/>
          <w:szCs w:val="20"/>
          <w:lang w:val="en-US"/>
        </w:rPr>
        <w:t>Sefako</w:t>
      </w:r>
      <w:proofErr w:type="spellEnd"/>
      <w:r w:rsidRPr="0079159E">
        <w:rPr>
          <w:rFonts w:ascii="Arial" w:hAnsi="Arial" w:cs="Arial"/>
          <w:sz w:val="20"/>
          <w:szCs w:val="20"/>
          <w:lang w:val="en-US"/>
        </w:rPr>
        <w:t xml:space="preserve"> </w:t>
      </w:r>
      <w:proofErr w:type="spellStart"/>
      <w:r w:rsidRPr="0079159E">
        <w:rPr>
          <w:rFonts w:ascii="Arial" w:hAnsi="Arial" w:cs="Arial"/>
          <w:sz w:val="20"/>
          <w:szCs w:val="20"/>
          <w:lang w:val="en-US"/>
        </w:rPr>
        <w:t>Makgatho</w:t>
      </w:r>
      <w:proofErr w:type="spellEnd"/>
      <w:r w:rsidRPr="0079159E">
        <w:rPr>
          <w:rFonts w:ascii="Arial" w:hAnsi="Arial" w:cs="Arial"/>
          <w:sz w:val="20"/>
          <w:szCs w:val="20"/>
          <w:lang w:val="en-US"/>
        </w:rPr>
        <w:t xml:space="preserve"> Health Sciences University, South Africa. Email: </w:t>
      </w:r>
      <w:hyperlink r:id="rId15" w:history="1">
        <w:r w:rsidRPr="0079159E">
          <w:rPr>
            <w:rStyle w:val="Hyperlink"/>
            <w:rFonts w:ascii="Arial" w:hAnsi="Arial" w:cs="Arial"/>
            <w:sz w:val="20"/>
            <w:szCs w:val="20"/>
            <w:lang w:val="en-US"/>
          </w:rPr>
          <w:t>nokuthula.dlamini@smu.ac.za</w:t>
        </w:r>
      </w:hyperlink>
      <w:r w:rsidRPr="0079159E">
        <w:rPr>
          <w:rStyle w:val="Hyperlink"/>
          <w:rFonts w:ascii="Arial" w:hAnsi="Arial" w:cs="Arial"/>
          <w:sz w:val="20"/>
          <w:szCs w:val="20"/>
          <w:lang w:val="en-US"/>
        </w:rPr>
        <w:t xml:space="preserve">  Tel: +</w:t>
      </w:r>
      <w:proofErr w:type="gramStart"/>
      <w:r w:rsidRPr="0079159E">
        <w:rPr>
          <w:rStyle w:val="Hyperlink"/>
          <w:rFonts w:ascii="Arial" w:hAnsi="Arial" w:cs="Arial"/>
          <w:sz w:val="20"/>
          <w:szCs w:val="20"/>
          <w:lang w:val="en-US"/>
        </w:rPr>
        <w:t xml:space="preserve">27762523134 </w:t>
      </w:r>
      <w:r w:rsidRPr="0079159E">
        <w:rPr>
          <w:rFonts w:ascii="Arial" w:hAnsi="Arial" w:cs="Arial"/>
          <w:color w:val="4F81BD" w:themeColor="accent1"/>
          <w:spacing w:val="-1"/>
          <w:sz w:val="20"/>
          <w:szCs w:val="20"/>
        </w:rPr>
        <w:t xml:space="preserve"> </w:t>
      </w:r>
      <w:r w:rsidRPr="0079159E">
        <w:rPr>
          <w:rFonts w:ascii="Arial" w:hAnsi="Arial" w:cs="Arial"/>
          <w:color w:val="0000FF" w:themeColor="hyperlink"/>
          <w:sz w:val="20"/>
          <w:szCs w:val="20"/>
          <w:u w:val="single"/>
        </w:rPr>
        <w:t>Fax</w:t>
      </w:r>
      <w:proofErr w:type="gramEnd"/>
      <w:r w:rsidRPr="0079159E">
        <w:rPr>
          <w:rFonts w:ascii="Arial" w:hAnsi="Arial" w:cs="Arial"/>
          <w:color w:val="0000FF" w:themeColor="hyperlink"/>
          <w:sz w:val="20"/>
          <w:szCs w:val="20"/>
          <w:u w:val="single"/>
        </w:rPr>
        <w:t>: 012 521 3992</w:t>
      </w:r>
    </w:p>
    <w:p w14:paraId="53525227" w14:textId="22A7A8EA" w:rsidR="001355CA" w:rsidRPr="0079159E" w:rsidRDefault="001355CA" w:rsidP="003372FD">
      <w:pPr>
        <w:pStyle w:val="NoSpacing1"/>
        <w:rPr>
          <w:rFonts w:ascii="Arial" w:hAnsi="Arial" w:cs="Arial"/>
          <w:sz w:val="20"/>
          <w:szCs w:val="20"/>
        </w:rPr>
      </w:pPr>
    </w:p>
    <w:p w14:paraId="1507E0DE" w14:textId="2DB4B188" w:rsidR="003372FD" w:rsidRPr="0079159E" w:rsidRDefault="003372FD" w:rsidP="003372FD">
      <w:pPr>
        <w:pStyle w:val="NoSpacing1"/>
        <w:rPr>
          <w:rFonts w:ascii="Arial" w:hAnsi="Arial" w:cs="Arial"/>
          <w:sz w:val="20"/>
          <w:szCs w:val="20"/>
        </w:rPr>
      </w:pPr>
      <w:r w:rsidRPr="0079159E">
        <w:rPr>
          <w:rFonts w:ascii="Arial" w:hAnsi="Arial" w:cs="Arial"/>
          <w:sz w:val="20"/>
          <w:szCs w:val="20"/>
        </w:rPr>
        <w:t>(Accepted for publication Hospital Practice – please keep CONFIDENTIAL)</w:t>
      </w:r>
    </w:p>
    <w:p w14:paraId="0EE19536" w14:textId="77777777" w:rsidR="003372FD" w:rsidRPr="0079159E" w:rsidRDefault="003372FD" w:rsidP="003372FD">
      <w:pPr>
        <w:pStyle w:val="NoSpacing1"/>
        <w:rPr>
          <w:rFonts w:ascii="Arial" w:hAnsi="Arial" w:cs="Arial"/>
          <w:sz w:val="20"/>
          <w:szCs w:val="20"/>
        </w:rPr>
      </w:pPr>
    </w:p>
    <w:p w14:paraId="006205C3" w14:textId="57AFD094" w:rsidR="00FA271B" w:rsidRPr="003372FD" w:rsidRDefault="00FA271B" w:rsidP="003372FD">
      <w:pPr>
        <w:pStyle w:val="NoSpacing1"/>
        <w:rPr>
          <w:rFonts w:ascii="Arial" w:hAnsi="Arial" w:cs="Arial"/>
          <w:b/>
          <w:sz w:val="20"/>
          <w:szCs w:val="20"/>
        </w:rPr>
      </w:pPr>
      <w:r w:rsidRPr="003372FD">
        <w:rPr>
          <w:rFonts w:ascii="Arial" w:hAnsi="Arial" w:cs="Arial"/>
          <w:b/>
          <w:sz w:val="20"/>
          <w:szCs w:val="20"/>
        </w:rPr>
        <w:t>ABSTRACT</w:t>
      </w:r>
    </w:p>
    <w:p w14:paraId="7C372632" w14:textId="77777777" w:rsidR="003372FD" w:rsidRDefault="003372FD" w:rsidP="003372FD">
      <w:pPr>
        <w:pStyle w:val="NoSpacing1"/>
        <w:rPr>
          <w:rFonts w:ascii="Arial" w:hAnsi="Arial" w:cs="Arial"/>
          <w:b/>
          <w:sz w:val="20"/>
          <w:szCs w:val="20"/>
          <w:lang w:val="en-GB"/>
        </w:rPr>
      </w:pPr>
      <w:bookmarkStart w:id="1" w:name="_Hlk511031425"/>
    </w:p>
    <w:p w14:paraId="76C2D509" w14:textId="3F8C160F" w:rsidR="00FA271B" w:rsidRPr="003372FD" w:rsidRDefault="001B0C90" w:rsidP="003372FD">
      <w:pPr>
        <w:pStyle w:val="NoSpacing1"/>
        <w:rPr>
          <w:rFonts w:ascii="Arial" w:hAnsi="Arial" w:cs="Arial"/>
          <w:sz w:val="20"/>
          <w:szCs w:val="20"/>
        </w:rPr>
      </w:pPr>
      <w:r w:rsidRPr="003372FD">
        <w:rPr>
          <w:rFonts w:ascii="Arial" w:hAnsi="Arial" w:cs="Arial"/>
          <w:b/>
          <w:sz w:val="20"/>
          <w:szCs w:val="20"/>
          <w:lang w:val="en-GB"/>
        </w:rPr>
        <w:t>Objectives</w:t>
      </w:r>
      <w:r w:rsidRPr="003372FD">
        <w:rPr>
          <w:rFonts w:ascii="Arial" w:hAnsi="Arial" w:cs="Arial"/>
          <w:sz w:val="20"/>
          <w:szCs w:val="20"/>
          <w:lang w:val="en-GB"/>
        </w:rPr>
        <w:t>:</w:t>
      </w:r>
      <w:r w:rsidR="009945B0" w:rsidRPr="003372FD">
        <w:rPr>
          <w:rFonts w:ascii="Arial" w:hAnsi="Arial" w:cs="Arial"/>
          <w:sz w:val="20"/>
          <w:szCs w:val="20"/>
          <w:lang w:val="en-GB"/>
        </w:rPr>
        <w:t xml:space="preserve"> </w:t>
      </w:r>
      <w:r w:rsidR="00347D04" w:rsidRPr="003372FD">
        <w:rPr>
          <w:rFonts w:ascii="Arial" w:hAnsi="Arial" w:cs="Arial"/>
          <w:sz w:val="20"/>
          <w:szCs w:val="20"/>
          <w:lang w:val="en-GB"/>
        </w:rPr>
        <w:t xml:space="preserve"> </w:t>
      </w:r>
      <w:r w:rsidRPr="003372FD">
        <w:rPr>
          <w:rFonts w:ascii="Arial" w:hAnsi="Arial" w:cs="Arial"/>
          <w:sz w:val="20"/>
          <w:szCs w:val="20"/>
          <w:lang w:val="en-GB"/>
        </w:rPr>
        <w:t>There is currently a lack of data regarding antimicrobial use among public hospitals in South Africa</w:t>
      </w:r>
      <w:r w:rsidR="00B447EF" w:rsidRPr="003372FD">
        <w:rPr>
          <w:rFonts w:ascii="Arial" w:hAnsi="Arial" w:cs="Arial"/>
          <w:sz w:val="20"/>
          <w:szCs w:val="20"/>
          <w:lang w:val="en-GB"/>
        </w:rPr>
        <w:t xml:space="preserve"> (SA)</w:t>
      </w:r>
      <w:r w:rsidRPr="003372FD">
        <w:rPr>
          <w:rFonts w:ascii="Arial" w:hAnsi="Arial" w:cs="Arial"/>
          <w:sz w:val="20"/>
          <w:szCs w:val="20"/>
          <w:lang w:val="en-GB"/>
        </w:rPr>
        <w:t xml:space="preserve">. This is a concern given </w:t>
      </w:r>
      <w:r w:rsidR="0014666E" w:rsidRPr="003372FD">
        <w:rPr>
          <w:rFonts w:ascii="Arial" w:hAnsi="Arial" w:cs="Arial"/>
          <w:sz w:val="20"/>
          <w:szCs w:val="20"/>
          <w:lang w:val="en-GB"/>
        </w:rPr>
        <w:t xml:space="preserve">their </w:t>
      </w:r>
      <w:r w:rsidR="00B447EF" w:rsidRPr="003372FD">
        <w:rPr>
          <w:rFonts w:ascii="Arial" w:hAnsi="Arial" w:cs="Arial"/>
          <w:sz w:val="20"/>
          <w:szCs w:val="20"/>
          <w:lang w:val="en-GB"/>
        </w:rPr>
        <w:t xml:space="preserve">growing </w:t>
      </w:r>
      <w:r w:rsidR="00EE5805" w:rsidRPr="003372FD">
        <w:rPr>
          <w:rFonts w:ascii="Arial" w:hAnsi="Arial" w:cs="Arial"/>
          <w:sz w:val="20"/>
          <w:szCs w:val="20"/>
          <w:lang w:val="en-GB"/>
        </w:rPr>
        <w:t xml:space="preserve">use and </w:t>
      </w:r>
      <w:r w:rsidR="00251E55" w:rsidRPr="003372FD">
        <w:rPr>
          <w:rFonts w:ascii="Arial" w:hAnsi="Arial" w:cs="Arial"/>
          <w:sz w:val="20"/>
          <w:szCs w:val="20"/>
          <w:lang w:val="en-GB"/>
        </w:rPr>
        <w:t>increasing</w:t>
      </w:r>
      <w:r w:rsidR="00EE5805" w:rsidRPr="003372FD">
        <w:rPr>
          <w:rFonts w:ascii="Arial" w:hAnsi="Arial" w:cs="Arial"/>
          <w:sz w:val="20"/>
          <w:szCs w:val="20"/>
          <w:lang w:val="en-GB"/>
        </w:rPr>
        <w:t xml:space="preserve"> </w:t>
      </w:r>
      <w:r w:rsidR="00B447EF" w:rsidRPr="003372FD">
        <w:rPr>
          <w:rFonts w:ascii="Arial" w:hAnsi="Arial" w:cs="Arial"/>
          <w:sz w:val="20"/>
          <w:szCs w:val="20"/>
          <w:lang w:val="en-GB"/>
        </w:rPr>
        <w:t xml:space="preserve">antimicrobial </w:t>
      </w:r>
      <w:r w:rsidRPr="003372FD">
        <w:rPr>
          <w:rFonts w:ascii="Arial" w:hAnsi="Arial" w:cs="Arial"/>
          <w:sz w:val="20"/>
          <w:szCs w:val="20"/>
          <w:lang w:val="en-GB"/>
        </w:rPr>
        <w:t>resistance rates</w:t>
      </w:r>
      <w:r w:rsidR="00B447EF" w:rsidRPr="003372FD">
        <w:rPr>
          <w:rFonts w:ascii="Arial" w:hAnsi="Arial" w:cs="Arial"/>
          <w:sz w:val="20"/>
          <w:szCs w:val="20"/>
          <w:lang w:val="en-GB"/>
        </w:rPr>
        <w:t xml:space="preserve"> in SA</w:t>
      </w:r>
      <w:r w:rsidRPr="003372FD">
        <w:rPr>
          <w:rFonts w:ascii="Arial" w:hAnsi="Arial" w:cs="Arial"/>
          <w:sz w:val="20"/>
          <w:szCs w:val="20"/>
          <w:lang w:val="en-GB"/>
        </w:rPr>
        <w:t>. Consequently, the objective</w:t>
      </w:r>
      <w:r w:rsidR="00EE5805" w:rsidRPr="003372FD">
        <w:rPr>
          <w:rFonts w:ascii="Arial" w:hAnsi="Arial" w:cs="Arial"/>
          <w:sz w:val="20"/>
          <w:szCs w:val="20"/>
          <w:lang w:val="en-GB"/>
        </w:rPr>
        <w:t>s</w:t>
      </w:r>
      <w:r w:rsidRPr="003372FD">
        <w:rPr>
          <w:rFonts w:ascii="Arial" w:hAnsi="Arial" w:cs="Arial"/>
          <w:sz w:val="20"/>
          <w:szCs w:val="20"/>
          <w:lang w:val="en-GB"/>
        </w:rPr>
        <w:t xml:space="preserve"> of this study w</w:t>
      </w:r>
      <w:r w:rsidR="00B721DC" w:rsidRPr="003372FD">
        <w:rPr>
          <w:rFonts w:ascii="Arial" w:hAnsi="Arial" w:cs="Arial"/>
          <w:sz w:val="20"/>
          <w:szCs w:val="20"/>
          <w:lang w:val="en-GB"/>
        </w:rPr>
        <w:t>ere</w:t>
      </w:r>
      <w:r w:rsidRPr="003372FD">
        <w:rPr>
          <w:rFonts w:ascii="Arial" w:hAnsi="Arial" w:cs="Arial"/>
          <w:sz w:val="20"/>
          <w:szCs w:val="20"/>
          <w:lang w:val="en-GB"/>
        </w:rPr>
        <w:t xml:space="preserve"> </w:t>
      </w:r>
      <w:r w:rsidR="008D51C0" w:rsidRPr="003372FD">
        <w:rPr>
          <w:rFonts w:ascii="Arial" w:hAnsi="Arial" w:cs="Arial"/>
          <w:sz w:val="20"/>
          <w:szCs w:val="20"/>
          <w:lang w:val="en-GB"/>
        </w:rPr>
        <w:t xml:space="preserve">to </w:t>
      </w:r>
      <w:r w:rsidR="00347D04" w:rsidRPr="003372FD">
        <w:rPr>
          <w:rFonts w:ascii="Arial" w:hAnsi="Arial" w:cs="Arial"/>
          <w:sz w:val="20"/>
          <w:szCs w:val="20"/>
          <w:lang w:val="en-GB"/>
        </w:rPr>
        <w:t>firstly</w:t>
      </w:r>
      <w:r w:rsidR="00B706F5" w:rsidRPr="003372FD">
        <w:rPr>
          <w:rFonts w:ascii="Arial" w:hAnsi="Arial" w:cs="Arial"/>
          <w:sz w:val="20"/>
          <w:szCs w:val="20"/>
          <w:lang w:val="en-GB"/>
        </w:rPr>
        <w:t xml:space="preserve"> </w:t>
      </w:r>
      <w:r w:rsidR="008D51C0" w:rsidRPr="003372FD">
        <w:rPr>
          <w:rFonts w:ascii="Arial" w:hAnsi="Arial" w:cs="Arial"/>
          <w:sz w:val="20"/>
          <w:szCs w:val="20"/>
          <w:lang w:val="en-GB"/>
        </w:rPr>
        <w:t>determine the appropriateness of point prevalence survey (PPS) data collection instruments for performing antimicrobial utilisation stud</w:t>
      </w:r>
      <w:r w:rsidR="00347D04" w:rsidRPr="003372FD">
        <w:rPr>
          <w:rFonts w:ascii="Arial" w:hAnsi="Arial" w:cs="Arial"/>
          <w:sz w:val="20"/>
          <w:szCs w:val="20"/>
          <w:lang w:val="en-GB"/>
        </w:rPr>
        <w:t>ies</w:t>
      </w:r>
      <w:r w:rsidR="008D51C0" w:rsidRPr="003372FD">
        <w:rPr>
          <w:rFonts w:ascii="Arial" w:hAnsi="Arial" w:cs="Arial"/>
          <w:sz w:val="20"/>
          <w:szCs w:val="20"/>
          <w:lang w:val="en-GB"/>
        </w:rPr>
        <w:t xml:space="preserve"> </w:t>
      </w:r>
      <w:r w:rsidRPr="003372FD">
        <w:rPr>
          <w:rFonts w:ascii="Arial" w:hAnsi="Arial" w:cs="Arial"/>
          <w:sz w:val="20"/>
          <w:szCs w:val="20"/>
          <w:lang w:val="en-GB"/>
        </w:rPr>
        <w:t>among</w:t>
      </w:r>
      <w:r w:rsidR="008D51C0" w:rsidRPr="003372FD">
        <w:rPr>
          <w:rFonts w:ascii="Arial" w:hAnsi="Arial" w:cs="Arial"/>
          <w:sz w:val="20"/>
          <w:szCs w:val="20"/>
          <w:lang w:val="en-GB"/>
        </w:rPr>
        <w:t xml:space="preserve"> public sector hospital</w:t>
      </w:r>
      <w:r w:rsidR="00347D04" w:rsidRPr="003372FD">
        <w:rPr>
          <w:rFonts w:ascii="Arial" w:hAnsi="Arial" w:cs="Arial"/>
          <w:sz w:val="20"/>
          <w:szCs w:val="20"/>
          <w:lang w:val="en-GB"/>
        </w:rPr>
        <w:t>s</w:t>
      </w:r>
      <w:r w:rsidR="008D51C0" w:rsidRPr="003372FD">
        <w:rPr>
          <w:rFonts w:ascii="Arial" w:hAnsi="Arial" w:cs="Arial"/>
          <w:sz w:val="20"/>
          <w:szCs w:val="20"/>
          <w:lang w:val="en-GB"/>
        </w:rPr>
        <w:t xml:space="preserve"> in S</w:t>
      </w:r>
      <w:r w:rsidR="00347D04" w:rsidRPr="003372FD">
        <w:rPr>
          <w:rFonts w:ascii="Arial" w:hAnsi="Arial" w:cs="Arial"/>
          <w:sz w:val="20"/>
          <w:szCs w:val="20"/>
          <w:lang w:val="en-GB"/>
        </w:rPr>
        <w:t xml:space="preserve">A; secondly, </w:t>
      </w:r>
      <w:r w:rsidR="003E0701" w:rsidRPr="003372FD">
        <w:rPr>
          <w:rFonts w:ascii="Arial" w:hAnsi="Arial" w:cs="Arial"/>
          <w:sz w:val="20"/>
          <w:szCs w:val="20"/>
          <w:lang w:val="en-GB"/>
        </w:rPr>
        <w:t>to</w:t>
      </w:r>
      <w:r w:rsidR="008D51C0" w:rsidRPr="003372FD">
        <w:rPr>
          <w:rFonts w:ascii="Arial" w:hAnsi="Arial" w:cs="Arial"/>
          <w:sz w:val="20"/>
          <w:szCs w:val="20"/>
          <w:lang w:val="en-GB"/>
        </w:rPr>
        <w:t xml:space="preserve"> determine </w:t>
      </w:r>
      <w:r w:rsidR="00347D04" w:rsidRPr="003372FD">
        <w:rPr>
          <w:rFonts w:ascii="Arial" w:hAnsi="Arial" w:cs="Arial"/>
          <w:sz w:val="20"/>
          <w:szCs w:val="20"/>
          <w:lang w:val="en-GB"/>
        </w:rPr>
        <w:t xml:space="preserve">current </w:t>
      </w:r>
      <w:r w:rsidR="008D51C0" w:rsidRPr="003372FD">
        <w:rPr>
          <w:rFonts w:ascii="Arial" w:hAnsi="Arial" w:cs="Arial"/>
          <w:sz w:val="20"/>
          <w:szCs w:val="20"/>
          <w:lang w:val="en-GB"/>
        </w:rPr>
        <w:t>antimicrobial utilisation in</w:t>
      </w:r>
      <w:r w:rsidR="00B37C54" w:rsidRPr="003372FD">
        <w:rPr>
          <w:rFonts w:ascii="Arial" w:hAnsi="Arial" w:cs="Arial"/>
          <w:sz w:val="20"/>
          <w:szCs w:val="20"/>
          <w:lang w:val="en-GB"/>
        </w:rPr>
        <w:t xml:space="preserve"> a </w:t>
      </w:r>
      <w:r w:rsidR="008D51C0" w:rsidRPr="003372FD">
        <w:rPr>
          <w:rFonts w:ascii="Arial" w:hAnsi="Arial" w:cs="Arial"/>
          <w:sz w:val="20"/>
          <w:szCs w:val="20"/>
          <w:lang w:val="en-GB"/>
        </w:rPr>
        <w:t>public sector hospital</w:t>
      </w:r>
      <w:r w:rsidR="00347D04" w:rsidRPr="003372FD">
        <w:rPr>
          <w:rFonts w:ascii="Arial" w:hAnsi="Arial" w:cs="Arial"/>
          <w:sz w:val="20"/>
          <w:szCs w:val="20"/>
          <w:lang w:val="en-GB"/>
        </w:rPr>
        <w:t xml:space="preserve">, and thirdly </w:t>
      </w:r>
      <w:r w:rsidR="008D51C0" w:rsidRPr="003372FD">
        <w:rPr>
          <w:rFonts w:ascii="Arial" w:hAnsi="Arial" w:cs="Arial"/>
          <w:sz w:val="20"/>
          <w:szCs w:val="20"/>
          <w:lang w:val="en-GB"/>
        </w:rPr>
        <w:t xml:space="preserve">evaluate the </w:t>
      </w:r>
      <w:r w:rsidR="0009120A" w:rsidRPr="003372FD">
        <w:rPr>
          <w:rFonts w:ascii="Arial" w:hAnsi="Arial" w:cs="Arial"/>
          <w:sz w:val="20"/>
          <w:szCs w:val="20"/>
          <w:lang w:val="en-GB"/>
        </w:rPr>
        <w:t>prescribing</w:t>
      </w:r>
      <w:r w:rsidR="008D51C0" w:rsidRPr="003372FD">
        <w:rPr>
          <w:rFonts w:ascii="Arial" w:hAnsi="Arial" w:cs="Arial"/>
          <w:sz w:val="20"/>
          <w:szCs w:val="20"/>
          <w:lang w:val="en-GB"/>
        </w:rPr>
        <w:t xml:space="preserve"> of antimicrobials with </w:t>
      </w:r>
      <w:r w:rsidR="0009120A" w:rsidRPr="003372FD">
        <w:rPr>
          <w:rFonts w:ascii="Arial" w:hAnsi="Arial" w:cs="Arial"/>
          <w:sz w:val="20"/>
          <w:szCs w:val="20"/>
          <w:lang w:val="en-GB"/>
        </w:rPr>
        <w:t xml:space="preserve">those contained within </w:t>
      </w:r>
      <w:r w:rsidR="008D51C0" w:rsidRPr="003372FD">
        <w:rPr>
          <w:rFonts w:ascii="Arial" w:hAnsi="Arial" w:cs="Arial"/>
          <w:sz w:val="20"/>
          <w:szCs w:val="20"/>
          <w:lang w:val="en-GB"/>
        </w:rPr>
        <w:t xml:space="preserve">the </w:t>
      </w:r>
      <w:r w:rsidR="0009120A" w:rsidRPr="003372FD">
        <w:rPr>
          <w:rFonts w:ascii="Arial" w:hAnsi="Arial" w:cs="Arial"/>
          <w:sz w:val="20"/>
          <w:szCs w:val="20"/>
          <w:lang w:val="en-GB"/>
        </w:rPr>
        <w:t xml:space="preserve">national </w:t>
      </w:r>
      <w:r w:rsidR="008D51C0" w:rsidRPr="003372FD">
        <w:rPr>
          <w:rFonts w:ascii="Arial" w:hAnsi="Arial" w:cs="Arial"/>
          <w:sz w:val="20"/>
          <w:szCs w:val="20"/>
          <w:lang w:val="en-GB"/>
        </w:rPr>
        <w:t>Essential Medicines List and Standard Treatment Guidelines</w:t>
      </w:r>
      <w:r w:rsidR="00D81E0C" w:rsidRPr="003372FD">
        <w:rPr>
          <w:rFonts w:ascii="Arial" w:hAnsi="Arial" w:cs="Arial"/>
          <w:sz w:val="20"/>
          <w:szCs w:val="20"/>
          <w:lang w:val="en-GB"/>
        </w:rPr>
        <w:t xml:space="preserve"> (</w:t>
      </w:r>
      <w:r w:rsidR="00251E55" w:rsidRPr="003372FD">
        <w:rPr>
          <w:rFonts w:ascii="Arial" w:hAnsi="Arial" w:cs="Arial"/>
          <w:sz w:val="20"/>
          <w:szCs w:val="20"/>
          <w:lang w:val="en-GB"/>
        </w:rPr>
        <w:t xml:space="preserve">EML/ </w:t>
      </w:r>
      <w:r w:rsidR="00D81E0C" w:rsidRPr="003372FD">
        <w:rPr>
          <w:rFonts w:ascii="Arial" w:hAnsi="Arial" w:cs="Arial"/>
          <w:sz w:val="20"/>
          <w:szCs w:val="20"/>
          <w:lang w:val="en-GB"/>
        </w:rPr>
        <w:t>STGs)</w:t>
      </w:r>
      <w:r w:rsidR="009B7D3F" w:rsidRPr="003372FD">
        <w:rPr>
          <w:rFonts w:ascii="Arial" w:hAnsi="Arial" w:cs="Arial"/>
          <w:sz w:val="20"/>
          <w:szCs w:val="20"/>
          <w:lang w:val="en-GB"/>
        </w:rPr>
        <w:t>.</w:t>
      </w:r>
      <w:r w:rsidR="003E0701" w:rsidRPr="003372FD">
        <w:rPr>
          <w:rFonts w:ascii="Arial" w:hAnsi="Arial" w:cs="Arial"/>
          <w:sz w:val="20"/>
          <w:szCs w:val="20"/>
          <w:lang w:val="en-GB"/>
        </w:rPr>
        <w:t xml:space="preserve"> The findings will be used to guide future activities in S</w:t>
      </w:r>
      <w:r w:rsidR="00B721DC" w:rsidRPr="003372FD">
        <w:rPr>
          <w:rFonts w:ascii="Arial" w:hAnsi="Arial" w:cs="Arial"/>
          <w:sz w:val="20"/>
          <w:szCs w:val="20"/>
          <w:lang w:val="en-GB"/>
        </w:rPr>
        <w:t>A</w:t>
      </w:r>
      <w:r w:rsidR="003E0701" w:rsidRPr="003372FD">
        <w:rPr>
          <w:rFonts w:ascii="Arial" w:hAnsi="Arial" w:cs="Arial"/>
          <w:sz w:val="20"/>
          <w:szCs w:val="20"/>
          <w:lang w:val="en-GB"/>
        </w:rPr>
        <w:t>.</w:t>
      </w:r>
      <w:r w:rsidR="0014666E" w:rsidRPr="003372FD">
        <w:rPr>
          <w:rFonts w:ascii="Arial" w:hAnsi="Arial" w:cs="Arial"/>
          <w:sz w:val="20"/>
          <w:szCs w:val="20"/>
        </w:rPr>
        <w:t xml:space="preserve"> </w:t>
      </w:r>
      <w:r w:rsidR="00FA271B" w:rsidRPr="003372FD">
        <w:rPr>
          <w:rFonts w:ascii="Arial" w:hAnsi="Arial" w:cs="Arial"/>
          <w:b/>
          <w:sz w:val="20"/>
          <w:szCs w:val="20"/>
        </w:rPr>
        <w:t>Methods</w:t>
      </w:r>
      <w:r w:rsidR="00FA271B" w:rsidRPr="003372FD">
        <w:rPr>
          <w:rFonts w:ascii="Arial" w:hAnsi="Arial" w:cs="Arial"/>
          <w:sz w:val="20"/>
          <w:szCs w:val="20"/>
        </w:rPr>
        <w:t xml:space="preserve">: A PPS was conducted in Dr George </w:t>
      </w:r>
      <w:proofErr w:type="spellStart"/>
      <w:r w:rsidR="00FA271B" w:rsidRPr="003372FD">
        <w:rPr>
          <w:rFonts w:ascii="Arial" w:hAnsi="Arial" w:cs="Arial"/>
          <w:sz w:val="20"/>
          <w:szCs w:val="20"/>
        </w:rPr>
        <w:t>Mukhari</w:t>
      </w:r>
      <w:proofErr w:type="spellEnd"/>
      <w:r w:rsidR="00FA271B" w:rsidRPr="003372FD">
        <w:rPr>
          <w:rFonts w:ascii="Arial" w:hAnsi="Arial" w:cs="Arial"/>
          <w:sz w:val="20"/>
          <w:szCs w:val="20"/>
        </w:rPr>
        <w:t xml:space="preserve"> Academic Hospital. </w:t>
      </w:r>
      <w:r w:rsidR="009A79B8" w:rsidRPr="003372FD">
        <w:rPr>
          <w:rFonts w:ascii="Arial" w:hAnsi="Arial" w:cs="Arial"/>
          <w:sz w:val="20"/>
          <w:szCs w:val="20"/>
        </w:rPr>
        <w:t>For each in-patient ward, a</w:t>
      </w:r>
      <w:r w:rsidR="00FA271B" w:rsidRPr="003372FD">
        <w:rPr>
          <w:rFonts w:ascii="Arial" w:hAnsi="Arial" w:cs="Arial"/>
          <w:sz w:val="20"/>
          <w:szCs w:val="20"/>
        </w:rPr>
        <w:t>ll patient</w:t>
      </w:r>
      <w:r w:rsidR="00D81E0C" w:rsidRPr="003372FD">
        <w:rPr>
          <w:rFonts w:ascii="Arial" w:hAnsi="Arial" w:cs="Arial"/>
          <w:sz w:val="20"/>
          <w:szCs w:val="20"/>
        </w:rPr>
        <w:t>s’</w:t>
      </w:r>
      <w:r w:rsidR="00FA271B" w:rsidRPr="003372FD">
        <w:rPr>
          <w:rFonts w:ascii="Arial" w:hAnsi="Arial" w:cs="Arial"/>
          <w:sz w:val="20"/>
          <w:szCs w:val="20"/>
        </w:rPr>
        <w:t xml:space="preserve"> files were completely surveyed </w:t>
      </w:r>
      <w:r w:rsidR="00D81E0C" w:rsidRPr="003372FD">
        <w:rPr>
          <w:rFonts w:ascii="Arial" w:hAnsi="Arial" w:cs="Arial"/>
          <w:sz w:val="20"/>
          <w:szCs w:val="20"/>
        </w:rPr>
        <w:t>o</w:t>
      </w:r>
      <w:r w:rsidR="00FA271B" w:rsidRPr="003372FD">
        <w:rPr>
          <w:rFonts w:ascii="Arial" w:hAnsi="Arial" w:cs="Arial"/>
          <w:sz w:val="20"/>
          <w:szCs w:val="20"/>
        </w:rPr>
        <w:t>n a single day. The number of patients who were on antimicrobials served as the numerator and the denominator comprised the total number of patients in the ward.</w:t>
      </w:r>
      <w:r w:rsidR="0014666E" w:rsidRPr="003372FD">
        <w:rPr>
          <w:rFonts w:ascii="Arial" w:hAnsi="Arial" w:cs="Arial"/>
          <w:sz w:val="20"/>
          <w:szCs w:val="20"/>
        </w:rPr>
        <w:t xml:space="preserve"> </w:t>
      </w:r>
      <w:r w:rsidR="00FA271B" w:rsidRPr="003372FD">
        <w:rPr>
          <w:rFonts w:ascii="Arial" w:hAnsi="Arial" w:cs="Arial"/>
          <w:b/>
          <w:sz w:val="20"/>
          <w:szCs w:val="20"/>
        </w:rPr>
        <w:t>Results</w:t>
      </w:r>
      <w:r w:rsidR="00FA271B" w:rsidRPr="003372FD">
        <w:rPr>
          <w:rFonts w:ascii="Arial" w:hAnsi="Arial" w:cs="Arial"/>
          <w:sz w:val="20"/>
          <w:szCs w:val="20"/>
        </w:rPr>
        <w:t>: 39 wards and 512 patient files were surveyed. The overall prevalence of antimicrobial use was 38.5%</w:t>
      </w:r>
      <w:r w:rsidR="00D81E0C" w:rsidRPr="003372FD">
        <w:rPr>
          <w:rFonts w:ascii="Arial" w:hAnsi="Arial" w:cs="Arial"/>
          <w:sz w:val="20"/>
          <w:szCs w:val="20"/>
        </w:rPr>
        <w:t>, highest in the ICUs</w:t>
      </w:r>
      <w:r w:rsidR="00FA271B" w:rsidRPr="003372FD">
        <w:rPr>
          <w:rFonts w:ascii="Arial" w:hAnsi="Arial" w:cs="Arial"/>
          <w:sz w:val="20"/>
          <w:szCs w:val="20"/>
        </w:rPr>
        <w:t xml:space="preserve">. Beta lactamase inhibitors and antimicrobials for </w:t>
      </w:r>
      <w:r w:rsidR="009A79B8" w:rsidRPr="003372FD">
        <w:rPr>
          <w:rFonts w:ascii="Arial" w:hAnsi="Arial" w:cs="Arial"/>
          <w:sz w:val="20"/>
          <w:szCs w:val="20"/>
        </w:rPr>
        <w:t>tuberculosis</w:t>
      </w:r>
      <w:r w:rsidR="00FA271B" w:rsidRPr="003372FD">
        <w:rPr>
          <w:rFonts w:ascii="Arial" w:hAnsi="Arial" w:cs="Arial"/>
          <w:sz w:val="20"/>
          <w:szCs w:val="20"/>
        </w:rPr>
        <w:t xml:space="preserve"> were the most prevalent antimicrobials. More than two thirds (</w:t>
      </w:r>
      <w:r w:rsidR="00FA271B" w:rsidRPr="003372FD">
        <w:rPr>
          <w:rFonts w:ascii="Arial" w:hAnsi="Arial" w:cs="Arial"/>
          <w:bCs/>
          <w:sz w:val="20"/>
          <w:szCs w:val="20"/>
          <w:lang w:val="en-US"/>
        </w:rPr>
        <w:t>83%) of antimicrobial treatment was modified following culture sensitivity test results</w:t>
      </w:r>
      <w:r w:rsidR="006F089E" w:rsidRPr="003372FD">
        <w:rPr>
          <w:rFonts w:ascii="Arial" w:hAnsi="Arial" w:cs="Arial"/>
          <w:bCs/>
          <w:sz w:val="20"/>
          <w:szCs w:val="20"/>
          <w:lang w:val="en-US"/>
        </w:rPr>
        <w:t xml:space="preserve"> when requested</w:t>
      </w:r>
      <w:r w:rsidR="00FA271B" w:rsidRPr="003372FD">
        <w:rPr>
          <w:rFonts w:ascii="Arial" w:hAnsi="Arial" w:cs="Arial"/>
          <w:bCs/>
          <w:sz w:val="20"/>
          <w:szCs w:val="20"/>
          <w:lang w:val="en-US"/>
        </w:rPr>
        <w:t xml:space="preserve">, and 98% of antimicrobials </w:t>
      </w:r>
      <w:r w:rsidR="00D81E0C" w:rsidRPr="003372FD">
        <w:rPr>
          <w:rFonts w:ascii="Arial" w:hAnsi="Arial" w:cs="Arial"/>
          <w:bCs/>
          <w:sz w:val="20"/>
          <w:szCs w:val="20"/>
          <w:lang w:val="en-US"/>
        </w:rPr>
        <w:t>prescribed were contained within the current EML/ STG</w:t>
      </w:r>
      <w:r w:rsidR="009A79B8" w:rsidRPr="003372FD">
        <w:rPr>
          <w:rFonts w:ascii="Arial" w:hAnsi="Arial" w:cs="Arial"/>
          <w:bCs/>
          <w:sz w:val="20"/>
          <w:szCs w:val="20"/>
          <w:lang w:val="en-US"/>
        </w:rPr>
        <w:t>s</w:t>
      </w:r>
      <w:r w:rsidR="00FA271B" w:rsidRPr="003372FD">
        <w:rPr>
          <w:rFonts w:ascii="Arial" w:hAnsi="Arial" w:cs="Arial"/>
          <w:bCs/>
          <w:sz w:val="20"/>
          <w:szCs w:val="20"/>
          <w:lang w:val="en-US"/>
        </w:rPr>
        <w:t xml:space="preserve">. </w:t>
      </w:r>
      <w:r w:rsidR="00841E80" w:rsidRPr="003372FD">
        <w:rPr>
          <w:rFonts w:ascii="Arial" w:hAnsi="Arial" w:cs="Arial"/>
          <w:bCs/>
          <w:sz w:val="20"/>
          <w:szCs w:val="20"/>
          <w:lang w:val="en-US"/>
        </w:rPr>
        <w:t xml:space="preserve">In 10.8% </w:t>
      </w:r>
      <w:r w:rsidR="00D81E0C" w:rsidRPr="003372FD">
        <w:rPr>
          <w:rFonts w:ascii="Arial" w:hAnsi="Arial" w:cs="Arial"/>
          <w:bCs/>
          <w:sz w:val="20"/>
          <w:szCs w:val="20"/>
          <w:lang w:val="en-US"/>
        </w:rPr>
        <w:t xml:space="preserve">of </w:t>
      </w:r>
      <w:r w:rsidR="00841E80" w:rsidRPr="003372FD">
        <w:rPr>
          <w:rFonts w:ascii="Arial" w:hAnsi="Arial" w:cs="Arial"/>
          <w:bCs/>
          <w:sz w:val="20"/>
          <w:szCs w:val="20"/>
          <w:lang w:val="en-US"/>
        </w:rPr>
        <w:t xml:space="preserve">occasions, </w:t>
      </w:r>
      <w:r w:rsidR="00D81E0C" w:rsidRPr="003372FD">
        <w:rPr>
          <w:rFonts w:ascii="Arial" w:hAnsi="Arial" w:cs="Arial"/>
          <w:bCs/>
          <w:sz w:val="20"/>
          <w:szCs w:val="20"/>
          <w:lang w:val="en-US"/>
        </w:rPr>
        <w:t xml:space="preserve">antimicrobials </w:t>
      </w:r>
      <w:r w:rsidR="00841E80" w:rsidRPr="003372FD">
        <w:rPr>
          <w:rFonts w:ascii="Arial" w:hAnsi="Arial" w:cs="Arial"/>
          <w:bCs/>
          <w:sz w:val="20"/>
          <w:szCs w:val="20"/>
          <w:lang w:val="en-US"/>
        </w:rPr>
        <w:t>appear to have been prescribed other than for treatment, i.e. no systemic infection</w:t>
      </w:r>
      <w:r w:rsidR="00D81E0C" w:rsidRPr="003372FD">
        <w:rPr>
          <w:rFonts w:ascii="Arial" w:hAnsi="Arial" w:cs="Arial"/>
          <w:bCs/>
          <w:sz w:val="20"/>
          <w:szCs w:val="20"/>
          <w:lang w:val="en-US"/>
        </w:rPr>
        <w:t xml:space="preserve">. </w:t>
      </w:r>
      <w:r w:rsidR="009A79B8" w:rsidRPr="003372FD">
        <w:rPr>
          <w:rFonts w:ascii="Arial" w:hAnsi="Arial" w:cs="Arial"/>
          <w:bCs/>
          <w:sz w:val="20"/>
          <w:szCs w:val="20"/>
          <w:lang w:val="en-US"/>
        </w:rPr>
        <w:t>T</w:t>
      </w:r>
      <w:r w:rsidR="00FA271B" w:rsidRPr="003372FD">
        <w:rPr>
          <w:rFonts w:ascii="Arial" w:hAnsi="Arial" w:cs="Arial"/>
          <w:bCs/>
          <w:sz w:val="20"/>
          <w:szCs w:val="20"/>
          <w:lang w:val="en-US"/>
        </w:rPr>
        <w:t xml:space="preserve">here </w:t>
      </w:r>
      <w:r w:rsidR="00D81E0C" w:rsidRPr="003372FD">
        <w:rPr>
          <w:rFonts w:ascii="Arial" w:hAnsi="Arial" w:cs="Arial"/>
          <w:bCs/>
          <w:sz w:val="20"/>
          <w:szCs w:val="20"/>
          <w:lang w:val="en-US"/>
        </w:rPr>
        <w:t>were</w:t>
      </w:r>
      <w:r w:rsidR="00FA271B" w:rsidRPr="003372FD">
        <w:rPr>
          <w:rFonts w:ascii="Arial" w:hAnsi="Arial" w:cs="Arial"/>
          <w:bCs/>
          <w:sz w:val="20"/>
          <w:szCs w:val="20"/>
          <w:lang w:val="en-US"/>
        </w:rPr>
        <w:t xml:space="preserve"> concern</w:t>
      </w:r>
      <w:r w:rsidR="00D81E0C" w:rsidRPr="003372FD">
        <w:rPr>
          <w:rFonts w:ascii="Arial" w:hAnsi="Arial" w:cs="Arial"/>
          <w:bCs/>
          <w:sz w:val="20"/>
          <w:szCs w:val="20"/>
          <w:lang w:val="en-US"/>
        </w:rPr>
        <w:t>s</w:t>
      </w:r>
      <w:r w:rsidR="00FA271B" w:rsidRPr="003372FD">
        <w:rPr>
          <w:rFonts w:ascii="Arial" w:hAnsi="Arial" w:cs="Arial"/>
          <w:bCs/>
          <w:sz w:val="20"/>
          <w:szCs w:val="20"/>
          <w:lang w:val="en-US"/>
        </w:rPr>
        <w:t xml:space="preserve"> </w:t>
      </w:r>
      <w:r w:rsidR="009A79B8" w:rsidRPr="003372FD">
        <w:rPr>
          <w:rFonts w:ascii="Arial" w:hAnsi="Arial" w:cs="Arial"/>
          <w:bCs/>
          <w:sz w:val="20"/>
          <w:szCs w:val="20"/>
          <w:lang w:val="en-US"/>
        </w:rPr>
        <w:t xml:space="preserve">though </w:t>
      </w:r>
      <w:r w:rsidR="00FA271B" w:rsidRPr="003372FD">
        <w:rPr>
          <w:rFonts w:ascii="Arial" w:hAnsi="Arial" w:cs="Arial"/>
          <w:bCs/>
          <w:sz w:val="20"/>
          <w:szCs w:val="20"/>
          <w:lang w:val="en-US"/>
        </w:rPr>
        <w:t xml:space="preserve">with the lack of IV to oral switching. </w:t>
      </w:r>
      <w:r w:rsidR="00FA271B" w:rsidRPr="003372FD">
        <w:rPr>
          <w:rFonts w:ascii="Arial" w:hAnsi="Arial" w:cs="Arial"/>
          <w:b/>
          <w:sz w:val="20"/>
          <w:szCs w:val="20"/>
        </w:rPr>
        <w:t>Conclusion</w:t>
      </w:r>
      <w:r w:rsidR="00FA271B" w:rsidRPr="003372FD">
        <w:rPr>
          <w:rFonts w:ascii="Arial" w:hAnsi="Arial" w:cs="Arial"/>
          <w:sz w:val="20"/>
          <w:szCs w:val="20"/>
        </w:rPr>
        <w:t>: The PPS method offers a standardized tool that can be used to identify targets for quality improvement.</w:t>
      </w:r>
      <w:r w:rsidR="00347D04" w:rsidRPr="003372FD">
        <w:rPr>
          <w:rFonts w:ascii="Arial" w:hAnsi="Arial" w:cs="Arial"/>
          <w:sz w:val="20"/>
          <w:szCs w:val="20"/>
        </w:rPr>
        <w:t xml:space="preserve"> However, there were concerns with the time taken to conduct PPS studies, which is an issue in resource limited situations. This is being addressed</w:t>
      </w:r>
      <w:r w:rsidRPr="003372FD">
        <w:rPr>
          <w:rFonts w:ascii="Arial" w:hAnsi="Arial" w:cs="Arial"/>
          <w:sz w:val="20"/>
          <w:szCs w:val="20"/>
        </w:rPr>
        <w:t xml:space="preserve"> alongside concerns with the lack of IV to oral switching.</w:t>
      </w:r>
    </w:p>
    <w:bookmarkEnd w:id="1"/>
    <w:p w14:paraId="1439C84C" w14:textId="77777777" w:rsidR="003372FD" w:rsidRDefault="003372FD" w:rsidP="003372FD">
      <w:pPr>
        <w:pStyle w:val="NoSpacing1"/>
        <w:rPr>
          <w:rFonts w:ascii="Arial" w:hAnsi="Arial" w:cs="Arial"/>
          <w:b/>
          <w:sz w:val="20"/>
          <w:szCs w:val="20"/>
        </w:rPr>
      </w:pPr>
    </w:p>
    <w:p w14:paraId="25561667" w14:textId="27724357" w:rsidR="00FA271B" w:rsidRPr="003372FD" w:rsidRDefault="003372FD" w:rsidP="003372FD">
      <w:pPr>
        <w:pStyle w:val="NoSpacing1"/>
        <w:rPr>
          <w:rFonts w:ascii="Arial" w:hAnsi="Arial" w:cs="Arial"/>
          <w:b/>
          <w:sz w:val="20"/>
          <w:szCs w:val="20"/>
        </w:rPr>
      </w:pPr>
      <w:r>
        <w:rPr>
          <w:rFonts w:ascii="Arial" w:hAnsi="Arial" w:cs="Arial"/>
          <w:b/>
          <w:sz w:val="20"/>
          <w:szCs w:val="20"/>
        </w:rPr>
        <w:t xml:space="preserve">1. </w:t>
      </w:r>
      <w:r w:rsidR="00FA271B" w:rsidRPr="003372FD">
        <w:rPr>
          <w:rFonts w:ascii="Arial" w:hAnsi="Arial" w:cs="Arial"/>
          <w:b/>
          <w:sz w:val="20"/>
          <w:szCs w:val="20"/>
        </w:rPr>
        <w:t>INTRODUCTION</w:t>
      </w:r>
    </w:p>
    <w:p w14:paraId="4287F012" w14:textId="77777777" w:rsidR="0079159E" w:rsidRDefault="0079159E" w:rsidP="003372FD">
      <w:pPr>
        <w:pStyle w:val="NoSpacing1"/>
        <w:rPr>
          <w:rFonts w:ascii="Arial" w:hAnsi="Arial" w:cs="Arial"/>
          <w:sz w:val="20"/>
          <w:szCs w:val="20"/>
          <w:lang w:val="en-US"/>
        </w:rPr>
      </w:pPr>
    </w:p>
    <w:p w14:paraId="72A64575" w14:textId="602690A5" w:rsidR="00FA271B"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Antimicrobials play a vital role in reducing morbidity and mortality through the management of infection</w:t>
      </w:r>
      <w:r w:rsidR="00BF1392" w:rsidRPr="003372FD">
        <w:rPr>
          <w:rFonts w:ascii="Arial" w:hAnsi="Arial" w:cs="Arial"/>
          <w:sz w:val="20"/>
          <w:szCs w:val="20"/>
          <w:lang w:val="en-US"/>
        </w:rPr>
        <w:t xml:space="preserve"> [</w:t>
      </w:r>
      <w:r w:rsidRPr="003372FD">
        <w:rPr>
          <w:rFonts w:ascii="Arial" w:hAnsi="Arial" w:cs="Arial"/>
          <w:sz w:val="20"/>
          <w:szCs w:val="20"/>
          <w:lang w:val="en-US"/>
        </w:rPr>
        <w:t>1-3</w:t>
      </w:r>
      <w:r w:rsidR="00BF1392" w:rsidRPr="003372FD">
        <w:rPr>
          <w:rFonts w:ascii="Arial" w:hAnsi="Arial" w:cs="Arial"/>
          <w:sz w:val="20"/>
          <w:szCs w:val="20"/>
          <w:lang w:val="en-US"/>
        </w:rPr>
        <w:t>]</w:t>
      </w:r>
      <w:r w:rsidRPr="003372FD">
        <w:rPr>
          <w:rFonts w:ascii="Arial" w:hAnsi="Arial" w:cs="Arial"/>
          <w:sz w:val="20"/>
          <w:szCs w:val="20"/>
          <w:lang w:val="en-US"/>
        </w:rPr>
        <w:t>. They reduce mortality by 10% to 75% depending on the disease area, with estimat</w:t>
      </w:r>
      <w:r w:rsidR="003E0701" w:rsidRPr="003372FD">
        <w:rPr>
          <w:rFonts w:ascii="Arial" w:hAnsi="Arial" w:cs="Arial"/>
          <w:sz w:val="20"/>
          <w:szCs w:val="20"/>
          <w:lang w:val="en-US"/>
        </w:rPr>
        <w:t>es</w:t>
      </w:r>
      <w:r w:rsidRPr="003372FD">
        <w:rPr>
          <w:rFonts w:ascii="Arial" w:hAnsi="Arial" w:cs="Arial"/>
          <w:sz w:val="20"/>
          <w:szCs w:val="20"/>
          <w:lang w:val="en-US"/>
        </w:rPr>
        <w:t xml:space="preserve"> </w:t>
      </w:r>
      <w:r w:rsidR="003E0701" w:rsidRPr="003372FD">
        <w:rPr>
          <w:rFonts w:ascii="Arial" w:hAnsi="Arial" w:cs="Arial"/>
          <w:sz w:val="20"/>
          <w:szCs w:val="20"/>
          <w:lang w:val="en-US"/>
        </w:rPr>
        <w:t>suggesting</w:t>
      </w:r>
      <w:r w:rsidR="00A01FE5" w:rsidRPr="003372FD">
        <w:rPr>
          <w:rFonts w:ascii="Arial" w:hAnsi="Arial" w:cs="Arial"/>
          <w:sz w:val="20"/>
          <w:szCs w:val="20"/>
          <w:lang w:val="en-US"/>
        </w:rPr>
        <w:t xml:space="preserve"> </w:t>
      </w:r>
      <w:r w:rsidRPr="003372FD">
        <w:rPr>
          <w:rFonts w:ascii="Arial" w:hAnsi="Arial" w:cs="Arial"/>
          <w:sz w:val="20"/>
          <w:szCs w:val="20"/>
          <w:lang w:val="en-US"/>
        </w:rPr>
        <w:t xml:space="preserve">life expectancy </w:t>
      </w:r>
      <w:r w:rsidR="003E0701" w:rsidRPr="003372FD">
        <w:rPr>
          <w:rFonts w:ascii="Arial" w:hAnsi="Arial" w:cs="Arial"/>
          <w:sz w:val="20"/>
          <w:szCs w:val="20"/>
          <w:lang w:val="en-US"/>
        </w:rPr>
        <w:t xml:space="preserve">is increased </w:t>
      </w:r>
      <w:r w:rsidRPr="003372FD">
        <w:rPr>
          <w:rFonts w:ascii="Arial" w:hAnsi="Arial" w:cs="Arial"/>
          <w:sz w:val="20"/>
          <w:szCs w:val="20"/>
          <w:lang w:val="en-US"/>
        </w:rPr>
        <w:t>by 20 years</w:t>
      </w:r>
      <w:r w:rsidR="00D34E8B" w:rsidRPr="003372FD">
        <w:rPr>
          <w:rFonts w:ascii="Arial" w:hAnsi="Arial" w:cs="Arial"/>
          <w:sz w:val="20"/>
          <w:szCs w:val="20"/>
          <w:lang w:val="en-US"/>
        </w:rPr>
        <w:t xml:space="preserve"> </w:t>
      </w:r>
      <w:r w:rsidR="00EE5805" w:rsidRPr="003372FD">
        <w:rPr>
          <w:rFonts w:ascii="Arial" w:hAnsi="Arial" w:cs="Arial"/>
          <w:sz w:val="20"/>
          <w:szCs w:val="20"/>
          <w:lang w:val="en-US"/>
        </w:rPr>
        <w:t xml:space="preserve">with their use </w:t>
      </w:r>
      <w:r w:rsidR="00D34E8B" w:rsidRPr="003372FD">
        <w:rPr>
          <w:rFonts w:ascii="Arial" w:hAnsi="Arial" w:cs="Arial"/>
          <w:sz w:val="20"/>
          <w:szCs w:val="20"/>
          <w:lang w:val="en-US"/>
        </w:rPr>
        <w:t>[4]</w:t>
      </w:r>
      <w:r w:rsidRPr="003372FD">
        <w:rPr>
          <w:rFonts w:ascii="Arial" w:hAnsi="Arial" w:cs="Arial"/>
          <w:sz w:val="20"/>
          <w:szCs w:val="20"/>
          <w:lang w:val="en-US"/>
        </w:rPr>
        <w:t xml:space="preserve">. However, their excessive </w:t>
      </w:r>
      <w:proofErr w:type="spellStart"/>
      <w:r w:rsidRPr="003372FD">
        <w:rPr>
          <w:rFonts w:ascii="Arial" w:hAnsi="Arial" w:cs="Arial"/>
          <w:sz w:val="20"/>
          <w:szCs w:val="20"/>
          <w:lang w:val="en-US"/>
        </w:rPr>
        <w:t>utilisation</w:t>
      </w:r>
      <w:proofErr w:type="spellEnd"/>
      <w:r w:rsidRPr="003372FD">
        <w:rPr>
          <w:rFonts w:ascii="Arial" w:hAnsi="Arial" w:cs="Arial"/>
          <w:sz w:val="20"/>
          <w:szCs w:val="20"/>
          <w:lang w:val="en-US"/>
        </w:rPr>
        <w:t xml:space="preserve"> has appreciably increased </w:t>
      </w:r>
      <w:r w:rsidR="00EE5805" w:rsidRPr="003372FD">
        <w:rPr>
          <w:rFonts w:ascii="Arial" w:hAnsi="Arial" w:cs="Arial"/>
          <w:sz w:val="20"/>
          <w:szCs w:val="20"/>
          <w:lang w:val="en-US"/>
        </w:rPr>
        <w:t xml:space="preserve">antimicrobial </w:t>
      </w:r>
      <w:r w:rsidRPr="003372FD">
        <w:rPr>
          <w:rFonts w:ascii="Arial" w:hAnsi="Arial" w:cs="Arial"/>
          <w:sz w:val="20"/>
          <w:szCs w:val="20"/>
          <w:lang w:val="en-US"/>
        </w:rPr>
        <w:t>resistance rates</w:t>
      </w:r>
      <w:r w:rsidR="00EE5805" w:rsidRPr="003372FD">
        <w:rPr>
          <w:rFonts w:ascii="Arial" w:hAnsi="Arial" w:cs="Arial"/>
          <w:sz w:val="20"/>
          <w:szCs w:val="20"/>
          <w:lang w:val="en-US"/>
        </w:rPr>
        <w:t xml:space="preserve"> (AMR)</w:t>
      </w:r>
      <w:r w:rsidRPr="003372FD">
        <w:rPr>
          <w:rFonts w:ascii="Arial" w:hAnsi="Arial" w:cs="Arial"/>
          <w:sz w:val="20"/>
          <w:szCs w:val="20"/>
          <w:lang w:val="en-US"/>
        </w:rPr>
        <w:t>, which is now a global concern</w:t>
      </w:r>
      <w:r w:rsidR="00D34E8B" w:rsidRPr="003372FD">
        <w:rPr>
          <w:rFonts w:ascii="Arial" w:hAnsi="Arial" w:cs="Arial"/>
          <w:sz w:val="20"/>
          <w:szCs w:val="20"/>
          <w:lang w:val="en-US"/>
        </w:rPr>
        <w:t xml:space="preserve"> [</w:t>
      </w:r>
      <w:r w:rsidRPr="003372FD">
        <w:rPr>
          <w:rFonts w:ascii="Arial" w:hAnsi="Arial" w:cs="Arial"/>
          <w:sz w:val="20"/>
          <w:szCs w:val="20"/>
          <w:lang w:val="en-US"/>
        </w:rPr>
        <w:t>5-</w:t>
      </w:r>
      <w:r w:rsidR="003E0701" w:rsidRPr="003372FD">
        <w:rPr>
          <w:rFonts w:ascii="Arial" w:hAnsi="Arial" w:cs="Arial"/>
          <w:sz w:val="20"/>
          <w:szCs w:val="20"/>
          <w:lang w:val="en-US"/>
        </w:rPr>
        <w:t>8</w:t>
      </w:r>
      <w:r w:rsidR="00D34E8B" w:rsidRPr="003372FD">
        <w:rPr>
          <w:rFonts w:ascii="Arial" w:hAnsi="Arial" w:cs="Arial"/>
          <w:sz w:val="20"/>
          <w:szCs w:val="20"/>
          <w:lang w:val="en-US"/>
        </w:rPr>
        <w:t>]</w:t>
      </w:r>
      <w:r w:rsidRPr="003372FD">
        <w:rPr>
          <w:rFonts w:ascii="Arial" w:hAnsi="Arial" w:cs="Arial"/>
          <w:sz w:val="20"/>
          <w:szCs w:val="20"/>
          <w:lang w:val="en-US"/>
        </w:rPr>
        <w:t>. With the diminishing effectiveness of antimicrobials, the world is facing a major predicament of how infections will be treated in the future</w:t>
      </w:r>
      <w:r w:rsidR="003E0701" w:rsidRPr="003372FD">
        <w:rPr>
          <w:rFonts w:ascii="Arial" w:hAnsi="Arial" w:cs="Arial"/>
          <w:sz w:val="20"/>
          <w:szCs w:val="20"/>
          <w:lang w:val="en-US"/>
        </w:rPr>
        <w:t>. This is</w:t>
      </w:r>
      <w:r w:rsidRPr="003372FD">
        <w:rPr>
          <w:rFonts w:ascii="Arial" w:hAnsi="Arial" w:cs="Arial"/>
          <w:sz w:val="20"/>
          <w:szCs w:val="20"/>
          <w:lang w:val="en-US"/>
        </w:rPr>
        <w:t xml:space="preserve"> leading to calls to develop global and national action plans to reduce morbidity, mortality and costs associated with </w:t>
      </w:r>
      <w:r w:rsidR="00B447EF" w:rsidRPr="003372FD">
        <w:rPr>
          <w:rFonts w:ascii="Arial" w:hAnsi="Arial" w:cs="Arial"/>
          <w:sz w:val="20"/>
          <w:szCs w:val="20"/>
          <w:lang w:val="en-US"/>
        </w:rPr>
        <w:t>AMR</w:t>
      </w:r>
      <w:r w:rsidR="00722611" w:rsidRPr="003372FD">
        <w:rPr>
          <w:rFonts w:ascii="Arial" w:hAnsi="Arial" w:cs="Arial"/>
          <w:sz w:val="20"/>
          <w:szCs w:val="20"/>
          <w:lang w:val="en-US"/>
        </w:rPr>
        <w:t>,</w:t>
      </w:r>
      <w:r w:rsidR="00D34E8B" w:rsidRPr="003372FD">
        <w:rPr>
          <w:rFonts w:ascii="Arial" w:hAnsi="Arial" w:cs="Arial"/>
          <w:sz w:val="20"/>
          <w:szCs w:val="20"/>
          <w:lang w:val="en-US"/>
        </w:rPr>
        <w:t xml:space="preserve"> including increased governance [3-4, </w:t>
      </w:r>
      <w:r w:rsidRPr="003372FD">
        <w:rPr>
          <w:rFonts w:ascii="Arial" w:hAnsi="Arial" w:cs="Arial"/>
          <w:sz w:val="20"/>
          <w:szCs w:val="20"/>
          <w:lang w:val="en-US"/>
        </w:rPr>
        <w:t>8-12</w:t>
      </w:r>
      <w:r w:rsidR="00D34E8B" w:rsidRPr="003372FD">
        <w:rPr>
          <w:rFonts w:ascii="Arial" w:hAnsi="Arial" w:cs="Arial"/>
          <w:sz w:val="20"/>
          <w:szCs w:val="20"/>
          <w:lang w:val="en-US"/>
        </w:rPr>
        <w:t>].</w:t>
      </w:r>
    </w:p>
    <w:p w14:paraId="6FC383C0" w14:textId="77777777" w:rsidR="00FA271B" w:rsidRPr="003372FD" w:rsidRDefault="00FA271B" w:rsidP="003372FD">
      <w:pPr>
        <w:pStyle w:val="NoSpacing1"/>
        <w:rPr>
          <w:rFonts w:ascii="Arial" w:hAnsi="Arial" w:cs="Arial"/>
          <w:sz w:val="20"/>
          <w:szCs w:val="20"/>
          <w:lang w:val="en-US"/>
        </w:rPr>
      </w:pPr>
    </w:p>
    <w:p w14:paraId="3AA24C78" w14:textId="2B7E65D4" w:rsidR="00FA271B" w:rsidRPr="003372FD" w:rsidRDefault="00FA271B" w:rsidP="003372FD">
      <w:pPr>
        <w:pStyle w:val="NoSpacing1"/>
        <w:rPr>
          <w:rFonts w:ascii="Arial" w:hAnsi="Arial" w:cs="Arial"/>
          <w:sz w:val="20"/>
          <w:szCs w:val="20"/>
        </w:rPr>
      </w:pPr>
      <w:r w:rsidRPr="003372FD">
        <w:rPr>
          <w:rFonts w:ascii="Arial" w:hAnsi="Arial" w:cs="Arial"/>
          <w:sz w:val="20"/>
          <w:szCs w:val="20"/>
          <w:lang w:val="en-US"/>
        </w:rPr>
        <w:t>The World Health Organization (WHO) and others have for many years promoted the monitoring of antimicrobial use across sectors and raised awareness of the consequences of AMR, which</w:t>
      </w:r>
      <w:r w:rsidR="00D34E8B" w:rsidRPr="003372FD">
        <w:rPr>
          <w:rFonts w:ascii="Arial" w:hAnsi="Arial" w:cs="Arial"/>
          <w:sz w:val="20"/>
          <w:szCs w:val="20"/>
          <w:lang w:val="en-US"/>
        </w:rPr>
        <w:t xml:space="preserve"> includes the WHO Africa region [</w:t>
      </w:r>
      <w:r w:rsidRPr="003372FD">
        <w:rPr>
          <w:rFonts w:ascii="Arial" w:hAnsi="Arial" w:cs="Arial"/>
          <w:sz w:val="20"/>
          <w:szCs w:val="20"/>
          <w:lang w:val="en-US"/>
        </w:rPr>
        <w:t>8,13-</w:t>
      </w:r>
      <w:r w:rsidR="002724AF" w:rsidRPr="003372FD">
        <w:rPr>
          <w:rFonts w:ascii="Arial" w:hAnsi="Arial" w:cs="Arial"/>
          <w:sz w:val="20"/>
          <w:szCs w:val="20"/>
          <w:lang w:val="en-US"/>
        </w:rPr>
        <w:t>21</w:t>
      </w:r>
      <w:r w:rsidR="00D34E8B" w:rsidRPr="003372FD">
        <w:rPr>
          <w:rFonts w:ascii="Arial" w:hAnsi="Arial" w:cs="Arial"/>
          <w:sz w:val="20"/>
          <w:szCs w:val="20"/>
          <w:lang w:val="en-US"/>
        </w:rPr>
        <w:t>].</w:t>
      </w:r>
      <w:r w:rsidRPr="003372FD">
        <w:rPr>
          <w:rFonts w:ascii="Arial" w:hAnsi="Arial" w:cs="Arial"/>
          <w:sz w:val="20"/>
          <w:szCs w:val="20"/>
          <w:lang w:val="en-US"/>
        </w:rPr>
        <w:t xml:space="preserve"> These activities include the instigation of </w:t>
      </w:r>
      <w:r w:rsidR="00173FE3" w:rsidRPr="003372FD">
        <w:rPr>
          <w:rFonts w:ascii="Arial" w:hAnsi="Arial" w:cs="Arial"/>
          <w:sz w:val="20"/>
          <w:szCs w:val="20"/>
          <w:lang w:val="en-US"/>
        </w:rPr>
        <w:t>p</w:t>
      </w:r>
      <w:r w:rsidRPr="003372FD">
        <w:rPr>
          <w:rFonts w:ascii="Arial" w:hAnsi="Arial" w:cs="Arial"/>
          <w:sz w:val="20"/>
          <w:szCs w:val="20"/>
          <w:lang w:val="en-US"/>
        </w:rPr>
        <w:t xml:space="preserve">oint </w:t>
      </w:r>
      <w:r w:rsidR="00173FE3" w:rsidRPr="003372FD">
        <w:rPr>
          <w:rFonts w:ascii="Arial" w:hAnsi="Arial" w:cs="Arial"/>
          <w:sz w:val="20"/>
          <w:szCs w:val="20"/>
          <w:lang w:val="en-US"/>
        </w:rPr>
        <w:t>p</w:t>
      </w:r>
      <w:r w:rsidRPr="003372FD">
        <w:rPr>
          <w:rFonts w:ascii="Arial" w:hAnsi="Arial" w:cs="Arial"/>
          <w:sz w:val="20"/>
          <w:szCs w:val="20"/>
          <w:lang w:val="en-US"/>
        </w:rPr>
        <w:t xml:space="preserve">revalence </w:t>
      </w:r>
      <w:r w:rsidR="00173FE3" w:rsidRPr="003372FD">
        <w:rPr>
          <w:rFonts w:ascii="Arial" w:hAnsi="Arial" w:cs="Arial"/>
          <w:sz w:val="20"/>
          <w:szCs w:val="20"/>
          <w:lang w:val="en-US"/>
        </w:rPr>
        <w:t>surveys</w:t>
      </w:r>
      <w:r w:rsidR="00722611" w:rsidRPr="003372FD">
        <w:rPr>
          <w:rFonts w:ascii="Arial" w:hAnsi="Arial" w:cs="Arial"/>
          <w:sz w:val="20"/>
          <w:szCs w:val="20"/>
          <w:lang w:val="en-US"/>
        </w:rPr>
        <w:t xml:space="preserve"> </w:t>
      </w:r>
      <w:r w:rsidR="00722611" w:rsidRPr="003372FD">
        <w:rPr>
          <w:rFonts w:ascii="Arial" w:hAnsi="Arial" w:cs="Arial"/>
          <w:sz w:val="20"/>
          <w:szCs w:val="20"/>
          <w:lang w:val="en-US"/>
        </w:rPr>
        <w:lastRenderedPageBreak/>
        <w:t>(PPS)</w:t>
      </w:r>
      <w:r w:rsidRPr="003372FD">
        <w:rPr>
          <w:rFonts w:ascii="Arial" w:hAnsi="Arial" w:cs="Arial"/>
          <w:sz w:val="20"/>
          <w:szCs w:val="20"/>
          <w:lang w:val="en-US"/>
        </w:rPr>
        <w:t xml:space="preserve"> in hospitals to provide data on current </w:t>
      </w:r>
      <w:proofErr w:type="spellStart"/>
      <w:r w:rsidRPr="003372FD">
        <w:rPr>
          <w:rFonts w:ascii="Arial" w:hAnsi="Arial" w:cs="Arial"/>
          <w:sz w:val="20"/>
          <w:szCs w:val="20"/>
          <w:lang w:val="en-US"/>
        </w:rPr>
        <w:t>utilisation</w:t>
      </w:r>
      <w:proofErr w:type="spellEnd"/>
      <w:r w:rsidRPr="003372FD">
        <w:rPr>
          <w:rFonts w:ascii="Arial" w:hAnsi="Arial" w:cs="Arial"/>
          <w:sz w:val="20"/>
          <w:szCs w:val="20"/>
          <w:lang w:val="en-US"/>
        </w:rPr>
        <w:t xml:space="preserve"> and resistance patterns using a </w:t>
      </w:r>
      <w:proofErr w:type="spellStart"/>
      <w:r w:rsidRPr="003372FD">
        <w:rPr>
          <w:rFonts w:ascii="Arial" w:hAnsi="Arial" w:cs="Arial"/>
          <w:sz w:val="20"/>
          <w:szCs w:val="20"/>
          <w:lang w:val="en-US"/>
        </w:rPr>
        <w:t>standardised</w:t>
      </w:r>
      <w:proofErr w:type="spellEnd"/>
      <w:r w:rsidRPr="003372FD">
        <w:rPr>
          <w:rFonts w:ascii="Arial" w:hAnsi="Arial" w:cs="Arial"/>
          <w:sz w:val="20"/>
          <w:szCs w:val="20"/>
          <w:lang w:val="en-US"/>
        </w:rPr>
        <w:t xml:space="preserve"> methodolo</w:t>
      </w:r>
      <w:r w:rsidR="00651621" w:rsidRPr="003372FD">
        <w:rPr>
          <w:rFonts w:ascii="Arial" w:hAnsi="Arial" w:cs="Arial"/>
          <w:sz w:val="20"/>
          <w:szCs w:val="20"/>
          <w:lang w:val="en-US"/>
        </w:rPr>
        <w:t>gy to plan future interventions [</w:t>
      </w:r>
      <w:r w:rsidRPr="003372FD">
        <w:rPr>
          <w:rFonts w:ascii="Arial" w:hAnsi="Arial" w:cs="Arial"/>
          <w:sz w:val="20"/>
          <w:szCs w:val="20"/>
          <w:lang w:val="en-US"/>
        </w:rPr>
        <w:t>20-2</w:t>
      </w:r>
      <w:r w:rsidR="0038636A" w:rsidRPr="003372FD">
        <w:rPr>
          <w:rFonts w:ascii="Arial" w:hAnsi="Arial" w:cs="Arial"/>
          <w:sz w:val="20"/>
          <w:szCs w:val="20"/>
          <w:lang w:val="en-US"/>
        </w:rPr>
        <w:t>9</w:t>
      </w:r>
      <w:r w:rsidR="00651621" w:rsidRPr="003372FD">
        <w:rPr>
          <w:rFonts w:ascii="Arial" w:hAnsi="Arial" w:cs="Arial"/>
          <w:sz w:val="20"/>
          <w:szCs w:val="20"/>
          <w:lang w:val="en-US"/>
        </w:rPr>
        <w:t>].</w:t>
      </w:r>
      <w:r w:rsidRPr="003372FD">
        <w:rPr>
          <w:rFonts w:ascii="Arial" w:hAnsi="Arial" w:cs="Arial"/>
          <w:sz w:val="20"/>
          <w:szCs w:val="20"/>
          <w:lang w:val="en-US"/>
        </w:rPr>
        <w:t xml:space="preserve"> This is particularly important </w:t>
      </w:r>
      <w:r w:rsidR="002724AF" w:rsidRPr="003372FD">
        <w:rPr>
          <w:rFonts w:ascii="Arial" w:hAnsi="Arial" w:cs="Arial"/>
          <w:sz w:val="20"/>
          <w:szCs w:val="20"/>
          <w:lang w:val="en-US"/>
        </w:rPr>
        <w:t>in sub-Sahara Africa</w:t>
      </w:r>
      <w:r w:rsidR="00E033E0" w:rsidRPr="003372FD">
        <w:rPr>
          <w:rFonts w:ascii="Arial" w:hAnsi="Arial" w:cs="Arial"/>
          <w:sz w:val="20"/>
          <w:szCs w:val="20"/>
          <w:lang w:val="en-US"/>
        </w:rPr>
        <w:t>, including South Africa,</w:t>
      </w:r>
      <w:r w:rsidR="002724AF" w:rsidRPr="003372FD">
        <w:rPr>
          <w:rFonts w:ascii="Arial" w:hAnsi="Arial" w:cs="Arial"/>
          <w:sz w:val="20"/>
          <w:szCs w:val="20"/>
          <w:lang w:val="en-US"/>
        </w:rPr>
        <w:t xml:space="preserve"> </w:t>
      </w:r>
      <w:r w:rsidRPr="003372FD">
        <w:rPr>
          <w:rFonts w:ascii="Arial" w:hAnsi="Arial" w:cs="Arial"/>
          <w:sz w:val="20"/>
          <w:szCs w:val="20"/>
          <w:lang w:val="en-US"/>
        </w:rPr>
        <w:t xml:space="preserve">with </w:t>
      </w:r>
      <w:r w:rsidR="0038636A" w:rsidRPr="003372FD">
        <w:rPr>
          <w:rFonts w:ascii="Arial" w:hAnsi="Arial" w:cs="Arial"/>
          <w:sz w:val="20"/>
          <w:szCs w:val="20"/>
          <w:lang w:val="en-US"/>
        </w:rPr>
        <w:t xml:space="preserve">high rates of infectious diseases </w:t>
      </w:r>
      <w:r w:rsidR="00F77B9E" w:rsidRPr="003372FD">
        <w:rPr>
          <w:rFonts w:ascii="Arial" w:hAnsi="Arial" w:cs="Arial"/>
          <w:sz w:val="20"/>
          <w:szCs w:val="20"/>
          <w:lang w:val="en-US"/>
        </w:rPr>
        <w:t>including HIV</w:t>
      </w:r>
      <w:r w:rsidR="00120424" w:rsidRPr="003372FD">
        <w:rPr>
          <w:rFonts w:ascii="Arial" w:hAnsi="Arial" w:cs="Arial"/>
          <w:sz w:val="20"/>
          <w:szCs w:val="20"/>
          <w:lang w:val="en-US"/>
        </w:rPr>
        <w:t>, malaria</w:t>
      </w:r>
      <w:r w:rsidR="00F77B9E" w:rsidRPr="003372FD">
        <w:rPr>
          <w:rFonts w:ascii="Arial" w:hAnsi="Arial" w:cs="Arial"/>
          <w:sz w:val="20"/>
          <w:szCs w:val="20"/>
          <w:lang w:val="en-US"/>
        </w:rPr>
        <w:t xml:space="preserve"> and </w:t>
      </w:r>
      <w:r w:rsidR="00173FE3" w:rsidRPr="003372FD">
        <w:rPr>
          <w:rFonts w:ascii="Arial" w:hAnsi="Arial" w:cs="Arial"/>
          <w:sz w:val="20"/>
          <w:szCs w:val="20"/>
          <w:lang w:val="en-US"/>
        </w:rPr>
        <w:t>tuberculosis (</w:t>
      </w:r>
      <w:r w:rsidR="00F77B9E" w:rsidRPr="003372FD">
        <w:rPr>
          <w:rFonts w:ascii="Arial" w:hAnsi="Arial" w:cs="Arial"/>
          <w:sz w:val="20"/>
          <w:szCs w:val="20"/>
          <w:lang w:val="en-US"/>
        </w:rPr>
        <w:t>TB</w:t>
      </w:r>
      <w:r w:rsidR="00173FE3" w:rsidRPr="003372FD">
        <w:rPr>
          <w:rFonts w:ascii="Arial" w:hAnsi="Arial" w:cs="Arial"/>
          <w:sz w:val="20"/>
          <w:szCs w:val="20"/>
          <w:lang w:val="en-US"/>
        </w:rPr>
        <w:t>)</w:t>
      </w:r>
      <w:r w:rsidR="00F77B9E" w:rsidRPr="003372FD">
        <w:rPr>
          <w:rFonts w:ascii="Arial" w:hAnsi="Arial" w:cs="Arial"/>
          <w:sz w:val="20"/>
          <w:szCs w:val="20"/>
          <w:lang w:val="en-US"/>
        </w:rPr>
        <w:t xml:space="preserve"> </w:t>
      </w:r>
      <w:r w:rsidR="0038636A" w:rsidRPr="003372FD">
        <w:rPr>
          <w:rFonts w:ascii="Arial" w:hAnsi="Arial" w:cs="Arial"/>
          <w:sz w:val="20"/>
          <w:szCs w:val="20"/>
          <w:lang w:val="en-US"/>
        </w:rPr>
        <w:t>[26,30-3</w:t>
      </w:r>
      <w:r w:rsidR="00E033E0" w:rsidRPr="003372FD">
        <w:rPr>
          <w:rFonts w:ascii="Arial" w:hAnsi="Arial" w:cs="Arial"/>
          <w:sz w:val="20"/>
          <w:szCs w:val="20"/>
          <w:lang w:val="en-US"/>
        </w:rPr>
        <w:t>5</w:t>
      </w:r>
      <w:r w:rsidR="0038636A" w:rsidRPr="003372FD">
        <w:rPr>
          <w:rFonts w:ascii="Arial" w:hAnsi="Arial" w:cs="Arial"/>
          <w:sz w:val="20"/>
          <w:szCs w:val="20"/>
          <w:lang w:val="en-US"/>
        </w:rPr>
        <w:t>]. In addit</w:t>
      </w:r>
      <w:r w:rsidR="003B61C0" w:rsidRPr="003372FD">
        <w:rPr>
          <w:rFonts w:ascii="Arial" w:hAnsi="Arial" w:cs="Arial"/>
          <w:sz w:val="20"/>
          <w:szCs w:val="20"/>
          <w:lang w:val="en-US"/>
        </w:rPr>
        <w:t>i</w:t>
      </w:r>
      <w:r w:rsidR="0038636A" w:rsidRPr="003372FD">
        <w:rPr>
          <w:rFonts w:ascii="Arial" w:hAnsi="Arial" w:cs="Arial"/>
          <w:sz w:val="20"/>
          <w:szCs w:val="20"/>
          <w:lang w:val="en-US"/>
        </w:rPr>
        <w:t>on</w:t>
      </w:r>
      <w:r w:rsidR="003B61C0" w:rsidRPr="003372FD">
        <w:rPr>
          <w:rFonts w:ascii="Arial" w:hAnsi="Arial" w:cs="Arial"/>
          <w:sz w:val="20"/>
          <w:szCs w:val="20"/>
          <w:lang w:val="en-US"/>
        </w:rPr>
        <w:t>,</w:t>
      </w:r>
      <w:r w:rsidR="0038636A" w:rsidRPr="003372FD">
        <w:rPr>
          <w:rFonts w:ascii="Arial" w:hAnsi="Arial" w:cs="Arial"/>
          <w:sz w:val="20"/>
          <w:szCs w:val="20"/>
          <w:lang w:val="en-US"/>
        </w:rPr>
        <w:t xml:space="preserve"> in South Africa there are </w:t>
      </w:r>
      <w:r w:rsidRPr="003372FD">
        <w:rPr>
          <w:rFonts w:ascii="Arial" w:hAnsi="Arial" w:cs="Arial"/>
          <w:sz w:val="20"/>
          <w:szCs w:val="20"/>
          <w:lang w:val="en-US"/>
        </w:rPr>
        <w:t xml:space="preserve">growing resistance to </w:t>
      </w:r>
      <w:proofErr w:type="spellStart"/>
      <w:r w:rsidRPr="003372FD">
        <w:rPr>
          <w:rFonts w:ascii="Arial" w:hAnsi="Arial" w:cs="Arial"/>
          <w:sz w:val="20"/>
          <w:szCs w:val="20"/>
          <w:lang w:val="en-US"/>
        </w:rPr>
        <w:t>penicillins</w:t>
      </w:r>
      <w:proofErr w:type="spellEnd"/>
      <w:r w:rsidRPr="003372FD">
        <w:rPr>
          <w:rFonts w:ascii="Arial" w:hAnsi="Arial" w:cs="Arial"/>
          <w:sz w:val="20"/>
          <w:szCs w:val="20"/>
          <w:lang w:val="en-US"/>
        </w:rPr>
        <w:t xml:space="preserve"> as well as non-β-lactam antibiotics, including the macrolides, tetracycline, chloramphenicol, the fluoroquinolones and</w:t>
      </w:r>
      <w:r w:rsidR="00651621" w:rsidRPr="003372FD">
        <w:rPr>
          <w:rFonts w:ascii="Arial" w:hAnsi="Arial" w:cs="Arial"/>
          <w:sz w:val="20"/>
          <w:szCs w:val="20"/>
          <w:lang w:val="en-US"/>
        </w:rPr>
        <w:t xml:space="preserve"> co-trimoxazole [</w:t>
      </w:r>
      <w:r w:rsidR="0038636A" w:rsidRPr="003372FD">
        <w:rPr>
          <w:rFonts w:ascii="Arial" w:hAnsi="Arial" w:cs="Arial"/>
          <w:sz w:val="20"/>
          <w:szCs w:val="20"/>
          <w:lang w:val="en-US"/>
        </w:rPr>
        <w:t>3</w:t>
      </w:r>
      <w:r w:rsidR="00E033E0" w:rsidRPr="003372FD">
        <w:rPr>
          <w:rFonts w:ascii="Arial" w:hAnsi="Arial" w:cs="Arial"/>
          <w:sz w:val="20"/>
          <w:szCs w:val="20"/>
          <w:lang w:val="en-US"/>
        </w:rPr>
        <w:t>6</w:t>
      </w:r>
      <w:r w:rsidR="00651621" w:rsidRPr="003372FD">
        <w:rPr>
          <w:rFonts w:ascii="Arial" w:hAnsi="Arial" w:cs="Arial"/>
          <w:sz w:val="20"/>
          <w:szCs w:val="20"/>
          <w:lang w:val="en-US"/>
        </w:rPr>
        <w:t>].</w:t>
      </w:r>
      <w:r w:rsidRPr="003372FD">
        <w:rPr>
          <w:rFonts w:ascii="Arial" w:hAnsi="Arial" w:cs="Arial"/>
          <w:sz w:val="20"/>
          <w:szCs w:val="20"/>
          <w:lang w:val="en-US"/>
        </w:rPr>
        <w:t xml:space="preserve"> It has been estimated that over 50% of isolates in hospitals in S</w:t>
      </w:r>
      <w:r w:rsidR="00BF1392" w:rsidRPr="003372FD">
        <w:rPr>
          <w:rFonts w:ascii="Arial" w:hAnsi="Arial" w:cs="Arial"/>
          <w:sz w:val="20"/>
          <w:szCs w:val="20"/>
          <w:lang w:val="en-US"/>
        </w:rPr>
        <w:t xml:space="preserve">outh </w:t>
      </w:r>
      <w:r w:rsidRPr="003372FD">
        <w:rPr>
          <w:rFonts w:ascii="Arial" w:hAnsi="Arial" w:cs="Arial"/>
          <w:sz w:val="20"/>
          <w:szCs w:val="20"/>
          <w:lang w:val="en-US"/>
        </w:rPr>
        <w:t>A</w:t>
      </w:r>
      <w:r w:rsidR="00BF1392" w:rsidRPr="003372FD">
        <w:rPr>
          <w:rFonts w:ascii="Arial" w:hAnsi="Arial" w:cs="Arial"/>
          <w:sz w:val="20"/>
          <w:szCs w:val="20"/>
          <w:lang w:val="en-US"/>
        </w:rPr>
        <w:t>frica</w:t>
      </w:r>
      <w:r w:rsidRPr="003372FD">
        <w:rPr>
          <w:rFonts w:ascii="Arial" w:hAnsi="Arial" w:cs="Arial"/>
          <w:sz w:val="20"/>
          <w:szCs w:val="20"/>
          <w:lang w:val="en-US"/>
        </w:rPr>
        <w:t xml:space="preserve"> are methicillin resistant </w:t>
      </w:r>
      <w:r w:rsidRPr="003372FD">
        <w:rPr>
          <w:rFonts w:ascii="Arial" w:hAnsi="Arial" w:cs="Arial"/>
          <w:i/>
          <w:sz w:val="20"/>
          <w:szCs w:val="20"/>
          <w:lang w:val="en-US"/>
        </w:rPr>
        <w:t>Staphylococcus aureus</w:t>
      </w:r>
      <w:r w:rsidRPr="003372FD">
        <w:rPr>
          <w:rFonts w:ascii="Arial" w:hAnsi="Arial" w:cs="Arial"/>
          <w:sz w:val="20"/>
          <w:szCs w:val="20"/>
          <w:lang w:val="en-US"/>
        </w:rPr>
        <w:t xml:space="preserve"> (MRSA), with up to 75% of</w:t>
      </w:r>
      <w:r w:rsidRPr="003372FD">
        <w:rPr>
          <w:rFonts w:ascii="Arial" w:hAnsi="Arial" w:cs="Arial"/>
          <w:i/>
          <w:sz w:val="20"/>
          <w:szCs w:val="20"/>
          <w:lang w:val="en-GB"/>
        </w:rPr>
        <w:t xml:space="preserve"> Klebsiella pneumoniae</w:t>
      </w:r>
      <w:r w:rsidRPr="003372FD">
        <w:rPr>
          <w:rFonts w:ascii="Arial" w:hAnsi="Arial" w:cs="Arial"/>
          <w:sz w:val="20"/>
          <w:szCs w:val="20"/>
          <w:lang w:val="en-US"/>
        </w:rPr>
        <w:t xml:space="preserve"> isolates </w:t>
      </w:r>
      <w:r w:rsidR="000E028A" w:rsidRPr="003372FD">
        <w:rPr>
          <w:rFonts w:ascii="Arial" w:hAnsi="Arial" w:cs="Arial"/>
          <w:sz w:val="20"/>
          <w:szCs w:val="20"/>
          <w:lang w:val="en-US"/>
        </w:rPr>
        <w:t>hav</w:t>
      </w:r>
      <w:r w:rsidR="00173FE3" w:rsidRPr="003372FD">
        <w:rPr>
          <w:rFonts w:ascii="Arial" w:hAnsi="Arial" w:cs="Arial"/>
          <w:sz w:val="20"/>
          <w:szCs w:val="20"/>
          <w:lang w:val="en-US"/>
        </w:rPr>
        <w:t>ing</w:t>
      </w:r>
      <w:r w:rsidR="000E028A" w:rsidRPr="003372FD">
        <w:rPr>
          <w:rFonts w:ascii="Arial" w:hAnsi="Arial" w:cs="Arial"/>
          <w:sz w:val="20"/>
          <w:szCs w:val="20"/>
          <w:lang w:val="en-US"/>
        </w:rPr>
        <w:t xml:space="preserve"> </w:t>
      </w:r>
      <w:r w:rsidRPr="003372FD">
        <w:rPr>
          <w:rFonts w:ascii="Arial" w:hAnsi="Arial" w:cs="Arial"/>
          <w:sz w:val="20"/>
          <w:szCs w:val="20"/>
          <w:lang w:val="en-US"/>
        </w:rPr>
        <w:t xml:space="preserve">extended spectrum beta-lactamase (ESBL) </w:t>
      </w:r>
      <w:r w:rsidR="000E028A" w:rsidRPr="003372FD">
        <w:rPr>
          <w:rFonts w:ascii="Arial" w:hAnsi="Arial" w:cs="Arial"/>
          <w:sz w:val="20"/>
          <w:szCs w:val="20"/>
          <w:lang w:val="en-US"/>
        </w:rPr>
        <w:t>activity</w:t>
      </w:r>
      <w:r w:rsidR="003B61C0" w:rsidRPr="003372FD">
        <w:rPr>
          <w:rFonts w:ascii="Arial" w:hAnsi="Arial" w:cs="Arial"/>
          <w:sz w:val="20"/>
          <w:szCs w:val="20"/>
          <w:lang w:val="en-US"/>
        </w:rPr>
        <w:t xml:space="preserve">, </w:t>
      </w:r>
      <w:r w:rsidR="00173FE3" w:rsidRPr="003372FD">
        <w:rPr>
          <w:rFonts w:ascii="Arial" w:hAnsi="Arial" w:cs="Arial"/>
          <w:sz w:val="20"/>
          <w:szCs w:val="20"/>
          <w:lang w:val="en-US"/>
        </w:rPr>
        <w:t xml:space="preserve">and </w:t>
      </w:r>
      <w:r w:rsidR="003B61C0" w:rsidRPr="003372FD">
        <w:rPr>
          <w:rFonts w:ascii="Arial" w:hAnsi="Arial" w:cs="Arial"/>
          <w:sz w:val="20"/>
          <w:szCs w:val="20"/>
          <w:lang w:val="en-US"/>
        </w:rPr>
        <w:t xml:space="preserve">with </w:t>
      </w:r>
      <w:r w:rsidR="003B61C0" w:rsidRPr="003372FD">
        <w:rPr>
          <w:rFonts w:ascii="Arial" w:eastAsia="Calibri" w:hAnsi="Arial" w:cs="Arial"/>
          <w:i/>
          <w:sz w:val="20"/>
          <w:szCs w:val="20"/>
          <w:lang w:eastAsia="en-GB"/>
        </w:rPr>
        <w:t>K. pneumoniae</w:t>
      </w:r>
      <w:r w:rsidR="003B61C0" w:rsidRPr="003372FD">
        <w:rPr>
          <w:rFonts w:ascii="Arial" w:eastAsia="Calibri" w:hAnsi="Arial" w:cs="Arial"/>
          <w:sz w:val="20"/>
          <w:szCs w:val="20"/>
          <w:lang w:eastAsia="en-GB"/>
        </w:rPr>
        <w:t xml:space="preserve"> showing a higher rate of resistance than </w:t>
      </w:r>
      <w:r w:rsidR="003B61C0" w:rsidRPr="003372FD">
        <w:rPr>
          <w:rFonts w:ascii="Arial" w:eastAsia="Calibri" w:hAnsi="Arial" w:cs="Arial"/>
          <w:i/>
          <w:sz w:val="20"/>
          <w:szCs w:val="20"/>
          <w:lang w:eastAsia="en-GB"/>
        </w:rPr>
        <w:t>E. coli</w:t>
      </w:r>
      <w:r w:rsidR="003B61C0" w:rsidRPr="003372FD">
        <w:rPr>
          <w:rFonts w:ascii="Arial" w:eastAsia="Calibri" w:hAnsi="Arial" w:cs="Arial"/>
          <w:sz w:val="20"/>
          <w:szCs w:val="20"/>
          <w:lang w:eastAsia="en-GB"/>
        </w:rPr>
        <w:t xml:space="preserve"> bacteraemia</w:t>
      </w:r>
      <w:r w:rsidR="003B61C0" w:rsidRPr="003372FD">
        <w:rPr>
          <w:rFonts w:ascii="Arial" w:hAnsi="Arial" w:cs="Arial"/>
          <w:sz w:val="20"/>
          <w:szCs w:val="20"/>
        </w:rPr>
        <w:t xml:space="preserve">. There have also been </w:t>
      </w:r>
      <w:r w:rsidRPr="003372FD">
        <w:rPr>
          <w:rFonts w:ascii="Arial" w:hAnsi="Arial" w:cs="Arial"/>
          <w:sz w:val="20"/>
          <w:szCs w:val="20"/>
          <w:lang w:val="en-US"/>
        </w:rPr>
        <w:t xml:space="preserve">outbreaks of vancomycin-resistant Enterococci (VRE), as well as </w:t>
      </w:r>
      <w:r w:rsidRPr="003372FD">
        <w:rPr>
          <w:rFonts w:ascii="Arial" w:hAnsi="Arial" w:cs="Arial"/>
          <w:i/>
          <w:iCs/>
          <w:sz w:val="20"/>
          <w:szCs w:val="20"/>
          <w:lang w:val="en-US"/>
        </w:rPr>
        <w:t>K. pneumoniae</w:t>
      </w:r>
      <w:r w:rsidRPr="003372FD">
        <w:rPr>
          <w:rFonts w:ascii="Arial" w:hAnsi="Arial" w:cs="Arial"/>
          <w:sz w:val="20"/>
          <w:szCs w:val="20"/>
          <w:lang w:val="en-US"/>
        </w:rPr>
        <w:t xml:space="preserve"> resistance against carbapenems</w:t>
      </w:r>
      <w:r w:rsidR="00651621" w:rsidRPr="003372FD">
        <w:rPr>
          <w:rFonts w:ascii="Arial" w:hAnsi="Arial" w:cs="Arial"/>
          <w:sz w:val="20"/>
          <w:szCs w:val="20"/>
          <w:lang w:val="en-US"/>
        </w:rPr>
        <w:t xml:space="preserve"> [</w:t>
      </w:r>
      <w:r w:rsidRPr="003372FD">
        <w:rPr>
          <w:rFonts w:ascii="Arial" w:hAnsi="Arial" w:cs="Arial"/>
          <w:sz w:val="20"/>
          <w:szCs w:val="20"/>
          <w:lang w:val="en-US"/>
        </w:rPr>
        <w:t>3,17</w:t>
      </w:r>
      <w:r w:rsidR="003B61C0" w:rsidRPr="003372FD">
        <w:rPr>
          <w:rFonts w:ascii="Arial" w:hAnsi="Arial" w:cs="Arial"/>
          <w:sz w:val="20"/>
          <w:szCs w:val="20"/>
          <w:lang w:val="en-US"/>
        </w:rPr>
        <w:t>,3</w:t>
      </w:r>
      <w:r w:rsidR="00E033E0" w:rsidRPr="003372FD">
        <w:rPr>
          <w:rFonts w:ascii="Arial" w:hAnsi="Arial" w:cs="Arial"/>
          <w:sz w:val="20"/>
          <w:szCs w:val="20"/>
          <w:lang w:val="en-US"/>
        </w:rPr>
        <w:t>7</w:t>
      </w:r>
      <w:r w:rsidR="003B61C0" w:rsidRPr="003372FD">
        <w:rPr>
          <w:rFonts w:ascii="Arial" w:hAnsi="Arial" w:cs="Arial"/>
          <w:sz w:val="20"/>
          <w:szCs w:val="20"/>
          <w:lang w:val="en-US"/>
        </w:rPr>
        <w:t>,3</w:t>
      </w:r>
      <w:r w:rsidR="00E033E0" w:rsidRPr="003372FD">
        <w:rPr>
          <w:rFonts w:ascii="Arial" w:hAnsi="Arial" w:cs="Arial"/>
          <w:sz w:val="20"/>
          <w:szCs w:val="20"/>
          <w:lang w:val="en-US"/>
        </w:rPr>
        <w:t>8</w:t>
      </w:r>
      <w:r w:rsidR="00651621" w:rsidRPr="003372FD">
        <w:rPr>
          <w:rFonts w:ascii="Arial" w:hAnsi="Arial" w:cs="Arial"/>
          <w:sz w:val="20"/>
          <w:szCs w:val="20"/>
          <w:lang w:val="en-US"/>
        </w:rPr>
        <w:t>]</w:t>
      </w:r>
      <w:r w:rsidR="00BF1392" w:rsidRPr="003372FD">
        <w:rPr>
          <w:rFonts w:ascii="Arial" w:hAnsi="Arial" w:cs="Arial"/>
          <w:sz w:val="20"/>
          <w:szCs w:val="20"/>
          <w:lang w:val="en-US"/>
        </w:rPr>
        <w:t>. Th</w:t>
      </w:r>
      <w:r w:rsidR="003B61C0" w:rsidRPr="003372FD">
        <w:rPr>
          <w:rFonts w:ascii="Arial" w:hAnsi="Arial" w:cs="Arial"/>
          <w:sz w:val="20"/>
          <w:szCs w:val="20"/>
          <w:lang w:val="en-US"/>
        </w:rPr>
        <w:t>ese concerns</w:t>
      </w:r>
      <w:r w:rsidR="00BF1392" w:rsidRPr="003372FD">
        <w:rPr>
          <w:rFonts w:ascii="Arial" w:hAnsi="Arial" w:cs="Arial"/>
          <w:sz w:val="20"/>
          <w:szCs w:val="20"/>
          <w:lang w:val="en-US"/>
        </w:rPr>
        <w:t xml:space="preserve"> ha</w:t>
      </w:r>
      <w:r w:rsidR="003B61C0" w:rsidRPr="003372FD">
        <w:rPr>
          <w:rFonts w:ascii="Arial" w:hAnsi="Arial" w:cs="Arial"/>
          <w:sz w:val="20"/>
          <w:szCs w:val="20"/>
          <w:lang w:val="en-US"/>
        </w:rPr>
        <w:t>ve</w:t>
      </w:r>
      <w:r w:rsidR="00BF1392" w:rsidRPr="003372FD">
        <w:rPr>
          <w:rFonts w:ascii="Arial" w:hAnsi="Arial" w:cs="Arial"/>
          <w:sz w:val="20"/>
          <w:szCs w:val="20"/>
          <w:lang w:val="en-US"/>
        </w:rPr>
        <w:t xml:space="preserve"> </w:t>
      </w:r>
      <w:r w:rsidRPr="003372FD">
        <w:rPr>
          <w:rFonts w:ascii="Arial" w:hAnsi="Arial" w:cs="Arial"/>
          <w:sz w:val="20"/>
          <w:szCs w:val="20"/>
          <w:lang w:val="en-US"/>
        </w:rPr>
        <w:t>result</w:t>
      </w:r>
      <w:r w:rsidR="00BF1392" w:rsidRPr="003372FD">
        <w:rPr>
          <w:rFonts w:ascii="Arial" w:hAnsi="Arial" w:cs="Arial"/>
          <w:sz w:val="20"/>
          <w:szCs w:val="20"/>
          <w:lang w:val="en-US"/>
        </w:rPr>
        <w:t>ed</w:t>
      </w:r>
      <w:r w:rsidRPr="003372FD">
        <w:rPr>
          <w:rFonts w:ascii="Arial" w:hAnsi="Arial" w:cs="Arial"/>
          <w:sz w:val="20"/>
          <w:szCs w:val="20"/>
          <w:lang w:val="en-US"/>
        </w:rPr>
        <w:t xml:space="preserve"> in the development of plans </w:t>
      </w:r>
      <w:r w:rsidR="003B61C0" w:rsidRPr="003372FD">
        <w:rPr>
          <w:rFonts w:ascii="Arial" w:hAnsi="Arial" w:cs="Arial"/>
          <w:sz w:val="20"/>
          <w:szCs w:val="20"/>
          <w:lang w:val="en-US"/>
        </w:rPr>
        <w:t xml:space="preserve">in South Africa </w:t>
      </w:r>
      <w:r w:rsidRPr="003372FD">
        <w:rPr>
          <w:rFonts w:ascii="Arial" w:hAnsi="Arial" w:cs="Arial"/>
          <w:sz w:val="20"/>
          <w:szCs w:val="20"/>
          <w:lang w:val="en-US"/>
        </w:rPr>
        <w:t xml:space="preserve">to improve antibiotic </w:t>
      </w:r>
      <w:proofErr w:type="spellStart"/>
      <w:r w:rsidRPr="003372FD">
        <w:rPr>
          <w:rFonts w:ascii="Arial" w:hAnsi="Arial" w:cs="Arial"/>
          <w:sz w:val="20"/>
          <w:szCs w:val="20"/>
          <w:lang w:val="en-US"/>
        </w:rPr>
        <w:t>utilisation</w:t>
      </w:r>
      <w:proofErr w:type="spellEnd"/>
      <w:r w:rsidRPr="003372FD">
        <w:rPr>
          <w:rFonts w:ascii="Arial" w:hAnsi="Arial" w:cs="Arial"/>
          <w:sz w:val="20"/>
          <w:szCs w:val="20"/>
          <w:lang w:val="en-US"/>
        </w:rPr>
        <w:t xml:space="preserve"> and reduce resistance rates across all sectors </w:t>
      </w:r>
      <w:r w:rsidR="00651621" w:rsidRPr="003372FD">
        <w:rPr>
          <w:rFonts w:ascii="Arial" w:hAnsi="Arial" w:cs="Arial"/>
          <w:sz w:val="20"/>
          <w:szCs w:val="20"/>
          <w:lang w:val="en-US"/>
        </w:rPr>
        <w:t>in the coming years</w:t>
      </w:r>
      <w:r w:rsidR="0049649D" w:rsidRPr="003372FD">
        <w:rPr>
          <w:rFonts w:ascii="Arial" w:hAnsi="Arial" w:cs="Arial"/>
          <w:sz w:val="20"/>
          <w:szCs w:val="20"/>
          <w:lang w:val="en-US"/>
        </w:rPr>
        <w:t>. This</w:t>
      </w:r>
      <w:r w:rsidR="00651621" w:rsidRPr="003372FD">
        <w:rPr>
          <w:rFonts w:ascii="Arial" w:hAnsi="Arial" w:cs="Arial"/>
          <w:sz w:val="20"/>
          <w:szCs w:val="20"/>
          <w:lang w:val="en-US"/>
        </w:rPr>
        <w:t xml:space="preserve"> </w:t>
      </w:r>
      <w:r w:rsidR="003B61C0" w:rsidRPr="003372FD">
        <w:rPr>
          <w:rFonts w:ascii="Arial" w:hAnsi="Arial" w:cs="Arial"/>
          <w:sz w:val="20"/>
          <w:szCs w:val="20"/>
          <w:lang w:val="en-US"/>
        </w:rPr>
        <w:t>includ</w:t>
      </w:r>
      <w:r w:rsidR="0049649D" w:rsidRPr="003372FD">
        <w:rPr>
          <w:rFonts w:ascii="Arial" w:hAnsi="Arial" w:cs="Arial"/>
          <w:sz w:val="20"/>
          <w:szCs w:val="20"/>
          <w:lang w:val="en-US"/>
        </w:rPr>
        <w:t>es</w:t>
      </w:r>
      <w:r w:rsidR="003B61C0" w:rsidRPr="003372FD">
        <w:rPr>
          <w:rFonts w:ascii="Arial" w:hAnsi="Arial" w:cs="Arial"/>
          <w:sz w:val="20"/>
          <w:szCs w:val="20"/>
          <w:lang w:val="en-US"/>
        </w:rPr>
        <w:t xml:space="preserve"> regular updates on treatment guidance </w:t>
      </w:r>
      <w:r w:rsidR="0049649D" w:rsidRPr="003372FD">
        <w:rPr>
          <w:rFonts w:ascii="Arial" w:hAnsi="Arial" w:cs="Arial"/>
          <w:sz w:val="20"/>
          <w:szCs w:val="20"/>
          <w:lang w:val="en-US"/>
        </w:rPr>
        <w:t xml:space="preserve">via mobile technologies </w:t>
      </w:r>
      <w:r w:rsidR="003B61C0" w:rsidRPr="003372FD">
        <w:rPr>
          <w:rFonts w:ascii="Arial" w:hAnsi="Arial" w:cs="Arial"/>
          <w:sz w:val="20"/>
          <w:szCs w:val="20"/>
          <w:lang w:val="en-US"/>
        </w:rPr>
        <w:t xml:space="preserve">as there have been concerns with inappropriate antimicrobial use </w:t>
      </w:r>
      <w:r w:rsidR="0049649D" w:rsidRPr="003372FD">
        <w:rPr>
          <w:rFonts w:ascii="Arial" w:hAnsi="Arial" w:cs="Arial"/>
          <w:sz w:val="20"/>
          <w:szCs w:val="20"/>
          <w:lang w:val="en-US"/>
        </w:rPr>
        <w:t>against current guidelines</w:t>
      </w:r>
      <w:r w:rsidR="00A01FE5" w:rsidRPr="003372FD">
        <w:rPr>
          <w:rFonts w:ascii="Arial" w:hAnsi="Arial" w:cs="Arial"/>
          <w:sz w:val="20"/>
          <w:szCs w:val="20"/>
          <w:lang w:val="en-US"/>
        </w:rPr>
        <w:t>,</w:t>
      </w:r>
      <w:r w:rsidR="0049649D" w:rsidRPr="003372FD">
        <w:rPr>
          <w:rFonts w:ascii="Arial" w:hAnsi="Arial" w:cs="Arial"/>
          <w:sz w:val="20"/>
          <w:szCs w:val="20"/>
          <w:lang w:val="en-US"/>
        </w:rPr>
        <w:t xml:space="preserve"> </w:t>
      </w:r>
      <w:r w:rsidR="003B61C0" w:rsidRPr="003372FD">
        <w:rPr>
          <w:rFonts w:ascii="Arial" w:hAnsi="Arial" w:cs="Arial"/>
          <w:sz w:val="20"/>
          <w:szCs w:val="20"/>
          <w:lang w:val="en-US"/>
        </w:rPr>
        <w:t>a</w:t>
      </w:r>
      <w:r w:rsidR="0049649D" w:rsidRPr="003372FD">
        <w:rPr>
          <w:rFonts w:ascii="Arial" w:hAnsi="Arial" w:cs="Arial"/>
          <w:sz w:val="20"/>
          <w:szCs w:val="20"/>
          <w:lang w:val="en-US"/>
        </w:rPr>
        <w:t xml:space="preserve">nd the </w:t>
      </w:r>
      <w:r w:rsidR="00A01FE5" w:rsidRPr="003372FD">
        <w:rPr>
          <w:rFonts w:ascii="Arial" w:hAnsi="Arial" w:cs="Arial"/>
          <w:sz w:val="20"/>
          <w:szCs w:val="20"/>
          <w:lang w:val="en-US"/>
        </w:rPr>
        <w:t xml:space="preserve">recognized </w:t>
      </w:r>
      <w:r w:rsidR="0049649D" w:rsidRPr="003372FD">
        <w:rPr>
          <w:rFonts w:ascii="Arial" w:hAnsi="Arial" w:cs="Arial"/>
          <w:sz w:val="20"/>
          <w:szCs w:val="20"/>
          <w:lang w:val="en-US"/>
        </w:rPr>
        <w:t xml:space="preserve">need for </w:t>
      </w:r>
      <w:r w:rsidR="003B61C0" w:rsidRPr="003372FD">
        <w:rPr>
          <w:rFonts w:ascii="Arial" w:hAnsi="Arial" w:cs="Arial"/>
          <w:sz w:val="20"/>
          <w:szCs w:val="20"/>
          <w:lang w:val="en-US"/>
        </w:rPr>
        <w:t xml:space="preserve">improved surveillance tools </w:t>
      </w:r>
      <w:r w:rsidR="00651621" w:rsidRPr="003372FD">
        <w:rPr>
          <w:rFonts w:ascii="Arial" w:hAnsi="Arial" w:cs="Arial"/>
          <w:sz w:val="20"/>
          <w:szCs w:val="20"/>
          <w:lang w:val="en-US"/>
        </w:rPr>
        <w:t>[</w:t>
      </w:r>
      <w:r w:rsidR="003B61C0" w:rsidRPr="003372FD">
        <w:rPr>
          <w:rFonts w:ascii="Arial" w:hAnsi="Arial" w:cs="Arial"/>
          <w:sz w:val="20"/>
          <w:szCs w:val="20"/>
          <w:lang w:val="en-US"/>
        </w:rPr>
        <w:t>3,</w:t>
      </w:r>
      <w:r w:rsidRPr="003372FD">
        <w:rPr>
          <w:rFonts w:ascii="Arial" w:hAnsi="Arial" w:cs="Arial"/>
          <w:sz w:val="20"/>
          <w:szCs w:val="20"/>
          <w:lang w:val="en-US"/>
        </w:rPr>
        <w:t>4,</w:t>
      </w:r>
      <w:r w:rsidR="003B61C0" w:rsidRPr="003372FD">
        <w:rPr>
          <w:rFonts w:ascii="Arial" w:hAnsi="Arial" w:cs="Arial"/>
          <w:sz w:val="20"/>
          <w:szCs w:val="20"/>
          <w:lang w:val="en-US"/>
        </w:rPr>
        <w:t>3</w:t>
      </w:r>
      <w:r w:rsidR="00E033E0" w:rsidRPr="003372FD">
        <w:rPr>
          <w:rFonts w:ascii="Arial" w:hAnsi="Arial" w:cs="Arial"/>
          <w:sz w:val="20"/>
          <w:szCs w:val="20"/>
          <w:lang w:val="en-US"/>
        </w:rPr>
        <w:t>4,39</w:t>
      </w:r>
      <w:r w:rsidR="00AC0480" w:rsidRPr="003372FD">
        <w:rPr>
          <w:rFonts w:ascii="Arial" w:hAnsi="Arial" w:cs="Arial"/>
          <w:sz w:val="20"/>
          <w:szCs w:val="20"/>
          <w:lang w:val="en-US"/>
        </w:rPr>
        <w:t>-</w:t>
      </w:r>
      <w:r w:rsidR="008719F0" w:rsidRPr="003372FD">
        <w:rPr>
          <w:rFonts w:ascii="Arial" w:hAnsi="Arial" w:cs="Arial"/>
          <w:sz w:val="20"/>
          <w:szCs w:val="20"/>
          <w:lang w:val="en-US"/>
        </w:rPr>
        <w:t>4</w:t>
      </w:r>
      <w:r w:rsidR="00E033E0" w:rsidRPr="003372FD">
        <w:rPr>
          <w:rFonts w:ascii="Arial" w:hAnsi="Arial" w:cs="Arial"/>
          <w:sz w:val="20"/>
          <w:szCs w:val="20"/>
          <w:lang w:val="en-US"/>
        </w:rPr>
        <w:t>3</w:t>
      </w:r>
      <w:r w:rsidR="00651621" w:rsidRPr="003372FD">
        <w:rPr>
          <w:rFonts w:ascii="Arial" w:hAnsi="Arial" w:cs="Arial"/>
          <w:sz w:val="20"/>
          <w:szCs w:val="20"/>
          <w:lang w:val="en-US"/>
        </w:rPr>
        <w:t>].</w:t>
      </w:r>
    </w:p>
    <w:p w14:paraId="7F5C6AD6" w14:textId="77777777" w:rsidR="00FA271B" w:rsidRPr="003372FD" w:rsidRDefault="00FA271B" w:rsidP="003372FD">
      <w:pPr>
        <w:pStyle w:val="NoSpacing1"/>
        <w:rPr>
          <w:rFonts w:ascii="Arial" w:hAnsi="Arial" w:cs="Arial"/>
          <w:sz w:val="20"/>
          <w:szCs w:val="20"/>
          <w:lang w:val="en-US"/>
        </w:rPr>
      </w:pPr>
    </w:p>
    <w:p w14:paraId="177B8C61" w14:textId="758ADCB7" w:rsidR="00BF1392"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In addition, a PPS conducted between April and August 2015 in a large tertiary hospital in Cape Town, South Africa, indicated that 31% (359/1156) of patients were receiving antibiotics and the majority (83%) of antibiot</w:t>
      </w:r>
      <w:r w:rsidR="00651621" w:rsidRPr="003372FD">
        <w:rPr>
          <w:rFonts w:ascii="Arial" w:hAnsi="Arial" w:cs="Arial"/>
          <w:sz w:val="20"/>
          <w:szCs w:val="20"/>
          <w:lang w:val="en-US"/>
        </w:rPr>
        <w:t>ic prescriptions were empirical [</w:t>
      </w:r>
      <w:r w:rsidR="0049649D" w:rsidRPr="003372FD">
        <w:rPr>
          <w:rFonts w:ascii="Arial" w:hAnsi="Arial" w:cs="Arial"/>
          <w:sz w:val="20"/>
          <w:szCs w:val="20"/>
          <w:lang w:val="en-US"/>
        </w:rPr>
        <w:t>4</w:t>
      </w:r>
      <w:r w:rsidR="00E033E0" w:rsidRPr="003372FD">
        <w:rPr>
          <w:rFonts w:ascii="Arial" w:hAnsi="Arial" w:cs="Arial"/>
          <w:sz w:val="20"/>
          <w:szCs w:val="20"/>
          <w:lang w:val="en-US"/>
        </w:rPr>
        <w:t>4</w:t>
      </w:r>
      <w:r w:rsidR="00651621" w:rsidRPr="003372FD">
        <w:rPr>
          <w:rFonts w:ascii="Arial" w:hAnsi="Arial" w:cs="Arial"/>
          <w:sz w:val="20"/>
          <w:szCs w:val="20"/>
          <w:lang w:val="en-US"/>
        </w:rPr>
        <w:t>].</w:t>
      </w:r>
      <w:r w:rsidRPr="003372FD">
        <w:rPr>
          <w:rFonts w:ascii="Arial" w:hAnsi="Arial" w:cs="Arial"/>
          <w:sz w:val="20"/>
          <w:szCs w:val="20"/>
          <w:lang w:val="en-US"/>
        </w:rPr>
        <w:t xml:space="preserve"> The implication of these results is that antibiotics were administered in public hospitals without the availability of cultures. In addition, only a few doctors (11%) documented the stop/review date on the prescription. </w:t>
      </w:r>
    </w:p>
    <w:p w14:paraId="79C529CB" w14:textId="433E60F5" w:rsidR="00FA271B"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 xml:space="preserve">Data on antibiotic </w:t>
      </w:r>
      <w:proofErr w:type="spellStart"/>
      <w:r w:rsidRPr="003372FD">
        <w:rPr>
          <w:rFonts w:ascii="Arial" w:hAnsi="Arial" w:cs="Arial"/>
          <w:sz w:val="20"/>
          <w:szCs w:val="20"/>
          <w:lang w:val="en-US"/>
        </w:rPr>
        <w:t>utilisation</w:t>
      </w:r>
      <w:proofErr w:type="spellEnd"/>
      <w:r w:rsidRPr="003372FD">
        <w:rPr>
          <w:rFonts w:ascii="Arial" w:hAnsi="Arial" w:cs="Arial"/>
          <w:sz w:val="20"/>
          <w:szCs w:val="20"/>
          <w:lang w:val="en-US"/>
        </w:rPr>
        <w:t xml:space="preserve"> were </w:t>
      </w:r>
      <w:r w:rsidR="00241976" w:rsidRPr="003372FD">
        <w:rPr>
          <w:rFonts w:ascii="Arial" w:hAnsi="Arial" w:cs="Arial"/>
          <w:sz w:val="20"/>
          <w:szCs w:val="20"/>
          <w:lang w:val="en-US"/>
        </w:rPr>
        <w:t xml:space="preserve">also </w:t>
      </w:r>
      <w:r w:rsidRPr="003372FD">
        <w:rPr>
          <w:rFonts w:ascii="Arial" w:hAnsi="Arial" w:cs="Arial"/>
          <w:sz w:val="20"/>
          <w:szCs w:val="20"/>
          <w:lang w:val="en-US"/>
        </w:rPr>
        <w:t xml:space="preserve">collected in a number of hospitals in the Gauteng Province during World Antibiotic Awareness Week in 2015. However, these data were not sufficiently robust to make reliable and valid interpretations and recommendations, highlighting the need for assessing antimicrobial </w:t>
      </w:r>
      <w:proofErr w:type="spellStart"/>
      <w:r w:rsidRPr="003372FD">
        <w:rPr>
          <w:rFonts w:ascii="Arial" w:hAnsi="Arial" w:cs="Arial"/>
          <w:sz w:val="20"/>
          <w:szCs w:val="20"/>
          <w:lang w:val="en-US"/>
        </w:rPr>
        <w:t>utilisation</w:t>
      </w:r>
      <w:proofErr w:type="spellEnd"/>
      <w:r w:rsidRPr="003372FD">
        <w:rPr>
          <w:rFonts w:ascii="Arial" w:hAnsi="Arial" w:cs="Arial"/>
          <w:sz w:val="20"/>
          <w:szCs w:val="20"/>
          <w:lang w:val="en-US"/>
        </w:rPr>
        <w:t xml:space="preserve"> using valid and reliable surveillance tools </w:t>
      </w:r>
      <w:r w:rsidR="00572435" w:rsidRPr="003372FD">
        <w:rPr>
          <w:rFonts w:ascii="Arial" w:hAnsi="Arial" w:cs="Arial"/>
          <w:sz w:val="20"/>
          <w:szCs w:val="20"/>
          <w:lang w:val="en-US"/>
        </w:rPr>
        <w:t xml:space="preserve">such as a PPS study design </w:t>
      </w:r>
      <w:r w:rsidRPr="003372FD">
        <w:rPr>
          <w:rFonts w:ascii="Arial" w:hAnsi="Arial" w:cs="Arial"/>
          <w:sz w:val="20"/>
          <w:szCs w:val="20"/>
          <w:lang w:val="en-US"/>
        </w:rPr>
        <w:t xml:space="preserve">to provide a </w:t>
      </w:r>
      <w:r w:rsidR="00572435" w:rsidRPr="003372FD">
        <w:rPr>
          <w:rFonts w:ascii="Arial" w:hAnsi="Arial" w:cs="Arial"/>
          <w:sz w:val="20"/>
          <w:szCs w:val="20"/>
          <w:lang w:val="en-US"/>
        </w:rPr>
        <w:t xml:space="preserve">reliable </w:t>
      </w:r>
      <w:r w:rsidRPr="003372FD">
        <w:rPr>
          <w:rFonts w:ascii="Arial" w:hAnsi="Arial" w:cs="Arial"/>
          <w:sz w:val="20"/>
          <w:szCs w:val="20"/>
          <w:lang w:val="en-US"/>
        </w:rPr>
        <w:t>baseline for future surveys</w:t>
      </w:r>
      <w:r w:rsidR="00572435" w:rsidRPr="003372FD">
        <w:rPr>
          <w:rFonts w:ascii="Arial" w:hAnsi="Arial" w:cs="Arial"/>
          <w:sz w:val="20"/>
          <w:szCs w:val="20"/>
          <w:lang w:val="en-US"/>
        </w:rPr>
        <w:t xml:space="preserve"> and interventions</w:t>
      </w:r>
      <w:r w:rsidRPr="003372FD">
        <w:rPr>
          <w:rFonts w:ascii="Arial" w:hAnsi="Arial" w:cs="Arial"/>
          <w:sz w:val="20"/>
          <w:szCs w:val="20"/>
          <w:lang w:val="en-US"/>
        </w:rPr>
        <w:t xml:space="preserve">, ultimately aiming at </w:t>
      </w:r>
      <w:r w:rsidR="00572435" w:rsidRPr="003372FD">
        <w:rPr>
          <w:rFonts w:ascii="Arial" w:hAnsi="Arial" w:cs="Arial"/>
          <w:sz w:val="20"/>
          <w:szCs w:val="20"/>
          <w:lang w:val="en-US"/>
        </w:rPr>
        <w:t>increasing</w:t>
      </w:r>
      <w:r w:rsidRPr="003372FD">
        <w:rPr>
          <w:rFonts w:ascii="Arial" w:hAnsi="Arial" w:cs="Arial"/>
          <w:sz w:val="20"/>
          <w:szCs w:val="20"/>
          <w:lang w:val="en-US"/>
        </w:rPr>
        <w:t xml:space="preserve"> rational antimicrobial use.  </w:t>
      </w:r>
      <w:r w:rsidR="00572435" w:rsidRPr="003372FD">
        <w:rPr>
          <w:rFonts w:ascii="Arial" w:hAnsi="Arial" w:cs="Arial"/>
          <w:sz w:val="20"/>
          <w:szCs w:val="20"/>
          <w:lang w:val="en-US"/>
        </w:rPr>
        <w:t xml:space="preserve">This is particularly important as a </w:t>
      </w:r>
      <w:r w:rsidRPr="003372FD">
        <w:rPr>
          <w:rFonts w:ascii="Arial" w:hAnsi="Arial" w:cs="Arial"/>
          <w:sz w:val="20"/>
          <w:szCs w:val="20"/>
          <w:lang w:val="en-US"/>
        </w:rPr>
        <w:t>recent</w:t>
      </w:r>
      <w:r w:rsidR="00572435" w:rsidRPr="003372FD">
        <w:rPr>
          <w:rFonts w:ascii="Arial" w:hAnsi="Arial" w:cs="Arial"/>
          <w:sz w:val="20"/>
          <w:szCs w:val="20"/>
          <w:lang w:val="en-GB"/>
        </w:rPr>
        <w:t xml:space="preserve"> study </w:t>
      </w:r>
      <w:r w:rsidRPr="003372FD">
        <w:rPr>
          <w:rFonts w:ascii="Arial" w:hAnsi="Arial" w:cs="Arial"/>
          <w:sz w:val="20"/>
          <w:szCs w:val="20"/>
          <w:lang w:val="en-GB"/>
        </w:rPr>
        <w:t>in SA using antimicrobial procurement as data source (one of the approaches in obtaining antimicrobial utilization data), showed a substantial increase in the</w:t>
      </w:r>
      <w:r w:rsidR="00572435" w:rsidRPr="003372FD">
        <w:rPr>
          <w:rFonts w:ascii="Arial" w:hAnsi="Arial" w:cs="Arial"/>
          <w:sz w:val="20"/>
          <w:szCs w:val="20"/>
          <w:lang w:val="en-GB"/>
        </w:rPr>
        <w:t>ir</w:t>
      </w:r>
      <w:r w:rsidRPr="003372FD">
        <w:rPr>
          <w:rFonts w:ascii="Arial" w:hAnsi="Arial" w:cs="Arial"/>
          <w:sz w:val="20"/>
          <w:szCs w:val="20"/>
          <w:lang w:val="en-GB"/>
        </w:rPr>
        <w:t xml:space="preserve"> u</w:t>
      </w:r>
      <w:r w:rsidR="00572435" w:rsidRPr="003372FD">
        <w:rPr>
          <w:rFonts w:ascii="Arial" w:hAnsi="Arial" w:cs="Arial"/>
          <w:sz w:val="20"/>
          <w:szCs w:val="20"/>
          <w:lang w:val="en-GB"/>
        </w:rPr>
        <w:t xml:space="preserve">tilisation </w:t>
      </w:r>
      <w:r w:rsidRPr="003372FD">
        <w:rPr>
          <w:rFonts w:ascii="Arial" w:hAnsi="Arial" w:cs="Arial"/>
          <w:sz w:val="20"/>
          <w:szCs w:val="20"/>
          <w:lang w:val="en-GB"/>
        </w:rPr>
        <w:t>in the public sector in recent years, which needs to b</w:t>
      </w:r>
      <w:r w:rsidR="00204727" w:rsidRPr="003372FD">
        <w:rPr>
          <w:rFonts w:ascii="Arial" w:hAnsi="Arial" w:cs="Arial"/>
          <w:sz w:val="20"/>
          <w:szCs w:val="20"/>
          <w:lang w:val="en-GB"/>
        </w:rPr>
        <w:t>e addressed to reduce AMR rates [</w:t>
      </w:r>
      <w:r w:rsidRPr="003372FD">
        <w:rPr>
          <w:rFonts w:ascii="Arial" w:hAnsi="Arial" w:cs="Arial"/>
          <w:sz w:val="20"/>
          <w:szCs w:val="20"/>
          <w:lang w:val="en-US"/>
        </w:rPr>
        <w:t>11</w:t>
      </w:r>
      <w:r w:rsidR="00204727" w:rsidRPr="003372FD">
        <w:rPr>
          <w:rFonts w:ascii="Arial" w:hAnsi="Arial" w:cs="Arial"/>
          <w:sz w:val="20"/>
          <w:szCs w:val="20"/>
          <w:lang w:val="en-GB"/>
        </w:rPr>
        <w:t>].</w:t>
      </w:r>
    </w:p>
    <w:p w14:paraId="1BE158AB" w14:textId="77777777" w:rsidR="00FA271B" w:rsidRPr="003372FD" w:rsidRDefault="00FA271B" w:rsidP="003372FD">
      <w:pPr>
        <w:pStyle w:val="NoSpacing1"/>
        <w:rPr>
          <w:rFonts w:ascii="Arial" w:hAnsi="Arial" w:cs="Arial"/>
          <w:sz w:val="20"/>
          <w:szCs w:val="20"/>
          <w:lang w:val="en-US"/>
        </w:rPr>
      </w:pPr>
    </w:p>
    <w:p w14:paraId="2F135EC8" w14:textId="54FCD4A3" w:rsidR="00FA271B"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 xml:space="preserve">Overall, there is a paucity of </w:t>
      </w:r>
      <w:r w:rsidR="007763E3" w:rsidRPr="003372FD">
        <w:rPr>
          <w:rFonts w:ascii="Arial" w:hAnsi="Arial" w:cs="Arial"/>
          <w:sz w:val="20"/>
          <w:szCs w:val="20"/>
          <w:lang w:val="en-US"/>
        </w:rPr>
        <w:t xml:space="preserve">reliable </w:t>
      </w:r>
      <w:r w:rsidRPr="003372FD">
        <w:rPr>
          <w:rFonts w:ascii="Arial" w:hAnsi="Arial" w:cs="Arial"/>
          <w:sz w:val="20"/>
          <w:szCs w:val="20"/>
          <w:lang w:val="en-US"/>
        </w:rPr>
        <w:t>data on the use of antimicrobials among public hospitals in South Africa</w:t>
      </w:r>
      <w:r w:rsidR="00722611" w:rsidRPr="003372FD">
        <w:rPr>
          <w:rFonts w:ascii="Arial" w:hAnsi="Arial" w:cs="Arial"/>
          <w:sz w:val="20"/>
          <w:szCs w:val="20"/>
          <w:lang w:val="en-US"/>
        </w:rPr>
        <w:t>. This</w:t>
      </w:r>
      <w:r w:rsidRPr="003372FD">
        <w:rPr>
          <w:rFonts w:ascii="Arial" w:hAnsi="Arial" w:cs="Arial"/>
          <w:sz w:val="20"/>
          <w:szCs w:val="20"/>
          <w:lang w:val="en-US"/>
        </w:rPr>
        <w:t xml:space="preserve"> </w:t>
      </w:r>
      <w:r w:rsidR="00241976" w:rsidRPr="003372FD">
        <w:rPr>
          <w:rFonts w:ascii="Arial" w:hAnsi="Arial" w:cs="Arial"/>
          <w:sz w:val="20"/>
          <w:szCs w:val="20"/>
          <w:lang w:val="en-US"/>
        </w:rPr>
        <w:t xml:space="preserve">is a concern as </w:t>
      </w:r>
      <w:r w:rsidR="00CB2D94" w:rsidRPr="003372FD">
        <w:rPr>
          <w:rFonts w:ascii="Arial" w:hAnsi="Arial" w:cs="Arial"/>
          <w:sz w:val="20"/>
          <w:szCs w:val="20"/>
          <w:lang w:val="en-US"/>
        </w:rPr>
        <w:t xml:space="preserve">the vast majority </w:t>
      </w:r>
      <w:r w:rsidR="00241976" w:rsidRPr="003372FD">
        <w:rPr>
          <w:rFonts w:ascii="Arial" w:hAnsi="Arial" w:cs="Arial"/>
          <w:sz w:val="20"/>
          <w:szCs w:val="20"/>
          <w:lang w:val="en-US"/>
        </w:rPr>
        <w:t xml:space="preserve">of patients in South Africa are currently treated in the public sector in South Africa </w:t>
      </w:r>
      <w:r w:rsidR="00B03AFD" w:rsidRPr="003372FD">
        <w:rPr>
          <w:rFonts w:ascii="Arial" w:hAnsi="Arial" w:cs="Arial"/>
          <w:sz w:val="20"/>
          <w:szCs w:val="20"/>
          <w:lang w:val="en-US"/>
        </w:rPr>
        <w:t>[3</w:t>
      </w:r>
      <w:r w:rsidR="00E033E0" w:rsidRPr="003372FD">
        <w:rPr>
          <w:rFonts w:ascii="Arial" w:hAnsi="Arial" w:cs="Arial"/>
          <w:sz w:val="20"/>
          <w:szCs w:val="20"/>
          <w:lang w:val="en-US"/>
        </w:rPr>
        <w:t>4</w:t>
      </w:r>
      <w:r w:rsidR="00B03AFD" w:rsidRPr="003372FD">
        <w:rPr>
          <w:rFonts w:ascii="Arial" w:hAnsi="Arial" w:cs="Arial"/>
          <w:sz w:val="20"/>
          <w:szCs w:val="20"/>
          <w:lang w:val="en-US"/>
        </w:rPr>
        <w:t>]</w:t>
      </w:r>
      <w:r w:rsidR="00241976" w:rsidRPr="003372FD">
        <w:rPr>
          <w:rFonts w:ascii="Arial" w:hAnsi="Arial" w:cs="Arial"/>
          <w:sz w:val="20"/>
          <w:szCs w:val="20"/>
          <w:lang w:val="en-US"/>
        </w:rPr>
        <w:t xml:space="preserve">. </w:t>
      </w:r>
      <w:r w:rsidR="00CB2D94" w:rsidRPr="003372FD">
        <w:rPr>
          <w:rFonts w:ascii="Arial" w:hAnsi="Arial" w:cs="Arial"/>
          <w:sz w:val="20"/>
          <w:szCs w:val="20"/>
          <w:lang w:val="en-US"/>
        </w:rPr>
        <w:t xml:space="preserve">This </w:t>
      </w:r>
      <w:r w:rsidRPr="003372FD">
        <w:rPr>
          <w:rFonts w:ascii="Arial" w:hAnsi="Arial" w:cs="Arial"/>
          <w:sz w:val="20"/>
          <w:szCs w:val="20"/>
          <w:lang w:val="en-US"/>
        </w:rPr>
        <w:t xml:space="preserve">prompted </w:t>
      </w:r>
      <w:r w:rsidR="00722611" w:rsidRPr="003372FD">
        <w:rPr>
          <w:rFonts w:ascii="Arial" w:hAnsi="Arial" w:cs="Arial"/>
          <w:sz w:val="20"/>
          <w:szCs w:val="20"/>
          <w:lang w:val="en-US"/>
        </w:rPr>
        <w:t xml:space="preserve">undertaking </w:t>
      </w:r>
      <w:r w:rsidRPr="003372FD">
        <w:rPr>
          <w:rFonts w:ascii="Arial" w:hAnsi="Arial" w:cs="Arial"/>
          <w:sz w:val="20"/>
          <w:szCs w:val="20"/>
          <w:lang w:val="en-US"/>
        </w:rPr>
        <w:t>th</w:t>
      </w:r>
      <w:r w:rsidR="00722611" w:rsidRPr="003372FD">
        <w:rPr>
          <w:rFonts w:ascii="Arial" w:hAnsi="Arial" w:cs="Arial"/>
          <w:sz w:val="20"/>
          <w:szCs w:val="20"/>
          <w:lang w:val="en-US"/>
        </w:rPr>
        <w:t>is</w:t>
      </w:r>
      <w:r w:rsidRPr="003372FD">
        <w:rPr>
          <w:rFonts w:ascii="Arial" w:hAnsi="Arial" w:cs="Arial"/>
          <w:sz w:val="20"/>
          <w:szCs w:val="20"/>
          <w:lang w:val="en-US"/>
        </w:rPr>
        <w:t xml:space="preserve"> study to determine antimicrobial consumption at Dr George </w:t>
      </w:r>
      <w:proofErr w:type="spellStart"/>
      <w:r w:rsidRPr="003372FD">
        <w:rPr>
          <w:rFonts w:ascii="Arial" w:hAnsi="Arial" w:cs="Arial"/>
          <w:sz w:val="20"/>
          <w:szCs w:val="20"/>
          <w:lang w:val="en-US"/>
        </w:rPr>
        <w:t>Mukhari</w:t>
      </w:r>
      <w:proofErr w:type="spellEnd"/>
      <w:r w:rsidRPr="003372FD">
        <w:rPr>
          <w:rFonts w:ascii="Arial" w:hAnsi="Arial" w:cs="Arial"/>
          <w:sz w:val="20"/>
          <w:szCs w:val="20"/>
          <w:lang w:val="en-US"/>
        </w:rPr>
        <w:t xml:space="preserve"> Academic Hospital (DGMAH) using a PPS method</w:t>
      </w:r>
      <w:r w:rsidR="00CB2D94" w:rsidRPr="003372FD">
        <w:rPr>
          <w:rFonts w:ascii="Arial" w:hAnsi="Arial" w:cs="Arial"/>
          <w:sz w:val="20"/>
          <w:szCs w:val="20"/>
          <w:lang w:val="en-US"/>
        </w:rPr>
        <w:t>, building on the earlier study in Cape Town [44]</w:t>
      </w:r>
      <w:r w:rsidRPr="003372FD">
        <w:rPr>
          <w:rFonts w:ascii="Arial" w:hAnsi="Arial" w:cs="Arial"/>
          <w:sz w:val="20"/>
          <w:szCs w:val="20"/>
          <w:lang w:val="en-US"/>
        </w:rPr>
        <w:t xml:space="preserve">. Information was obtained with PPS data collection instruments </w:t>
      </w:r>
      <w:r w:rsidR="0014666E" w:rsidRPr="003372FD">
        <w:rPr>
          <w:rFonts w:ascii="Arial" w:hAnsi="Arial" w:cs="Arial"/>
          <w:sz w:val="20"/>
          <w:szCs w:val="20"/>
          <w:lang w:val="en-US"/>
        </w:rPr>
        <w:t xml:space="preserve">that were initially </w:t>
      </w:r>
      <w:r w:rsidRPr="003372FD">
        <w:rPr>
          <w:rFonts w:ascii="Arial" w:hAnsi="Arial" w:cs="Arial"/>
          <w:sz w:val="20"/>
          <w:szCs w:val="20"/>
          <w:lang w:val="en-US"/>
        </w:rPr>
        <w:t>developed in Botswana with input from the WHO, building</w:t>
      </w:r>
      <w:r w:rsidR="00204727" w:rsidRPr="003372FD">
        <w:rPr>
          <w:rFonts w:ascii="Arial" w:hAnsi="Arial" w:cs="Arial"/>
          <w:sz w:val="20"/>
          <w:szCs w:val="20"/>
          <w:lang w:val="en-US"/>
        </w:rPr>
        <w:t xml:space="preserve"> on the </w:t>
      </w:r>
      <w:r w:rsidR="00B10983" w:rsidRPr="003372FD">
        <w:rPr>
          <w:rFonts w:ascii="Arial" w:hAnsi="Arial" w:cs="Arial"/>
          <w:sz w:val="20"/>
          <w:szCs w:val="20"/>
          <w:lang w:val="en-GB"/>
        </w:rPr>
        <w:t>European Centre for Disease Prevention and Control (</w:t>
      </w:r>
      <w:r w:rsidR="00204727" w:rsidRPr="003372FD">
        <w:rPr>
          <w:rFonts w:ascii="Arial" w:hAnsi="Arial" w:cs="Arial"/>
          <w:sz w:val="20"/>
          <w:szCs w:val="20"/>
          <w:lang w:val="en-US"/>
        </w:rPr>
        <w:t>ECDC</w:t>
      </w:r>
      <w:r w:rsidR="00B10983" w:rsidRPr="003372FD">
        <w:rPr>
          <w:rFonts w:ascii="Arial" w:hAnsi="Arial" w:cs="Arial"/>
          <w:sz w:val="20"/>
          <w:szCs w:val="20"/>
          <w:lang w:val="en-US"/>
        </w:rPr>
        <w:t>)</w:t>
      </w:r>
      <w:r w:rsidR="00204727" w:rsidRPr="003372FD">
        <w:rPr>
          <w:rFonts w:ascii="Arial" w:hAnsi="Arial" w:cs="Arial"/>
          <w:sz w:val="20"/>
          <w:szCs w:val="20"/>
          <w:lang w:val="en-US"/>
        </w:rPr>
        <w:t xml:space="preserve"> and Global studies [</w:t>
      </w:r>
      <w:r w:rsidR="0049649D" w:rsidRPr="003372FD">
        <w:rPr>
          <w:rFonts w:ascii="Arial" w:hAnsi="Arial" w:cs="Arial"/>
          <w:sz w:val="20"/>
          <w:szCs w:val="20"/>
          <w:lang w:val="en-US"/>
        </w:rPr>
        <w:t>2</w:t>
      </w:r>
      <w:r w:rsidR="000D72B4" w:rsidRPr="003372FD">
        <w:rPr>
          <w:rFonts w:ascii="Arial" w:hAnsi="Arial" w:cs="Arial"/>
          <w:sz w:val="20"/>
          <w:szCs w:val="20"/>
          <w:lang w:val="en-US"/>
        </w:rPr>
        <w:t xml:space="preserve">1, </w:t>
      </w:r>
      <w:r w:rsidR="00AC0480" w:rsidRPr="003372FD">
        <w:rPr>
          <w:rFonts w:ascii="Arial" w:hAnsi="Arial" w:cs="Arial"/>
          <w:sz w:val="20"/>
          <w:szCs w:val="20"/>
          <w:lang w:val="en-US"/>
        </w:rPr>
        <w:t>22</w:t>
      </w:r>
      <w:proofErr w:type="gramStart"/>
      <w:r w:rsidR="0049649D" w:rsidRPr="003372FD">
        <w:rPr>
          <w:rFonts w:ascii="Arial" w:hAnsi="Arial" w:cs="Arial"/>
          <w:sz w:val="20"/>
          <w:szCs w:val="20"/>
          <w:lang w:val="en-US"/>
        </w:rPr>
        <w:t xml:space="preserve">, </w:t>
      </w:r>
      <w:r w:rsidR="00204727" w:rsidRPr="003372FD">
        <w:rPr>
          <w:rFonts w:ascii="Arial" w:hAnsi="Arial" w:cs="Arial"/>
          <w:sz w:val="20"/>
          <w:szCs w:val="20"/>
          <w:lang w:val="en-US"/>
        </w:rPr>
        <w:t>]</w:t>
      </w:r>
      <w:proofErr w:type="gramEnd"/>
      <w:r w:rsidR="00204727" w:rsidRPr="003372FD">
        <w:rPr>
          <w:rFonts w:ascii="Arial" w:hAnsi="Arial" w:cs="Arial"/>
          <w:sz w:val="20"/>
          <w:szCs w:val="20"/>
          <w:lang w:val="en-US"/>
        </w:rPr>
        <w:t>.</w:t>
      </w:r>
      <w:r w:rsidRPr="003372FD">
        <w:rPr>
          <w:rFonts w:ascii="Arial" w:hAnsi="Arial" w:cs="Arial"/>
          <w:sz w:val="20"/>
          <w:szCs w:val="20"/>
          <w:lang w:val="en-US"/>
        </w:rPr>
        <w:t xml:space="preserve"> </w:t>
      </w:r>
      <w:r w:rsidR="000D72B4" w:rsidRPr="003372FD">
        <w:rPr>
          <w:rFonts w:ascii="Arial" w:hAnsi="Arial" w:cs="Arial"/>
          <w:sz w:val="20"/>
          <w:szCs w:val="20"/>
          <w:lang w:val="en-US"/>
        </w:rPr>
        <w:t xml:space="preserve">The forms were subsequently </w:t>
      </w:r>
      <w:r w:rsidR="001D670F" w:rsidRPr="003372FD">
        <w:rPr>
          <w:rFonts w:ascii="Arial" w:hAnsi="Arial" w:cs="Arial"/>
          <w:sz w:val="20"/>
          <w:szCs w:val="20"/>
          <w:lang w:val="en-US"/>
        </w:rPr>
        <w:t>refined</w:t>
      </w:r>
      <w:r w:rsidR="000D72B4" w:rsidRPr="003372FD">
        <w:rPr>
          <w:rFonts w:ascii="Arial" w:hAnsi="Arial" w:cs="Arial"/>
          <w:sz w:val="20"/>
          <w:szCs w:val="20"/>
          <w:lang w:val="en-US"/>
        </w:rPr>
        <w:t xml:space="preserve"> following a pilot study in Botswana before being used throughout Botswana and </w:t>
      </w:r>
      <w:r w:rsidR="001D670F" w:rsidRPr="003372FD">
        <w:rPr>
          <w:rFonts w:ascii="Arial" w:hAnsi="Arial" w:cs="Arial"/>
          <w:sz w:val="20"/>
          <w:szCs w:val="20"/>
          <w:lang w:val="en-US"/>
        </w:rPr>
        <w:t xml:space="preserve">subsequently </w:t>
      </w:r>
      <w:r w:rsidR="000D72B4" w:rsidRPr="003372FD">
        <w:rPr>
          <w:rFonts w:ascii="Arial" w:hAnsi="Arial" w:cs="Arial"/>
          <w:sz w:val="20"/>
          <w:szCs w:val="20"/>
          <w:lang w:val="en-US"/>
        </w:rPr>
        <w:t xml:space="preserve">in South Africa </w:t>
      </w:r>
      <w:r w:rsidR="001D670F" w:rsidRPr="003372FD">
        <w:rPr>
          <w:rFonts w:ascii="Arial" w:hAnsi="Arial" w:cs="Arial"/>
          <w:sz w:val="20"/>
          <w:szCs w:val="20"/>
          <w:lang w:val="en-US"/>
        </w:rPr>
        <w:t>[26,45-47]</w:t>
      </w:r>
      <w:r w:rsidR="000D72B4" w:rsidRPr="003372FD">
        <w:rPr>
          <w:rFonts w:ascii="Arial" w:hAnsi="Arial" w:cs="Arial"/>
          <w:sz w:val="20"/>
          <w:szCs w:val="20"/>
          <w:lang w:val="en-US"/>
        </w:rPr>
        <w:t xml:space="preserve">. </w:t>
      </w:r>
      <w:r w:rsidRPr="003372FD">
        <w:rPr>
          <w:rFonts w:ascii="Arial" w:hAnsi="Arial" w:cs="Arial"/>
          <w:sz w:val="20"/>
          <w:szCs w:val="20"/>
          <w:lang w:val="en-US"/>
        </w:rPr>
        <w:t>The findings will assist with the instigation of pertinent programs in this hospital to improve future antimicrobial use</w:t>
      </w:r>
      <w:r w:rsidR="00BF1392" w:rsidRPr="003372FD">
        <w:rPr>
          <w:rFonts w:ascii="Arial" w:hAnsi="Arial" w:cs="Arial"/>
          <w:sz w:val="20"/>
          <w:szCs w:val="20"/>
          <w:lang w:val="en-US"/>
        </w:rPr>
        <w:t>. We also believe</w:t>
      </w:r>
      <w:r w:rsidRPr="003372FD">
        <w:rPr>
          <w:rFonts w:ascii="Arial" w:hAnsi="Arial" w:cs="Arial"/>
          <w:sz w:val="20"/>
          <w:szCs w:val="20"/>
          <w:lang w:val="en-US"/>
        </w:rPr>
        <w:t xml:space="preserve"> the study results will help with </w:t>
      </w:r>
      <w:r w:rsidR="00F60288" w:rsidRPr="003372FD">
        <w:rPr>
          <w:rFonts w:ascii="Arial" w:hAnsi="Arial" w:cs="Arial"/>
          <w:sz w:val="20"/>
          <w:szCs w:val="20"/>
          <w:lang w:val="en-US"/>
        </w:rPr>
        <w:t>assessing the feasibility of using a PPS design within public hospitals in South Africa</w:t>
      </w:r>
      <w:r w:rsidR="00242289" w:rsidRPr="003372FD">
        <w:rPr>
          <w:rFonts w:ascii="Arial" w:hAnsi="Arial" w:cs="Arial"/>
          <w:sz w:val="20"/>
          <w:szCs w:val="20"/>
          <w:lang w:val="en-US"/>
        </w:rPr>
        <w:t xml:space="preserve"> </w:t>
      </w:r>
      <w:r w:rsidRPr="003372FD">
        <w:rPr>
          <w:rFonts w:ascii="Arial" w:hAnsi="Arial" w:cs="Arial"/>
          <w:sz w:val="20"/>
          <w:szCs w:val="20"/>
          <w:lang w:val="en-US"/>
        </w:rPr>
        <w:t xml:space="preserve">to identify </w:t>
      </w:r>
      <w:r w:rsidR="00242289" w:rsidRPr="003372FD">
        <w:rPr>
          <w:rFonts w:ascii="Arial" w:hAnsi="Arial" w:cs="Arial"/>
          <w:sz w:val="20"/>
          <w:szCs w:val="20"/>
          <w:lang w:val="en-US"/>
        </w:rPr>
        <w:t xml:space="preserve">additional </w:t>
      </w:r>
      <w:r w:rsidRPr="003372FD">
        <w:rPr>
          <w:rFonts w:ascii="Arial" w:hAnsi="Arial" w:cs="Arial"/>
          <w:sz w:val="20"/>
          <w:szCs w:val="20"/>
          <w:lang w:val="en-US"/>
        </w:rPr>
        <w:t xml:space="preserve">targets for quality improvement programs regarding antimicrobial </w:t>
      </w:r>
      <w:proofErr w:type="spellStart"/>
      <w:r w:rsidRPr="003372FD">
        <w:rPr>
          <w:rFonts w:ascii="Arial" w:hAnsi="Arial" w:cs="Arial"/>
          <w:sz w:val="20"/>
          <w:szCs w:val="20"/>
          <w:lang w:val="en-US"/>
        </w:rPr>
        <w:t>utilisation</w:t>
      </w:r>
      <w:proofErr w:type="spellEnd"/>
      <w:r w:rsidRPr="003372FD">
        <w:rPr>
          <w:rFonts w:ascii="Arial" w:hAnsi="Arial" w:cs="Arial"/>
          <w:sz w:val="20"/>
          <w:szCs w:val="20"/>
          <w:lang w:val="en-US"/>
        </w:rPr>
        <w:t>.</w:t>
      </w:r>
      <w:r w:rsidR="00F60288" w:rsidRPr="003372FD">
        <w:rPr>
          <w:rFonts w:ascii="Arial" w:hAnsi="Arial" w:cs="Arial"/>
          <w:sz w:val="20"/>
          <w:szCs w:val="20"/>
          <w:lang w:val="en-US"/>
        </w:rPr>
        <w:t xml:space="preserve"> This is particularly important given</w:t>
      </w:r>
      <w:r w:rsidR="00242289" w:rsidRPr="003372FD">
        <w:rPr>
          <w:rFonts w:ascii="Arial" w:hAnsi="Arial" w:cs="Arial"/>
          <w:sz w:val="20"/>
          <w:szCs w:val="20"/>
          <w:lang w:val="en-US"/>
        </w:rPr>
        <w:t>, as mentioned,</w:t>
      </w:r>
      <w:r w:rsidR="00F60288" w:rsidRPr="003372FD">
        <w:rPr>
          <w:rFonts w:ascii="Arial" w:hAnsi="Arial" w:cs="Arial"/>
          <w:sz w:val="20"/>
          <w:szCs w:val="20"/>
          <w:lang w:val="en-US"/>
        </w:rPr>
        <w:t xml:space="preserve"> the high rate of infectious diseases in South Africa as well as growing antimicrobial use</w:t>
      </w:r>
      <w:r w:rsidR="00242289" w:rsidRPr="003372FD">
        <w:rPr>
          <w:rFonts w:ascii="Arial" w:hAnsi="Arial" w:cs="Arial"/>
          <w:sz w:val="20"/>
          <w:szCs w:val="20"/>
          <w:lang w:val="en-US"/>
        </w:rPr>
        <w:t xml:space="preserve"> in the public sector</w:t>
      </w:r>
      <w:r w:rsidR="00F60288" w:rsidRPr="003372FD">
        <w:rPr>
          <w:rFonts w:ascii="Arial" w:hAnsi="Arial" w:cs="Arial"/>
          <w:sz w:val="20"/>
          <w:szCs w:val="20"/>
          <w:lang w:val="en-US"/>
        </w:rPr>
        <w:t>.</w:t>
      </w:r>
    </w:p>
    <w:p w14:paraId="1527DD26" w14:textId="77777777" w:rsidR="00FA271B" w:rsidRPr="003372FD" w:rsidRDefault="00FA271B" w:rsidP="003372FD">
      <w:pPr>
        <w:pStyle w:val="NoSpacing1"/>
        <w:rPr>
          <w:rFonts w:ascii="Arial" w:hAnsi="Arial" w:cs="Arial"/>
          <w:sz w:val="20"/>
          <w:szCs w:val="20"/>
          <w:lang w:val="en-US"/>
        </w:rPr>
      </w:pPr>
    </w:p>
    <w:p w14:paraId="355BC103" w14:textId="13E47B75" w:rsidR="00FA271B" w:rsidRPr="003372FD" w:rsidRDefault="003372FD" w:rsidP="003372FD">
      <w:pPr>
        <w:pStyle w:val="NoSpacing1"/>
        <w:rPr>
          <w:rFonts w:ascii="Arial" w:hAnsi="Arial" w:cs="Arial"/>
          <w:b/>
          <w:sz w:val="20"/>
          <w:szCs w:val="20"/>
          <w:lang w:val="en-US"/>
        </w:rPr>
      </w:pPr>
      <w:r>
        <w:rPr>
          <w:rFonts w:ascii="Arial" w:hAnsi="Arial" w:cs="Arial"/>
          <w:b/>
          <w:sz w:val="20"/>
          <w:szCs w:val="20"/>
          <w:lang w:val="en-US"/>
        </w:rPr>
        <w:t xml:space="preserve">2. </w:t>
      </w:r>
      <w:r w:rsidR="00FA271B" w:rsidRPr="003372FD">
        <w:rPr>
          <w:rFonts w:ascii="Arial" w:hAnsi="Arial" w:cs="Arial"/>
          <w:b/>
          <w:sz w:val="20"/>
          <w:szCs w:val="20"/>
          <w:lang w:val="en-US"/>
        </w:rPr>
        <w:t>METHODS</w:t>
      </w:r>
    </w:p>
    <w:p w14:paraId="1C087180" w14:textId="3F7ED114" w:rsidR="00FA271B" w:rsidRPr="003372FD" w:rsidRDefault="00B10309" w:rsidP="003372FD">
      <w:pPr>
        <w:pStyle w:val="NoSpacing1"/>
        <w:rPr>
          <w:rFonts w:ascii="Arial" w:hAnsi="Arial" w:cs="Arial"/>
          <w:b/>
          <w:i/>
          <w:sz w:val="20"/>
          <w:szCs w:val="20"/>
          <w:lang w:val="en-US"/>
        </w:rPr>
      </w:pPr>
      <w:r w:rsidRPr="003372FD">
        <w:rPr>
          <w:rFonts w:ascii="Arial" w:hAnsi="Arial" w:cs="Arial"/>
          <w:b/>
          <w:i/>
          <w:sz w:val="20"/>
          <w:szCs w:val="20"/>
          <w:lang w:val="en-US"/>
        </w:rPr>
        <w:t xml:space="preserve">2.1 </w:t>
      </w:r>
      <w:r w:rsidR="00FA271B" w:rsidRPr="003372FD">
        <w:rPr>
          <w:rFonts w:ascii="Arial" w:hAnsi="Arial" w:cs="Arial"/>
          <w:b/>
          <w:i/>
          <w:sz w:val="20"/>
          <w:szCs w:val="20"/>
          <w:lang w:val="en-US"/>
        </w:rPr>
        <w:t>Study design, setting and study period</w:t>
      </w:r>
    </w:p>
    <w:p w14:paraId="0FD90B0D" w14:textId="14E06DC0" w:rsidR="00722611"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 xml:space="preserve">The study design was a </w:t>
      </w:r>
      <w:r w:rsidR="00DD5155" w:rsidRPr="003372FD">
        <w:rPr>
          <w:rFonts w:ascii="Arial" w:hAnsi="Arial" w:cs="Arial"/>
          <w:sz w:val="20"/>
          <w:szCs w:val="20"/>
          <w:lang w:val="en-US"/>
        </w:rPr>
        <w:t>PPS</w:t>
      </w:r>
      <w:r w:rsidRPr="003372FD">
        <w:rPr>
          <w:rFonts w:ascii="Arial" w:hAnsi="Arial" w:cs="Arial"/>
          <w:sz w:val="20"/>
          <w:szCs w:val="20"/>
          <w:lang w:val="en-US"/>
        </w:rPr>
        <w:t>. With</w:t>
      </w:r>
      <w:r w:rsidR="00641E7D" w:rsidRPr="003372FD">
        <w:rPr>
          <w:rFonts w:ascii="Arial" w:hAnsi="Arial" w:cs="Arial"/>
          <w:sz w:val="20"/>
          <w:szCs w:val="20"/>
          <w:lang w:val="en-US"/>
        </w:rPr>
        <w:t>in</w:t>
      </w:r>
      <w:r w:rsidRPr="003372FD">
        <w:rPr>
          <w:rFonts w:ascii="Arial" w:hAnsi="Arial" w:cs="Arial"/>
          <w:sz w:val="20"/>
          <w:szCs w:val="20"/>
          <w:lang w:val="en-US"/>
        </w:rPr>
        <w:t xml:space="preserve"> a PPS design, all beds in </w:t>
      </w:r>
      <w:r w:rsidR="00641E7D" w:rsidRPr="003372FD">
        <w:rPr>
          <w:rFonts w:ascii="Arial" w:hAnsi="Arial" w:cs="Arial"/>
          <w:sz w:val="20"/>
          <w:szCs w:val="20"/>
          <w:lang w:val="en-US"/>
        </w:rPr>
        <w:t>a</w:t>
      </w:r>
      <w:r w:rsidRPr="003372FD">
        <w:rPr>
          <w:rFonts w:ascii="Arial" w:hAnsi="Arial" w:cs="Arial"/>
          <w:sz w:val="20"/>
          <w:szCs w:val="20"/>
          <w:lang w:val="en-US"/>
        </w:rPr>
        <w:t xml:space="preserve"> single ward</w:t>
      </w:r>
      <w:r w:rsidR="00722611" w:rsidRPr="003372FD">
        <w:rPr>
          <w:rFonts w:ascii="Arial" w:hAnsi="Arial" w:cs="Arial"/>
          <w:sz w:val="20"/>
          <w:szCs w:val="20"/>
          <w:lang w:val="en-US"/>
        </w:rPr>
        <w:t xml:space="preserve"> are</w:t>
      </w:r>
      <w:r w:rsidRPr="003372FD">
        <w:rPr>
          <w:rFonts w:ascii="Arial" w:hAnsi="Arial" w:cs="Arial"/>
          <w:sz w:val="20"/>
          <w:szCs w:val="20"/>
          <w:lang w:val="en-US"/>
        </w:rPr>
        <w:t xml:space="preserve"> completely surveyed </w:t>
      </w:r>
      <w:r w:rsidR="00641E7D" w:rsidRPr="003372FD">
        <w:rPr>
          <w:rFonts w:ascii="Arial" w:hAnsi="Arial" w:cs="Arial"/>
          <w:sz w:val="20"/>
          <w:szCs w:val="20"/>
          <w:lang w:val="en-US"/>
        </w:rPr>
        <w:t>o</w:t>
      </w:r>
      <w:r w:rsidRPr="003372FD">
        <w:rPr>
          <w:rFonts w:ascii="Arial" w:hAnsi="Arial" w:cs="Arial"/>
          <w:sz w:val="20"/>
          <w:szCs w:val="20"/>
          <w:lang w:val="en-US"/>
        </w:rPr>
        <w:t>n one day to be able to correctly calculate the denominator and the numerator</w:t>
      </w:r>
      <w:r w:rsidR="00641E7D" w:rsidRPr="003372FD">
        <w:rPr>
          <w:rFonts w:ascii="Arial" w:hAnsi="Arial" w:cs="Arial"/>
          <w:sz w:val="20"/>
          <w:szCs w:val="20"/>
          <w:lang w:val="en-US"/>
        </w:rPr>
        <w:t xml:space="preserve"> [</w:t>
      </w:r>
      <w:r w:rsidRPr="003372FD">
        <w:rPr>
          <w:rFonts w:ascii="Arial" w:hAnsi="Arial" w:cs="Arial"/>
          <w:sz w:val="20"/>
          <w:szCs w:val="20"/>
          <w:lang w:val="en-US"/>
        </w:rPr>
        <w:t xml:space="preserve">. </w:t>
      </w:r>
      <w:r w:rsidR="00F221CF" w:rsidRPr="003372FD">
        <w:rPr>
          <w:rFonts w:ascii="Arial" w:hAnsi="Arial" w:cs="Arial"/>
          <w:sz w:val="20"/>
          <w:szCs w:val="20"/>
          <w:lang w:val="en-US"/>
        </w:rPr>
        <w:t>The study forms were based on th</w:t>
      </w:r>
      <w:r w:rsidR="001D670F" w:rsidRPr="003372FD">
        <w:rPr>
          <w:rFonts w:ascii="Arial" w:hAnsi="Arial" w:cs="Arial"/>
          <w:sz w:val="20"/>
          <w:szCs w:val="20"/>
          <w:lang w:val="en-US"/>
        </w:rPr>
        <w:t>ose</w:t>
      </w:r>
      <w:r w:rsidR="00F221CF" w:rsidRPr="003372FD">
        <w:rPr>
          <w:rFonts w:ascii="Arial" w:hAnsi="Arial" w:cs="Arial"/>
          <w:sz w:val="20"/>
          <w:szCs w:val="20"/>
          <w:lang w:val="en-US"/>
        </w:rPr>
        <w:t xml:space="preserve"> </w:t>
      </w:r>
      <w:r w:rsidR="001D670F" w:rsidRPr="003372FD">
        <w:rPr>
          <w:rFonts w:ascii="Arial" w:hAnsi="Arial" w:cs="Arial"/>
          <w:sz w:val="20"/>
          <w:szCs w:val="20"/>
          <w:lang w:val="en-US"/>
        </w:rPr>
        <w:t xml:space="preserve">subsequently </w:t>
      </w:r>
      <w:r w:rsidR="00F221CF" w:rsidRPr="003372FD">
        <w:rPr>
          <w:rFonts w:ascii="Arial" w:hAnsi="Arial" w:cs="Arial"/>
          <w:sz w:val="20"/>
          <w:szCs w:val="20"/>
          <w:lang w:val="en-US"/>
        </w:rPr>
        <w:t>used for the PPS in Botswana</w:t>
      </w:r>
      <w:r w:rsidR="001D670F" w:rsidRPr="003372FD">
        <w:rPr>
          <w:rFonts w:ascii="Arial" w:hAnsi="Arial" w:cs="Arial"/>
          <w:sz w:val="20"/>
          <w:szCs w:val="20"/>
          <w:lang w:val="en-US"/>
        </w:rPr>
        <w:t xml:space="preserve"> following the pilot. As mentioned, they</w:t>
      </w:r>
      <w:r w:rsidR="00F221CF" w:rsidRPr="003372FD">
        <w:rPr>
          <w:rFonts w:ascii="Arial" w:hAnsi="Arial" w:cs="Arial"/>
          <w:sz w:val="20"/>
          <w:szCs w:val="20"/>
          <w:lang w:val="en-US"/>
        </w:rPr>
        <w:t xml:space="preserve"> were adapted for the African setting based on input from the WHO and personnel involved in both the ECDC and Global PPS studies [2</w:t>
      </w:r>
      <w:r w:rsidR="001D670F" w:rsidRPr="003372FD">
        <w:rPr>
          <w:rFonts w:ascii="Arial" w:hAnsi="Arial" w:cs="Arial"/>
          <w:sz w:val="20"/>
          <w:szCs w:val="20"/>
          <w:lang w:val="en-US"/>
        </w:rPr>
        <w:t>-22</w:t>
      </w:r>
      <w:r w:rsidR="00F221CF" w:rsidRPr="003372FD">
        <w:rPr>
          <w:rFonts w:ascii="Arial" w:hAnsi="Arial" w:cs="Arial"/>
          <w:sz w:val="20"/>
          <w:szCs w:val="20"/>
          <w:lang w:val="en-US"/>
        </w:rPr>
        <w:t>,26]. This included greater recognition of the higher prevalence of HIV, TB and malaria in sub-Sahara Africa than currently seen in Western countries</w:t>
      </w:r>
      <w:r w:rsidR="001D670F" w:rsidRPr="003372FD">
        <w:rPr>
          <w:rFonts w:ascii="Arial" w:hAnsi="Arial" w:cs="Arial"/>
          <w:sz w:val="20"/>
          <w:szCs w:val="20"/>
          <w:lang w:val="en-US"/>
        </w:rPr>
        <w:t>, which is important for comparison purposes</w:t>
      </w:r>
      <w:r w:rsidR="00F221CF" w:rsidRPr="003372FD">
        <w:rPr>
          <w:rFonts w:ascii="Arial" w:hAnsi="Arial" w:cs="Arial"/>
          <w:sz w:val="20"/>
          <w:szCs w:val="20"/>
          <w:lang w:val="en-US"/>
        </w:rPr>
        <w:t xml:space="preserve"> [20,26,30-34].  </w:t>
      </w:r>
    </w:p>
    <w:p w14:paraId="035A39EA" w14:textId="77777777" w:rsidR="003372FD" w:rsidRDefault="003372FD" w:rsidP="003372FD">
      <w:pPr>
        <w:pStyle w:val="NoSpacing1"/>
        <w:rPr>
          <w:rFonts w:ascii="Arial" w:hAnsi="Arial" w:cs="Arial"/>
          <w:sz w:val="20"/>
          <w:szCs w:val="20"/>
          <w:lang w:val="en-US"/>
        </w:rPr>
      </w:pPr>
    </w:p>
    <w:p w14:paraId="00D1FEF8" w14:textId="3F60E5BC" w:rsidR="00722611" w:rsidRPr="003372FD" w:rsidRDefault="00722611" w:rsidP="003372FD">
      <w:pPr>
        <w:pStyle w:val="NoSpacing1"/>
        <w:rPr>
          <w:rFonts w:ascii="Arial" w:hAnsi="Arial" w:cs="Arial"/>
          <w:sz w:val="20"/>
          <w:szCs w:val="20"/>
          <w:lang w:val="en-US"/>
        </w:rPr>
      </w:pPr>
      <w:r w:rsidRPr="003372FD">
        <w:rPr>
          <w:rFonts w:ascii="Arial" w:hAnsi="Arial" w:cs="Arial"/>
          <w:sz w:val="20"/>
          <w:szCs w:val="20"/>
          <w:lang w:val="en-US"/>
        </w:rPr>
        <w:t>Data was collected over a period of two months, from February to March 2017</w:t>
      </w:r>
      <w:r w:rsidRPr="003372FD">
        <w:rPr>
          <w:rFonts w:ascii="Arial" w:hAnsi="Arial" w:cs="Arial"/>
          <w:sz w:val="20"/>
          <w:szCs w:val="20"/>
        </w:rPr>
        <w:t xml:space="preserve"> </w:t>
      </w:r>
      <w:r w:rsidRPr="003372FD">
        <w:rPr>
          <w:rFonts w:ascii="Arial" w:hAnsi="Arial" w:cs="Arial"/>
          <w:sz w:val="20"/>
          <w:szCs w:val="20"/>
          <w:lang w:val="en-US"/>
        </w:rPr>
        <w:t xml:space="preserve">at DGMAH. </w:t>
      </w:r>
      <w:r w:rsidR="00641E7D" w:rsidRPr="003372FD">
        <w:rPr>
          <w:rFonts w:ascii="Arial" w:hAnsi="Arial" w:cs="Arial"/>
          <w:sz w:val="20"/>
          <w:szCs w:val="20"/>
          <w:lang w:val="en-US"/>
        </w:rPr>
        <w:t>DGMAH was chosen</w:t>
      </w:r>
      <w:r w:rsidRPr="003372FD">
        <w:rPr>
          <w:rFonts w:ascii="Arial" w:hAnsi="Arial" w:cs="Arial"/>
          <w:sz w:val="20"/>
          <w:szCs w:val="20"/>
          <w:lang w:val="en-US"/>
        </w:rPr>
        <w:t xml:space="preserve"> </w:t>
      </w:r>
      <w:r w:rsidR="00641E7D" w:rsidRPr="003372FD">
        <w:rPr>
          <w:rFonts w:ascii="Arial" w:hAnsi="Arial" w:cs="Arial"/>
          <w:sz w:val="20"/>
          <w:szCs w:val="20"/>
          <w:lang w:val="en-US"/>
        </w:rPr>
        <w:t>as it is a public sector hospital and</w:t>
      </w:r>
      <w:r w:rsidRPr="003372FD">
        <w:rPr>
          <w:rFonts w:ascii="Arial" w:hAnsi="Arial" w:cs="Arial"/>
          <w:sz w:val="20"/>
          <w:szCs w:val="20"/>
          <w:lang w:val="en-US"/>
        </w:rPr>
        <w:t xml:space="preserve"> one of four </w:t>
      </w:r>
      <w:r w:rsidR="00641E7D" w:rsidRPr="003372FD">
        <w:rPr>
          <w:rFonts w:ascii="Arial" w:hAnsi="Arial" w:cs="Arial"/>
          <w:sz w:val="20"/>
          <w:szCs w:val="20"/>
          <w:lang w:val="en-US"/>
        </w:rPr>
        <w:t xml:space="preserve">teaching hospitals </w:t>
      </w:r>
      <w:r w:rsidRPr="003372FD">
        <w:rPr>
          <w:rFonts w:ascii="Arial" w:hAnsi="Arial" w:cs="Arial"/>
          <w:sz w:val="20"/>
          <w:szCs w:val="20"/>
          <w:lang w:val="en-US"/>
        </w:rPr>
        <w:t xml:space="preserve">in the </w:t>
      </w:r>
      <w:r w:rsidR="00641E7D" w:rsidRPr="003372FD">
        <w:rPr>
          <w:rFonts w:ascii="Arial" w:hAnsi="Arial" w:cs="Arial"/>
          <w:sz w:val="20"/>
          <w:szCs w:val="20"/>
          <w:lang w:val="en-US"/>
        </w:rPr>
        <w:t>P</w:t>
      </w:r>
      <w:r w:rsidRPr="003372FD">
        <w:rPr>
          <w:rFonts w:ascii="Arial" w:hAnsi="Arial" w:cs="Arial"/>
          <w:sz w:val="20"/>
          <w:szCs w:val="20"/>
          <w:lang w:val="en-US"/>
        </w:rPr>
        <w:t xml:space="preserve">rovince and situated in Ga-Rankuwa, Pretoria, Gauteng Province. </w:t>
      </w:r>
      <w:r w:rsidR="00641E7D" w:rsidRPr="003372FD">
        <w:rPr>
          <w:rFonts w:ascii="Arial" w:hAnsi="Arial" w:cs="Arial"/>
          <w:sz w:val="20"/>
          <w:szCs w:val="20"/>
          <w:lang w:val="en-US"/>
        </w:rPr>
        <w:t>DGMAH</w:t>
      </w:r>
      <w:r w:rsidRPr="003372FD">
        <w:rPr>
          <w:rFonts w:ascii="Arial" w:hAnsi="Arial" w:cs="Arial"/>
          <w:sz w:val="20"/>
          <w:szCs w:val="20"/>
          <w:lang w:val="en-US"/>
        </w:rPr>
        <w:t xml:space="preserve"> is a 1,650-bed hospital with 28 clinical departments, 20 approved ICU beds, 60 high care beds and 17 surgical theatres, providing services </w:t>
      </w:r>
      <w:r w:rsidRPr="003372FD">
        <w:rPr>
          <w:rFonts w:ascii="Arial" w:hAnsi="Arial" w:cs="Arial"/>
          <w:sz w:val="20"/>
          <w:szCs w:val="20"/>
          <w:lang w:val="en-US"/>
        </w:rPr>
        <w:lastRenderedPageBreak/>
        <w:t xml:space="preserve">to an estimated 1.7 million people from the surrounding area. Consequently, providing an appropriate site for this </w:t>
      </w:r>
      <w:r w:rsidR="00CA7601" w:rsidRPr="003372FD">
        <w:rPr>
          <w:rFonts w:ascii="Arial" w:hAnsi="Arial" w:cs="Arial"/>
          <w:sz w:val="20"/>
          <w:szCs w:val="20"/>
          <w:lang w:val="en-US"/>
        </w:rPr>
        <w:t>initial</w:t>
      </w:r>
      <w:r w:rsidRPr="003372FD">
        <w:rPr>
          <w:rFonts w:ascii="Arial" w:hAnsi="Arial" w:cs="Arial"/>
          <w:sz w:val="20"/>
          <w:szCs w:val="20"/>
          <w:lang w:val="en-US"/>
        </w:rPr>
        <w:t xml:space="preserve"> study.</w:t>
      </w:r>
    </w:p>
    <w:p w14:paraId="54A8FC4F" w14:textId="77777777" w:rsidR="003372FD" w:rsidRDefault="003372FD" w:rsidP="003372FD">
      <w:pPr>
        <w:pStyle w:val="NoSpacing1"/>
        <w:rPr>
          <w:rFonts w:ascii="Arial" w:hAnsi="Arial" w:cs="Arial"/>
          <w:sz w:val="20"/>
          <w:szCs w:val="20"/>
          <w:lang w:val="en-US"/>
        </w:rPr>
      </w:pPr>
    </w:p>
    <w:p w14:paraId="1D447343" w14:textId="376C669A" w:rsidR="00722611" w:rsidRPr="003372FD" w:rsidRDefault="00722611" w:rsidP="003372FD">
      <w:pPr>
        <w:pStyle w:val="NoSpacing1"/>
        <w:rPr>
          <w:rFonts w:ascii="Arial" w:hAnsi="Arial" w:cs="Arial"/>
          <w:sz w:val="20"/>
          <w:szCs w:val="20"/>
          <w:lang w:val="en-US"/>
        </w:rPr>
      </w:pPr>
      <w:r w:rsidRPr="003372FD">
        <w:rPr>
          <w:rFonts w:ascii="Arial" w:hAnsi="Arial" w:cs="Arial"/>
          <w:sz w:val="20"/>
          <w:szCs w:val="20"/>
          <w:lang w:val="en-US"/>
        </w:rPr>
        <w:t>Data was collected on weekdays only</w:t>
      </w:r>
      <w:r w:rsidR="00641E7D" w:rsidRPr="003372FD">
        <w:rPr>
          <w:rFonts w:ascii="Arial" w:hAnsi="Arial" w:cs="Arial"/>
          <w:sz w:val="20"/>
          <w:szCs w:val="20"/>
          <w:lang w:val="en-US"/>
        </w:rPr>
        <w:t xml:space="preserve"> in order not to bias the results</w:t>
      </w:r>
      <w:r w:rsidRPr="003372FD">
        <w:rPr>
          <w:rFonts w:ascii="Arial" w:hAnsi="Arial" w:cs="Arial"/>
          <w:sz w:val="20"/>
          <w:szCs w:val="20"/>
          <w:lang w:val="en-US"/>
        </w:rPr>
        <w:t xml:space="preserve">. The principal researcher </w:t>
      </w:r>
      <w:r w:rsidR="009F5093" w:rsidRPr="003372FD">
        <w:rPr>
          <w:rFonts w:ascii="Arial" w:hAnsi="Arial" w:cs="Arial"/>
          <w:sz w:val="20"/>
          <w:szCs w:val="20"/>
          <w:lang w:val="en-US"/>
        </w:rPr>
        <w:t xml:space="preserve">(NND) </w:t>
      </w:r>
      <w:r w:rsidRPr="003372FD">
        <w:rPr>
          <w:rFonts w:ascii="Arial" w:hAnsi="Arial" w:cs="Arial"/>
          <w:sz w:val="20"/>
          <w:szCs w:val="20"/>
          <w:lang w:val="en-US"/>
        </w:rPr>
        <w:t>collected the data together with a team of trained data collectors</w:t>
      </w:r>
      <w:r w:rsidR="00764CDB" w:rsidRPr="003372FD">
        <w:rPr>
          <w:rFonts w:ascii="Arial" w:hAnsi="Arial" w:cs="Arial"/>
          <w:sz w:val="20"/>
          <w:szCs w:val="20"/>
          <w:lang w:val="en-US"/>
        </w:rPr>
        <w:t xml:space="preserve"> who were pharmac</w:t>
      </w:r>
      <w:r w:rsidR="00DD5155" w:rsidRPr="003372FD">
        <w:rPr>
          <w:rFonts w:ascii="Arial" w:hAnsi="Arial" w:cs="Arial"/>
          <w:sz w:val="20"/>
          <w:szCs w:val="20"/>
          <w:lang w:val="en-US"/>
        </w:rPr>
        <w:t>ist</w:t>
      </w:r>
      <w:r w:rsidR="00764CDB" w:rsidRPr="003372FD">
        <w:rPr>
          <w:rFonts w:ascii="Arial" w:hAnsi="Arial" w:cs="Arial"/>
          <w:sz w:val="20"/>
          <w:szCs w:val="20"/>
          <w:lang w:val="en-US"/>
        </w:rPr>
        <w:t xml:space="preserve"> interns</w:t>
      </w:r>
      <w:r w:rsidR="00096E60" w:rsidRPr="003372FD">
        <w:rPr>
          <w:rFonts w:ascii="Arial" w:hAnsi="Arial" w:cs="Arial"/>
          <w:sz w:val="20"/>
          <w:szCs w:val="20"/>
          <w:lang w:val="en-US"/>
        </w:rPr>
        <w:t>.</w:t>
      </w:r>
      <w:r w:rsidRPr="003372FD">
        <w:rPr>
          <w:rFonts w:ascii="Arial" w:hAnsi="Arial" w:cs="Arial"/>
          <w:sz w:val="20"/>
          <w:szCs w:val="20"/>
          <w:lang w:val="en-US"/>
        </w:rPr>
        <w:t xml:space="preserve"> </w:t>
      </w:r>
      <w:r w:rsidRPr="003372FD">
        <w:rPr>
          <w:rFonts w:ascii="Arial" w:hAnsi="Arial" w:cs="Arial"/>
          <w:sz w:val="20"/>
          <w:szCs w:val="20"/>
        </w:rPr>
        <w:t>Data collectors reviewed medical records on the survey date to determine whether patients may have been receiving an antimicrobial on the day of survey. If so, the information was collected on antimicrobial use</w:t>
      </w:r>
      <w:r w:rsidR="00641E7D" w:rsidRPr="003372FD">
        <w:rPr>
          <w:rFonts w:ascii="Arial" w:hAnsi="Arial" w:cs="Arial"/>
          <w:sz w:val="20"/>
          <w:szCs w:val="20"/>
        </w:rPr>
        <w:t xml:space="preserve">. There was no contact with any of the ward staff including physicians or nurses, or patients, </w:t>
      </w:r>
      <w:r w:rsidR="0009120A" w:rsidRPr="003372FD">
        <w:rPr>
          <w:rFonts w:ascii="Arial" w:hAnsi="Arial" w:cs="Arial"/>
          <w:sz w:val="20"/>
          <w:szCs w:val="20"/>
        </w:rPr>
        <w:t xml:space="preserve">during the PPS </w:t>
      </w:r>
      <w:r w:rsidR="00641E7D" w:rsidRPr="003372FD">
        <w:rPr>
          <w:rFonts w:ascii="Arial" w:hAnsi="Arial" w:cs="Arial"/>
          <w:sz w:val="20"/>
          <w:szCs w:val="20"/>
        </w:rPr>
        <w:t>to ascertain further details as necessary as one of the o</w:t>
      </w:r>
      <w:r w:rsidR="0009120A" w:rsidRPr="003372FD">
        <w:rPr>
          <w:rFonts w:ascii="Arial" w:hAnsi="Arial" w:cs="Arial"/>
          <w:sz w:val="20"/>
          <w:szCs w:val="20"/>
        </w:rPr>
        <w:t xml:space="preserve">utputs of the survey </w:t>
      </w:r>
      <w:r w:rsidR="00641E7D" w:rsidRPr="003372FD">
        <w:rPr>
          <w:rFonts w:ascii="Arial" w:hAnsi="Arial" w:cs="Arial"/>
          <w:sz w:val="20"/>
          <w:szCs w:val="20"/>
        </w:rPr>
        <w:t xml:space="preserve">was to ascertain the extent of information </w:t>
      </w:r>
      <w:r w:rsidR="0009120A" w:rsidRPr="003372FD">
        <w:rPr>
          <w:rFonts w:ascii="Arial" w:hAnsi="Arial" w:cs="Arial"/>
          <w:sz w:val="20"/>
          <w:szCs w:val="20"/>
        </w:rPr>
        <w:t xml:space="preserve">contained </w:t>
      </w:r>
      <w:r w:rsidR="00641E7D" w:rsidRPr="003372FD">
        <w:rPr>
          <w:rFonts w:ascii="Arial" w:hAnsi="Arial" w:cs="Arial"/>
          <w:sz w:val="20"/>
          <w:szCs w:val="20"/>
        </w:rPr>
        <w:t>within patients’ records.</w:t>
      </w:r>
    </w:p>
    <w:p w14:paraId="5C4987EC" w14:textId="77777777" w:rsidR="003372FD" w:rsidRDefault="003372FD" w:rsidP="003372FD">
      <w:pPr>
        <w:pStyle w:val="NoSpacing1"/>
        <w:rPr>
          <w:rFonts w:ascii="Arial" w:hAnsi="Arial" w:cs="Arial"/>
          <w:sz w:val="20"/>
          <w:szCs w:val="20"/>
        </w:rPr>
      </w:pPr>
    </w:p>
    <w:p w14:paraId="0AF6F413" w14:textId="71E43EC9" w:rsidR="00FA271B" w:rsidRPr="003372FD" w:rsidRDefault="00722611" w:rsidP="003372FD">
      <w:pPr>
        <w:pStyle w:val="NoSpacing1"/>
        <w:rPr>
          <w:rFonts w:ascii="Arial" w:hAnsi="Arial" w:cs="Arial"/>
          <w:sz w:val="20"/>
          <w:szCs w:val="20"/>
        </w:rPr>
      </w:pPr>
      <w:r w:rsidRPr="003372FD">
        <w:rPr>
          <w:rFonts w:ascii="Arial" w:hAnsi="Arial" w:cs="Arial"/>
          <w:sz w:val="20"/>
          <w:szCs w:val="20"/>
        </w:rPr>
        <w:t xml:space="preserve">For each antimicrobial, data collectors recorded the rationale for </w:t>
      </w:r>
      <w:r w:rsidR="00641E7D" w:rsidRPr="003372FD">
        <w:rPr>
          <w:rFonts w:ascii="Arial" w:hAnsi="Arial" w:cs="Arial"/>
          <w:sz w:val="20"/>
          <w:szCs w:val="20"/>
        </w:rPr>
        <w:t xml:space="preserve">its </w:t>
      </w:r>
      <w:r w:rsidRPr="003372FD">
        <w:rPr>
          <w:rFonts w:ascii="Arial" w:hAnsi="Arial" w:cs="Arial"/>
          <w:sz w:val="20"/>
          <w:szCs w:val="20"/>
        </w:rPr>
        <w:t>use</w:t>
      </w:r>
      <w:r w:rsidR="00641E7D" w:rsidRPr="003372FD">
        <w:rPr>
          <w:rFonts w:ascii="Arial" w:hAnsi="Arial" w:cs="Arial"/>
          <w:sz w:val="20"/>
          <w:szCs w:val="20"/>
        </w:rPr>
        <w:t>,</w:t>
      </w:r>
      <w:r w:rsidRPr="003372FD">
        <w:rPr>
          <w:rFonts w:ascii="Arial" w:hAnsi="Arial" w:cs="Arial"/>
          <w:sz w:val="20"/>
          <w:szCs w:val="20"/>
        </w:rPr>
        <w:t xml:space="preserve"> i.e.</w:t>
      </w:r>
      <w:r w:rsidR="00641E7D" w:rsidRPr="003372FD">
        <w:rPr>
          <w:rFonts w:ascii="Arial" w:hAnsi="Arial" w:cs="Arial"/>
          <w:sz w:val="20"/>
          <w:szCs w:val="20"/>
        </w:rPr>
        <w:t>,</w:t>
      </w:r>
      <w:r w:rsidRPr="003372FD">
        <w:rPr>
          <w:rFonts w:ascii="Arial" w:hAnsi="Arial" w:cs="Arial"/>
          <w:sz w:val="20"/>
          <w:szCs w:val="20"/>
        </w:rPr>
        <w:t xml:space="preserve"> </w:t>
      </w:r>
      <w:r w:rsidR="00641E7D" w:rsidRPr="003372FD">
        <w:rPr>
          <w:rFonts w:ascii="Arial" w:hAnsi="Arial" w:cs="Arial"/>
          <w:sz w:val="20"/>
          <w:szCs w:val="20"/>
        </w:rPr>
        <w:t xml:space="preserve">the </w:t>
      </w:r>
      <w:r w:rsidRPr="003372FD">
        <w:rPr>
          <w:rFonts w:ascii="Arial" w:hAnsi="Arial" w:cs="Arial"/>
          <w:sz w:val="20"/>
          <w:szCs w:val="20"/>
        </w:rPr>
        <w:t xml:space="preserve">treatment of </w:t>
      </w:r>
      <w:r w:rsidR="00641E7D" w:rsidRPr="003372FD">
        <w:rPr>
          <w:rFonts w:ascii="Arial" w:hAnsi="Arial" w:cs="Arial"/>
          <w:sz w:val="20"/>
          <w:szCs w:val="20"/>
        </w:rPr>
        <w:t xml:space="preserve">the </w:t>
      </w:r>
      <w:r w:rsidRPr="003372FD">
        <w:rPr>
          <w:rFonts w:ascii="Arial" w:hAnsi="Arial" w:cs="Arial"/>
          <w:sz w:val="20"/>
          <w:szCs w:val="20"/>
        </w:rPr>
        <w:t>infection</w:t>
      </w:r>
      <w:r w:rsidR="00570E4E" w:rsidRPr="003372FD">
        <w:rPr>
          <w:rFonts w:ascii="Arial" w:hAnsi="Arial" w:cs="Arial"/>
          <w:sz w:val="20"/>
          <w:szCs w:val="20"/>
        </w:rPr>
        <w:t>,</w:t>
      </w:r>
      <w:r w:rsidRPr="003372FD">
        <w:rPr>
          <w:rFonts w:ascii="Arial" w:hAnsi="Arial" w:cs="Arial"/>
          <w:sz w:val="20"/>
          <w:szCs w:val="20"/>
        </w:rPr>
        <w:t xml:space="preserve"> </w:t>
      </w:r>
      <w:r w:rsidR="00641E7D" w:rsidRPr="003372FD">
        <w:rPr>
          <w:rFonts w:ascii="Arial" w:hAnsi="Arial" w:cs="Arial"/>
          <w:sz w:val="20"/>
          <w:szCs w:val="20"/>
        </w:rPr>
        <w:t xml:space="preserve">whether </w:t>
      </w:r>
      <w:r w:rsidRPr="003372FD">
        <w:rPr>
          <w:rFonts w:ascii="Arial" w:hAnsi="Arial" w:cs="Arial"/>
          <w:sz w:val="20"/>
          <w:szCs w:val="20"/>
        </w:rPr>
        <w:t xml:space="preserve">surgical </w:t>
      </w:r>
      <w:r w:rsidR="00641E7D" w:rsidRPr="003372FD">
        <w:rPr>
          <w:rFonts w:ascii="Arial" w:hAnsi="Arial" w:cs="Arial"/>
          <w:sz w:val="20"/>
          <w:szCs w:val="20"/>
        </w:rPr>
        <w:t xml:space="preserve">or medical </w:t>
      </w:r>
      <w:r w:rsidRPr="003372FD">
        <w:rPr>
          <w:rFonts w:ascii="Arial" w:hAnsi="Arial" w:cs="Arial"/>
          <w:sz w:val="20"/>
          <w:szCs w:val="20"/>
        </w:rPr>
        <w:t xml:space="preserve">prophylaxis, </w:t>
      </w:r>
      <w:r w:rsidR="00641E7D" w:rsidRPr="003372FD">
        <w:rPr>
          <w:rFonts w:ascii="Arial" w:hAnsi="Arial" w:cs="Arial"/>
          <w:sz w:val="20"/>
          <w:szCs w:val="20"/>
        </w:rPr>
        <w:t xml:space="preserve">or </w:t>
      </w:r>
      <w:r w:rsidRPr="003372FD">
        <w:rPr>
          <w:rFonts w:ascii="Arial" w:hAnsi="Arial" w:cs="Arial"/>
          <w:sz w:val="20"/>
          <w:szCs w:val="20"/>
        </w:rPr>
        <w:t>a non-infection-related reason. Empirical use of antimicrobial drugs for suspected infections was considered treatment. For antimicrobial drugs given to treat infections, data collectors identified the anatomical site of the infection from the patient’s records</w:t>
      </w:r>
      <w:r w:rsidR="00641E7D" w:rsidRPr="003372FD">
        <w:rPr>
          <w:rFonts w:ascii="Arial" w:hAnsi="Arial" w:cs="Arial"/>
          <w:sz w:val="20"/>
          <w:szCs w:val="20"/>
        </w:rPr>
        <w:t xml:space="preserve"> only if this was recorded</w:t>
      </w:r>
      <w:r w:rsidRPr="003372FD">
        <w:rPr>
          <w:rFonts w:ascii="Arial" w:hAnsi="Arial" w:cs="Arial"/>
          <w:sz w:val="20"/>
          <w:szCs w:val="20"/>
        </w:rPr>
        <w:t>.</w:t>
      </w:r>
      <w:r w:rsidR="00641E7D" w:rsidRPr="003372FD">
        <w:rPr>
          <w:rFonts w:ascii="Arial" w:hAnsi="Arial" w:cs="Arial"/>
          <w:sz w:val="20"/>
          <w:szCs w:val="20"/>
        </w:rPr>
        <w:t xml:space="preserve"> The data collectors also documented any antimicrobial use in the previous 90 days based on data contained within the patients’ records. </w:t>
      </w:r>
      <w:r w:rsidR="00EB2C38" w:rsidRPr="003372FD">
        <w:rPr>
          <w:rFonts w:ascii="Arial" w:hAnsi="Arial" w:cs="Arial"/>
          <w:sz w:val="20"/>
          <w:szCs w:val="20"/>
        </w:rPr>
        <w:t xml:space="preserve">Antimicrobials included antibiotics, anti-tuberculosis medicines and antifungals in line with previous PPS studies and in view of the high rate of TB and </w:t>
      </w:r>
      <w:r w:rsidR="00DD5155" w:rsidRPr="003372FD">
        <w:rPr>
          <w:rFonts w:ascii="Arial" w:hAnsi="Arial" w:cs="Arial"/>
          <w:sz w:val="20"/>
          <w:szCs w:val="20"/>
        </w:rPr>
        <w:t xml:space="preserve">use of </w:t>
      </w:r>
      <w:r w:rsidR="00EB2C38" w:rsidRPr="003372FD">
        <w:rPr>
          <w:rFonts w:ascii="Arial" w:hAnsi="Arial" w:cs="Arial"/>
          <w:sz w:val="20"/>
          <w:szCs w:val="20"/>
        </w:rPr>
        <w:t>antifungals</w:t>
      </w:r>
      <w:r w:rsidR="00DD5155" w:rsidRPr="003372FD">
        <w:rPr>
          <w:rFonts w:ascii="Arial" w:hAnsi="Arial" w:cs="Arial"/>
          <w:sz w:val="20"/>
          <w:szCs w:val="20"/>
        </w:rPr>
        <w:t>,</w:t>
      </w:r>
      <w:r w:rsidR="00EB2C38" w:rsidRPr="003372FD">
        <w:rPr>
          <w:rFonts w:ascii="Arial" w:hAnsi="Arial" w:cs="Arial"/>
          <w:sz w:val="20"/>
          <w:szCs w:val="20"/>
        </w:rPr>
        <w:t xml:space="preserve"> </w:t>
      </w:r>
      <w:r w:rsidR="00DD5155" w:rsidRPr="003372FD">
        <w:rPr>
          <w:rFonts w:ascii="Arial" w:hAnsi="Arial" w:cs="Arial"/>
          <w:sz w:val="20"/>
          <w:szCs w:val="20"/>
        </w:rPr>
        <w:t>potentially</w:t>
      </w:r>
      <w:r w:rsidR="00EB2C38" w:rsidRPr="003372FD">
        <w:rPr>
          <w:rFonts w:ascii="Arial" w:hAnsi="Arial" w:cs="Arial"/>
          <w:sz w:val="20"/>
          <w:szCs w:val="20"/>
        </w:rPr>
        <w:t xml:space="preserve"> play</w:t>
      </w:r>
      <w:r w:rsidR="00DD5155" w:rsidRPr="003372FD">
        <w:rPr>
          <w:rFonts w:ascii="Arial" w:hAnsi="Arial" w:cs="Arial"/>
          <w:sz w:val="20"/>
          <w:szCs w:val="20"/>
        </w:rPr>
        <w:t>ing</w:t>
      </w:r>
      <w:r w:rsidR="00EB2C38" w:rsidRPr="003372FD">
        <w:rPr>
          <w:rFonts w:ascii="Arial" w:hAnsi="Arial" w:cs="Arial"/>
          <w:sz w:val="20"/>
          <w:szCs w:val="20"/>
        </w:rPr>
        <w:t xml:space="preserve"> a role in resistance development [</w:t>
      </w:r>
      <w:r w:rsidR="00927C8F" w:rsidRPr="003372FD">
        <w:rPr>
          <w:rFonts w:ascii="Arial" w:hAnsi="Arial" w:cs="Arial"/>
          <w:sz w:val="20"/>
          <w:szCs w:val="20"/>
        </w:rPr>
        <w:t>20,</w:t>
      </w:r>
      <w:r w:rsidR="00EB2C38" w:rsidRPr="003372FD">
        <w:rPr>
          <w:rFonts w:ascii="Arial" w:hAnsi="Arial" w:cs="Arial"/>
          <w:sz w:val="20"/>
          <w:szCs w:val="20"/>
        </w:rPr>
        <w:t>27,28,34,35].</w:t>
      </w:r>
    </w:p>
    <w:p w14:paraId="3EFE35B3" w14:textId="77777777" w:rsidR="00FA271B" w:rsidRPr="003372FD" w:rsidRDefault="00FA271B" w:rsidP="003372FD">
      <w:pPr>
        <w:pStyle w:val="NoSpacing1"/>
        <w:rPr>
          <w:rFonts w:ascii="Arial" w:hAnsi="Arial" w:cs="Arial"/>
          <w:sz w:val="20"/>
          <w:szCs w:val="20"/>
          <w:lang w:val="en-US"/>
        </w:rPr>
      </w:pPr>
    </w:p>
    <w:p w14:paraId="7180894F" w14:textId="0B87EC6B" w:rsidR="00FA271B" w:rsidRPr="003372FD" w:rsidRDefault="00B10309" w:rsidP="003372FD">
      <w:pPr>
        <w:pStyle w:val="NoSpacing1"/>
        <w:rPr>
          <w:rFonts w:ascii="Arial" w:hAnsi="Arial" w:cs="Arial"/>
          <w:b/>
          <w:sz w:val="20"/>
          <w:szCs w:val="20"/>
          <w:lang w:val="en-US"/>
        </w:rPr>
      </w:pPr>
      <w:r w:rsidRPr="003372FD">
        <w:rPr>
          <w:rFonts w:ascii="Arial" w:hAnsi="Arial" w:cs="Arial"/>
          <w:b/>
          <w:sz w:val="20"/>
          <w:szCs w:val="20"/>
          <w:lang w:val="en-US"/>
        </w:rPr>
        <w:t xml:space="preserve">2.2 </w:t>
      </w:r>
      <w:r w:rsidR="00FA271B" w:rsidRPr="003372FD">
        <w:rPr>
          <w:rFonts w:ascii="Arial" w:hAnsi="Arial" w:cs="Arial"/>
          <w:b/>
          <w:sz w:val="20"/>
          <w:szCs w:val="20"/>
          <w:lang w:val="en-US"/>
        </w:rPr>
        <w:t>Study population and sample</w:t>
      </w:r>
    </w:p>
    <w:p w14:paraId="6B209C80" w14:textId="6DBFE01A" w:rsidR="00FA271B"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 xml:space="preserve">As this was a PPS, no sampling was undertaken. Data was collected only once, from all the in-patient wards in the hospital except for day admissions such as renal </w:t>
      </w:r>
      <w:r w:rsidR="0009120A" w:rsidRPr="003372FD">
        <w:rPr>
          <w:rFonts w:ascii="Arial" w:hAnsi="Arial" w:cs="Arial"/>
          <w:sz w:val="20"/>
          <w:szCs w:val="20"/>
          <w:lang w:val="en-US"/>
        </w:rPr>
        <w:t xml:space="preserve">dialysis patients </w:t>
      </w:r>
      <w:r w:rsidRPr="003372FD">
        <w:rPr>
          <w:rFonts w:ascii="Arial" w:hAnsi="Arial" w:cs="Arial"/>
          <w:sz w:val="20"/>
          <w:szCs w:val="20"/>
          <w:lang w:val="en-US"/>
        </w:rPr>
        <w:t>a</w:t>
      </w:r>
      <w:r w:rsidR="00CA7601" w:rsidRPr="003372FD">
        <w:rPr>
          <w:rFonts w:ascii="Arial" w:hAnsi="Arial" w:cs="Arial"/>
          <w:sz w:val="20"/>
          <w:szCs w:val="20"/>
          <w:lang w:val="en-US"/>
        </w:rPr>
        <w:t>s well as</w:t>
      </w:r>
      <w:r w:rsidRPr="003372FD">
        <w:rPr>
          <w:rFonts w:ascii="Arial" w:hAnsi="Arial" w:cs="Arial"/>
          <w:sz w:val="20"/>
          <w:szCs w:val="20"/>
          <w:lang w:val="en-US"/>
        </w:rPr>
        <w:t xml:space="preserve"> emergency and accidents wards. Each ward within the hospital was surveyed only on</w:t>
      </w:r>
      <w:r w:rsidR="0009120A" w:rsidRPr="003372FD">
        <w:rPr>
          <w:rFonts w:ascii="Arial" w:hAnsi="Arial" w:cs="Arial"/>
          <w:sz w:val="20"/>
          <w:szCs w:val="20"/>
          <w:lang w:val="en-US"/>
        </w:rPr>
        <w:t>c</w:t>
      </w:r>
      <w:r w:rsidRPr="003372FD">
        <w:rPr>
          <w:rFonts w:ascii="Arial" w:hAnsi="Arial" w:cs="Arial"/>
          <w:sz w:val="20"/>
          <w:szCs w:val="20"/>
          <w:lang w:val="en-US"/>
        </w:rPr>
        <w:t xml:space="preserve">e. The wards in the hospital were not all necessarily surveyed on the same day, but all beds in </w:t>
      </w:r>
      <w:r w:rsidR="0009120A" w:rsidRPr="003372FD">
        <w:rPr>
          <w:rFonts w:ascii="Arial" w:hAnsi="Arial" w:cs="Arial"/>
          <w:sz w:val="20"/>
          <w:szCs w:val="20"/>
          <w:lang w:val="en-US"/>
        </w:rPr>
        <w:t>a given</w:t>
      </w:r>
      <w:r w:rsidRPr="003372FD">
        <w:rPr>
          <w:rFonts w:ascii="Arial" w:hAnsi="Arial" w:cs="Arial"/>
          <w:sz w:val="20"/>
          <w:szCs w:val="20"/>
          <w:lang w:val="en-US"/>
        </w:rPr>
        <w:t xml:space="preserve"> ward were completely surveyed in one day. This ensured that the denominator (number of admitted patients) was calculated correctly.</w:t>
      </w:r>
    </w:p>
    <w:p w14:paraId="5D20BDA1" w14:textId="77777777" w:rsidR="00FA271B" w:rsidRPr="003372FD" w:rsidRDefault="00FA271B" w:rsidP="003372FD">
      <w:pPr>
        <w:pStyle w:val="NoSpacing1"/>
        <w:rPr>
          <w:rFonts w:ascii="Arial" w:hAnsi="Arial" w:cs="Arial"/>
          <w:sz w:val="20"/>
          <w:szCs w:val="20"/>
          <w:lang w:val="en-US"/>
        </w:rPr>
      </w:pPr>
    </w:p>
    <w:p w14:paraId="4C17AF51" w14:textId="65721EEC" w:rsidR="00FA271B" w:rsidRPr="003372FD" w:rsidRDefault="00B10309" w:rsidP="003372FD">
      <w:pPr>
        <w:pStyle w:val="NoSpacing1"/>
        <w:rPr>
          <w:rFonts w:ascii="Arial" w:hAnsi="Arial" w:cs="Arial"/>
          <w:b/>
          <w:sz w:val="20"/>
          <w:szCs w:val="20"/>
          <w:lang w:val="en-US"/>
        </w:rPr>
      </w:pPr>
      <w:r w:rsidRPr="003372FD">
        <w:rPr>
          <w:rFonts w:ascii="Arial" w:hAnsi="Arial" w:cs="Arial"/>
          <w:b/>
          <w:sz w:val="20"/>
          <w:szCs w:val="20"/>
          <w:lang w:val="en-US"/>
        </w:rPr>
        <w:t xml:space="preserve">2.3 </w:t>
      </w:r>
      <w:r w:rsidR="00FA271B" w:rsidRPr="003372FD">
        <w:rPr>
          <w:rFonts w:ascii="Arial" w:hAnsi="Arial" w:cs="Arial"/>
          <w:b/>
          <w:sz w:val="20"/>
          <w:szCs w:val="20"/>
          <w:lang w:val="en-US"/>
        </w:rPr>
        <w:t>Data entry and analysis</w:t>
      </w:r>
    </w:p>
    <w:p w14:paraId="43AD8A7F" w14:textId="3E12ACEC" w:rsidR="00FA271B"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 xml:space="preserve">The data was taken from patients’ bed charts, which are paper-based and organized in a file, </w:t>
      </w:r>
      <w:r w:rsidR="0009120A" w:rsidRPr="003372FD">
        <w:rPr>
          <w:rFonts w:ascii="Arial" w:hAnsi="Arial" w:cs="Arial"/>
          <w:sz w:val="20"/>
          <w:szCs w:val="20"/>
          <w:lang w:val="en-US"/>
        </w:rPr>
        <w:t>contain</w:t>
      </w:r>
      <w:r w:rsidR="00657EC7" w:rsidRPr="003372FD">
        <w:rPr>
          <w:rFonts w:ascii="Arial" w:hAnsi="Arial" w:cs="Arial"/>
          <w:sz w:val="20"/>
          <w:szCs w:val="20"/>
          <w:lang w:val="en-US"/>
        </w:rPr>
        <w:t>ing</w:t>
      </w:r>
      <w:r w:rsidRPr="003372FD">
        <w:rPr>
          <w:rFonts w:ascii="Arial" w:hAnsi="Arial" w:cs="Arial"/>
          <w:sz w:val="20"/>
          <w:szCs w:val="20"/>
          <w:lang w:val="en-US"/>
        </w:rPr>
        <w:t xml:space="preserve"> all the patients’ records. The data was subsequently captured onto Microsoft </w:t>
      </w:r>
      <w:proofErr w:type="spellStart"/>
      <w:r w:rsidRPr="003372FD">
        <w:rPr>
          <w:rFonts w:ascii="Arial" w:hAnsi="Arial" w:cs="Arial"/>
          <w:sz w:val="20"/>
          <w:szCs w:val="20"/>
          <w:lang w:val="en-US"/>
        </w:rPr>
        <w:t>Excel</w:t>
      </w:r>
      <w:r w:rsidRPr="003372FD">
        <w:rPr>
          <w:rFonts w:ascii="Arial" w:hAnsi="Arial" w:cs="Arial"/>
          <w:sz w:val="20"/>
          <w:szCs w:val="20"/>
          <w:vertAlign w:val="superscript"/>
          <w:lang w:val="en-US"/>
        </w:rPr>
        <w:t>TM</w:t>
      </w:r>
      <w:proofErr w:type="spellEnd"/>
      <w:r w:rsidRPr="003372FD">
        <w:rPr>
          <w:rFonts w:ascii="Arial" w:hAnsi="Arial" w:cs="Arial"/>
          <w:sz w:val="20"/>
          <w:szCs w:val="20"/>
          <w:lang w:val="en-US"/>
        </w:rPr>
        <w:t xml:space="preserve"> spread sheets and </w:t>
      </w:r>
      <w:proofErr w:type="spellStart"/>
      <w:r w:rsidRPr="003372FD">
        <w:rPr>
          <w:rFonts w:ascii="Arial" w:hAnsi="Arial" w:cs="Arial"/>
          <w:sz w:val="20"/>
          <w:szCs w:val="20"/>
          <w:lang w:val="en-US"/>
        </w:rPr>
        <w:t>analysed</w:t>
      </w:r>
      <w:proofErr w:type="spellEnd"/>
      <w:r w:rsidRPr="003372FD">
        <w:rPr>
          <w:rFonts w:ascii="Arial" w:hAnsi="Arial" w:cs="Arial"/>
          <w:sz w:val="20"/>
          <w:szCs w:val="20"/>
          <w:lang w:val="en-US"/>
        </w:rPr>
        <w:t xml:space="preserve"> using SPSS Version 8.0 for Windows. </w:t>
      </w:r>
      <w:r w:rsidR="0009120A" w:rsidRPr="003372FD">
        <w:rPr>
          <w:rFonts w:ascii="Arial" w:hAnsi="Arial" w:cs="Arial"/>
          <w:sz w:val="20"/>
          <w:szCs w:val="20"/>
          <w:lang w:val="en-US"/>
        </w:rPr>
        <w:t>The e</w:t>
      </w:r>
      <w:r w:rsidRPr="003372FD">
        <w:rPr>
          <w:rFonts w:ascii="Arial" w:hAnsi="Arial" w:cs="Arial"/>
          <w:sz w:val="20"/>
          <w:szCs w:val="20"/>
          <w:lang w:val="en-US"/>
        </w:rPr>
        <w:t xml:space="preserve">ntered data was </w:t>
      </w:r>
      <w:r w:rsidR="0009120A" w:rsidRPr="003372FD">
        <w:rPr>
          <w:rFonts w:ascii="Arial" w:hAnsi="Arial" w:cs="Arial"/>
          <w:sz w:val="20"/>
          <w:szCs w:val="20"/>
          <w:lang w:val="en-US"/>
        </w:rPr>
        <w:t xml:space="preserve">subsequently </w:t>
      </w:r>
      <w:r w:rsidRPr="003372FD">
        <w:rPr>
          <w:rFonts w:ascii="Arial" w:hAnsi="Arial" w:cs="Arial"/>
          <w:sz w:val="20"/>
          <w:szCs w:val="20"/>
          <w:lang w:val="en-US"/>
        </w:rPr>
        <w:t xml:space="preserve">checked for accuracy and cleaned prior to analysis. This was a descriptive, explanatory analysis of information </w:t>
      </w:r>
      <w:r w:rsidR="0009120A" w:rsidRPr="003372FD">
        <w:rPr>
          <w:rFonts w:ascii="Arial" w:hAnsi="Arial" w:cs="Arial"/>
          <w:sz w:val="20"/>
          <w:szCs w:val="20"/>
        </w:rPr>
        <w:t>including</w:t>
      </w:r>
      <w:r w:rsidRPr="003372FD">
        <w:rPr>
          <w:rFonts w:ascii="Arial" w:hAnsi="Arial" w:cs="Arial"/>
          <w:sz w:val="20"/>
          <w:szCs w:val="20"/>
        </w:rPr>
        <w:t xml:space="preserve"> epidemiologic parameters, </w:t>
      </w:r>
      <w:r w:rsidR="00BF1392" w:rsidRPr="003372FD">
        <w:rPr>
          <w:rFonts w:ascii="Arial" w:hAnsi="Arial" w:cs="Arial"/>
          <w:sz w:val="20"/>
          <w:szCs w:val="20"/>
        </w:rPr>
        <w:t>a</w:t>
      </w:r>
      <w:r w:rsidR="0009120A" w:rsidRPr="003372FD">
        <w:rPr>
          <w:rFonts w:ascii="Arial" w:hAnsi="Arial" w:cs="Arial"/>
          <w:sz w:val="20"/>
          <w:szCs w:val="20"/>
        </w:rPr>
        <w:t>s well as</w:t>
      </w:r>
      <w:r w:rsidR="00BF1392" w:rsidRPr="003372FD">
        <w:rPr>
          <w:rFonts w:ascii="Arial" w:hAnsi="Arial" w:cs="Arial"/>
          <w:sz w:val="20"/>
          <w:szCs w:val="20"/>
        </w:rPr>
        <w:t xml:space="preserve"> </w:t>
      </w:r>
      <w:r w:rsidRPr="003372FD">
        <w:rPr>
          <w:rFonts w:ascii="Arial" w:hAnsi="Arial" w:cs="Arial"/>
          <w:sz w:val="20"/>
          <w:szCs w:val="20"/>
        </w:rPr>
        <w:t>the prevalence and degree of consumption of antimicrobials</w:t>
      </w:r>
      <w:r w:rsidR="00BF1392" w:rsidRPr="003372FD">
        <w:rPr>
          <w:rFonts w:ascii="Arial" w:hAnsi="Arial" w:cs="Arial"/>
          <w:sz w:val="20"/>
          <w:szCs w:val="20"/>
        </w:rPr>
        <w:t xml:space="preserve">. This includes the </w:t>
      </w:r>
      <w:r w:rsidRPr="003372FD">
        <w:rPr>
          <w:rFonts w:ascii="Arial" w:hAnsi="Arial" w:cs="Arial"/>
          <w:sz w:val="20"/>
          <w:szCs w:val="20"/>
        </w:rPr>
        <w:t xml:space="preserve">number of prescriptions and drug prescription profiles considering different ages and genders. Descriptive statistics were performed on </w:t>
      </w:r>
      <w:r w:rsidR="00D676D3" w:rsidRPr="003372FD">
        <w:rPr>
          <w:rFonts w:ascii="Arial" w:hAnsi="Arial" w:cs="Arial"/>
          <w:sz w:val="20"/>
          <w:szCs w:val="20"/>
        </w:rPr>
        <w:t xml:space="preserve">the </w:t>
      </w:r>
      <w:r w:rsidRPr="003372FD">
        <w:rPr>
          <w:rFonts w:ascii="Arial" w:hAnsi="Arial" w:cs="Arial"/>
          <w:sz w:val="20"/>
          <w:szCs w:val="20"/>
        </w:rPr>
        <w:t xml:space="preserve">retrieved data. </w:t>
      </w:r>
      <w:r w:rsidRPr="003372FD">
        <w:rPr>
          <w:rFonts w:ascii="Arial" w:hAnsi="Arial" w:cs="Arial"/>
          <w:sz w:val="20"/>
          <w:szCs w:val="20"/>
          <w:lang w:val="en-US"/>
        </w:rPr>
        <w:t>Categorical variables were calculated as percentages and measures of central tendency for continuous variables</w:t>
      </w:r>
      <w:r w:rsidR="00D676D3" w:rsidRPr="003372FD">
        <w:rPr>
          <w:rFonts w:ascii="Arial" w:hAnsi="Arial" w:cs="Arial"/>
          <w:sz w:val="20"/>
          <w:szCs w:val="20"/>
          <w:lang w:val="en-US"/>
        </w:rPr>
        <w:t>, which</w:t>
      </w:r>
      <w:r w:rsidRPr="003372FD">
        <w:rPr>
          <w:rFonts w:ascii="Arial" w:hAnsi="Arial" w:cs="Arial"/>
          <w:sz w:val="20"/>
          <w:szCs w:val="20"/>
          <w:lang w:val="en-US"/>
        </w:rPr>
        <w:t xml:space="preserve"> included the mean with standard deviation</w:t>
      </w:r>
      <w:r w:rsidR="00657EC7" w:rsidRPr="003372FD">
        <w:rPr>
          <w:rFonts w:ascii="Arial" w:hAnsi="Arial" w:cs="Arial"/>
          <w:sz w:val="20"/>
          <w:szCs w:val="20"/>
          <w:lang w:val="en-US"/>
        </w:rPr>
        <w:t xml:space="preserve"> (SD)</w:t>
      </w:r>
      <w:r w:rsidRPr="003372FD">
        <w:rPr>
          <w:rFonts w:ascii="Arial" w:hAnsi="Arial" w:cs="Arial"/>
          <w:sz w:val="20"/>
          <w:szCs w:val="20"/>
          <w:lang w:val="en-US"/>
        </w:rPr>
        <w:t xml:space="preserve">, the median with inter quartile range </w:t>
      </w:r>
      <w:r w:rsidR="00657EC7" w:rsidRPr="003372FD">
        <w:rPr>
          <w:rFonts w:ascii="Arial" w:hAnsi="Arial" w:cs="Arial"/>
          <w:sz w:val="20"/>
          <w:szCs w:val="20"/>
          <w:lang w:val="en-US"/>
        </w:rPr>
        <w:t xml:space="preserve">(IQR) </w:t>
      </w:r>
      <w:r w:rsidRPr="003372FD">
        <w:rPr>
          <w:rFonts w:ascii="Arial" w:hAnsi="Arial" w:cs="Arial"/>
          <w:sz w:val="20"/>
          <w:szCs w:val="20"/>
          <w:lang w:val="en-US"/>
        </w:rPr>
        <w:t>and 95% confidence interval</w:t>
      </w:r>
      <w:r w:rsidR="00D676D3" w:rsidRPr="003372FD">
        <w:rPr>
          <w:rFonts w:ascii="Arial" w:hAnsi="Arial" w:cs="Arial"/>
          <w:sz w:val="20"/>
          <w:szCs w:val="20"/>
          <w:lang w:val="en-US"/>
        </w:rPr>
        <w:t>s</w:t>
      </w:r>
      <w:r w:rsidRPr="003372FD">
        <w:rPr>
          <w:rFonts w:ascii="Arial" w:hAnsi="Arial" w:cs="Arial"/>
          <w:sz w:val="20"/>
          <w:szCs w:val="20"/>
          <w:lang w:val="en-US"/>
        </w:rPr>
        <w:t xml:space="preserve"> (CI).  </w:t>
      </w:r>
    </w:p>
    <w:p w14:paraId="73A6FC55" w14:textId="77777777" w:rsidR="00FA271B" w:rsidRPr="003372FD" w:rsidRDefault="00FA271B" w:rsidP="003372FD">
      <w:pPr>
        <w:pStyle w:val="NoSpacing1"/>
        <w:rPr>
          <w:rFonts w:ascii="Arial" w:hAnsi="Arial" w:cs="Arial"/>
          <w:sz w:val="20"/>
          <w:szCs w:val="20"/>
        </w:rPr>
      </w:pPr>
    </w:p>
    <w:p w14:paraId="3DAB8C4B" w14:textId="00DF2197" w:rsidR="006351BF"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 xml:space="preserve">Antimicrobials prescribed were </w:t>
      </w:r>
      <w:proofErr w:type="spellStart"/>
      <w:r w:rsidRPr="003372FD">
        <w:rPr>
          <w:rFonts w:ascii="Arial" w:hAnsi="Arial" w:cs="Arial"/>
          <w:sz w:val="20"/>
          <w:szCs w:val="20"/>
          <w:lang w:val="en-US"/>
        </w:rPr>
        <w:t>analysed</w:t>
      </w:r>
      <w:proofErr w:type="spellEnd"/>
      <w:r w:rsidRPr="003372FD">
        <w:rPr>
          <w:rFonts w:ascii="Arial" w:hAnsi="Arial" w:cs="Arial"/>
          <w:sz w:val="20"/>
          <w:szCs w:val="20"/>
          <w:lang w:val="en-US"/>
        </w:rPr>
        <w:t xml:space="preserve"> according to the WHO’s Anatomical Therapeutic  Chemical (ATC) classification of medicines (ATC level 5)</w:t>
      </w:r>
      <w:r w:rsidRPr="003372FD">
        <w:rPr>
          <w:rFonts w:ascii="Arial" w:hAnsi="Arial" w:cs="Arial"/>
          <w:sz w:val="20"/>
          <w:szCs w:val="20"/>
          <w:lang w:val="en-US"/>
        </w:rPr>
        <w:fldChar w:fldCharType="begin"/>
      </w:r>
      <w:r w:rsidRPr="003372FD">
        <w:rPr>
          <w:rFonts w:ascii="Arial" w:hAnsi="Arial" w:cs="Arial"/>
          <w:sz w:val="20"/>
          <w:szCs w:val="20"/>
          <w:lang w:val="en-US"/>
        </w:rPr>
        <w:instrText xml:space="preserve"> ADDIN EN.CITE &lt;EndNote&gt;&lt;Cite&gt;&lt;Author&gt;WHO&lt;/Author&gt;&lt;RecNum&gt;1127&lt;/RecNum&gt;&lt;DisplayText&gt;(30)&lt;/DisplayText&gt;&lt;record&gt;&lt;rec-number&gt;1127&lt;/rec-number&gt;&lt;foreign-keys&gt;&lt;key app="EN" db-id="tztewz5eed050ueewv75axahvav02sewvwrv" timestamp="1494524341"&gt;1127&lt;/key&gt;&lt;/foreign-keys&gt;&lt;ref-type name="Web Page"&gt;12&lt;/ref-type&gt;&lt;contributors&gt;&lt;authors&gt;&lt;author&gt;WHO&lt;/author&gt;&lt;/authors&gt;&lt;/contributors&gt;&lt;titles&gt;&lt;title&gt;WHO Collaborating Centre for Drug Statistics Methodology. ATC/ DDD Index. Available at URL: https://www.whocc.no/&lt;/title&gt;&lt;/titles&gt;&lt;dates&gt;&lt;/dates&gt;&lt;urls&gt;&lt;/urls&gt;&lt;/record&gt;&lt;/Cite&gt;&lt;/EndNote&gt;</w:instrText>
      </w:r>
      <w:r w:rsidRPr="003372FD">
        <w:rPr>
          <w:rFonts w:ascii="Arial" w:hAnsi="Arial" w:cs="Arial"/>
          <w:sz w:val="20"/>
          <w:szCs w:val="20"/>
        </w:rPr>
        <w:fldChar w:fldCharType="end"/>
      </w:r>
      <w:r w:rsidR="00204727" w:rsidRPr="003372FD">
        <w:rPr>
          <w:rFonts w:ascii="Arial" w:hAnsi="Arial" w:cs="Arial"/>
          <w:sz w:val="20"/>
          <w:szCs w:val="20"/>
          <w:lang w:val="en-US"/>
        </w:rPr>
        <w:t xml:space="preserve"> [</w:t>
      </w:r>
      <w:r w:rsidR="006351BF" w:rsidRPr="003372FD">
        <w:rPr>
          <w:rFonts w:ascii="Arial" w:hAnsi="Arial" w:cs="Arial"/>
          <w:sz w:val="20"/>
          <w:szCs w:val="20"/>
          <w:lang w:val="en-US"/>
        </w:rPr>
        <w:t>4</w:t>
      </w:r>
      <w:r w:rsidR="00B4728E" w:rsidRPr="003372FD">
        <w:rPr>
          <w:rFonts w:ascii="Arial" w:hAnsi="Arial" w:cs="Arial"/>
          <w:sz w:val="20"/>
          <w:szCs w:val="20"/>
          <w:lang w:val="en-US"/>
        </w:rPr>
        <w:t>8</w:t>
      </w:r>
      <w:r w:rsidR="00204727" w:rsidRPr="003372FD">
        <w:rPr>
          <w:rFonts w:ascii="Arial" w:hAnsi="Arial" w:cs="Arial"/>
          <w:sz w:val="20"/>
          <w:szCs w:val="20"/>
          <w:lang w:val="en-US"/>
        </w:rPr>
        <w:t>] ,</w:t>
      </w:r>
      <w:r w:rsidRPr="003372FD">
        <w:rPr>
          <w:rFonts w:ascii="Arial" w:hAnsi="Arial" w:cs="Arial"/>
          <w:sz w:val="20"/>
          <w:szCs w:val="20"/>
          <w:lang w:val="en-US"/>
        </w:rPr>
        <w:t xml:space="preserve"> the dose, frequency and route of administration. </w:t>
      </w:r>
    </w:p>
    <w:p w14:paraId="0AA6976B" w14:textId="77777777" w:rsidR="006351BF" w:rsidRPr="003372FD" w:rsidRDefault="006351BF" w:rsidP="003372FD">
      <w:pPr>
        <w:pStyle w:val="NoSpacing1"/>
        <w:rPr>
          <w:rFonts w:ascii="Arial" w:hAnsi="Arial" w:cs="Arial"/>
          <w:sz w:val="20"/>
          <w:szCs w:val="20"/>
          <w:lang w:val="en-US"/>
        </w:rPr>
      </w:pPr>
    </w:p>
    <w:p w14:paraId="3983A65E" w14:textId="15E52FF5" w:rsidR="006351BF" w:rsidRPr="003372FD" w:rsidRDefault="003372FD" w:rsidP="003372FD">
      <w:pPr>
        <w:pStyle w:val="NoSpacing1"/>
        <w:rPr>
          <w:rFonts w:ascii="Arial" w:hAnsi="Arial" w:cs="Arial"/>
          <w:b/>
          <w:sz w:val="20"/>
          <w:szCs w:val="20"/>
          <w:lang w:val="en-US"/>
        </w:rPr>
      </w:pPr>
      <w:r>
        <w:rPr>
          <w:rFonts w:ascii="Arial" w:hAnsi="Arial" w:cs="Arial"/>
          <w:b/>
          <w:sz w:val="20"/>
          <w:szCs w:val="20"/>
          <w:lang w:val="en-US"/>
        </w:rPr>
        <w:t xml:space="preserve">2.4 </w:t>
      </w:r>
      <w:r w:rsidR="006351BF" w:rsidRPr="003372FD">
        <w:rPr>
          <w:rFonts w:ascii="Arial" w:hAnsi="Arial" w:cs="Arial"/>
          <w:b/>
          <w:sz w:val="20"/>
          <w:szCs w:val="20"/>
          <w:lang w:val="en-US"/>
        </w:rPr>
        <w:t>Quality of prescribing</w:t>
      </w:r>
    </w:p>
    <w:p w14:paraId="3EBC815E" w14:textId="02B02BCE" w:rsidR="00FC0FD1"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The appropriateness of the prescribed antimicrobials w</w:t>
      </w:r>
      <w:r w:rsidR="006351BF" w:rsidRPr="003372FD">
        <w:rPr>
          <w:rFonts w:ascii="Arial" w:hAnsi="Arial" w:cs="Arial"/>
          <w:sz w:val="20"/>
          <w:szCs w:val="20"/>
          <w:lang w:val="en-US"/>
        </w:rPr>
        <w:t>as</w:t>
      </w:r>
      <w:r w:rsidRPr="003372FD">
        <w:rPr>
          <w:rFonts w:ascii="Arial" w:hAnsi="Arial" w:cs="Arial"/>
          <w:sz w:val="20"/>
          <w:szCs w:val="20"/>
          <w:lang w:val="en-US"/>
        </w:rPr>
        <w:t xml:space="preserve"> evaluated based on </w:t>
      </w:r>
      <w:r w:rsidR="006351BF" w:rsidRPr="003372FD">
        <w:rPr>
          <w:rFonts w:ascii="Arial" w:hAnsi="Arial" w:cs="Arial"/>
          <w:sz w:val="20"/>
          <w:szCs w:val="20"/>
          <w:lang w:val="en-US"/>
        </w:rPr>
        <w:t xml:space="preserve">whether </w:t>
      </w:r>
      <w:r w:rsidRPr="003372FD">
        <w:rPr>
          <w:rFonts w:ascii="Arial" w:hAnsi="Arial" w:cs="Arial"/>
          <w:sz w:val="20"/>
          <w:szCs w:val="20"/>
          <w:lang w:val="en-US"/>
        </w:rPr>
        <w:t>the</w:t>
      </w:r>
      <w:r w:rsidR="006351BF" w:rsidRPr="003372FD">
        <w:rPr>
          <w:rFonts w:ascii="Arial" w:hAnsi="Arial" w:cs="Arial"/>
          <w:sz w:val="20"/>
          <w:szCs w:val="20"/>
          <w:lang w:val="en-US"/>
        </w:rPr>
        <w:t>y</w:t>
      </w:r>
      <w:r w:rsidRPr="003372FD">
        <w:rPr>
          <w:rFonts w:ascii="Arial" w:hAnsi="Arial" w:cs="Arial"/>
          <w:sz w:val="20"/>
          <w:szCs w:val="20"/>
          <w:lang w:val="en-US"/>
        </w:rPr>
        <w:t xml:space="preserve"> </w:t>
      </w:r>
      <w:r w:rsidR="006351BF" w:rsidRPr="003372FD">
        <w:rPr>
          <w:rFonts w:ascii="Arial" w:hAnsi="Arial" w:cs="Arial"/>
          <w:sz w:val="20"/>
          <w:szCs w:val="20"/>
          <w:lang w:val="en-US"/>
        </w:rPr>
        <w:t>were included</w:t>
      </w:r>
      <w:r w:rsidRPr="003372FD">
        <w:rPr>
          <w:rFonts w:ascii="Arial" w:hAnsi="Arial" w:cs="Arial"/>
          <w:sz w:val="20"/>
          <w:szCs w:val="20"/>
          <w:lang w:val="en-US"/>
        </w:rPr>
        <w:t xml:space="preserve"> </w:t>
      </w:r>
      <w:r w:rsidR="006351BF" w:rsidRPr="003372FD">
        <w:rPr>
          <w:rFonts w:ascii="Arial" w:hAnsi="Arial" w:cs="Arial"/>
          <w:sz w:val="20"/>
          <w:szCs w:val="20"/>
          <w:lang w:val="en-US"/>
        </w:rPr>
        <w:t xml:space="preserve">in the national </w:t>
      </w:r>
      <w:r w:rsidRPr="003372FD">
        <w:rPr>
          <w:rFonts w:ascii="Arial" w:hAnsi="Arial" w:cs="Arial"/>
          <w:sz w:val="20"/>
          <w:szCs w:val="20"/>
          <w:lang w:val="en-US"/>
        </w:rPr>
        <w:t>EML</w:t>
      </w:r>
      <w:r w:rsidR="00657EC7" w:rsidRPr="003372FD">
        <w:rPr>
          <w:rFonts w:ascii="Arial" w:hAnsi="Arial" w:cs="Arial"/>
          <w:sz w:val="20"/>
          <w:szCs w:val="20"/>
          <w:lang w:val="en-US"/>
        </w:rPr>
        <w:t>/</w:t>
      </w:r>
      <w:r w:rsidRPr="003372FD">
        <w:rPr>
          <w:rFonts w:ascii="Arial" w:hAnsi="Arial" w:cs="Arial"/>
          <w:sz w:val="20"/>
          <w:szCs w:val="20"/>
          <w:lang w:val="en-US"/>
        </w:rPr>
        <w:t>STGs</w:t>
      </w:r>
      <w:r w:rsidR="00272FA1" w:rsidRPr="003372FD">
        <w:rPr>
          <w:rFonts w:ascii="Arial" w:hAnsi="Arial" w:cs="Arial"/>
          <w:sz w:val="20"/>
          <w:szCs w:val="20"/>
          <w:lang w:val="en-US"/>
        </w:rPr>
        <w:t xml:space="preserve"> [4</w:t>
      </w:r>
      <w:r w:rsidR="00B4728E" w:rsidRPr="003372FD">
        <w:rPr>
          <w:rFonts w:ascii="Arial" w:hAnsi="Arial" w:cs="Arial"/>
          <w:sz w:val="20"/>
          <w:szCs w:val="20"/>
          <w:lang w:val="en-US"/>
        </w:rPr>
        <w:t>9</w:t>
      </w:r>
      <w:r w:rsidR="00272FA1" w:rsidRPr="003372FD">
        <w:rPr>
          <w:rFonts w:ascii="Arial" w:hAnsi="Arial" w:cs="Arial"/>
          <w:sz w:val="20"/>
          <w:szCs w:val="20"/>
          <w:lang w:val="en-US"/>
        </w:rPr>
        <w:t xml:space="preserve">]. </w:t>
      </w:r>
      <w:r w:rsidRPr="003372FD">
        <w:rPr>
          <w:rFonts w:ascii="Arial" w:hAnsi="Arial" w:cs="Arial"/>
          <w:sz w:val="20"/>
          <w:szCs w:val="20"/>
          <w:lang w:val="en-US"/>
        </w:rPr>
        <w:t xml:space="preserve"> </w:t>
      </w:r>
      <w:r w:rsidR="002B24DB" w:rsidRPr="003372FD">
        <w:rPr>
          <w:rFonts w:ascii="Arial" w:hAnsi="Arial" w:cs="Arial"/>
          <w:sz w:val="20"/>
          <w:szCs w:val="20"/>
          <w:lang w:val="en-US"/>
        </w:rPr>
        <w:t>We did not ascertain whether the doses of antimicrobials prescribed, or their indication, were in line with the national EML/ STG as undertaken in other PPS studies [25,</w:t>
      </w:r>
      <w:r w:rsidR="00B4728E" w:rsidRPr="003372FD">
        <w:rPr>
          <w:rFonts w:ascii="Arial" w:hAnsi="Arial" w:cs="Arial"/>
          <w:sz w:val="20"/>
          <w:szCs w:val="20"/>
          <w:lang w:val="en-US"/>
        </w:rPr>
        <w:t>50</w:t>
      </w:r>
      <w:r w:rsidR="002B24DB" w:rsidRPr="003372FD">
        <w:rPr>
          <w:rFonts w:ascii="Arial" w:hAnsi="Arial" w:cs="Arial"/>
          <w:sz w:val="20"/>
          <w:szCs w:val="20"/>
          <w:lang w:val="en-US"/>
        </w:rPr>
        <w:t>,</w:t>
      </w:r>
      <w:r w:rsidR="00B4728E" w:rsidRPr="003372FD">
        <w:rPr>
          <w:rFonts w:ascii="Arial" w:hAnsi="Arial" w:cs="Arial"/>
          <w:sz w:val="20"/>
          <w:szCs w:val="20"/>
          <w:lang w:val="en-US"/>
        </w:rPr>
        <w:t>51</w:t>
      </w:r>
      <w:r w:rsidR="002B24DB" w:rsidRPr="003372FD">
        <w:rPr>
          <w:rFonts w:ascii="Arial" w:hAnsi="Arial" w:cs="Arial"/>
          <w:sz w:val="20"/>
          <w:szCs w:val="20"/>
          <w:lang w:val="en-US"/>
        </w:rPr>
        <w:t xml:space="preserve">] as the main emphasis of this study was ascertaining whether the PPS study design was suitable and sustainable for collecting antimicrobial data among public hospitals in </w:t>
      </w:r>
      <w:r w:rsidR="00B4728E" w:rsidRPr="003372FD">
        <w:rPr>
          <w:rFonts w:ascii="Arial" w:hAnsi="Arial" w:cs="Arial"/>
          <w:sz w:val="20"/>
          <w:szCs w:val="20"/>
          <w:lang w:val="en-US"/>
        </w:rPr>
        <w:t xml:space="preserve">a </w:t>
      </w:r>
      <w:r w:rsidR="002B24DB" w:rsidRPr="003372FD">
        <w:rPr>
          <w:rFonts w:ascii="Arial" w:hAnsi="Arial" w:cs="Arial"/>
          <w:sz w:val="20"/>
          <w:szCs w:val="20"/>
          <w:lang w:val="en-US"/>
        </w:rPr>
        <w:t>resource limited setting such as South Africa</w:t>
      </w:r>
      <w:r w:rsidR="00204727" w:rsidRPr="003372FD">
        <w:rPr>
          <w:rFonts w:ascii="Arial" w:hAnsi="Arial" w:cs="Arial"/>
          <w:sz w:val="20"/>
          <w:szCs w:val="20"/>
          <w:lang w:val="en-US"/>
        </w:rPr>
        <w:t>.</w:t>
      </w:r>
      <w:r w:rsidRPr="003372FD">
        <w:rPr>
          <w:rFonts w:ascii="Arial" w:hAnsi="Arial" w:cs="Arial"/>
          <w:sz w:val="20"/>
          <w:szCs w:val="20"/>
          <w:lang w:val="en-US"/>
        </w:rPr>
        <w:t xml:space="preserve"> </w:t>
      </w:r>
    </w:p>
    <w:p w14:paraId="4B2DFE6B" w14:textId="77777777" w:rsidR="003372FD" w:rsidRDefault="003372FD" w:rsidP="003372FD">
      <w:pPr>
        <w:pStyle w:val="NoSpacing1"/>
        <w:rPr>
          <w:rFonts w:ascii="Arial" w:hAnsi="Arial" w:cs="Arial"/>
          <w:sz w:val="20"/>
          <w:szCs w:val="20"/>
          <w:lang w:val="en-US"/>
        </w:rPr>
      </w:pPr>
    </w:p>
    <w:p w14:paraId="682B2CAE" w14:textId="146D965C" w:rsidR="00FA271B" w:rsidRPr="003372FD" w:rsidRDefault="00FC0FD1" w:rsidP="003372FD">
      <w:pPr>
        <w:pStyle w:val="NoSpacing1"/>
        <w:rPr>
          <w:rFonts w:ascii="Arial" w:hAnsi="Arial" w:cs="Arial"/>
          <w:sz w:val="20"/>
          <w:szCs w:val="20"/>
          <w:lang w:val="en-US"/>
        </w:rPr>
      </w:pPr>
      <w:r w:rsidRPr="003372FD">
        <w:rPr>
          <w:rFonts w:ascii="Arial" w:hAnsi="Arial" w:cs="Arial"/>
          <w:sz w:val="20"/>
          <w:szCs w:val="20"/>
          <w:lang w:val="en-US"/>
        </w:rPr>
        <w:t>However, f</w:t>
      </w:r>
      <w:r w:rsidR="00FA271B" w:rsidRPr="003372FD">
        <w:rPr>
          <w:rFonts w:ascii="Arial" w:hAnsi="Arial" w:cs="Arial"/>
          <w:sz w:val="20"/>
          <w:szCs w:val="20"/>
          <w:lang w:val="en-US"/>
        </w:rPr>
        <w:t>urther analysis included whether antimicrobial sensitivity analyses were requested and subsequently acted upon, and whether treatment was empiric or not.</w:t>
      </w:r>
      <w:r w:rsidRPr="003372FD">
        <w:rPr>
          <w:rFonts w:ascii="Arial" w:hAnsi="Arial" w:cs="Arial"/>
          <w:sz w:val="20"/>
          <w:szCs w:val="20"/>
          <w:lang w:val="en-US"/>
        </w:rPr>
        <w:t xml:space="preserve"> The later given concerns with the high rate of empiric prescribing in a tertiary South African hospital in 2015 [44]. In addition, comparing our findings with the recently published findings of the Global PPS study as well as the 5 African countries taking part </w:t>
      </w:r>
      <w:r w:rsidR="006A68E6" w:rsidRPr="003372FD">
        <w:rPr>
          <w:rFonts w:ascii="Arial" w:hAnsi="Arial" w:cs="Arial"/>
          <w:sz w:val="20"/>
          <w:szCs w:val="20"/>
          <w:lang w:val="en-US"/>
        </w:rPr>
        <w:t>in the Global PPS [21]</w:t>
      </w:r>
      <w:r w:rsidRPr="003372FD">
        <w:rPr>
          <w:rFonts w:ascii="Arial" w:hAnsi="Arial" w:cs="Arial"/>
          <w:sz w:val="20"/>
          <w:szCs w:val="20"/>
          <w:lang w:val="en-US"/>
        </w:rPr>
        <w:t>.</w:t>
      </w:r>
      <w:r w:rsidR="004F067F" w:rsidRPr="003372FD">
        <w:rPr>
          <w:rFonts w:ascii="Arial" w:hAnsi="Arial" w:cs="Arial"/>
          <w:sz w:val="20"/>
          <w:szCs w:val="20"/>
          <w:lang w:val="en-US"/>
        </w:rPr>
        <w:t xml:space="preserve"> </w:t>
      </w:r>
      <w:proofErr w:type="spellStart"/>
      <w:r w:rsidR="00B4728E" w:rsidRPr="003372FD">
        <w:rPr>
          <w:rFonts w:ascii="Arial" w:hAnsi="Arial" w:cs="Arial"/>
          <w:sz w:val="20"/>
          <w:szCs w:val="20"/>
          <w:lang w:val="en-US"/>
        </w:rPr>
        <w:t>Along side</w:t>
      </w:r>
      <w:proofErr w:type="spellEnd"/>
      <w:r w:rsidR="00B4728E" w:rsidRPr="003372FD">
        <w:rPr>
          <w:rFonts w:ascii="Arial" w:hAnsi="Arial" w:cs="Arial"/>
          <w:sz w:val="20"/>
          <w:szCs w:val="20"/>
          <w:lang w:val="en-US"/>
        </w:rPr>
        <w:t xml:space="preserve"> this</w:t>
      </w:r>
      <w:r w:rsidR="004F067F" w:rsidRPr="003372FD">
        <w:rPr>
          <w:rFonts w:ascii="Arial" w:hAnsi="Arial" w:cs="Arial"/>
          <w:sz w:val="20"/>
          <w:szCs w:val="20"/>
          <w:lang w:val="en-US"/>
        </w:rPr>
        <w:t>, the extent of IV to oral switching as the earlier study in South Africa had stated only 11% of physicians had documented the stop/review date on the prescription [44], which should have included an assessment for changing IV to oral antibiotics.</w:t>
      </w:r>
    </w:p>
    <w:p w14:paraId="5B5E0D50" w14:textId="77777777" w:rsidR="00FA271B" w:rsidRPr="003372FD" w:rsidRDefault="00FA271B" w:rsidP="003372FD">
      <w:pPr>
        <w:pStyle w:val="NoSpacing1"/>
        <w:rPr>
          <w:rFonts w:ascii="Arial" w:hAnsi="Arial" w:cs="Arial"/>
          <w:sz w:val="20"/>
          <w:szCs w:val="20"/>
          <w:lang w:val="en-US"/>
        </w:rPr>
      </w:pPr>
    </w:p>
    <w:p w14:paraId="4231AACD" w14:textId="438E6E6A" w:rsidR="00FA271B" w:rsidRPr="003372FD" w:rsidRDefault="00B10309" w:rsidP="003372FD">
      <w:pPr>
        <w:pStyle w:val="NoSpacing1"/>
        <w:rPr>
          <w:rFonts w:ascii="Arial" w:hAnsi="Arial" w:cs="Arial"/>
          <w:b/>
          <w:sz w:val="20"/>
          <w:szCs w:val="20"/>
          <w:lang w:val="en-US"/>
        </w:rPr>
      </w:pPr>
      <w:r w:rsidRPr="003372FD">
        <w:rPr>
          <w:rFonts w:ascii="Arial" w:hAnsi="Arial" w:cs="Arial"/>
          <w:b/>
          <w:sz w:val="20"/>
          <w:szCs w:val="20"/>
          <w:lang w:val="en-US"/>
        </w:rPr>
        <w:t>2.</w:t>
      </w:r>
      <w:r w:rsidR="006A68E6" w:rsidRPr="003372FD">
        <w:rPr>
          <w:rFonts w:ascii="Arial" w:hAnsi="Arial" w:cs="Arial"/>
          <w:b/>
          <w:sz w:val="20"/>
          <w:szCs w:val="20"/>
          <w:lang w:val="en-US"/>
        </w:rPr>
        <w:t>5</w:t>
      </w:r>
      <w:r w:rsidRPr="003372FD">
        <w:rPr>
          <w:rFonts w:ascii="Arial" w:hAnsi="Arial" w:cs="Arial"/>
          <w:b/>
          <w:sz w:val="20"/>
          <w:szCs w:val="20"/>
          <w:lang w:val="en-US"/>
        </w:rPr>
        <w:t xml:space="preserve"> </w:t>
      </w:r>
      <w:r w:rsidR="00FA271B" w:rsidRPr="003372FD">
        <w:rPr>
          <w:rFonts w:ascii="Arial" w:hAnsi="Arial" w:cs="Arial"/>
          <w:b/>
          <w:sz w:val="20"/>
          <w:szCs w:val="20"/>
          <w:lang w:val="en-US"/>
        </w:rPr>
        <w:t>Ethical considerations</w:t>
      </w:r>
    </w:p>
    <w:p w14:paraId="0672542A" w14:textId="26AE95AD" w:rsidR="00FA271B" w:rsidRPr="003372FD" w:rsidRDefault="00FA271B" w:rsidP="003372FD">
      <w:pPr>
        <w:pStyle w:val="NoSpacing1"/>
        <w:rPr>
          <w:rFonts w:ascii="Arial" w:hAnsi="Arial" w:cs="Arial"/>
          <w:sz w:val="20"/>
          <w:szCs w:val="20"/>
          <w:lang w:val="en-US"/>
        </w:rPr>
      </w:pPr>
      <w:r w:rsidRPr="003372FD">
        <w:rPr>
          <w:rFonts w:ascii="Arial" w:hAnsi="Arial" w:cs="Arial"/>
          <w:sz w:val="20"/>
          <w:szCs w:val="20"/>
          <w:lang w:val="en-US"/>
        </w:rPr>
        <w:t xml:space="preserve">Data collection commenced after receiving ethical approval from the </w:t>
      </w:r>
      <w:proofErr w:type="spellStart"/>
      <w:r w:rsidRPr="003372FD">
        <w:rPr>
          <w:rFonts w:ascii="Arial" w:hAnsi="Arial" w:cs="Arial"/>
          <w:sz w:val="20"/>
          <w:szCs w:val="20"/>
          <w:lang w:val="en-US"/>
        </w:rPr>
        <w:t>Sefako</w:t>
      </w:r>
      <w:proofErr w:type="spellEnd"/>
      <w:r w:rsidRPr="003372FD">
        <w:rPr>
          <w:rFonts w:ascii="Arial" w:hAnsi="Arial" w:cs="Arial"/>
          <w:sz w:val="20"/>
          <w:szCs w:val="20"/>
          <w:lang w:val="en-US"/>
        </w:rPr>
        <w:t xml:space="preserve"> </w:t>
      </w:r>
      <w:proofErr w:type="spellStart"/>
      <w:r w:rsidRPr="003372FD">
        <w:rPr>
          <w:rFonts w:ascii="Arial" w:hAnsi="Arial" w:cs="Arial"/>
          <w:sz w:val="20"/>
          <w:szCs w:val="20"/>
          <w:lang w:val="en-US"/>
        </w:rPr>
        <w:t>Makgatho</w:t>
      </w:r>
      <w:proofErr w:type="spellEnd"/>
      <w:r w:rsidRPr="003372FD">
        <w:rPr>
          <w:rFonts w:ascii="Arial" w:hAnsi="Arial" w:cs="Arial"/>
          <w:sz w:val="20"/>
          <w:szCs w:val="20"/>
          <w:lang w:val="en-US"/>
        </w:rPr>
        <w:t xml:space="preserve"> University Research Ethics Committee (SMUREC/H/210/2016:PG). Permission was thereafter obtained from the Chief Executive Officers of DGMAH.   Patient confidentiality was maintained at all times and unique identification numbers were used for all patients </w:t>
      </w:r>
      <w:r w:rsidR="006725DE" w:rsidRPr="003372FD">
        <w:rPr>
          <w:rFonts w:ascii="Arial" w:hAnsi="Arial" w:cs="Arial"/>
          <w:sz w:val="20"/>
          <w:szCs w:val="20"/>
          <w:lang w:val="en-US"/>
        </w:rPr>
        <w:t>in order</w:t>
      </w:r>
      <w:r w:rsidRPr="003372FD">
        <w:rPr>
          <w:rFonts w:ascii="Arial" w:hAnsi="Arial" w:cs="Arial"/>
          <w:sz w:val="20"/>
          <w:szCs w:val="20"/>
          <w:lang w:val="en-US"/>
        </w:rPr>
        <w:t xml:space="preserve"> to keep them anonymous.</w:t>
      </w:r>
    </w:p>
    <w:p w14:paraId="6B1392FE" w14:textId="77777777" w:rsidR="00FA271B" w:rsidRPr="003372FD" w:rsidRDefault="00FA271B" w:rsidP="003372FD">
      <w:pPr>
        <w:pStyle w:val="NoSpacing1"/>
        <w:rPr>
          <w:rFonts w:ascii="Arial" w:hAnsi="Arial" w:cs="Arial"/>
          <w:sz w:val="20"/>
          <w:szCs w:val="20"/>
          <w:lang w:val="en-US"/>
        </w:rPr>
      </w:pPr>
    </w:p>
    <w:p w14:paraId="68FAFBE7" w14:textId="56F446A9" w:rsidR="00FA271B" w:rsidRPr="003372FD" w:rsidRDefault="003372FD" w:rsidP="003372FD">
      <w:pPr>
        <w:pStyle w:val="NoSpacing1"/>
        <w:rPr>
          <w:rFonts w:ascii="Arial" w:hAnsi="Arial" w:cs="Arial"/>
          <w:b/>
          <w:sz w:val="20"/>
          <w:szCs w:val="20"/>
        </w:rPr>
      </w:pPr>
      <w:r w:rsidRPr="003372FD">
        <w:rPr>
          <w:rFonts w:ascii="Arial" w:hAnsi="Arial" w:cs="Arial"/>
          <w:b/>
          <w:sz w:val="20"/>
          <w:szCs w:val="20"/>
        </w:rPr>
        <w:t xml:space="preserve">3. </w:t>
      </w:r>
      <w:r w:rsidR="00FA271B" w:rsidRPr="003372FD">
        <w:rPr>
          <w:rFonts w:ascii="Arial" w:hAnsi="Arial" w:cs="Arial"/>
          <w:b/>
          <w:sz w:val="20"/>
          <w:szCs w:val="20"/>
        </w:rPr>
        <w:t>RESULTS</w:t>
      </w:r>
    </w:p>
    <w:p w14:paraId="7AB9375A" w14:textId="77777777" w:rsidR="003372FD" w:rsidRDefault="003372FD" w:rsidP="003372FD">
      <w:pPr>
        <w:pStyle w:val="NoSpacing1"/>
        <w:rPr>
          <w:rFonts w:ascii="Arial" w:hAnsi="Arial" w:cs="Arial"/>
          <w:sz w:val="20"/>
          <w:szCs w:val="20"/>
        </w:rPr>
      </w:pPr>
    </w:p>
    <w:p w14:paraId="7F9EC0D4" w14:textId="74479F5A" w:rsidR="00FA271B" w:rsidRPr="003372FD" w:rsidRDefault="00FA271B" w:rsidP="003372FD">
      <w:pPr>
        <w:pStyle w:val="NoSpacing1"/>
        <w:rPr>
          <w:rFonts w:ascii="Arial" w:hAnsi="Arial" w:cs="Arial"/>
          <w:sz w:val="20"/>
          <w:szCs w:val="20"/>
        </w:rPr>
      </w:pPr>
      <w:r w:rsidRPr="003372FD">
        <w:rPr>
          <w:rFonts w:ascii="Arial" w:hAnsi="Arial" w:cs="Arial"/>
          <w:sz w:val="20"/>
          <w:szCs w:val="20"/>
        </w:rPr>
        <w:t>A total of 512 patient files were surveyed</w:t>
      </w:r>
      <w:r w:rsidR="00F06C0B" w:rsidRPr="003372FD">
        <w:rPr>
          <w:rFonts w:ascii="Arial" w:hAnsi="Arial" w:cs="Arial"/>
          <w:sz w:val="20"/>
          <w:szCs w:val="20"/>
        </w:rPr>
        <w:t xml:space="preserve">. This </w:t>
      </w:r>
      <w:r w:rsidRPr="003372FD">
        <w:rPr>
          <w:rFonts w:ascii="Arial" w:hAnsi="Arial" w:cs="Arial"/>
          <w:sz w:val="20"/>
          <w:szCs w:val="20"/>
        </w:rPr>
        <w:t>included 400 adults of which 175 (4</w:t>
      </w:r>
      <w:r w:rsidR="00657EC7" w:rsidRPr="003372FD">
        <w:rPr>
          <w:rFonts w:ascii="Arial" w:hAnsi="Arial" w:cs="Arial"/>
          <w:sz w:val="20"/>
          <w:szCs w:val="20"/>
        </w:rPr>
        <w:t>3.8</w:t>
      </w:r>
      <w:r w:rsidRPr="003372FD">
        <w:rPr>
          <w:rFonts w:ascii="Arial" w:hAnsi="Arial" w:cs="Arial"/>
          <w:sz w:val="20"/>
          <w:szCs w:val="20"/>
        </w:rPr>
        <w:t>%) were males and 225 (56</w:t>
      </w:r>
      <w:r w:rsidR="00657EC7" w:rsidRPr="003372FD">
        <w:rPr>
          <w:rFonts w:ascii="Arial" w:hAnsi="Arial" w:cs="Arial"/>
          <w:sz w:val="20"/>
          <w:szCs w:val="20"/>
        </w:rPr>
        <w:t>.3</w:t>
      </w:r>
      <w:r w:rsidRPr="003372FD">
        <w:rPr>
          <w:rFonts w:ascii="Arial" w:hAnsi="Arial" w:cs="Arial"/>
          <w:sz w:val="20"/>
          <w:szCs w:val="20"/>
        </w:rPr>
        <w:t>%) females. The mean age (SD) for males was 42.25 (17.29)</w:t>
      </w:r>
      <w:r w:rsidR="00F06C0B" w:rsidRPr="003372FD">
        <w:rPr>
          <w:rFonts w:ascii="Arial" w:hAnsi="Arial" w:cs="Arial"/>
          <w:sz w:val="20"/>
          <w:szCs w:val="20"/>
        </w:rPr>
        <w:t xml:space="preserve"> years</w:t>
      </w:r>
      <w:r w:rsidRPr="003372FD">
        <w:rPr>
          <w:rFonts w:ascii="Arial" w:hAnsi="Arial" w:cs="Arial"/>
          <w:sz w:val="20"/>
          <w:szCs w:val="20"/>
        </w:rPr>
        <w:t xml:space="preserve"> and </w:t>
      </w:r>
      <w:r w:rsidR="00027CA1" w:rsidRPr="003372FD">
        <w:rPr>
          <w:rFonts w:ascii="Arial" w:hAnsi="Arial" w:cs="Arial"/>
          <w:sz w:val="20"/>
          <w:szCs w:val="20"/>
        </w:rPr>
        <w:t xml:space="preserve">the </w:t>
      </w:r>
      <w:r w:rsidRPr="003372FD">
        <w:rPr>
          <w:rFonts w:ascii="Arial" w:hAnsi="Arial" w:cs="Arial"/>
          <w:sz w:val="20"/>
          <w:szCs w:val="20"/>
        </w:rPr>
        <w:t>median age (IQR) was 43 (28.5)</w:t>
      </w:r>
      <w:r w:rsidR="00F06C0B" w:rsidRPr="003372FD">
        <w:rPr>
          <w:rFonts w:ascii="Arial" w:hAnsi="Arial" w:cs="Arial"/>
          <w:sz w:val="20"/>
          <w:szCs w:val="20"/>
        </w:rPr>
        <w:t xml:space="preserve"> years</w:t>
      </w:r>
      <w:r w:rsidRPr="003372FD">
        <w:rPr>
          <w:rFonts w:ascii="Arial" w:hAnsi="Arial" w:cs="Arial"/>
          <w:sz w:val="20"/>
          <w:szCs w:val="20"/>
        </w:rPr>
        <w:t>. For females</w:t>
      </w:r>
      <w:r w:rsidR="0023574D" w:rsidRPr="003372FD">
        <w:rPr>
          <w:rFonts w:ascii="Arial" w:hAnsi="Arial" w:cs="Arial"/>
          <w:sz w:val="20"/>
          <w:szCs w:val="20"/>
        </w:rPr>
        <w:t>,</w:t>
      </w:r>
      <w:r w:rsidRPr="003372FD">
        <w:rPr>
          <w:rFonts w:ascii="Arial" w:hAnsi="Arial" w:cs="Arial"/>
          <w:sz w:val="20"/>
          <w:szCs w:val="20"/>
        </w:rPr>
        <w:t xml:space="preserve"> the mean age (SD) was 46.10 (18.8)</w:t>
      </w:r>
      <w:r w:rsidR="00027CA1" w:rsidRPr="003372FD">
        <w:rPr>
          <w:rFonts w:ascii="Arial" w:hAnsi="Arial" w:cs="Arial"/>
          <w:sz w:val="20"/>
          <w:szCs w:val="20"/>
        </w:rPr>
        <w:t xml:space="preserve"> </w:t>
      </w:r>
      <w:r w:rsidR="00F06C0B" w:rsidRPr="003372FD">
        <w:rPr>
          <w:rFonts w:ascii="Arial" w:hAnsi="Arial" w:cs="Arial"/>
          <w:sz w:val="20"/>
          <w:szCs w:val="20"/>
        </w:rPr>
        <w:t xml:space="preserve">years </w:t>
      </w:r>
      <w:r w:rsidRPr="003372FD">
        <w:rPr>
          <w:rFonts w:ascii="Arial" w:hAnsi="Arial" w:cs="Arial"/>
          <w:sz w:val="20"/>
          <w:szCs w:val="20"/>
        </w:rPr>
        <w:t xml:space="preserve">and </w:t>
      </w:r>
      <w:r w:rsidR="00027CA1" w:rsidRPr="003372FD">
        <w:rPr>
          <w:rFonts w:ascii="Arial" w:hAnsi="Arial" w:cs="Arial"/>
          <w:sz w:val="20"/>
          <w:szCs w:val="20"/>
        </w:rPr>
        <w:t xml:space="preserve">the </w:t>
      </w:r>
      <w:r w:rsidRPr="003372FD">
        <w:rPr>
          <w:rFonts w:ascii="Arial" w:hAnsi="Arial" w:cs="Arial"/>
          <w:sz w:val="20"/>
          <w:szCs w:val="20"/>
        </w:rPr>
        <w:t>median age 43 (28)</w:t>
      </w:r>
      <w:r w:rsidR="00027CA1" w:rsidRPr="003372FD">
        <w:rPr>
          <w:rFonts w:ascii="Arial" w:hAnsi="Arial" w:cs="Arial"/>
          <w:sz w:val="20"/>
          <w:szCs w:val="20"/>
        </w:rPr>
        <w:t xml:space="preserve"> </w:t>
      </w:r>
      <w:r w:rsidR="00F06C0B" w:rsidRPr="003372FD">
        <w:rPr>
          <w:rFonts w:ascii="Arial" w:hAnsi="Arial" w:cs="Arial"/>
          <w:sz w:val="20"/>
          <w:szCs w:val="20"/>
        </w:rPr>
        <w:t xml:space="preserve">years </w:t>
      </w:r>
      <w:r w:rsidRPr="003372FD">
        <w:rPr>
          <w:rFonts w:ascii="Arial" w:hAnsi="Arial" w:cs="Arial"/>
          <w:sz w:val="20"/>
          <w:szCs w:val="20"/>
        </w:rPr>
        <w:t xml:space="preserve">(Table 1). Most (85%) of the admitted adults were </w:t>
      </w:r>
      <w:r w:rsidR="008A1C9D" w:rsidRPr="003372FD">
        <w:rPr>
          <w:rFonts w:ascii="Arial" w:hAnsi="Arial" w:cs="Arial"/>
          <w:sz w:val="20"/>
          <w:szCs w:val="20"/>
        </w:rPr>
        <w:t>younger</w:t>
      </w:r>
      <w:r w:rsidRPr="003372FD">
        <w:rPr>
          <w:rFonts w:ascii="Arial" w:hAnsi="Arial" w:cs="Arial"/>
          <w:sz w:val="20"/>
          <w:szCs w:val="20"/>
        </w:rPr>
        <w:t xml:space="preserve"> than 65 years, with the occupation of nearly two thirds (61%) of patients unknown (Table</w:t>
      </w:r>
      <w:r w:rsidR="00027CA1" w:rsidRPr="003372FD">
        <w:rPr>
          <w:rFonts w:ascii="Arial" w:hAnsi="Arial" w:cs="Arial"/>
          <w:sz w:val="20"/>
          <w:szCs w:val="20"/>
        </w:rPr>
        <w:t xml:space="preserve"> </w:t>
      </w:r>
      <w:r w:rsidRPr="003372FD">
        <w:rPr>
          <w:rFonts w:ascii="Arial" w:hAnsi="Arial" w:cs="Arial"/>
          <w:sz w:val="20"/>
          <w:szCs w:val="20"/>
        </w:rPr>
        <w:t xml:space="preserve">1). In the paediatric wards, there were more infants and children than neonates, with a mean (SD) age of 3 years (± 3.65) and </w:t>
      </w:r>
      <w:r w:rsidR="00832A1A" w:rsidRPr="003372FD">
        <w:rPr>
          <w:rFonts w:ascii="Arial" w:hAnsi="Arial" w:cs="Arial"/>
          <w:sz w:val="20"/>
          <w:szCs w:val="20"/>
        </w:rPr>
        <w:t xml:space="preserve">a </w:t>
      </w:r>
      <w:r w:rsidRPr="003372FD">
        <w:rPr>
          <w:rFonts w:ascii="Arial" w:hAnsi="Arial" w:cs="Arial"/>
          <w:sz w:val="20"/>
          <w:szCs w:val="20"/>
        </w:rPr>
        <w:t>median (IQR) age of 1 (4.17).</w:t>
      </w:r>
    </w:p>
    <w:p w14:paraId="04B63EE0" w14:textId="77777777" w:rsidR="003372FD" w:rsidRDefault="003372FD" w:rsidP="003372FD">
      <w:pPr>
        <w:pStyle w:val="NoSpacing1"/>
        <w:rPr>
          <w:rFonts w:ascii="Arial" w:hAnsi="Arial" w:cs="Arial"/>
          <w:sz w:val="20"/>
          <w:szCs w:val="20"/>
        </w:rPr>
      </w:pPr>
      <w:bookmarkStart w:id="2" w:name="_Toc507595604"/>
    </w:p>
    <w:p w14:paraId="4C36D3B1" w14:textId="276624D0" w:rsidR="00FA271B" w:rsidRPr="003372FD" w:rsidRDefault="00FA271B" w:rsidP="003372FD">
      <w:pPr>
        <w:pStyle w:val="NoSpacing1"/>
        <w:rPr>
          <w:rFonts w:ascii="Arial" w:hAnsi="Arial" w:cs="Arial"/>
          <w:sz w:val="20"/>
          <w:szCs w:val="20"/>
          <w:u w:val="single"/>
        </w:rPr>
      </w:pPr>
      <w:r w:rsidRPr="003372FD">
        <w:rPr>
          <w:rFonts w:ascii="Arial" w:hAnsi="Arial" w:cs="Arial"/>
          <w:sz w:val="20"/>
          <w:szCs w:val="20"/>
          <w:u w:val="single"/>
        </w:rPr>
        <w:t>Table 1:</w:t>
      </w:r>
      <w:r w:rsidR="003372FD">
        <w:rPr>
          <w:rFonts w:ascii="Arial" w:hAnsi="Arial" w:cs="Arial"/>
          <w:sz w:val="20"/>
          <w:szCs w:val="20"/>
          <w:u w:val="single"/>
        </w:rPr>
        <w:t xml:space="preserve"> </w:t>
      </w:r>
      <w:r w:rsidRPr="003372FD">
        <w:rPr>
          <w:rFonts w:ascii="Arial" w:hAnsi="Arial" w:cs="Arial"/>
          <w:sz w:val="20"/>
          <w:szCs w:val="20"/>
          <w:u w:val="single"/>
        </w:rPr>
        <w:t>Demographics of adult patients</w:t>
      </w:r>
      <w:bookmarkEnd w:id="2"/>
    </w:p>
    <w:p w14:paraId="57F9D57F" w14:textId="77777777" w:rsidR="003372FD" w:rsidRPr="003372FD" w:rsidRDefault="003372FD" w:rsidP="003372FD">
      <w:pPr>
        <w:pStyle w:val="NoSpacing1"/>
        <w:rPr>
          <w:rFonts w:ascii="Arial" w:hAnsi="Arial" w:cs="Arial"/>
          <w:sz w:val="20"/>
          <w:szCs w:val="20"/>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646"/>
        <w:gridCol w:w="2417"/>
        <w:gridCol w:w="2613"/>
        <w:gridCol w:w="1344"/>
      </w:tblGrid>
      <w:tr w:rsidR="00FA271B" w:rsidRPr="003372FD" w14:paraId="19693663" w14:textId="77777777" w:rsidTr="003372FD">
        <w:trPr>
          <w:trHeight w:val="312"/>
        </w:trPr>
        <w:tc>
          <w:tcPr>
            <w:tcW w:w="2705" w:type="dxa"/>
          </w:tcPr>
          <w:p w14:paraId="6E641945" w14:textId="77777777" w:rsidR="00FA271B" w:rsidRPr="003372FD" w:rsidRDefault="00FA271B" w:rsidP="003372FD">
            <w:pPr>
              <w:pStyle w:val="NoSpacing1"/>
              <w:jc w:val="center"/>
              <w:rPr>
                <w:rFonts w:ascii="Arial" w:hAnsi="Arial" w:cs="Arial"/>
                <w:b/>
                <w:sz w:val="20"/>
                <w:szCs w:val="20"/>
              </w:rPr>
            </w:pPr>
            <w:r w:rsidRPr="003372FD">
              <w:rPr>
                <w:rFonts w:ascii="Arial" w:hAnsi="Arial" w:cs="Arial"/>
                <w:b/>
                <w:sz w:val="20"/>
                <w:szCs w:val="20"/>
              </w:rPr>
              <w:t>Parameter</w:t>
            </w:r>
          </w:p>
        </w:tc>
        <w:tc>
          <w:tcPr>
            <w:tcW w:w="2493" w:type="dxa"/>
          </w:tcPr>
          <w:p w14:paraId="112A6275" w14:textId="465F942D" w:rsidR="00FA271B" w:rsidRPr="003372FD" w:rsidRDefault="00FA271B" w:rsidP="003372FD">
            <w:pPr>
              <w:pStyle w:val="NoSpacing1"/>
              <w:jc w:val="center"/>
              <w:rPr>
                <w:rFonts w:ascii="Arial" w:hAnsi="Arial" w:cs="Arial"/>
                <w:b/>
                <w:sz w:val="20"/>
                <w:szCs w:val="20"/>
              </w:rPr>
            </w:pPr>
            <w:r w:rsidRPr="003372FD">
              <w:rPr>
                <w:rFonts w:ascii="Arial" w:hAnsi="Arial" w:cs="Arial"/>
                <w:b/>
                <w:sz w:val="20"/>
                <w:szCs w:val="20"/>
              </w:rPr>
              <w:t>Male</w:t>
            </w:r>
          </w:p>
        </w:tc>
        <w:tc>
          <w:tcPr>
            <w:tcW w:w="2690" w:type="dxa"/>
          </w:tcPr>
          <w:p w14:paraId="220FD5AF" w14:textId="5BC45C56" w:rsidR="00FA271B" w:rsidRPr="003372FD" w:rsidRDefault="00FA271B" w:rsidP="003372FD">
            <w:pPr>
              <w:pStyle w:val="NoSpacing1"/>
              <w:jc w:val="center"/>
              <w:rPr>
                <w:rFonts w:ascii="Arial" w:hAnsi="Arial" w:cs="Arial"/>
                <w:b/>
                <w:sz w:val="20"/>
                <w:szCs w:val="20"/>
              </w:rPr>
            </w:pPr>
            <w:r w:rsidRPr="003372FD">
              <w:rPr>
                <w:rFonts w:ascii="Arial" w:hAnsi="Arial" w:cs="Arial"/>
                <w:b/>
                <w:sz w:val="20"/>
                <w:szCs w:val="20"/>
              </w:rPr>
              <w:t>Female</w:t>
            </w:r>
          </w:p>
        </w:tc>
        <w:tc>
          <w:tcPr>
            <w:tcW w:w="1354" w:type="dxa"/>
          </w:tcPr>
          <w:p w14:paraId="5485505F" w14:textId="17172EDA" w:rsidR="00FA271B" w:rsidRPr="003372FD" w:rsidRDefault="00FA271B" w:rsidP="003372FD">
            <w:pPr>
              <w:pStyle w:val="NoSpacing1"/>
              <w:jc w:val="center"/>
              <w:rPr>
                <w:rFonts w:ascii="Arial" w:hAnsi="Arial" w:cs="Arial"/>
                <w:b/>
                <w:sz w:val="20"/>
                <w:szCs w:val="20"/>
              </w:rPr>
            </w:pPr>
            <w:r w:rsidRPr="003372FD">
              <w:rPr>
                <w:rFonts w:ascii="Arial" w:hAnsi="Arial" w:cs="Arial"/>
                <w:b/>
                <w:sz w:val="20"/>
                <w:szCs w:val="20"/>
              </w:rPr>
              <w:t>Total</w:t>
            </w:r>
          </w:p>
        </w:tc>
      </w:tr>
      <w:tr w:rsidR="00FA271B" w:rsidRPr="003372FD" w14:paraId="2417D950" w14:textId="77777777" w:rsidTr="003372FD">
        <w:trPr>
          <w:trHeight w:val="415"/>
        </w:trPr>
        <w:tc>
          <w:tcPr>
            <w:tcW w:w="2705" w:type="dxa"/>
            <w:shd w:val="clear" w:color="auto" w:fill="FFFFFF" w:themeFill="background1"/>
          </w:tcPr>
          <w:p w14:paraId="745840B0" w14:textId="77777777" w:rsidR="00FA271B" w:rsidRPr="003372FD" w:rsidRDefault="00FA271B" w:rsidP="003372FD">
            <w:pPr>
              <w:pStyle w:val="NoSpacing1"/>
              <w:rPr>
                <w:rFonts w:ascii="Arial" w:hAnsi="Arial" w:cs="Arial"/>
                <w:sz w:val="20"/>
                <w:szCs w:val="20"/>
              </w:rPr>
            </w:pPr>
          </w:p>
          <w:p w14:paraId="78B6A023" w14:textId="13AB934A" w:rsidR="00FA271B" w:rsidRPr="003372FD" w:rsidRDefault="00FA271B" w:rsidP="003372FD">
            <w:pPr>
              <w:pStyle w:val="NoSpacing1"/>
              <w:rPr>
                <w:rFonts w:ascii="Arial" w:hAnsi="Arial" w:cs="Arial"/>
                <w:sz w:val="20"/>
                <w:szCs w:val="20"/>
              </w:rPr>
            </w:pPr>
            <w:r w:rsidRPr="003372FD">
              <w:rPr>
                <w:rFonts w:ascii="Arial" w:hAnsi="Arial" w:cs="Arial"/>
                <w:sz w:val="20"/>
                <w:szCs w:val="20"/>
              </w:rPr>
              <w:t>Number of adults; n</w:t>
            </w:r>
            <w:r w:rsidR="00832A1A" w:rsidRPr="003372FD">
              <w:rPr>
                <w:rFonts w:ascii="Arial" w:hAnsi="Arial" w:cs="Arial"/>
                <w:sz w:val="20"/>
                <w:szCs w:val="20"/>
              </w:rPr>
              <w:t xml:space="preserve"> </w:t>
            </w:r>
            <w:r w:rsidRPr="003372FD">
              <w:rPr>
                <w:rFonts w:ascii="Arial" w:hAnsi="Arial" w:cs="Arial"/>
                <w:sz w:val="20"/>
                <w:szCs w:val="20"/>
              </w:rPr>
              <w:t>(%)</w:t>
            </w:r>
          </w:p>
        </w:tc>
        <w:tc>
          <w:tcPr>
            <w:tcW w:w="2493" w:type="dxa"/>
            <w:shd w:val="clear" w:color="auto" w:fill="FFFFFF" w:themeFill="background1"/>
          </w:tcPr>
          <w:p w14:paraId="112A56D4" w14:textId="77777777" w:rsidR="00FA271B" w:rsidRPr="003372FD" w:rsidRDefault="00FA271B" w:rsidP="003372FD">
            <w:pPr>
              <w:pStyle w:val="NoSpacing1"/>
              <w:rPr>
                <w:rFonts w:ascii="Arial" w:hAnsi="Arial" w:cs="Arial"/>
                <w:sz w:val="20"/>
                <w:szCs w:val="20"/>
              </w:rPr>
            </w:pPr>
          </w:p>
          <w:p w14:paraId="2051BD16" w14:textId="69542A7A" w:rsidR="00FA271B" w:rsidRPr="003372FD" w:rsidRDefault="00FA271B" w:rsidP="003372FD">
            <w:pPr>
              <w:pStyle w:val="NoSpacing1"/>
              <w:rPr>
                <w:rFonts w:ascii="Arial" w:hAnsi="Arial" w:cs="Arial"/>
                <w:sz w:val="20"/>
                <w:szCs w:val="20"/>
              </w:rPr>
            </w:pPr>
            <w:r w:rsidRPr="003372FD">
              <w:rPr>
                <w:rFonts w:ascii="Arial" w:hAnsi="Arial" w:cs="Arial"/>
                <w:sz w:val="20"/>
                <w:szCs w:val="20"/>
              </w:rPr>
              <w:t>175 (4</w:t>
            </w:r>
            <w:r w:rsidR="003A16BE" w:rsidRPr="003372FD">
              <w:rPr>
                <w:rFonts w:ascii="Arial" w:hAnsi="Arial" w:cs="Arial"/>
                <w:sz w:val="20"/>
                <w:szCs w:val="20"/>
              </w:rPr>
              <w:t>3.8</w:t>
            </w:r>
            <w:r w:rsidRPr="003372FD">
              <w:rPr>
                <w:rFonts w:ascii="Arial" w:hAnsi="Arial" w:cs="Arial"/>
                <w:sz w:val="20"/>
                <w:szCs w:val="20"/>
              </w:rPr>
              <w:t>)</w:t>
            </w:r>
          </w:p>
        </w:tc>
        <w:tc>
          <w:tcPr>
            <w:tcW w:w="2690" w:type="dxa"/>
            <w:shd w:val="clear" w:color="auto" w:fill="FFFFFF" w:themeFill="background1"/>
          </w:tcPr>
          <w:p w14:paraId="7ACFC610" w14:textId="77777777" w:rsidR="00FA271B" w:rsidRPr="003372FD" w:rsidRDefault="00FA271B" w:rsidP="003372FD">
            <w:pPr>
              <w:pStyle w:val="NoSpacing1"/>
              <w:rPr>
                <w:rFonts w:ascii="Arial" w:hAnsi="Arial" w:cs="Arial"/>
                <w:sz w:val="20"/>
                <w:szCs w:val="20"/>
              </w:rPr>
            </w:pPr>
          </w:p>
          <w:p w14:paraId="0FEE422F" w14:textId="08B079F4" w:rsidR="00FA271B" w:rsidRPr="003372FD" w:rsidRDefault="00FA271B" w:rsidP="003372FD">
            <w:pPr>
              <w:pStyle w:val="NoSpacing1"/>
              <w:rPr>
                <w:rFonts w:ascii="Arial" w:hAnsi="Arial" w:cs="Arial"/>
                <w:sz w:val="20"/>
                <w:szCs w:val="20"/>
              </w:rPr>
            </w:pPr>
            <w:r w:rsidRPr="003372FD">
              <w:rPr>
                <w:rFonts w:ascii="Arial" w:hAnsi="Arial" w:cs="Arial"/>
                <w:sz w:val="20"/>
                <w:szCs w:val="20"/>
              </w:rPr>
              <w:t>225 (56</w:t>
            </w:r>
            <w:r w:rsidR="003A16BE" w:rsidRPr="003372FD">
              <w:rPr>
                <w:rFonts w:ascii="Arial" w:hAnsi="Arial" w:cs="Arial"/>
                <w:sz w:val="20"/>
                <w:szCs w:val="20"/>
              </w:rPr>
              <w:t>.3</w:t>
            </w:r>
            <w:r w:rsidRPr="003372FD">
              <w:rPr>
                <w:rFonts w:ascii="Arial" w:hAnsi="Arial" w:cs="Arial"/>
                <w:sz w:val="20"/>
                <w:szCs w:val="20"/>
              </w:rPr>
              <w:t>)</w:t>
            </w:r>
          </w:p>
        </w:tc>
        <w:tc>
          <w:tcPr>
            <w:tcW w:w="1354" w:type="dxa"/>
            <w:shd w:val="clear" w:color="auto" w:fill="FFFFFF" w:themeFill="background1"/>
          </w:tcPr>
          <w:p w14:paraId="426DCDFB" w14:textId="77777777" w:rsidR="00FA271B" w:rsidRPr="003372FD" w:rsidRDefault="00FA271B" w:rsidP="003372FD">
            <w:pPr>
              <w:pStyle w:val="NoSpacing1"/>
              <w:rPr>
                <w:rFonts w:ascii="Arial" w:hAnsi="Arial" w:cs="Arial"/>
                <w:sz w:val="20"/>
                <w:szCs w:val="20"/>
              </w:rPr>
            </w:pPr>
          </w:p>
          <w:p w14:paraId="0983E5E9"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400 (100)</w:t>
            </w:r>
          </w:p>
        </w:tc>
      </w:tr>
      <w:tr w:rsidR="00FA271B" w:rsidRPr="003372FD" w14:paraId="644B1053" w14:textId="77777777" w:rsidTr="003372FD">
        <w:trPr>
          <w:trHeight w:val="1372"/>
        </w:trPr>
        <w:tc>
          <w:tcPr>
            <w:tcW w:w="2705" w:type="dxa"/>
          </w:tcPr>
          <w:p w14:paraId="41F89858"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Age (years)</w:t>
            </w:r>
          </w:p>
          <w:p w14:paraId="78F95057"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&lt; 65; n (%)</w:t>
            </w:r>
          </w:p>
          <w:p w14:paraId="0F8C1AC9"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 65; n (%)</w:t>
            </w:r>
          </w:p>
          <w:p w14:paraId="0CEC4A31"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Mean (± SD)</w:t>
            </w:r>
          </w:p>
          <w:p w14:paraId="5FE703FA"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Median (IQR)</w:t>
            </w:r>
          </w:p>
        </w:tc>
        <w:tc>
          <w:tcPr>
            <w:tcW w:w="2493" w:type="dxa"/>
          </w:tcPr>
          <w:p w14:paraId="3C908748" w14:textId="77777777" w:rsidR="00FA271B" w:rsidRPr="003372FD" w:rsidRDefault="00FA271B" w:rsidP="003372FD">
            <w:pPr>
              <w:pStyle w:val="NoSpacing1"/>
              <w:rPr>
                <w:rFonts w:ascii="Arial" w:hAnsi="Arial" w:cs="Arial"/>
                <w:sz w:val="20"/>
                <w:szCs w:val="20"/>
              </w:rPr>
            </w:pPr>
          </w:p>
          <w:p w14:paraId="0FA2997E"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153 (38)</w:t>
            </w:r>
          </w:p>
          <w:p w14:paraId="6BE7436C"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22 (6)</w:t>
            </w:r>
          </w:p>
          <w:p w14:paraId="22127F78" w14:textId="5CEE783D" w:rsidR="00FA271B" w:rsidRPr="003372FD" w:rsidRDefault="00FA271B" w:rsidP="003372FD">
            <w:pPr>
              <w:pStyle w:val="NoSpacing1"/>
              <w:rPr>
                <w:rFonts w:ascii="Arial" w:hAnsi="Arial" w:cs="Arial"/>
                <w:sz w:val="20"/>
                <w:szCs w:val="20"/>
              </w:rPr>
            </w:pPr>
            <w:r w:rsidRPr="003372FD">
              <w:rPr>
                <w:rFonts w:ascii="Arial" w:hAnsi="Arial" w:cs="Arial"/>
                <w:sz w:val="20"/>
                <w:szCs w:val="20"/>
              </w:rPr>
              <w:t>42.25 (17.</w:t>
            </w:r>
            <w:r w:rsidR="003A16BE" w:rsidRPr="003372FD">
              <w:rPr>
                <w:rFonts w:ascii="Arial" w:hAnsi="Arial" w:cs="Arial"/>
                <w:sz w:val="20"/>
                <w:szCs w:val="20"/>
              </w:rPr>
              <w:t>3</w:t>
            </w:r>
            <w:r w:rsidRPr="003372FD">
              <w:rPr>
                <w:rFonts w:ascii="Arial" w:hAnsi="Arial" w:cs="Arial"/>
                <w:sz w:val="20"/>
                <w:szCs w:val="20"/>
              </w:rPr>
              <w:t>)</w:t>
            </w:r>
          </w:p>
          <w:p w14:paraId="3AB0F48A"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43 (28.5)</w:t>
            </w:r>
          </w:p>
        </w:tc>
        <w:tc>
          <w:tcPr>
            <w:tcW w:w="2690" w:type="dxa"/>
          </w:tcPr>
          <w:p w14:paraId="31A212B9" w14:textId="77777777" w:rsidR="00FA271B" w:rsidRPr="003372FD" w:rsidRDefault="00FA271B" w:rsidP="003372FD">
            <w:pPr>
              <w:pStyle w:val="NoSpacing1"/>
              <w:rPr>
                <w:rFonts w:ascii="Arial" w:hAnsi="Arial" w:cs="Arial"/>
                <w:sz w:val="20"/>
                <w:szCs w:val="20"/>
              </w:rPr>
            </w:pPr>
          </w:p>
          <w:p w14:paraId="31B50CB6"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185 (46)</w:t>
            </w:r>
          </w:p>
          <w:p w14:paraId="09B5833A"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40 (10)</w:t>
            </w:r>
          </w:p>
          <w:p w14:paraId="13780B22"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46.10 (18.8)</w:t>
            </w:r>
          </w:p>
          <w:p w14:paraId="7F4FE0A1" w14:textId="13083057" w:rsidR="00FA271B" w:rsidRPr="003372FD" w:rsidRDefault="00FA271B" w:rsidP="003372FD">
            <w:pPr>
              <w:pStyle w:val="NoSpacing1"/>
              <w:rPr>
                <w:rFonts w:ascii="Arial" w:hAnsi="Arial" w:cs="Arial"/>
                <w:sz w:val="20"/>
                <w:szCs w:val="20"/>
              </w:rPr>
            </w:pPr>
            <w:r w:rsidRPr="003372FD">
              <w:rPr>
                <w:rFonts w:ascii="Arial" w:hAnsi="Arial" w:cs="Arial"/>
                <w:sz w:val="20"/>
                <w:szCs w:val="20"/>
              </w:rPr>
              <w:t>44 (28</w:t>
            </w:r>
            <w:r w:rsidR="003A16BE" w:rsidRPr="003372FD">
              <w:rPr>
                <w:rFonts w:ascii="Arial" w:hAnsi="Arial" w:cs="Arial"/>
                <w:sz w:val="20"/>
                <w:szCs w:val="20"/>
              </w:rPr>
              <w:t>.0</w:t>
            </w:r>
            <w:r w:rsidRPr="003372FD">
              <w:rPr>
                <w:rFonts w:ascii="Arial" w:hAnsi="Arial" w:cs="Arial"/>
                <w:sz w:val="20"/>
                <w:szCs w:val="20"/>
              </w:rPr>
              <w:t>)</w:t>
            </w:r>
          </w:p>
          <w:p w14:paraId="3669730E" w14:textId="77777777" w:rsidR="00FA271B" w:rsidRPr="003372FD" w:rsidRDefault="00FA271B" w:rsidP="003372FD">
            <w:pPr>
              <w:pStyle w:val="NoSpacing1"/>
              <w:rPr>
                <w:rFonts w:ascii="Arial" w:hAnsi="Arial" w:cs="Arial"/>
                <w:sz w:val="20"/>
                <w:szCs w:val="20"/>
              </w:rPr>
            </w:pPr>
          </w:p>
        </w:tc>
        <w:tc>
          <w:tcPr>
            <w:tcW w:w="1354" w:type="dxa"/>
          </w:tcPr>
          <w:p w14:paraId="066FAF97" w14:textId="77777777" w:rsidR="00FA271B" w:rsidRPr="003372FD" w:rsidRDefault="00FA271B" w:rsidP="003372FD">
            <w:pPr>
              <w:pStyle w:val="NoSpacing1"/>
              <w:rPr>
                <w:rFonts w:ascii="Arial" w:hAnsi="Arial" w:cs="Arial"/>
                <w:sz w:val="20"/>
                <w:szCs w:val="20"/>
              </w:rPr>
            </w:pPr>
          </w:p>
          <w:p w14:paraId="05AFDC9F"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338 (84.5)</w:t>
            </w:r>
          </w:p>
          <w:p w14:paraId="46AF6C0B"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62 (15.5)</w:t>
            </w:r>
          </w:p>
          <w:p w14:paraId="52D0C93F" w14:textId="4387A7E8" w:rsidR="00FA271B" w:rsidRPr="003372FD" w:rsidRDefault="00FA271B" w:rsidP="003372FD">
            <w:pPr>
              <w:pStyle w:val="NoSpacing1"/>
              <w:rPr>
                <w:rFonts w:ascii="Arial" w:hAnsi="Arial" w:cs="Arial"/>
                <w:sz w:val="20"/>
                <w:szCs w:val="20"/>
              </w:rPr>
            </w:pPr>
            <w:r w:rsidRPr="003372FD">
              <w:rPr>
                <w:rFonts w:ascii="Arial" w:hAnsi="Arial" w:cs="Arial"/>
                <w:sz w:val="20"/>
                <w:szCs w:val="20"/>
              </w:rPr>
              <w:t>45.</w:t>
            </w:r>
            <w:r w:rsidR="003A16BE" w:rsidRPr="003372FD">
              <w:rPr>
                <w:rFonts w:ascii="Arial" w:hAnsi="Arial" w:cs="Arial"/>
                <w:sz w:val="20"/>
                <w:szCs w:val="20"/>
              </w:rPr>
              <w:t>1</w:t>
            </w:r>
            <w:r w:rsidRPr="003372FD">
              <w:rPr>
                <w:rFonts w:ascii="Arial" w:hAnsi="Arial" w:cs="Arial"/>
                <w:sz w:val="20"/>
                <w:szCs w:val="20"/>
              </w:rPr>
              <w:t>(17.9)</w:t>
            </w:r>
          </w:p>
          <w:p w14:paraId="2EC55B44" w14:textId="464150C3" w:rsidR="00FA271B" w:rsidRPr="003372FD" w:rsidRDefault="00FA271B" w:rsidP="003372FD">
            <w:pPr>
              <w:pStyle w:val="NoSpacing1"/>
              <w:rPr>
                <w:rFonts w:ascii="Arial" w:hAnsi="Arial" w:cs="Arial"/>
                <w:sz w:val="20"/>
                <w:szCs w:val="20"/>
              </w:rPr>
            </w:pPr>
            <w:r w:rsidRPr="003372FD">
              <w:rPr>
                <w:rFonts w:ascii="Arial" w:hAnsi="Arial" w:cs="Arial"/>
                <w:sz w:val="20"/>
                <w:szCs w:val="20"/>
              </w:rPr>
              <w:t>43 (28.</w:t>
            </w:r>
            <w:r w:rsidR="003A16BE" w:rsidRPr="003372FD">
              <w:rPr>
                <w:rFonts w:ascii="Arial" w:hAnsi="Arial" w:cs="Arial"/>
                <w:sz w:val="20"/>
                <w:szCs w:val="20"/>
              </w:rPr>
              <w:t>3</w:t>
            </w:r>
            <w:r w:rsidRPr="003372FD">
              <w:rPr>
                <w:rFonts w:ascii="Arial" w:hAnsi="Arial" w:cs="Arial"/>
                <w:sz w:val="20"/>
                <w:szCs w:val="20"/>
              </w:rPr>
              <w:t>)</w:t>
            </w:r>
          </w:p>
        </w:tc>
      </w:tr>
      <w:tr w:rsidR="00FA271B" w:rsidRPr="003372FD" w14:paraId="0378F247" w14:textId="77777777" w:rsidTr="003A3A92">
        <w:tc>
          <w:tcPr>
            <w:tcW w:w="2705" w:type="dxa"/>
          </w:tcPr>
          <w:p w14:paraId="2EBE2B14"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Occupation; n (%)</w:t>
            </w:r>
          </w:p>
          <w:p w14:paraId="50875975"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Employed</w:t>
            </w:r>
          </w:p>
          <w:p w14:paraId="737FCA5F"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Unemployed</w:t>
            </w:r>
          </w:p>
          <w:p w14:paraId="08839BCC"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 xml:space="preserve">unknown </w:t>
            </w:r>
          </w:p>
        </w:tc>
        <w:tc>
          <w:tcPr>
            <w:tcW w:w="2493" w:type="dxa"/>
          </w:tcPr>
          <w:p w14:paraId="3BFC8932" w14:textId="77777777" w:rsidR="00FA271B" w:rsidRPr="003372FD" w:rsidRDefault="00FA271B" w:rsidP="003372FD">
            <w:pPr>
              <w:pStyle w:val="NoSpacing1"/>
              <w:rPr>
                <w:rFonts w:ascii="Arial" w:hAnsi="Arial" w:cs="Arial"/>
                <w:sz w:val="20"/>
                <w:szCs w:val="20"/>
              </w:rPr>
            </w:pPr>
          </w:p>
          <w:p w14:paraId="622823D2" w14:textId="2C868CE7" w:rsidR="00FA271B" w:rsidRPr="003372FD" w:rsidRDefault="00FA271B" w:rsidP="003372FD">
            <w:pPr>
              <w:pStyle w:val="NoSpacing1"/>
              <w:rPr>
                <w:rFonts w:ascii="Arial" w:hAnsi="Arial" w:cs="Arial"/>
                <w:sz w:val="20"/>
                <w:szCs w:val="20"/>
              </w:rPr>
            </w:pPr>
            <w:r w:rsidRPr="003372FD">
              <w:rPr>
                <w:rFonts w:ascii="Arial" w:hAnsi="Arial" w:cs="Arial"/>
                <w:sz w:val="20"/>
                <w:szCs w:val="20"/>
              </w:rPr>
              <w:t>13 (3</w:t>
            </w:r>
            <w:r w:rsidR="003A16BE" w:rsidRPr="003372FD">
              <w:rPr>
                <w:rFonts w:ascii="Arial" w:hAnsi="Arial" w:cs="Arial"/>
                <w:sz w:val="20"/>
                <w:szCs w:val="20"/>
              </w:rPr>
              <w:t>.3</w:t>
            </w:r>
            <w:r w:rsidRPr="003372FD">
              <w:rPr>
                <w:rFonts w:ascii="Arial" w:hAnsi="Arial" w:cs="Arial"/>
                <w:sz w:val="20"/>
                <w:szCs w:val="20"/>
              </w:rPr>
              <w:t>)</w:t>
            </w:r>
          </w:p>
          <w:p w14:paraId="38F31544" w14:textId="376211B5" w:rsidR="00FA271B" w:rsidRPr="003372FD" w:rsidRDefault="00FA271B" w:rsidP="003372FD">
            <w:pPr>
              <w:pStyle w:val="NoSpacing1"/>
              <w:rPr>
                <w:rFonts w:ascii="Arial" w:hAnsi="Arial" w:cs="Arial"/>
                <w:sz w:val="20"/>
                <w:szCs w:val="20"/>
              </w:rPr>
            </w:pPr>
            <w:r w:rsidRPr="003372FD">
              <w:rPr>
                <w:rFonts w:ascii="Arial" w:hAnsi="Arial" w:cs="Arial"/>
                <w:sz w:val="20"/>
                <w:szCs w:val="20"/>
              </w:rPr>
              <w:t>45 (11</w:t>
            </w:r>
            <w:r w:rsidR="003A16BE" w:rsidRPr="003372FD">
              <w:rPr>
                <w:rFonts w:ascii="Arial" w:hAnsi="Arial" w:cs="Arial"/>
                <w:sz w:val="20"/>
                <w:szCs w:val="20"/>
              </w:rPr>
              <w:t>.3</w:t>
            </w:r>
            <w:r w:rsidRPr="003372FD">
              <w:rPr>
                <w:rFonts w:ascii="Arial" w:hAnsi="Arial" w:cs="Arial"/>
                <w:sz w:val="20"/>
                <w:szCs w:val="20"/>
              </w:rPr>
              <w:t>)</w:t>
            </w:r>
          </w:p>
          <w:p w14:paraId="6083B3B5" w14:textId="60990594" w:rsidR="00FA271B" w:rsidRPr="003372FD" w:rsidRDefault="00FA271B" w:rsidP="003372FD">
            <w:pPr>
              <w:pStyle w:val="NoSpacing1"/>
              <w:rPr>
                <w:rFonts w:ascii="Arial" w:hAnsi="Arial" w:cs="Arial"/>
                <w:sz w:val="20"/>
                <w:szCs w:val="20"/>
              </w:rPr>
            </w:pPr>
            <w:r w:rsidRPr="003372FD">
              <w:rPr>
                <w:rFonts w:ascii="Arial" w:hAnsi="Arial" w:cs="Arial"/>
                <w:sz w:val="20"/>
                <w:szCs w:val="20"/>
              </w:rPr>
              <w:t>117 (29</w:t>
            </w:r>
            <w:r w:rsidR="003A16BE" w:rsidRPr="003372FD">
              <w:rPr>
                <w:rFonts w:ascii="Arial" w:hAnsi="Arial" w:cs="Arial"/>
                <w:sz w:val="20"/>
                <w:szCs w:val="20"/>
              </w:rPr>
              <w:t>.3</w:t>
            </w:r>
            <w:r w:rsidRPr="003372FD">
              <w:rPr>
                <w:rFonts w:ascii="Arial" w:hAnsi="Arial" w:cs="Arial"/>
                <w:sz w:val="20"/>
                <w:szCs w:val="20"/>
              </w:rPr>
              <w:t>)</w:t>
            </w:r>
          </w:p>
        </w:tc>
        <w:tc>
          <w:tcPr>
            <w:tcW w:w="2690" w:type="dxa"/>
          </w:tcPr>
          <w:p w14:paraId="37921712" w14:textId="77777777" w:rsidR="00FA271B" w:rsidRPr="003372FD" w:rsidRDefault="00FA271B" w:rsidP="003372FD">
            <w:pPr>
              <w:pStyle w:val="NoSpacing1"/>
              <w:rPr>
                <w:rFonts w:ascii="Arial" w:hAnsi="Arial" w:cs="Arial"/>
                <w:sz w:val="20"/>
                <w:szCs w:val="20"/>
              </w:rPr>
            </w:pPr>
          </w:p>
          <w:p w14:paraId="7A8BF217" w14:textId="22FA24AD" w:rsidR="00FA271B" w:rsidRPr="003372FD" w:rsidRDefault="00FA271B" w:rsidP="003372FD">
            <w:pPr>
              <w:pStyle w:val="NoSpacing1"/>
              <w:rPr>
                <w:rFonts w:ascii="Arial" w:hAnsi="Arial" w:cs="Arial"/>
                <w:sz w:val="20"/>
                <w:szCs w:val="20"/>
              </w:rPr>
            </w:pPr>
            <w:r w:rsidRPr="003372FD">
              <w:rPr>
                <w:rFonts w:ascii="Arial" w:hAnsi="Arial" w:cs="Arial"/>
                <w:sz w:val="20"/>
                <w:szCs w:val="20"/>
              </w:rPr>
              <w:t>9 (2</w:t>
            </w:r>
            <w:r w:rsidR="003A16BE" w:rsidRPr="003372FD">
              <w:rPr>
                <w:rFonts w:ascii="Arial" w:hAnsi="Arial" w:cs="Arial"/>
                <w:sz w:val="20"/>
                <w:szCs w:val="20"/>
              </w:rPr>
              <w:t>.3</w:t>
            </w:r>
            <w:r w:rsidRPr="003372FD">
              <w:rPr>
                <w:rFonts w:ascii="Arial" w:hAnsi="Arial" w:cs="Arial"/>
                <w:sz w:val="20"/>
                <w:szCs w:val="20"/>
              </w:rPr>
              <w:t>)</w:t>
            </w:r>
          </w:p>
          <w:p w14:paraId="65D3536A" w14:textId="7BEA49D5" w:rsidR="00FA271B" w:rsidRPr="003372FD" w:rsidRDefault="00FA271B" w:rsidP="003372FD">
            <w:pPr>
              <w:pStyle w:val="NoSpacing1"/>
              <w:rPr>
                <w:rFonts w:ascii="Arial" w:hAnsi="Arial" w:cs="Arial"/>
                <w:sz w:val="20"/>
                <w:szCs w:val="20"/>
              </w:rPr>
            </w:pPr>
            <w:r w:rsidRPr="003372FD">
              <w:rPr>
                <w:rFonts w:ascii="Arial" w:hAnsi="Arial" w:cs="Arial"/>
                <w:sz w:val="20"/>
                <w:szCs w:val="20"/>
              </w:rPr>
              <w:t>89</w:t>
            </w:r>
            <w:r w:rsidR="003A16BE" w:rsidRPr="003372FD">
              <w:rPr>
                <w:rFonts w:ascii="Arial" w:hAnsi="Arial" w:cs="Arial"/>
                <w:sz w:val="20"/>
                <w:szCs w:val="20"/>
              </w:rPr>
              <w:t xml:space="preserve"> </w:t>
            </w:r>
            <w:r w:rsidRPr="003372FD">
              <w:rPr>
                <w:rFonts w:ascii="Arial" w:hAnsi="Arial" w:cs="Arial"/>
                <w:sz w:val="20"/>
                <w:szCs w:val="20"/>
              </w:rPr>
              <w:t>(22</w:t>
            </w:r>
            <w:r w:rsidR="003A16BE" w:rsidRPr="003372FD">
              <w:rPr>
                <w:rFonts w:ascii="Arial" w:hAnsi="Arial" w:cs="Arial"/>
                <w:sz w:val="20"/>
                <w:szCs w:val="20"/>
              </w:rPr>
              <w:t>.3</w:t>
            </w:r>
            <w:r w:rsidRPr="003372FD">
              <w:rPr>
                <w:rFonts w:ascii="Arial" w:hAnsi="Arial" w:cs="Arial"/>
                <w:sz w:val="20"/>
                <w:szCs w:val="20"/>
              </w:rPr>
              <w:t>)</w:t>
            </w:r>
          </w:p>
          <w:p w14:paraId="7733FB78" w14:textId="52C42EBE" w:rsidR="00FA271B" w:rsidRPr="003372FD" w:rsidRDefault="00FA271B" w:rsidP="003372FD">
            <w:pPr>
              <w:pStyle w:val="NoSpacing1"/>
              <w:rPr>
                <w:rFonts w:ascii="Arial" w:hAnsi="Arial" w:cs="Arial"/>
                <w:sz w:val="20"/>
                <w:szCs w:val="20"/>
              </w:rPr>
            </w:pPr>
            <w:r w:rsidRPr="003372FD">
              <w:rPr>
                <w:rFonts w:ascii="Arial" w:hAnsi="Arial" w:cs="Arial"/>
                <w:sz w:val="20"/>
                <w:szCs w:val="20"/>
              </w:rPr>
              <w:t>127 (3</w:t>
            </w:r>
            <w:r w:rsidR="003A16BE" w:rsidRPr="003372FD">
              <w:rPr>
                <w:rFonts w:ascii="Arial" w:hAnsi="Arial" w:cs="Arial"/>
                <w:sz w:val="20"/>
                <w:szCs w:val="20"/>
              </w:rPr>
              <w:t>1.8</w:t>
            </w:r>
            <w:r w:rsidRPr="003372FD">
              <w:rPr>
                <w:rFonts w:ascii="Arial" w:hAnsi="Arial" w:cs="Arial"/>
                <w:sz w:val="20"/>
                <w:szCs w:val="20"/>
              </w:rPr>
              <w:t>)</w:t>
            </w:r>
          </w:p>
        </w:tc>
        <w:tc>
          <w:tcPr>
            <w:tcW w:w="1354" w:type="dxa"/>
          </w:tcPr>
          <w:p w14:paraId="2043355D" w14:textId="77777777" w:rsidR="00FA271B" w:rsidRPr="003372FD" w:rsidRDefault="00FA271B" w:rsidP="003372FD">
            <w:pPr>
              <w:pStyle w:val="NoSpacing1"/>
              <w:rPr>
                <w:rFonts w:ascii="Arial" w:hAnsi="Arial" w:cs="Arial"/>
                <w:sz w:val="20"/>
                <w:szCs w:val="20"/>
              </w:rPr>
            </w:pPr>
          </w:p>
          <w:p w14:paraId="4D62F38C"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22 (5.5)</w:t>
            </w:r>
          </w:p>
          <w:p w14:paraId="682615A1"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134 (33.5)</w:t>
            </w:r>
          </w:p>
          <w:p w14:paraId="18189E2D" w14:textId="4663ED2A" w:rsidR="00FA271B" w:rsidRPr="003372FD" w:rsidRDefault="00FA271B" w:rsidP="003372FD">
            <w:pPr>
              <w:pStyle w:val="NoSpacing1"/>
              <w:rPr>
                <w:rFonts w:ascii="Arial" w:hAnsi="Arial" w:cs="Arial"/>
                <w:sz w:val="20"/>
                <w:szCs w:val="20"/>
              </w:rPr>
            </w:pPr>
            <w:r w:rsidRPr="003372FD">
              <w:rPr>
                <w:rFonts w:ascii="Arial" w:hAnsi="Arial" w:cs="Arial"/>
                <w:sz w:val="20"/>
                <w:szCs w:val="20"/>
              </w:rPr>
              <w:t>244 (61</w:t>
            </w:r>
            <w:r w:rsidR="003A16BE" w:rsidRPr="003372FD">
              <w:rPr>
                <w:rFonts w:ascii="Arial" w:hAnsi="Arial" w:cs="Arial"/>
                <w:sz w:val="20"/>
                <w:szCs w:val="20"/>
              </w:rPr>
              <w:t>.0</w:t>
            </w:r>
            <w:r w:rsidRPr="003372FD">
              <w:rPr>
                <w:rFonts w:ascii="Arial" w:hAnsi="Arial" w:cs="Arial"/>
                <w:sz w:val="20"/>
                <w:szCs w:val="20"/>
              </w:rPr>
              <w:t>)</w:t>
            </w:r>
          </w:p>
        </w:tc>
      </w:tr>
      <w:tr w:rsidR="00FA271B" w:rsidRPr="003372FD" w14:paraId="6E27C0E6" w14:textId="77777777" w:rsidTr="003A3A92">
        <w:tc>
          <w:tcPr>
            <w:tcW w:w="2705" w:type="dxa"/>
          </w:tcPr>
          <w:p w14:paraId="51F33DAC"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Transferred in; n (%)</w:t>
            </w:r>
          </w:p>
          <w:p w14:paraId="7B91CBF1"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Yes</w:t>
            </w:r>
          </w:p>
          <w:p w14:paraId="2349E24D"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No</w:t>
            </w:r>
          </w:p>
          <w:p w14:paraId="647B604A"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Unknown</w:t>
            </w:r>
          </w:p>
        </w:tc>
        <w:tc>
          <w:tcPr>
            <w:tcW w:w="2493" w:type="dxa"/>
          </w:tcPr>
          <w:p w14:paraId="6C29D930" w14:textId="77777777" w:rsidR="00FA271B" w:rsidRPr="003372FD" w:rsidRDefault="00FA271B" w:rsidP="003372FD">
            <w:pPr>
              <w:pStyle w:val="NoSpacing1"/>
              <w:rPr>
                <w:rFonts w:ascii="Arial" w:hAnsi="Arial" w:cs="Arial"/>
                <w:sz w:val="20"/>
                <w:szCs w:val="20"/>
              </w:rPr>
            </w:pPr>
          </w:p>
          <w:p w14:paraId="1C7DEC44" w14:textId="26642896" w:rsidR="00FA271B" w:rsidRPr="003372FD" w:rsidRDefault="00FA271B" w:rsidP="003372FD">
            <w:pPr>
              <w:pStyle w:val="NoSpacing1"/>
              <w:rPr>
                <w:rFonts w:ascii="Arial" w:hAnsi="Arial" w:cs="Arial"/>
                <w:sz w:val="20"/>
                <w:szCs w:val="20"/>
              </w:rPr>
            </w:pPr>
            <w:r w:rsidRPr="003372FD">
              <w:rPr>
                <w:rFonts w:ascii="Arial" w:hAnsi="Arial" w:cs="Arial"/>
                <w:sz w:val="20"/>
                <w:szCs w:val="20"/>
              </w:rPr>
              <w:t>45 (11</w:t>
            </w:r>
            <w:r w:rsidR="003A16BE" w:rsidRPr="003372FD">
              <w:rPr>
                <w:rFonts w:ascii="Arial" w:hAnsi="Arial" w:cs="Arial"/>
                <w:sz w:val="20"/>
                <w:szCs w:val="20"/>
              </w:rPr>
              <w:t>.3</w:t>
            </w:r>
            <w:r w:rsidRPr="003372FD">
              <w:rPr>
                <w:rFonts w:ascii="Arial" w:hAnsi="Arial" w:cs="Arial"/>
                <w:sz w:val="20"/>
                <w:szCs w:val="20"/>
              </w:rPr>
              <w:t>)</w:t>
            </w:r>
          </w:p>
          <w:p w14:paraId="25DDC0D9" w14:textId="4B420A10" w:rsidR="00FA271B" w:rsidRPr="003372FD" w:rsidRDefault="00FA271B" w:rsidP="003372FD">
            <w:pPr>
              <w:pStyle w:val="NoSpacing1"/>
              <w:rPr>
                <w:rFonts w:ascii="Arial" w:hAnsi="Arial" w:cs="Arial"/>
                <w:sz w:val="20"/>
                <w:szCs w:val="20"/>
              </w:rPr>
            </w:pPr>
            <w:r w:rsidRPr="003372FD">
              <w:rPr>
                <w:rFonts w:ascii="Arial" w:hAnsi="Arial" w:cs="Arial"/>
                <w:sz w:val="20"/>
                <w:szCs w:val="20"/>
              </w:rPr>
              <w:t>118 (</w:t>
            </w:r>
            <w:r w:rsidR="003A16BE" w:rsidRPr="003372FD">
              <w:rPr>
                <w:rFonts w:ascii="Arial" w:hAnsi="Arial" w:cs="Arial"/>
                <w:sz w:val="20"/>
                <w:szCs w:val="20"/>
              </w:rPr>
              <w:t>29.5</w:t>
            </w:r>
            <w:r w:rsidRPr="003372FD">
              <w:rPr>
                <w:rFonts w:ascii="Arial" w:hAnsi="Arial" w:cs="Arial"/>
                <w:sz w:val="20"/>
                <w:szCs w:val="20"/>
              </w:rPr>
              <w:t>)</w:t>
            </w:r>
          </w:p>
          <w:p w14:paraId="473C1DFF" w14:textId="5DF15988" w:rsidR="00FA271B" w:rsidRPr="003372FD" w:rsidRDefault="00FA271B" w:rsidP="003372FD">
            <w:pPr>
              <w:pStyle w:val="NoSpacing1"/>
              <w:rPr>
                <w:rFonts w:ascii="Arial" w:hAnsi="Arial" w:cs="Arial"/>
                <w:sz w:val="20"/>
                <w:szCs w:val="20"/>
              </w:rPr>
            </w:pPr>
            <w:r w:rsidRPr="003372FD">
              <w:rPr>
                <w:rFonts w:ascii="Arial" w:hAnsi="Arial" w:cs="Arial"/>
                <w:sz w:val="20"/>
                <w:szCs w:val="20"/>
              </w:rPr>
              <w:t>12 (3</w:t>
            </w:r>
            <w:r w:rsidR="003A16BE" w:rsidRPr="003372FD">
              <w:rPr>
                <w:rFonts w:ascii="Arial" w:hAnsi="Arial" w:cs="Arial"/>
                <w:sz w:val="20"/>
                <w:szCs w:val="20"/>
              </w:rPr>
              <w:t>.0</w:t>
            </w:r>
            <w:r w:rsidRPr="003372FD">
              <w:rPr>
                <w:rFonts w:ascii="Arial" w:hAnsi="Arial" w:cs="Arial"/>
                <w:sz w:val="20"/>
                <w:szCs w:val="20"/>
              </w:rPr>
              <w:t>)</w:t>
            </w:r>
          </w:p>
        </w:tc>
        <w:tc>
          <w:tcPr>
            <w:tcW w:w="2690" w:type="dxa"/>
          </w:tcPr>
          <w:p w14:paraId="68579F51" w14:textId="77777777" w:rsidR="00FA271B" w:rsidRPr="003372FD" w:rsidRDefault="00FA271B" w:rsidP="003372FD">
            <w:pPr>
              <w:pStyle w:val="NoSpacing1"/>
              <w:rPr>
                <w:rFonts w:ascii="Arial" w:hAnsi="Arial" w:cs="Arial"/>
                <w:sz w:val="20"/>
                <w:szCs w:val="20"/>
              </w:rPr>
            </w:pPr>
          </w:p>
          <w:p w14:paraId="0487E4E9" w14:textId="207095A3" w:rsidR="00FA271B" w:rsidRPr="003372FD" w:rsidRDefault="00FA271B" w:rsidP="003372FD">
            <w:pPr>
              <w:pStyle w:val="NoSpacing1"/>
              <w:rPr>
                <w:rFonts w:ascii="Arial" w:hAnsi="Arial" w:cs="Arial"/>
                <w:sz w:val="20"/>
                <w:szCs w:val="20"/>
              </w:rPr>
            </w:pPr>
            <w:r w:rsidRPr="003372FD">
              <w:rPr>
                <w:rFonts w:ascii="Arial" w:hAnsi="Arial" w:cs="Arial"/>
                <w:sz w:val="20"/>
                <w:szCs w:val="20"/>
              </w:rPr>
              <w:t>25 (6</w:t>
            </w:r>
            <w:r w:rsidR="003A16BE" w:rsidRPr="003372FD">
              <w:rPr>
                <w:rFonts w:ascii="Arial" w:hAnsi="Arial" w:cs="Arial"/>
                <w:sz w:val="20"/>
                <w:szCs w:val="20"/>
              </w:rPr>
              <w:t>.3</w:t>
            </w:r>
            <w:r w:rsidRPr="003372FD">
              <w:rPr>
                <w:rFonts w:ascii="Arial" w:hAnsi="Arial" w:cs="Arial"/>
                <w:sz w:val="20"/>
                <w:szCs w:val="20"/>
              </w:rPr>
              <w:t>)</w:t>
            </w:r>
          </w:p>
          <w:p w14:paraId="6C656322" w14:textId="3F88D5E3" w:rsidR="00FA271B" w:rsidRPr="003372FD" w:rsidRDefault="00FA271B" w:rsidP="003372FD">
            <w:pPr>
              <w:pStyle w:val="NoSpacing1"/>
              <w:rPr>
                <w:rFonts w:ascii="Arial" w:hAnsi="Arial" w:cs="Arial"/>
                <w:sz w:val="20"/>
                <w:szCs w:val="20"/>
              </w:rPr>
            </w:pPr>
            <w:r w:rsidRPr="003372FD">
              <w:rPr>
                <w:rFonts w:ascii="Arial" w:hAnsi="Arial" w:cs="Arial"/>
                <w:sz w:val="20"/>
                <w:szCs w:val="20"/>
              </w:rPr>
              <w:t>190 (4</w:t>
            </w:r>
            <w:r w:rsidR="003A16BE" w:rsidRPr="003372FD">
              <w:rPr>
                <w:rFonts w:ascii="Arial" w:hAnsi="Arial" w:cs="Arial"/>
                <w:sz w:val="20"/>
                <w:szCs w:val="20"/>
              </w:rPr>
              <w:t>7.5</w:t>
            </w:r>
            <w:r w:rsidRPr="003372FD">
              <w:rPr>
                <w:rFonts w:ascii="Arial" w:hAnsi="Arial" w:cs="Arial"/>
                <w:sz w:val="20"/>
                <w:szCs w:val="20"/>
              </w:rPr>
              <w:t>)</w:t>
            </w:r>
          </w:p>
          <w:p w14:paraId="0898FACD" w14:textId="7F8249A4" w:rsidR="00FA271B" w:rsidRPr="003372FD" w:rsidRDefault="00FA271B" w:rsidP="003372FD">
            <w:pPr>
              <w:pStyle w:val="NoSpacing1"/>
              <w:rPr>
                <w:rFonts w:ascii="Arial" w:hAnsi="Arial" w:cs="Arial"/>
                <w:sz w:val="20"/>
                <w:szCs w:val="20"/>
              </w:rPr>
            </w:pPr>
            <w:r w:rsidRPr="003372FD">
              <w:rPr>
                <w:rFonts w:ascii="Arial" w:hAnsi="Arial" w:cs="Arial"/>
                <w:sz w:val="20"/>
                <w:szCs w:val="20"/>
              </w:rPr>
              <w:t>10 (</w:t>
            </w:r>
            <w:r w:rsidR="003A16BE" w:rsidRPr="003372FD">
              <w:rPr>
                <w:rFonts w:ascii="Arial" w:hAnsi="Arial" w:cs="Arial"/>
                <w:sz w:val="20"/>
                <w:szCs w:val="20"/>
              </w:rPr>
              <w:t>2.5</w:t>
            </w:r>
            <w:r w:rsidRPr="003372FD">
              <w:rPr>
                <w:rFonts w:ascii="Arial" w:hAnsi="Arial" w:cs="Arial"/>
                <w:sz w:val="20"/>
                <w:szCs w:val="20"/>
              </w:rPr>
              <w:t>)</w:t>
            </w:r>
          </w:p>
        </w:tc>
        <w:tc>
          <w:tcPr>
            <w:tcW w:w="1354" w:type="dxa"/>
          </w:tcPr>
          <w:p w14:paraId="6FDA503A" w14:textId="77777777" w:rsidR="00FA271B" w:rsidRPr="003372FD" w:rsidRDefault="00FA271B" w:rsidP="003372FD">
            <w:pPr>
              <w:pStyle w:val="NoSpacing1"/>
              <w:rPr>
                <w:rFonts w:ascii="Arial" w:hAnsi="Arial" w:cs="Arial"/>
                <w:sz w:val="20"/>
                <w:szCs w:val="20"/>
              </w:rPr>
            </w:pPr>
          </w:p>
          <w:p w14:paraId="2544C565"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70 (17.5)</w:t>
            </w:r>
          </w:p>
          <w:p w14:paraId="5A558523"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308 (77)</w:t>
            </w:r>
          </w:p>
          <w:p w14:paraId="1DE17A91" w14:textId="77777777" w:rsidR="00FA271B" w:rsidRPr="003372FD" w:rsidRDefault="00FA271B" w:rsidP="003372FD">
            <w:pPr>
              <w:pStyle w:val="NoSpacing1"/>
              <w:rPr>
                <w:rFonts w:ascii="Arial" w:hAnsi="Arial" w:cs="Arial"/>
                <w:sz w:val="20"/>
                <w:szCs w:val="20"/>
              </w:rPr>
            </w:pPr>
            <w:r w:rsidRPr="003372FD">
              <w:rPr>
                <w:rFonts w:ascii="Arial" w:hAnsi="Arial" w:cs="Arial"/>
                <w:sz w:val="20"/>
                <w:szCs w:val="20"/>
              </w:rPr>
              <w:t>22 (5.5)</w:t>
            </w:r>
          </w:p>
        </w:tc>
      </w:tr>
    </w:tbl>
    <w:p w14:paraId="0620288D" w14:textId="77777777" w:rsidR="00FA271B" w:rsidRPr="003372FD" w:rsidRDefault="00FA271B" w:rsidP="003372FD">
      <w:pPr>
        <w:pStyle w:val="NoSpacing1"/>
        <w:rPr>
          <w:rFonts w:ascii="Arial" w:hAnsi="Arial" w:cs="Arial"/>
          <w:sz w:val="20"/>
          <w:szCs w:val="20"/>
        </w:rPr>
      </w:pPr>
    </w:p>
    <w:p w14:paraId="60329663" w14:textId="2E530A64" w:rsidR="00FA271B" w:rsidRPr="0079159E" w:rsidRDefault="00B10309" w:rsidP="003372FD">
      <w:pPr>
        <w:pStyle w:val="NoSpacing1"/>
        <w:rPr>
          <w:rFonts w:ascii="Arial" w:hAnsi="Arial" w:cs="Arial"/>
          <w:b/>
          <w:i/>
          <w:sz w:val="20"/>
          <w:szCs w:val="20"/>
        </w:rPr>
      </w:pPr>
      <w:bookmarkStart w:id="3" w:name="_GoBack"/>
      <w:r w:rsidRPr="0079159E">
        <w:rPr>
          <w:rFonts w:ascii="Arial" w:hAnsi="Arial" w:cs="Arial"/>
          <w:b/>
          <w:i/>
          <w:sz w:val="20"/>
          <w:szCs w:val="20"/>
        </w:rPr>
        <w:t xml:space="preserve">3.1 </w:t>
      </w:r>
      <w:r w:rsidR="00FA271B" w:rsidRPr="0079159E">
        <w:rPr>
          <w:rFonts w:ascii="Arial" w:hAnsi="Arial" w:cs="Arial"/>
          <w:b/>
          <w:i/>
          <w:sz w:val="20"/>
          <w:szCs w:val="20"/>
        </w:rPr>
        <w:t>Antimicrobial use prevalence</w:t>
      </w:r>
    </w:p>
    <w:bookmarkEnd w:id="3"/>
    <w:p w14:paraId="0FC0493B" w14:textId="1BF90C3A" w:rsidR="00FA271B" w:rsidRDefault="00FA271B" w:rsidP="003372FD">
      <w:pPr>
        <w:pStyle w:val="NoSpacing1"/>
        <w:rPr>
          <w:rFonts w:ascii="Arial" w:hAnsi="Arial" w:cs="Arial"/>
          <w:sz w:val="20"/>
          <w:szCs w:val="20"/>
        </w:rPr>
      </w:pPr>
      <w:r w:rsidRPr="003372FD">
        <w:rPr>
          <w:rFonts w:ascii="Arial" w:hAnsi="Arial" w:cs="Arial"/>
          <w:sz w:val="20"/>
          <w:szCs w:val="20"/>
        </w:rPr>
        <w:t xml:space="preserve">Of the total number of 512 patients surveyed, 193 patients received at least one antimicrobial. The total prevalence of antimicrobial use was 38.5%. The prevalence of antimicrobial use was the highest in the various ICUs (Table 2). </w:t>
      </w:r>
    </w:p>
    <w:p w14:paraId="3C56D873" w14:textId="77777777" w:rsidR="003372FD" w:rsidRPr="003372FD" w:rsidRDefault="003372FD" w:rsidP="003372FD">
      <w:pPr>
        <w:pStyle w:val="NoSpacing1"/>
        <w:rPr>
          <w:rFonts w:ascii="Arial" w:hAnsi="Arial" w:cs="Arial"/>
          <w:sz w:val="20"/>
          <w:szCs w:val="20"/>
        </w:rPr>
      </w:pPr>
    </w:p>
    <w:p w14:paraId="70E6FD99" w14:textId="593F6548" w:rsidR="00FA271B" w:rsidRPr="003372FD" w:rsidRDefault="00FA271B" w:rsidP="003372FD">
      <w:pPr>
        <w:pStyle w:val="NoSpacing1"/>
        <w:rPr>
          <w:rFonts w:ascii="Arial" w:hAnsi="Arial" w:cs="Arial"/>
          <w:sz w:val="20"/>
          <w:szCs w:val="20"/>
          <w:u w:val="single"/>
          <w:lang w:val="en-GB"/>
        </w:rPr>
      </w:pPr>
      <w:bookmarkStart w:id="4" w:name="_Toc507595605"/>
      <w:r w:rsidRPr="003372FD">
        <w:rPr>
          <w:rFonts w:ascii="Arial" w:hAnsi="Arial" w:cs="Arial"/>
          <w:sz w:val="20"/>
          <w:szCs w:val="20"/>
          <w:u w:val="single"/>
          <w:lang w:val="en-GB"/>
        </w:rPr>
        <w:t>Table 2:</w:t>
      </w:r>
      <w:r w:rsidRPr="003372FD">
        <w:rPr>
          <w:rFonts w:ascii="Arial" w:hAnsi="Arial" w:cs="Arial"/>
          <w:sz w:val="20"/>
          <w:szCs w:val="20"/>
          <w:u w:val="single"/>
          <w:lang w:val="en-GB"/>
        </w:rPr>
        <w:tab/>
        <w:t>Antimicrobial use prevalence in the wards</w:t>
      </w:r>
      <w:bookmarkEnd w:id="4"/>
    </w:p>
    <w:p w14:paraId="701D5AC3" w14:textId="77777777" w:rsidR="003372FD" w:rsidRPr="003372FD" w:rsidRDefault="003372FD" w:rsidP="003372FD">
      <w:pPr>
        <w:pStyle w:val="NoSpacing1"/>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2802"/>
        <w:gridCol w:w="1871"/>
        <w:gridCol w:w="1985"/>
        <w:gridCol w:w="1984"/>
      </w:tblGrid>
      <w:tr w:rsidR="003372FD" w:rsidRPr="003372FD" w14:paraId="3D3D9BB9" w14:textId="77777777" w:rsidTr="003372FD">
        <w:trPr>
          <w:trHeight w:val="532"/>
        </w:trPr>
        <w:tc>
          <w:tcPr>
            <w:tcW w:w="2802" w:type="dxa"/>
          </w:tcPr>
          <w:p w14:paraId="689BBAD5" w14:textId="77777777" w:rsidR="003372FD" w:rsidRPr="003372FD" w:rsidRDefault="003372FD" w:rsidP="003372FD">
            <w:pPr>
              <w:pStyle w:val="NoSpacing1"/>
              <w:rPr>
                <w:rFonts w:ascii="Arial" w:hAnsi="Arial" w:cs="Arial"/>
                <w:b/>
                <w:sz w:val="20"/>
                <w:szCs w:val="20"/>
              </w:rPr>
            </w:pPr>
            <w:r w:rsidRPr="003372FD">
              <w:rPr>
                <w:rFonts w:ascii="Arial" w:hAnsi="Arial" w:cs="Arial"/>
                <w:b/>
                <w:sz w:val="20"/>
                <w:szCs w:val="20"/>
              </w:rPr>
              <w:t>Ward speciality</w:t>
            </w:r>
          </w:p>
        </w:tc>
        <w:tc>
          <w:tcPr>
            <w:tcW w:w="1871" w:type="dxa"/>
          </w:tcPr>
          <w:p w14:paraId="395B7F15" w14:textId="77777777" w:rsidR="003372FD" w:rsidRPr="003372FD" w:rsidRDefault="003372FD" w:rsidP="003372FD">
            <w:pPr>
              <w:pStyle w:val="NoSpacing1"/>
              <w:jc w:val="center"/>
              <w:rPr>
                <w:rFonts w:ascii="Arial" w:hAnsi="Arial" w:cs="Arial"/>
                <w:b/>
                <w:sz w:val="20"/>
                <w:szCs w:val="20"/>
              </w:rPr>
            </w:pPr>
            <w:r w:rsidRPr="003372FD">
              <w:rPr>
                <w:rFonts w:ascii="Arial" w:hAnsi="Arial" w:cs="Arial"/>
                <w:b/>
                <w:sz w:val="20"/>
                <w:szCs w:val="20"/>
              </w:rPr>
              <w:t>Total number of patients</w:t>
            </w:r>
          </w:p>
        </w:tc>
        <w:tc>
          <w:tcPr>
            <w:tcW w:w="1985" w:type="dxa"/>
          </w:tcPr>
          <w:p w14:paraId="06270C38" w14:textId="44501329" w:rsidR="003372FD" w:rsidRPr="003372FD" w:rsidRDefault="003372FD" w:rsidP="003372FD">
            <w:pPr>
              <w:pStyle w:val="NoSpacing1"/>
              <w:jc w:val="center"/>
              <w:rPr>
                <w:rFonts w:ascii="Arial" w:hAnsi="Arial" w:cs="Arial"/>
                <w:b/>
                <w:sz w:val="20"/>
                <w:szCs w:val="20"/>
              </w:rPr>
            </w:pPr>
            <w:r w:rsidRPr="003372FD">
              <w:rPr>
                <w:rFonts w:ascii="Arial" w:hAnsi="Arial" w:cs="Arial"/>
                <w:b/>
                <w:sz w:val="20"/>
                <w:szCs w:val="20"/>
              </w:rPr>
              <w:t>Patients receiving antimicrobials (n)</w:t>
            </w:r>
          </w:p>
        </w:tc>
        <w:tc>
          <w:tcPr>
            <w:tcW w:w="1984" w:type="dxa"/>
          </w:tcPr>
          <w:p w14:paraId="2ED85B91" w14:textId="453C0A08" w:rsidR="003372FD" w:rsidRPr="003372FD" w:rsidRDefault="003372FD" w:rsidP="003372FD">
            <w:pPr>
              <w:pStyle w:val="NoSpacing1"/>
              <w:jc w:val="center"/>
              <w:rPr>
                <w:rFonts w:ascii="Arial" w:hAnsi="Arial" w:cs="Arial"/>
                <w:b/>
                <w:sz w:val="20"/>
                <w:szCs w:val="20"/>
              </w:rPr>
            </w:pPr>
            <w:r w:rsidRPr="003372FD">
              <w:rPr>
                <w:rFonts w:ascii="Arial" w:hAnsi="Arial" w:cs="Arial"/>
                <w:b/>
                <w:sz w:val="20"/>
                <w:szCs w:val="20"/>
              </w:rPr>
              <w:t>Prevalence % [95% CI]</w:t>
            </w:r>
          </w:p>
        </w:tc>
      </w:tr>
      <w:tr w:rsidR="003372FD" w:rsidRPr="003372FD" w14:paraId="62258046" w14:textId="77777777" w:rsidTr="003372FD">
        <w:tc>
          <w:tcPr>
            <w:tcW w:w="2802" w:type="dxa"/>
          </w:tcPr>
          <w:p w14:paraId="7F8BDE12" w14:textId="77777777" w:rsidR="003372FD" w:rsidRPr="003372FD" w:rsidRDefault="003372FD" w:rsidP="003372FD">
            <w:pPr>
              <w:pStyle w:val="NoSpacing1"/>
              <w:rPr>
                <w:rFonts w:ascii="Arial" w:hAnsi="Arial" w:cs="Arial"/>
                <w:sz w:val="20"/>
                <w:szCs w:val="20"/>
              </w:rPr>
            </w:pPr>
            <w:r w:rsidRPr="003372FD">
              <w:rPr>
                <w:rFonts w:ascii="Arial" w:hAnsi="Arial" w:cs="Arial"/>
                <w:sz w:val="20"/>
                <w:szCs w:val="20"/>
                <w:lang w:val="en-GB"/>
              </w:rPr>
              <w:t xml:space="preserve">Neonatal ICU </w:t>
            </w:r>
          </w:p>
        </w:tc>
        <w:tc>
          <w:tcPr>
            <w:tcW w:w="1871" w:type="dxa"/>
          </w:tcPr>
          <w:p w14:paraId="33D35EE3"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24</w:t>
            </w:r>
          </w:p>
        </w:tc>
        <w:tc>
          <w:tcPr>
            <w:tcW w:w="1985" w:type="dxa"/>
          </w:tcPr>
          <w:p w14:paraId="4EEBF82A" w14:textId="2B59A54E"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17</w:t>
            </w:r>
          </w:p>
        </w:tc>
        <w:tc>
          <w:tcPr>
            <w:tcW w:w="1984" w:type="dxa"/>
          </w:tcPr>
          <w:p w14:paraId="7FF481D3" w14:textId="6B91E94D"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70.8 [52.6 - 89.0]</w:t>
            </w:r>
          </w:p>
        </w:tc>
      </w:tr>
      <w:tr w:rsidR="003372FD" w:rsidRPr="003372FD" w14:paraId="0179F691" w14:textId="77777777" w:rsidTr="003372FD">
        <w:tc>
          <w:tcPr>
            <w:tcW w:w="2802" w:type="dxa"/>
          </w:tcPr>
          <w:p w14:paraId="53B6EAC0" w14:textId="77777777" w:rsidR="003372FD" w:rsidRPr="003372FD" w:rsidRDefault="003372FD" w:rsidP="003372FD">
            <w:pPr>
              <w:pStyle w:val="NoSpacing1"/>
              <w:rPr>
                <w:rFonts w:ascii="Arial" w:hAnsi="Arial" w:cs="Arial"/>
                <w:sz w:val="20"/>
                <w:szCs w:val="20"/>
              </w:rPr>
            </w:pPr>
            <w:r w:rsidRPr="003372FD">
              <w:rPr>
                <w:rFonts w:ascii="Arial" w:hAnsi="Arial" w:cs="Arial"/>
                <w:sz w:val="20"/>
                <w:szCs w:val="20"/>
                <w:lang w:val="en-GB"/>
              </w:rPr>
              <w:t>Paediatric ICU</w:t>
            </w:r>
          </w:p>
        </w:tc>
        <w:tc>
          <w:tcPr>
            <w:tcW w:w="1871" w:type="dxa"/>
          </w:tcPr>
          <w:p w14:paraId="2B58A21D"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9</w:t>
            </w:r>
          </w:p>
        </w:tc>
        <w:tc>
          <w:tcPr>
            <w:tcW w:w="1985" w:type="dxa"/>
          </w:tcPr>
          <w:p w14:paraId="02500EA0"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6</w:t>
            </w:r>
          </w:p>
        </w:tc>
        <w:tc>
          <w:tcPr>
            <w:tcW w:w="1984" w:type="dxa"/>
          </w:tcPr>
          <w:p w14:paraId="47B18CF9" w14:textId="1C9BA845"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66.7 [35.9 - 97.5]</w:t>
            </w:r>
          </w:p>
        </w:tc>
      </w:tr>
      <w:tr w:rsidR="003372FD" w:rsidRPr="003372FD" w14:paraId="4CEDB441" w14:textId="77777777" w:rsidTr="003372FD">
        <w:tc>
          <w:tcPr>
            <w:tcW w:w="2802" w:type="dxa"/>
          </w:tcPr>
          <w:p w14:paraId="3EF4BE71" w14:textId="77777777" w:rsidR="003372FD" w:rsidRPr="003372FD" w:rsidRDefault="003372FD" w:rsidP="003372FD">
            <w:pPr>
              <w:pStyle w:val="NoSpacing1"/>
              <w:rPr>
                <w:rFonts w:ascii="Arial" w:hAnsi="Arial" w:cs="Arial"/>
                <w:sz w:val="20"/>
                <w:szCs w:val="20"/>
              </w:rPr>
            </w:pPr>
            <w:r w:rsidRPr="003372FD">
              <w:rPr>
                <w:rFonts w:ascii="Arial" w:hAnsi="Arial" w:cs="Arial"/>
                <w:sz w:val="20"/>
                <w:szCs w:val="20"/>
              </w:rPr>
              <w:t>Adult ICU</w:t>
            </w:r>
          </w:p>
        </w:tc>
        <w:tc>
          <w:tcPr>
            <w:tcW w:w="1871" w:type="dxa"/>
          </w:tcPr>
          <w:p w14:paraId="4E3ABD82"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28</w:t>
            </w:r>
          </w:p>
        </w:tc>
        <w:tc>
          <w:tcPr>
            <w:tcW w:w="1985" w:type="dxa"/>
          </w:tcPr>
          <w:p w14:paraId="3E84FBF8" w14:textId="2927775B"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15</w:t>
            </w:r>
          </w:p>
        </w:tc>
        <w:tc>
          <w:tcPr>
            <w:tcW w:w="1984" w:type="dxa"/>
          </w:tcPr>
          <w:p w14:paraId="6FCE0048" w14:textId="19EA3143"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53.6 [35.1 - 72.1]</w:t>
            </w:r>
          </w:p>
        </w:tc>
      </w:tr>
      <w:tr w:rsidR="003372FD" w:rsidRPr="003372FD" w14:paraId="6E9F878E" w14:textId="77777777" w:rsidTr="003372FD">
        <w:tc>
          <w:tcPr>
            <w:tcW w:w="2802" w:type="dxa"/>
          </w:tcPr>
          <w:p w14:paraId="5629033E" w14:textId="77777777" w:rsidR="003372FD" w:rsidRPr="003372FD" w:rsidRDefault="003372FD" w:rsidP="003372FD">
            <w:pPr>
              <w:pStyle w:val="NoSpacing1"/>
              <w:rPr>
                <w:rFonts w:ascii="Arial" w:hAnsi="Arial" w:cs="Arial"/>
                <w:sz w:val="20"/>
                <w:szCs w:val="20"/>
              </w:rPr>
            </w:pPr>
            <w:r w:rsidRPr="003372FD">
              <w:rPr>
                <w:rFonts w:ascii="Arial" w:hAnsi="Arial" w:cs="Arial"/>
                <w:sz w:val="20"/>
                <w:szCs w:val="20"/>
              </w:rPr>
              <w:t>Adult medical ward</w:t>
            </w:r>
          </w:p>
        </w:tc>
        <w:tc>
          <w:tcPr>
            <w:tcW w:w="1871" w:type="dxa"/>
          </w:tcPr>
          <w:p w14:paraId="7E6E555C"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128</w:t>
            </w:r>
          </w:p>
        </w:tc>
        <w:tc>
          <w:tcPr>
            <w:tcW w:w="1985" w:type="dxa"/>
          </w:tcPr>
          <w:p w14:paraId="69CDA394"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60</w:t>
            </w:r>
          </w:p>
        </w:tc>
        <w:tc>
          <w:tcPr>
            <w:tcW w:w="1984" w:type="dxa"/>
          </w:tcPr>
          <w:p w14:paraId="2ECFA2A6" w14:textId="225910C7"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46.9 [38.3 - 55.5]</w:t>
            </w:r>
          </w:p>
        </w:tc>
      </w:tr>
      <w:tr w:rsidR="003372FD" w:rsidRPr="003372FD" w14:paraId="5FEF74D9" w14:textId="77777777" w:rsidTr="003372FD">
        <w:tc>
          <w:tcPr>
            <w:tcW w:w="2802" w:type="dxa"/>
          </w:tcPr>
          <w:p w14:paraId="792036D6" w14:textId="77777777" w:rsidR="003372FD" w:rsidRPr="003372FD" w:rsidRDefault="003372FD" w:rsidP="003372FD">
            <w:pPr>
              <w:pStyle w:val="NoSpacing1"/>
              <w:rPr>
                <w:rFonts w:ascii="Arial" w:hAnsi="Arial" w:cs="Arial"/>
                <w:sz w:val="20"/>
                <w:szCs w:val="20"/>
              </w:rPr>
            </w:pPr>
            <w:r w:rsidRPr="003372FD">
              <w:rPr>
                <w:rFonts w:ascii="Arial" w:hAnsi="Arial" w:cs="Arial"/>
                <w:sz w:val="20"/>
                <w:szCs w:val="20"/>
                <w:lang w:val="en-GB"/>
              </w:rPr>
              <w:t>Haematology - Oncology Paediatric Medical Ward</w:t>
            </w:r>
          </w:p>
        </w:tc>
        <w:tc>
          <w:tcPr>
            <w:tcW w:w="1871" w:type="dxa"/>
          </w:tcPr>
          <w:p w14:paraId="63E4B171"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12</w:t>
            </w:r>
          </w:p>
        </w:tc>
        <w:tc>
          <w:tcPr>
            <w:tcW w:w="1985" w:type="dxa"/>
          </w:tcPr>
          <w:p w14:paraId="57782613"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5</w:t>
            </w:r>
          </w:p>
        </w:tc>
        <w:tc>
          <w:tcPr>
            <w:tcW w:w="1984" w:type="dxa"/>
          </w:tcPr>
          <w:p w14:paraId="7FCC6945" w14:textId="7614AA53"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41.7 [13.8 - 69.6]</w:t>
            </w:r>
          </w:p>
        </w:tc>
      </w:tr>
      <w:tr w:rsidR="003372FD" w:rsidRPr="003372FD" w14:paraId="46D056B3" w14:textId="77777777" w:rsidTr="003372FD">
        <w:trPr>
          <w:trHeight w:val="303"/>
        </w:trPr>
        <w:tc>
          <w:tcPr>
            <w:tcW w:w="2802" w:type="dxa"/>
          </w:tcPr>
          <w:p w14:paraId="0062A18C" w14:textId="77777777" w:rsidR="003372FD" w:rsidRPr="003372FD" w:rsidRDefault="003372FD" w:rsidP="003372FD">
            <w:pPr>
              <w:pStyle w:val="NoSpacing1"/>
              <w:rPr>
                <w:rFonts w:ascii="Arial" w:hAnsi="Arial" w:cs="Arial"/>
                <w:sz w:val="20"/>
                <w:szCs w:val="20"/>
                <w:lang w:val="en-GB"/>
              </w:rPr>
            </w:pPr>
            <w:r w:rsidRPr="003372FD">
              <w:rPr>
                <w:rFonts w:ascii="Arial" w:hAnsi="Arial" w:cs="Arial"/>
                <w:sz w:val="20"/>
                <w:szCs w:val="20"/>
              </w:rPr>
              <w:t>Adult surgical ward</w:t>
            </w:r>
          </w:p>
        </w:tc>
        <w:tc>
          <w:tcPr>
            <w:tcW w:w="1871" w:type="dxa"/>
          </w:tcPr>
          <w:p w14:paraId="62DC1CDF" w14:textId="6A1AA59D"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194</w:t>
            </w:r>
          </w:p>
        </w:tc>
        <w:tc>
          <w:tcPr>
            <w:tcW w:w="1985" w:type="dxa"/>
          </w:tcPr>
          <w:p w14:paraId="314C8CE0"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56</w:t>
            </w:r>
          </w:p>
        </w:tc>
        <w:tc>
          <w:tcPr>
            <w:tcW w:w="1984" w:type="dxa"/>
          </w:tcPr>
          <w:p w14:paraId="0BD6B452" w14:textId="06DC086F"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28.9 [17.0 - 40.8]</w:t>
            </w:r>
          </w:p>
        </w:tc>
      </w:tr>
      <w:tr w:rsidR="003372FD" w:rsidRPr="003372FD" w14:paraId="41605C00" w14:textId="77777777" w:rsidTr="003372FD">
        <w:tc>
          <w:tcPr>
            <w:tcW w:w="2802" w:type="dxa"/>
          </w:tcPr>
          <w:p w14:paraId="419AF19C" w14:textId="77777777" w:rsidR="003372FD" w:rsidRPr="003372FD" w:rsidRDefault="003372FD" w:rsidP="003372FD">
            <w:pPr>
              <w:pStyle w:val="NoSpacing1"/>
              <w:rPr>
                <w:rFonts w:ascii="Arial" w:hAnsi="Arial" w:cs="Arial"/>
                <w:sz w:val="20"/>
                <w:szCs w:val="20"/>
                <w:lang w:val="en-GB"/>
              </w:rPr>
            </w:pPr>
            <w:r w:rsidRPr="003372FD">
              <w:rPr>
                <w:rFonts w:ascii="Arial" w:hAnsi="Arial" w:cs="Arial"/>
                <w:sz w:val="20"/>
                <w:szCs w:val="20"/>
                <w:lang w:val="en-GB"/>
              </w:rPr>
              <w:t xml:space="preserve">Paediatric Medical Ward </w:t>
            </w:r>
          </w:p>
        </w:tc>
        <w:tc>
          <w:tcPr>
            <w:tcW w:w="1871" w:type="dxa"/>
          </w:tcPr>
          <w:p w14:paraId="7033CCAE"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58</w:t>
            </w:r>
          </w:p>
        </w:tc>
        <w:tc>
          <w:tcPr>
            <w:tcW w:w="1985" w:type="dxa"/>
          </w:tcPr>
          <w:p w14:paraId="0E401557" w14:textId="1B5063C9"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19</w:t>
            </w:r>
          </w:p>
        </w:tc>
        <w:tc>
          <w:tcPr>
            <w:tcW w:w="1984" w:type="dxa"/>
          </w:tcPr>
          <w:p w14:paraId="739BF704" w14:textId="1C5DD02C"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32.8 [20.7 - 44.9]</w:t>
            </w:r>
          </w:p>
        </w:tc>
      </w:tr>
      <w:tr w:rsidR="003372FD" w:rsidRPr="003372FD" w14:paraId="02EA08BD" w14:textId="77777777" w:rsidTr="003372FD">
        <w:tc>
          <w:tcPr>
            <w:tcW w:w="2802" w:type="dxa"/>
          </w:tcPr>
          <w:p w14:paraId="28B6361B" w14:textId="77777777" w:rsidR="003372FD" w:rsidRPr="003372FD" w:rsidRDefault="003372FD" w:rsidP="003372FD">
            <w:pPr>
              <w:pStyle w:val="NoSpacing1"/>
              <w:rPr>
                <w:rFonts w:ascii="Arial" w:hAnsi="Arial" w:cs="Arial"/>
                <w:sz w:val="20"/>
                <w:szCs w:val="20"/>
                <w:lang w:val="en-GB"/>
              </w:rPr>
            </w:pPr>
            <w:proofErr w:type="spellStart"/>
            <w:r w:rsidRPr="003372FD">
              <w:rPr>
                <w:rFonts w:ascii="Arial" w:hAnsi="Arial" w:cs="Arial"/>
                <w:sz w:val="20"/>
                <w:szCs w:val="20"/>
                <w:lang w:val="en-GB"/>
              </w:rPr>
              <w:t>Obstetric</w:t>
            </w:r>
            <w:proofErr w:type="spellEnd"/>
            <w:r w:rsidRPr="003372FD">
              <w:rPr>
                <w:rFonts w:ascii="Arial" w:hAnsi="Arial" w:cs="Arial"/>
                <w:sz w:val="20"/>
                <w:szCs w:val="20"/>
                <w:lang w:val="en-GB"/>
              </w:rPr>
              <w:t xml:space="preserve"> and Gynaecology</w:t>
            </w:r>
          </w:p>
        </w:tc>
        <w:tc>
          <w:tcPr>
            <w:tcW w:w="1871" w:type="dxa"/>
          </w:tcPr>
          <w:p w14:paraId="714675EF"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50</w:t>
            </w:r>
          </w:p>
        </w:tc>
        <w:tc>
          <w:tcPr>
            <w:tcW w:w="1985" w:type="dxa"/>
          </w:tcPr>
          <w:p w14:paraId="372740A5" w14:textId="7610D123"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15</w:t>
            </w:r>
          </w:p>
        </w:tc>
        <w:tc>
          <w:tcPr>
            <w:tcW w:w="1984" w:type="dxa"/>
          </w:tcPr>
          <w:p w14:paraId="11AF089C" w14:textId="0974CD45"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3.3 [-1.7 - 8.3]</w:t>
            </w:r>
          </w:p>
        </w:tc>
      </w:tr>
      <w:tr w:rsidR="003372FD" w:rsidRPr="003372FD" w14:paraId="13718FE6" w14:textId="77777777" w:rsidTr="003372FD">
        <w:tc>
          <w:tcPr>
            <w:tcW w:w="2802" w:type="dxa"/>
          </w:tcPr>
          <w:p w14:paraId="675DF9BF" w14:textId="77777777" w:rsidR="003372FD" w:rsidRPr="003372FD" w:rsidRDefault="003372FD" w:rsidP="003372FD">
            <w:pPr>
              <w:pStyle w:val="NoSpacing1"/>
              <w:rPr>
                <w:rFonts w:ascii="Arial" w:hAnsi="Arial" w:cs="Arial"/>
                <w:sz w:val="20"/>
                <w:szCs w:val="20"/>
                <w:lang w:val="en-GB"/>
              </w:rPr>
            </w:pPr>
            <w:r w:rsidRPr="003372FD">
              <w:rPr>
                <w:rFonts w:ascii="Arial" w:hAnsi="Arial" w:cs="Arial"/>
                <w:sz w:val="20"/>
                <w:szCs w:val="20"/>
                <w:lang w:val="en-GB"/>
              </w:rPr>
              <w:t>Paediatric Surgical Ward</w:t>
            </w:r>
          </w:p>
        </w:tc>
        <w:tc>
          <w:tcPr>
            <w:tcW w:w="1871" w:type="dxa"/>
          </w:tcPr>
          <w:p w14:paraId="1B431259"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9</w:t>
            </w:r>
          </w:p>
        </w:tc>
        <w:tc>
          <w:tcPr>
            <w:tcW w:w="1985" w:type="dxa"/>
          </w:tcPr>
          <w:p w14:paraId="77239168" w14:textId="77777777" w:rsidR="003372FD" w:rsidRPr="003372FD" w:rsidRDefault="003372FD" w:rsidP="003372FD">
            <w:pPr>
              <w:pStyle w:val="NoSpacing1"/>
              <w:jc w:val="center"/>
              <w:rPr>
                <w:rFonts w:ascii="Arial" w:hAnsi="Arial" w:cs="Arial"/>
                <w:sz w:val="20"/>
                <w:szCs w:val="20"/>
              </w:rPr>
            </w:pPr>
            <w:r w:rsidRPr="003372FD">
              <w:rPr>
                <w:rFonts w:ascii="Arial" w:hAnsi="Arial" w:cs="Arial"/>
                <w:sz w:val="20"/>
                <w:szCs w:val="20"/>
              </w:rPr>
              <w:t>0</w:t>
            </w:r>
          </w:p>
        </w:tc>
        <w:tc>
          <w:tcPr>
            <w:tcW w:w="1984" w:type="dxa"/>
          </w:tcPr>
          <w:p w14:paraId="2E87310D" w14:textId="77777777" w:rsidR="003372FD" w:rsidRPr="003372FD" w:rsidRDefault="003372FD" w:rsidP="003372FD">
            <w:pPr>
              <w:pStyle w:val="NoSpacing1"/>
              <w:jc w:val="center"/>
              <w:rPr>
                <w:rFonts w:ascii="Arial" w:hAnsi="Arial" w:cs="Arial"/>
                <w:sz w:val="20"/>
                <w:szCs w:val="20"/>
                <w:lang w:val="en-GB"/>
              </w:rPr>
            </w:pPr>
            <w:r w:rsidRPr="003372FD">
              <w:rPr>
                <w:rFonts w:ascii="Arial" w:hAnsi="Arial" w:cs="Arial"/>
                <w:sz w:val="20"/>
                <w:szCs w:val="20"/>
                <w:lang w:val="en-GB"/>
              </w:rPr>
              <w:t>0.0, 0.0</w:t>
            </w:r>
          </w:p>
        </w:tc>
      </w:tr>
      <w:tr w:rsidR="003372FD" w:rsidRPr="003372FD" w14:paraId="610B3362" w14:textId="77777777" w:rsidTr="003372FD">
        <w:tc>
          <w:tcPr>
            <w:tcW w:w="2802" w:type="dxa"/>
          </w:tcPr>
          <w:p w14:paraId="06AA2BAC" w14:textId="77777777" w:rsidR="003372FD" w:rsidRPr="003372FD" w:rsidRDefault="003372FD" w:rsidP="003372FD">
            <w:pPr>
              <w:pStyle w:val="NoSpacing1"/>
              <w:rPr>
                <w:rFonts w:ascii="Arial" w:hAnsi="Arial" w:cs="Arial"/>
                <w:b/>
                <w:sz w:val="20"/>
                <w:szCs w:val="20"/>
                <w:lang w:val="en-GB"/>
              </w:rPr>
            </w:pPr>
            <w:r w:rsidRPr="003372FD">
              <w:rPr>
                <w:rFonts w:ascii="Arial" w:hAnsi="Arial" w:cs="Arial"/>
                <w:b/>
                <w:sz w:val="20"/>
                <w:szCs w:val="20"/>
                <w:lang w:val="en-GB"/>
              </w:rPr>
              <w:t>Total</w:t>
            </w:r>
          </w:p>
        </w:tc>
        <w:tc>
          <w:tcPr>
            <w:tcW w:w="1871" w:type="dxa"/>
          </w:tcPr>
          <w:p w14:paraId="495A130A" w14:textId="77777777" w:rsidR="003372FD" w:rsidRPr="003372FD" w:rsidRDefault="003372FD" w:rsidP="003372FD">
            <w:pPr>
              <w:pStyle w:val="NoSpacing1"/>
              <w:jc w:val="center"/>
              <w:rPr>
                <w:rFonts w:ascii="Arial" w:hAnsi="Arial" w:cs="Arial"/>
                <w:b/>
                <w:sz w:val="20"/>
                <w:szCs w:val="20"/>
              </w:rPr>
            </w:pPr>
            <w:r w:rsidRPr="003372FD">
              <w:rPr>
                <w:rFonts w:ascii="Arial" w:hAnsi="Arial" w:cs="Arial"/>
                <w:b/>
                <w:sz w:val="20"/>
                <w:szCs w:val="20"/>
              </w:rPr>
              <w:t>512</w:t>
            </w:r>
          </w:p>
        </w:tc>
        <w:tc>
          <w:tcPr>
            <w:tcW w:w="1985" w:type="dxa"/>
          </w:tcPr>
          <w:p w14:paraId="1F995142" w14:textId="77777777" w:rsidR="003372FD" w:rsidRPr="003372FD" w:rsidRDefault="003372FD" w:rsidP="003372FD">
            <w:pPr>
              <w:pStyle w:val="NoSpacing1"/>
              <w:jc w:val="center"/>
              <w:rPr>
                <w:rFonts w:ascii="Arial" w:hAnsi="Arial" w:cs="Arial"/>
                <w:b/>
                <w:sz w:val="20"/>
                <w:szCs w:val="20"/>
              </w:rPr>
            </w:pPr>
            <w:r w:rsidRPr="003372FD">
              <w:rPr>
                <w:rFonts w:ascii="Arial" w:hAnsi="Arial" w:cs="Arial"/>
                <w:b/>
                <w:sz w:val="20"/>
                <w:szCs w:val="20"/>
              </w:rPr>
              <w:t>193</w:t>
            </w:r>
          </w:p>
        </w:tc>
        <w:tc>
          <w:tcPr>
            <w:tcW w:w="1984" w:type="dxa"/>
          </w:tcPr>
          <w:p w14:paraId="3EA52863" w14:textId="77777777" w:rsidR="003372FD" w:rsidRPr="003372FD" w:rsidRDefault="003372FD" w:rsidP="003372FD">
            <w:pPr>
              <w:pStyle w:val="NoSpacing1"/>
              <w:jc w:val="center"/>
              <w:rPr>
                <w:rFonts w:ascii="Arial" w:hAnsi="Arial" w:cs="Arial"/>
                <w:b/>
                <w:sz w:val="20"/>
                <w:szCs w:val="20"/>
              </w:rPr>
            </w:pPr>
          </w:p>
        </w:tc>
      </w:tr>
    </w:tbl>
    <w:p w14:paraId="05BF1324" w14:textId="77777777" w:rsidR="00FA271B" w:rsidRPr="003372FD" w:rsidRDefault="00FA271B" w:rsidP="003372FD">
      <w:pPr>
        <w:pStyle w:val="NoSpacing1"/>
        <w:rPr>
          <w:rFonts w:ascii="Arial" w:hAnsi="Arial" w:cs="Arial"/>
          <w:sz w:val="20"/>
          <w:szCs w:val="20"/>
        </w:rPr>
      </w:pPr>
    </w:p>
    <w:p w14:paraId="5E6E118B" w14:textId="77777777" w:rsidR="00954FCD" w:rsidRPr="003372FD" w:rsidRDefault="00954FCD" w:rsidP="003372FD">
      <w:pPr>
        <w:pStyle w:val="NoSpacing1"/>
        <w:rPr>
          <w:rFonts w:ascii="Arial" w:hAnsi="Arial" w:cs="Arial"/>
          <w:b/>
          <w:sz w:val="20"/>
          <w:szCs w:val="20"/>
        </w:rPr>
      </w:pPr>
      <w:r w:rsidRPr="003372FD">
        <w:rPr>
          <w:rFonts w:ascii="Arial" w:hAnsi="Arial" w:cs="Arial"/>
          <w:b/>
          <w:sz w:val="20"/>
          <w:szCs w:val="20"/>
        </w:rPr>
        <w:br w:type="page"/>
      </w:r>
    </w:p>
    <w:p w14:paraId="1B271050" w14:textId="6E45CBEF" w:rsidR="003372FD" w:rsidRDefault="00B10309" w:rsidP="003372FD">
      <w:pPr>
        <w:pStyle w:val="NoSpacing1"/>
        <w:rPr>
          <w:rFonts w:ascii="Arial" w:hAnsi="Arial" w:cs="Arial"/>
          <w:sz w:val="20"/>
          <w:szCs w:val="20"/>
        </w:rPr>
      </w:pPr>
      <w:r w:rsidRPr="003372FD">
        <w:rPr>
          <w:rFonts w:ascii="Arial" w:hAnsi="Arial" w:cs="Arial"/>
          <w:b/>
          <w:i/>
          <w:sz w:val="20"/>
          <w:szCs w:val="20"/>
        </w:rPr>
        <w:lastRenderedPageBreak/>
        <w:t xml:space="preserve">3.2 </w:t>
      </w:r>
      <w:r w:rsidR="00FA271B" w:rsidRPr="003372FD">
        <w:rPr>
          <w:rFonts w:ascii="Arial" w:hAnsi="Arial" w:cs="Arial"/>
          <w:b/>
          <w:i/>
          <w:sz w:val="20"/>
          <w:szCs w:val="20"/>
        </w:rPr>
        <w:t xml:space="preserve">Antimicrobial drugs administered to treat infections </w:t>
      </w:r>
    </w:p>
    <w:p w14:paraId="6331C6A9" w14:textId="3C3D6A62" w:rsidR="00FA271B" w:rsidRPr="003372FD" w:rsidRDefault="00FA271B" w:rsidP="003372FD">
      <w:pPr>
        <w:pStyle w:val="NoSpacing1"/>
        <w:rPr>
          <w:rFonts w:ascii="Arial" w:hAnsi="Arial" w:cs="Arial"/>
          <w:sz w:val="20"/>
          <w:szCs w:val="20"/>
        </w:rPr>
      </w:pPr>
      <w:r w:rsidRPr="003372FD">
        <w:rPr>
          <w:rFonts w:ascii="Arial" w:hAnsi="Arial" w:cs="Arial"/>
          <w:sz w:val="20"/>
          <w:szCs w:val="20"/>
        </w:rPr>
        <w:t>Of all the antimicrobials used to treat infections in the 193 patients, 46 (15%</w:t>
      </w:r>
      <w:r w:rsidR="00DF0BB9" w:rsidRPr="003372FD">
        <w:rPr>
          <w:rFonts w:ascii="Arial" w:hAnsi="Arial" w:cs="Arial"/>
          <w:sz w:val="20"/>
          <w:szCs w:val="20"/>
        </w:rPr>
        <w:t xml:space="preserve"> [</w:t>
      </w:r>
      <w:r w:rsidRPr="003372FD">
        <w:rPr>
          <w:rFonts w:ascii="Arial" w:hAnsi="Arial" w:cs="Arial"/>
          <w:sz w:val="20"/>
          <w:szCs w:val="20"/>
        </w:rPr>
        <w:t>95% CI: 10.92-18.88</w:t>
      </w:r>
      <w:r w:rsidR="00DF0BB9" w:rsidRPr="003372FD">
        <w:rPr>
          <w:rFonts w:ascii="Arial" w:hAnsi="Arial" w:cs="Arial"/>
          <w:sz w:val="20"/>
          <w:szCs w:val="20"/>
        </w:rPr>
        <w:t>]</w:t>
      </w:r>
      <w:r w:rsidRPr="003372FD">
        <w:rPr>
          <w:rFonts w:ascii="Arial" w:hAnsi="Arial" w:cs="Arial"/>
          <w:sz w:val="20"/>
          <w:szCs w:val="20"/>
        </w:rPr>
        <w:t>) antimicrobials were used to treat clinical sepsis in 28 patients, 37 (12.0</w:t>
      </w:r>
      <w:r w:rsidR="00207E7D" w:rsidRPr="003372FD">
        <w:rPr>
          <w:rFonts w:ascii="Arial" w:hAnsi="Arial" w:cs="Arial"/>
          <w:sz w:val="20"/>
          <w:szCs w:val="20"/>
        </w:rPr>
        <w:t xml:space="preserve"> [</w:t>
      </w:r>
      <w:r w:rsidRPr="003372FD">
        <w:rPr>
          <w:rFonts w:ascii="Arial" w:hAnsi="Arial" w:cs="Arial"/>
          <w:sz w:val="20"/>
          <w:szCs w:val="20"/>
        </w:rPr>
        <w:t>95% CI</w:t>
      </w:r>
      <w:r w:rsidR="00207E7D" w:rsidRPr="003372FD">
        <w:rPr>
          <w:rFonts w:ascii="Arial" w:hAnsi="Arial" w:cs="Arial"/>
          <w:sz w:val="20"/>
          <w:szCs w:val="20"/>
        </w:rPr>
        <w:t xml:space="preserve">: </w:t>
      </w:r>
      <w:r w:rsidRPr="003372FD">
        <w:rPr>
          <w:rFonts w:ascii="Arial" w:hAnsi="Arial" w:cs="Arial"/>
          <w:sz w:val="20"/>
          <w:szCs w:val="20"/>
        </w:rPr>
        <w:t>8.37 -15.63</w:t>
      </w:r>
      <w:r w:rsidR="00207E7D" w:rsidRPr="003372FD">
        <w:rPr>
          <w:rFonts w:ascii="Arial" w:hAnsi="Arial" w:cs="Arial"/>
          <w:sz w:val="20"/>
          <w:szCs w:val="20"/>
        </w:rPr>
        <w:t>]</w:t>
      </w:r>
      <w:r w:rsidRPr="003372FD">
        <w:rPr>
          <w:rFonts w:ascii="Arial" w:hAnsi="Arial" w:cs="Arial"/>
          <w:sz w:val="20"/>
          <w:szCs w:val="20"/>
        </w:rPr>
        <w:t>) for pulmonary tuberculosis (TB) in 19 patients, 32 (10.4%</w:t>
      </w:r>
      <w:r w:rsidR="00207E7D" w:rsidRPr="003372FD">
        <w:rPr>
          <w:rFonts w:ascii="Arial" w:hAnsi="Arial" w:cs="Arial"/>
          <w:sz w:val="20"/>
          <w:szCs w:val="20"/>
        </w:rPr>
        <w:t xml:space="preserve"> [</w:t>
      </w:r>
      <w:r w:rsidRPr="003372FD">
        <w:rPr>
          <w:rFonts w:ascii="Arial" w:hAnsi="Arial" w:cs="Arial"/>
          <w:sz w:val="20"/>
          <w:szCs w:val="20"/>
        </w:rPr>
        <w:t>95% CI</w:t>
      </w:r>
      <w:r w:rsidR="00207E7D" w:rsidRPr="003372FD">
        <w:rPr>
          <w:rFonts w:ascii="Arial" w:hAnsi="Arial" w:cs="Arial"/>
          <w:sz w:val="20"/>
          <w:szCs w:val="20"/>
        </w:rPr>
        <w:t xml:space="preserve">: </w:t>
      </w:r>
      <w:r w:rsidRPr="003372FD">
        <w:rPr>
          <w:rFonts w:ascii="Arial" w:hAnsi="Arial" w:cs="Arial"/>
          <w:sz w:val="20"/>
          <w:szCs w:val="20"/>
        </w:rPr>
        <w:t>6.99 -13.81</w:t>
      </w:r>
      <w:r w:rsidR="00207E7D" w:rsidRPr="003372FD">
        <w:rPr>
          <w:rFonts w:ascii="Arial" w:hAnsi="Arial" w:cs="Arial"/>
          <w:sz w:val="20"/>
          <w:szCs w:val="20"/>
        </w:rPr>
        <w:t>]</w:t>
      </w:r>
      <w:r w:rsidRPr="003372FD">
        <w:rPr>
          <w:rFonts w:ascii="Arial" w:hAnsi="Arial" w:cs="Arial"/>
          <w:sz w:val="20"/>
          <w:szCs w:val="20"/>
        </w:rPr>
        <w:t>) for pneumonia, and 21 (6.8%</w:t>
      </w:r>
      <w:r w:rsidR="00207E7D" w:rsidRPr="003372FD">
        <w:rPr>
          <w:rFonts w:ascii="Arial" w:hAnsi="Arial" w:cs="Arial"/>
          <w:sz w:val="20"/>
          <w:szCs w:val="20"/>
        </w:rPr>
        <w:t xml:space="preserve"> [95% CI: </w:t>
      </w:r>
      <w:r w:rsidRPr="003372FD">
        <w:rPr>
          <w:rFonts w:ascii="Arial" w:hAnsi="Arial" w:cs="Arial"/>
          <w:sz w:val="20"/>
          <w:szCs w:val="20"/>
        </w:rPr>
        <w:t>3.99 -</w:t>
      </w:r>
      <w:r w:rsidR="00207E7D" w:rsidRPr="003372FD">
        <w:rPr>
          <w:rFonts w:ascii="Arial" w:hAnsi="Arial" w:cs="Arial"/>
          <w:sz w:val="20"/>
          <w:szCs w:val="20"/>
        </w:rPr>
        <w:t xml:space="preserve"> </w:t>
      </w:r>
      <w:r w:rsidRPr="003372FD">
        <w:rPr>
          <w:rFonts w:ascii="Arial" w:hAnsi="Arial" w:cs="Arial"/>
          <w:sz w:val="20"/>
          <w:szCs w:val="20"/>
        </w:rPr>
        <w:t>9.61</w:t>
      </w:r>
      <w:r w:rsidR="00207E7D" w:rsidRPr="003372FD">
        <w:rPr>
          <w:rFonts w:ascii="Arial" w:hAnsi="Arial" w:cs="Arial"/>
          <w:sz w:val="20"/>
          <w:szCs w:val="20"/>
        </w:rPr>
        <w:t>]</w:t>
      </w:r>
      <w:r w:rsidRPr="003372FD">
        <w:rPr>
          <w:rFonts w:ascii="Arial" w:hAnsi="Arial" w:cs="Arial"/>
          <w:sz w:val="20"/>
          <w:szCs w:val="20"/>
        </w:rPr>
        <w:t xml:space="preserve">) for bone and joint infection as well as obstetrics and </w:t>
      </w:r>
      <w:proofErr w:type="spellStart"/>
      <w:r w:rsidRPr="003372FD">
        <w:rPr>
          <w:rFonts w:ascii="Arial" w:hAnsi="Arial" w:cs="Arial"/>
          <w:sz w:val="20"/>
          <w:szCs w:val="20"/>
        </w:rPr>
        <w:t>gynaecological</w:t>
      </w:r>
      <w:proofErr w:type="spellEnd"/>
      <w:r w:rsidRPr="003372FD">
        <w:rPr>
          <w:rFonts w:ascii="Arial" w:hAnsi="Arial" w:cs="Arial"/>
          <w:sz w:val="20"/>
          <w:szCs w:val="20"/>
        </w:rPr>
        <w:t xml:space="preserve"> infections in 17 and 14 patients respectively (Table 3). Antimicrobials were also used for prophylaxis, with 17 antimicrobials </w:t>
      </w:r>
      <w:r w:rsidR="00F864F8" w:rsidRPr="003372FD">
        <w:rPr>
          <w:rFonts w:ascii="Arial" w:hAnsi="Arial" w:cs="Arial"/>
          <w:sz w:val="20"/>
          <w:szCs w:val="20"/>
        </w:rPr>
        <w:t xml:space="preserve">(5.6%) </w:t>
      </w:r>
      <w:r w:rsidRPr="003372FD">
        <w:rPr>
          <w:rFonts w:ascii="Arial" w:hAnsi="Arial" w:cs="Arial"/>
          <w:sz w:val="20"/>
          <w:szCs w:val="20"/>
        </w:rPr>
        <w:t xml:space="preserve">having no defined infection site for their use documented in the patient records </w:t>
      </w:r>
      <w:r w:rsidR="00841E80" w:rsidRPr="003372FD">
        <w:rPr>
          <w:rFonts w:ascii="Arial" w:hAnsi="Arial" w:cs="Arial"/>
          <w:sz w:val="20"/>
          <w:szCs w:val="20"/>
        </w:rPr>
        <w:t xml:space="preserve">with no evidence of infection </w:t>
      </w:r>
      <w:r w:rsidR="00857CD0" w:rsidRPr="003372FD">
        <w:rPr>
          <w:rFonts w:ascii="Arial" w:hAnsi="Arial" w:cs="Arial"/>
          <w:sz w:val="20"/>
          <w:szCs w:val="20"/>
        </w:rPr>
        <w:t xml:space="preserve">and in 5.2% of occasions antibiotics were prescribed other than for treatment </w:t>
      </w:r>
      <w:r w:rsidRPr="003372FD">
        <w:rPr>
          <w:rFonts w:ascii="Arial" w:hAnsi="Arial" w:cs="Arial"/>
          <w:sz w:val="20"/>
          <w:szCs w:val="20"/>
        </w:rPr>
        <w:t xml:space="preserve">(Table 3). </w:t>
      </w:r>
    </w:p>
    <w:p w14:paraId="079F1D1C" w14:textId="77777777" w:rsidR="00FA271B" w:rsidRPr="003372FD" w:rsidRDefault="00FA271B" w:rsidP="003372FD">
      <w:pPr>
        <w:pStyle w:val="NoSpacing1"/>
        <w:rPr>
          <w:rFonts w:ascii="Arial" w:hAnsi="Arial" w:cs="Arial"/>
          <w:bCs/>
          <w:sz w:val="20"/>
          <w:szCs w:val="20"/>
        </w:rPr>
      </w:pPr>
    </w:p>
    <w:p w14:paraId="0B809241" w14:textId="06AD858A" w:rsidR="00FA271B" w:rsidRPr="003372FD" w:rsidRDefault="00FA271B" w:rsidP="003372FD">
      <w:pPr>
        <w:pStyle w:val="NoSpacing1"/>
        <w:rPr>
          <w:rFonts w:ascii="Arial" w:hAnsi="Arial" w:cs="Arial"/>
          <w:sz w:val="20"/>
          <w:szCs w:val="20"/>
          <w:u w:val="single"/>
          <w:lang w:val="en-GB"/>
        </w:rPr>
      </w:pPr>
      <w:bookmarkStart w:id="5" w:name="_Toc507595606"/>
      <w:r w:rsidRPr="003372FD">
        <w:rPr>
          <w:rFonts w:ascii="Arial" w:hAnsi="Arial" w:cs="Arial"/>
          <w:sz w:val="20"/>
          <w:szCs w:val="20"/>
          <w:u w:val="single"/>
          <w:lang w:val="en-GB"/>
        </w:rPr>
        <w:t>Table 3:</w:t>
      </w:r>
      <w:r w:rsidR="003372FD">
        <w:rPr>
          <w:rFonts w:ascii="Arial" w:hAnsi="Arial" w:cs="Arial"/>
          <w:sz w:val="20"/>
          <w:szCs w:val="20"/>
          <w:u w:val="single"/>
          <w:lang w:val="en-GB"/>
        </w:rPr>
        <w:t xml:space="preserve"> </w:t>
      </w:r>
      <w:r w:rsidRPr="003372FD">
        <w:rPr>
          <w:rFonts w:ascii="Arial" w:hAnsi="Arial" w:cs="Arial"/>
          <w:sz w:val="20"/>
          <w:szCs w:val="20"/>
          <w:u w:val="single"/>
          <w:lang w:val="en-GB"/>
        </w:rPr>
        <w:t>Infection sites for which patients received antimicrobials</w:t>
      </w:r>
      <w:bookmarkEnd w:id="5"/>
    </w:p>
    <w:p w14:paraId="391ED87E" w14:textId="77777777" w:rsidR="003372FD" w:rsidRPr="003372FD" w:rsidRDefault="003372FD" w:rsidP="003372FD">
      <w:pPr>
        <w:pStyle w:val="NoSpacing1"/>
        <w:rPr>
          <w:rFonts w:ascii="Arial" w:hAnsi="Arial" w:cs="Arial"/>
          <w:sz w:val="20"/>
          <w:szCs w:val="20"/>
          <w:lang w:val="en-GB"/>
        </w:rPr>
      </w:pPr>
    </w:p>
    <w:tbl>
      <w:tblPr>
        <w:tblStyle w:val="TableGrid"/>
        <w:tblW w:w="0" w:type="auto"/>
        <w:tblLook w:val="04A0" w:firstRow="1" w:lastRow="0" w:firstColumn="1" w:lastColumn="0" w:noHBand="0" w:noVBand="1"/>
      </w:tblPr>
      <w:tblGrid>
        <w:gridCol w:w="2895"/>
        <w:gridCol w:w="3352"/>
        <w:gridCol w:w="2769"/>
      </w:tblGrid>
      <w:tr w:rsidR="00FA271B" w:rsidRPr="003372FD" w14:paraId="3248D560" w14:textId="77777777" w:rsidTr="00FA271B">
        <w:trPr>
          <w:trHeight w:val="273"/>
        </w:trPr>
        <w:tc>
          <w:tcPr>
            <w:tcW w:w="2943" w:type="dxa"/>
          </w:tcPr>
          <w:p w14:paraId="5E7778FD" w14:textId="77777777" w:rsidR="00FA271B" w:rsidRPr="003372FD" w:rsidRDefault="00FA271B" w:rsidP="003372FD">
            <w:pPr>
              <w:pStyle w:val="NoSpacing1"/>
              <w:rPr>
                <w:rFonts w:ascii="Arial" w:hAnsi="Arial" w:cs="Arial"/>
                <w:b/>
                <w:sz w:val="20"/>
                <w:szCs w:val="20"/>
                <w:vertAlign w:val="superscript"/>
                <w:lang w:val="en-GB"/>
              </w:rPr>
            </w:pPr>
            <w:r w:rsidRPr="003372FD">
              <w:rPr>
                <w:rFonts w:ascii="Arial" w:hAnsi="Arial" w:cs="Arial"/>
                <w:b/>
                <w:sz w:val="20"/>
                <w:szCs w:val="20"/>
                <w:lang w:val="en-GB"/>
              </w:rPr>
              <w:t xml:space="preserve">Infection </w:t>
            </w:r>
            <w:proofErr w:type="spellStart"/>
            <w:r w:rsidRPr="003372FD">
              <w:rPr>
                <w:rFonts w:ascii="Arial" w:hAnsi="Arial" w:cs="Arial"/>
                <w:b/>
                <w:sz w:val="20"/>
                <w:szCs w:val="20"/>
                <w:lang w:val="en-GB"/>
              </w:rPr>
              <w:t>site</w:t>
            </w:r>
            <w:r w:rsidRPr="003372FD">
              <w:rPr>
                <w:rFonts w:ascii="Arial" w:hAnsi="Arial" w:cs="Arial"/>
                <w:b/>
                <w:sz w:val="20"/>
                <w:szCs w:val="20"/>
                <w:vertAlign w:val="superscript"/>
                <w:lang w:val="en-GB"/>
              </w:rPr>
              <w:t>a</w:t>
            </w:r>
            <w:proofErr w:type="spellEnd"/>
          </w:p>
        </w:tc>
        <w:tc>
          <w:tcPr>
            <w:tcW w:w="3402" w:type="dxa"/>
          </w:tcPr>
          <w:p w14:paraId="286976A6" w14:textId="77777777" w:rsidR="00FA271B" w:rsidRPr="003372FD" w:rsidRDefault="00FA271B" w:rsidP="003372FD">
            <w:pPr>
              <w:pStyle w:val="NoSpacing1"/>
              <w:rPr>
                <w:rFonts w:ascii="Arial" w:hAnsi="Arial" w:cs="Arial"/>
                <w:b/>
                <w:sz w:val="20"/>
                <w:szCs w:val="20"/>
                <w:lang w:val="en-GB"/>
              </w:rPr>
            </w:pPr>
            <w:r w:rsidRPr="003372FD">
              <w:rPr>
                <w:rFonts w:ascii="Arial" w:hAnsi="Arial" w:cs="Arial"/>
                <w:b/>
                <w:sz w:val="20"/>
                <w:szCs w:val="20"/>
                <w:lang w:val="en-GB"/>
              </w:rPr>
              <w:t>Number of antimicrobials (%) [95% CI</w:t>
            </w:r>
            <w:proofErr w:type="gramStart"/>
            <w:r w:rsidRPr="003372FD">
              <w:rPr>
                <w:rFonts w:ascii="Arial" w:hAnsi="Arial" w:cs="Arial"/>
                <w:b/>
                <w:sz w:val="20"/>
                <w:szCs w:val="20"/>
                <w:lang w:val="en-GB"/>
              </w:rPr>
              <w:t>]  (</w:t>
            </w:r>
            <w:proofErr w:type="gramEnd"/>
            <w:r w:rsidRPr="003372FD">
              <w:rPr>
                <w:rFonts w:ascii="Arial" w:hAnsi="Arial" w:cs="Arial"/>
                <w:b/>
                <w:sz w:val="20"/>
                <w:szCs w:val="20"/>
                <w:lang w:val="en-GB"/>
              </w:rPr>
              <w:t>n = 308)</w:t>
            </w:r>
          </w:p>
        </w:tc>
        <w:tc>
          <w:tcPr>
            <w:tcW w:w="2835" w:type="dxa"/>
          </w:tcPr>
          <w:p w14:paraId="70F997FE" w14:textId="77777777" w:rsidR="00FA271B" w:rsidRPr="003372FD" w:rsidRDefault="00FA271B" w:rsidP="003372FD">
            <w:pPr>
              <w:pStyle w:val="NoSpacing1"/>
              <w:rPr>
                <w:rFonts w:ascii="Arial" w:hAnsi="Arial" w:cs="Arial"/>
                <w:b/>
                <w:sz w:val="20"/>
                <w:szCs w:val="20"/>
                <w:lang w:val="en-GB"/>
              </w:rPr>
            </w:pPr>
            <w:r w:rsidRPr="003372FD">
              <w:rPr>
                <w:rFonts w:ascii="Arial" w:hAnsi="Arial" w:cs="Arial"/>
                <w:b/>
                <w:sz w:val="20"/>
                <w:szCs w:val="20"/>
                <w:lang w:val="en-GB"/>
              </w:rPr>
              <w:t>Number of patients (%) [95% CI] (n = 193)</w:t>
            </w:r>
          </w:p>
        </w:tc>
      </w:tr>
      <w:tr w:rsidR="00FA271B" w:rsidRPr="003372FD" w14:paraId="7D827571" w14:textId="77777777" w:rsidTr="003372FD">
        <w:trPr>
          <w:trHeight w:val="305"/>
        </w:trPr>
        <w:tc>
          <w:tcPr>
            <w:tcW w:w="2943" w:type="dxa"/>
          </w:tcPr>
          <w:p w14:paraId="2F2E7F25"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Clinical sepsis (</w:t>
            </w:r>
            <w:proofErr w:type="gramStart"/>
            <w:r w:rsidRPr="003372FD">
              <w:rPr>
                <w:rFonts w:ascii="Arial" w:hAnsi="Arial" w:cs="Arial"/>
                <w:sz w:val="20"/>
                <w:szCs w:val="20"/>
                <w:lang w:val="en-GB"/>
              </w:rPr>
              <w:t xml:space="preserve">bloodstream)   </w:t>
            </w:r>
            <w:proofErr w:type="gramEnd"/>
            <w:r w:rsidRPr="003372FD">
              <w:rPr>
                <w:rFonts w:ascii="Arial" w:hAnsi="Arial" w:cs="Arial"/>
                <w:sz w:val="20"/>
                <w:szCs w:val="20"/>
                <w:lang w:val="en-GB"/>
              </w:rPr>
              <w:t xml:space="preserve">    </w:t>
            </w:r>
          </w:p>
        </w:tc>
        <w:tc>
          <w:tcPr>
            <w:tcW w:w="3402" w:type="dxa"/>
          </w:tcPr>
          <w:p w14:paraId="25D07BEB"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46 (14.9%) [10.92-18.88]</w:t>
            </w:r>
          </w:p>
        </w:tc>
        <w:tc>
          <w:tcPr>
            <w:tcW w:w="2835" w:type="dxa"/>
          </w:tcPr>
          <w:p w14:paraId="4A2EB92B"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28 (14.5%) [9.53 -19.47]</w:t>
            </w:r>
          </w:p>
        </w:tc>
      </w:tr>
      <w:tr w:rsidR="00FA271B" w:rsidRPr="003372FD" w14:paraId="133967AF" w14:textId="77777777" w:rsidTr="003372FD">
        <w:trPr>
          <w:trHeight w:val="423"/>
        </w:trPr>
        <w:tc>
          <w:tcPr>
            <w:tcW w:w="2943" w:type="dxa"/>
          </w:tcPr>
          <w:p w14:paraId="10E0738E"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Pulmonary tuberculosis</w:t>
            </w:r>
          </w:p>
        </w:tc>
        <w:tc>
          <w:tcPr>
            <w:tcW w:w="3402" w:type="dxa"/>
          </w:tcPr>
          <w:p w14:paraId="0DBDB9AC"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37 (12.0%) [8.37 -15.63]</w:t>
            </w:r>
          </w:p>
        </w:tc>
        <w:tc>
          <w:tcPr>
            <w:tcW w:w="2835" w:type="dxa"/>
          </w:tcPr>
          <w:p w14:paraId="4288BFF8"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19 (9.8%) [5.61 -13.99]</w:t>
            </w:r>
          </w:p>
        </w:tc>
      </w:tr>
      <w:tr w:rsidR="00FA271B" w:rsidRPr="003372FD" w14:paraId="6A43EA82" w14:textId="77777777" w:rsidTr="003372FD">
        <w:trPr>
          <w:trHeight w:val="415"/>
        </w:trPr>
        <w:tc>
          <w:tcPr>
            <w:tcW w:w="2943" w:type="dxa"/>
          </w:tcPr>
          <w:p w14:paraId="1C4B6F35"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Pneumonia</w:t>
            </w:r>
          </w:p>
        </w:tc>
        <w:tc>
          <w:tcPr>
            <w:tcW w:w="3402" w:type="dxa"/>
          </w:tcPr>
          <w:p w14:paraId="14F5F470"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32 (10.4%) [6.99 -13.81]</w:t>
            </w:r>
          </w:p>
        </w:tc>
        <w:tc>
          <w:tcPr>
            <w:tcW w:w="2835" w:type="dxa"/>
          </w:tcPr>
          <w:p w14:paraId="3AAF184C"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24 (12.4%) [7.75 -17.05]</w:t>
            </w:r>
          </w:p>
        </w:tc>
      </w:tr>
      <w:tr w:rsidR="00FA271B" w:rsidRPr="003372FD" w14:paraId="21B622DD" w14:textId="77777777" w:rsidTr="003372FD">
        <w:trPr>
          <w:trHeight w:val="393"/>
        </w:trPr>
        <w:tc>
          <w:tcPr>
            <w:tcW w:w="2943" w:type="dxa"/>
          </w:tcPr>
          <w:p w14:paraId="4A886155"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Bone and joint infections                 </w:t>
            </w:r>
          </w:p>
        </w:tc>
        <w:tc>
          <w:tcPr>
            <w:tcW w:w="3402" w:type="dxa"/>
          </w:tcPr>
          <w:p w14:paraId="6D0AC72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21 (6.8%) [3.99 -9.61]</w:t>
            </w:r>
          </w:p>
        </w:tc>
        <w:tc>
          <w:tcPr>
            <w:tcW w:w="2835" w:type="dxa"/>
          </w:tcPr>
          <w:p w14:paraId="5186213E"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17 (8.8%) [4.80 -12.79]</w:t>
            </w:r>
          </w:p>
        </w:tc>
      </w:tr>
      <w:tr w:rsidR="00FA271B" w:rsidRPr="003372FD" w14:paraId="0422CA02" w14:textId="77777777" w:rsidTr="00FA271B">
        <w:trPr>
          <w:trHeight w:val="273"/>
        </w:trPr>
        <w:tc>
          <w:tcPr>
            <w:tcW w:w="2943" w:type="dxa"/>
          </w:tcPr>
          <w:p w14:paraId="63643BDE"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Obstetrics and gynaecology</w:t>
            </w:r>
          </w:p>
        </w:tc>
        <w:tc>
          <w:tcPr>
            <w:tcW w:w="3402" w:type="dxa"/>
          </w:tcPr>
          <w:p w14:paraId="1759ADB6"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21 (6.8%) [3.99- 9.61]</w:t>
            </w:r>
          </w:p>
        </w:tc>
        <w:tc>
          <w:tcPr>
            <w:tcW w:w="2835" w:type="dxa"/>
          </w:tcPr>
          <w:p w14:paraId="6669CE78"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14 (2.1%) [15.25 -26.75]</w:t>
            </w:r>
          </w:p>
        </w:tc>
      </w:tr>
      <w:tr w:rsidR="00FA271B" w:rsidRPr="003372FD" w14:paraId="11532BE0" w14:textId="77777777" w:rsidTr="00FA271B">
        <w:trPr>
          <w:trHeight w:val="273"/>
        </w:trPr>
        <w:tc>
          <w:tcPr>
            <w:tcW w:w="2943" w:type="dxa"/>
          </w:tcPr>
          <w:p w14:paraId="45AC5E3B"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Soft tissue infections</w:t>
            </w:r>
          </w:p>
        </w:tc>
        <w:tc>
          <w:tcPr>
            <w:tcW w:w="3402" w:type="dxa"/>
          </w:tcPr>
          <w:p w14:paraId="00A7DD6C"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19 (6.2%) [3.51 -8.89]</w:t>
            </w:r>
          </w:p>
        </w:tc>
        <w:tc>
          <w:tcPr>
            <w:tcW w:w="2835" w:type="dxa"/>
          </w:tcPr>
          <w:p w14:paraId="42E61F7F"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14 (2.1%) [0.08 - 4.12]</w:t>
            </w:r>
          </w:p>
        </w:tc>
      </w:tr>
      <w:tr w:rsidR="00FA271B" w:rsidRPr="003372FD" w14:paraId="1FBF69D9" w14:textId="77777777" w:rsidTr="00FA271B">
        <w:trPr>
          <w:trHeight w:val="273"/>
        </w:trPr>
        <w:tc>
          <w:tcPr>
            <w:tcW w:w="2943" w:type="dxa"/>
          </w:tcPr>
          <w:p w14:paraId="3EC6DC0F"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Central nervous system             </w:t>
            </w:r>
          </w:p>
        </w:tc>
        <w:tc>
          <w:tcPr>
            <w:tcW w:w="3402" w:type="dxa"/>
          </w:tcPr>
          <w:p w14:paraId="6DF5015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17 (5.5%) [2.95 -8.05]</w:t>
            </w:r>
          </w:p>
        </w:tc>
        <w:tc>
          <w:tcPr>
            <w:tcW w:w="2835" w:type="dxa"/>
          </w:tcPr>
          <w:p w14:paraId="6B406068"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15 (7.8%) [4.02 -11.58]</w:t>
            </w:r>
          </w:p>
        </w:tc>
      </w:tr>
      <w:tr w:rsidR="00FA271B" w:rsidRPr="003372FD" w14:paraId="43200BDC" w14:textId="77777777" w:rsidTr="00FA271B">
        <w:trPr>
          <w:trHeight w:val="273"/>
        </w:trPr>
        <w:tc>
          <w:tcPr>
            <w:tcW w:w="2943" w:type="dxa"/>
          </w:tcPr>
          <w:p w14:paraId="0D4C6B3F" w14:textId="036408EA" w:rsidR="00FA271B" w:rsidRPr="003372FD" w:rsidRDefault="00857CD0" w:rsidP="003372FD">
            <w:pPr>
              <w:pStyle w:val="NoSpacing1"/>
              <w:rPr>
                <w:rFonts w:ascii="Arial" w:hAnsi="Arial" w:cs="Arial"/>
                <w:sz w:val="20"/>
                <w:szCs w:val="20"/>
                <w:lang w:val="en-GB"/>
              </w:rPr>
            </w:pPr>
            <w:r w:rsidRPr="003372FD">
              <w:rPr>
                <w:rFonts w:ascii="Arial" w:hAnsi="Arial" w:cs="Arial"/>
                <w:sz w:val="20"/>
                <w:szCs w:val="20"/>
                <w:lang w:val="en-GB"/>
              </w:rPr>
              <w:t xml:space="preserve">No </w:t>
            </w:r>
            <w:r w:rsidR="00FA271B" w:rsidRPr="003372FD">
              <w:rPr>
                <w:rFonts w:ascii="Arial" w:hAnsi="Arial" w:cs="Arial"/>
                <w:sz w:val="20"/>
                <w:szCs w:val="20"/>
                <w:lang w:val="en-GB"/>
              </w:rPr>
              <w:t xml:space="preserve">defined site </w:t>
            </w:r>
            <w:r w:rsidRPr="003372FD">
              <w:rPr>
                <w:rFonts w:ascii="Arial" w:hAnsi="Arial" w:cs="Arial"/>
                <w:sz w:val="20"/>
                <w:szCs w:val="20"/>
                <w:lang w:val="en-GB"/>
              </w:rPr>
              <w:t>for infection</w:t>
            </w:r>
            <w:r w:rsidR="00841E80" w:rsidRPr="003372FD">
              <w:rPr>
                <w:rFonts w:ascii="Arial" w:hAnsi="Arial" w:cs="Arial"/>
                <w:sz w:val="20"/>
                <w:szCs w:val="20"/>
                <w:lang w:val="en-GB"/>
              </w:rPr>
              <w:t xml:space="preserve"> </w:t>
            </w:r>
            <w:r w:rsidR="00FA271B" w:rsidRPr="003372FD">
              <w:rPr>
                <w:rFonts w:ascii="Arial" w:hAnsi="Arial" w:cs="Arial"/>
                <w:sz w:val="20"/>
                <w:szCs w:val="20"/>
                <w:lang w:val="en-GB"/>
              </w:rPr>
              <w:t>with no systemic inflammation</w:t>
            </w:r>
          </w:p>
        </w:tc>
        <w:tc>
          <w:tcPr>
            <w:tcW w:w="3402" w:type="dxa"/>
          </w:tcPr>
          <w:p w14:paraId="47BB195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17 (5.6 %) [3.03 -8.17]</w:t>
            </w:r>
          </w:p>
        </w:tc>
        <w:tc>
          <w:tcPr>
            <w:tcW w:w="2835" w:type="dxa"/>
          </w:tcPr>
          <w:p w14:paraId="6FC71290"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15 (7.8) [4.02 - 11.58</w:t>
            </w:r>
          </w:p>
        </w:tc>
      </w:tr>
      <w:tr w:rsidR="00FA271B" w:rsidRPr="003372FD" w14:paraId="607B79FD" w14:textId="77777777" w:rsidTr="00FA271B">
        <w:trPr>
          <w:trHeight w:val="273"/>
        </w:trPr>
        <w:tc>
          <w:tcPr>
            <w:tcW w:w="2943" w:type="dxa"/>
          </w:tcPr>
          <w:p w14:paraId="3F73BFFA"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Gastrointestinal</w:t>
            </w:r>
          </w:p>
        </w:tc>
        <w:tc>
          <w:tcPr>
            <w:tcW w:w="3402" w:type="dxa"/>
          </w:tcPr>
          <w:p w14:paraId="5698B77B"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17 (5.5%) [2.95 -8.05]</w:t>
            </w:r>
          </w:p>
        </w:tc>
        <w:tc>
          <w:tcPr>
            <w:tcW w:w="2835" w:type="dxa"/>
          </w:tcPr>
          <w:p w14:paraId="3BC3C579"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13 (6.7%) [3.17-10.23]</w:t>
            </w:r>
          </w:p>
        </w:tc>
      </w:tr>
      <w:tr w:rsidR="00FA271B" w:rsidRPr="003372FD" w14:paraId="3AAAEB5E" w14:textId="77777777" w:rsidTr="00FA271B">
        <w:trPr>
          <w:trHeight w:val="273"/>
        </w:trPr>
        <w:tc>
          <w:tcPr>
            <w:tcW w:w="2943" w:type="dxa"/>
          </w:tcPr>
          <w:p w14:paraId="7C03C03D"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Ear, nose, and throat </w:t>
            </w:r>
          </w:p>
        </w:tc>
        <w:tc>
          <w:tcPr>
            <w:tcW w:w="3402" w:type="dxa"/>
          </w:tcPr>
          <w:p w14:paraId="36F2E27D"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12 (3.9%) [1.74 - 6.06]</w:t>
            </w:r>
          </w:p>
        </w:tc>
        <w:tc>
          <w:tcPr>
            <w:tcW w:w="2835" w:type="dxa"/>
          </w:tcPr>
          <w:p w14:paraId="1EE7B8D8"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10 (5.2) [2.07-</w:t>
            </w:r>
            <w:r w:rsidRPr="003372FD">
              <w:rPr>
                <w:rFonts w:ascii="Arial" w:hAnsi="Arial" w:cs="Arial"/>
                <w:sz w:val="20"/>
                <w:szCs w:val="20"/>
                <w:lang w:val="en-GB"/>
              </w:rPr>
              <w:tab/>
              <w:t>8.33]</w:t>
            </w:r>
          </w:p>
        </w:tc>
      </w:tr>
      <w:tr w:rsidR="00FA271B" w:rsidRPr="003372FD" w14:paraId="2F2DA748" w14:textId="77777777" w:rsidTr="00FA271B">
        <w:trPr>
          <w:trHeight w:val="273"/>
        </w:trPr>
        <w:tc>
          <w:tcPr>
            <w:tcW w:w="2943" w:type="dxa"/>
          </w:tcPr>
          <w:p w14:paraId="4A145821" w14:textId="2FB6BE18"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Urinary tract</w:t>
            </w:r>
          </w:p>
        </w:tc>
        <w:tc>
          <w:tcPr>
            <w:tcW w:w="3402" w:type="dxa"/>
          </w:tcPr>
          <w:p w14:paraId="0985C1CF"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11 (3.6%) [1.52 -5.68]</w:t>
            </w:r>
          </w:p>
        </w:tc>
        <w:tc>
          <w:tcPr>
            <w:tcW w:w="2835" w:type="dxa"/>
          </w:tcPr>
          <w:p w14:paraId="6B68D12D"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10 (5.2%) [2.07 -8.33]</w:t>
            </w:r>
          </w:p>
        </w:tc>
      </w:tr>
      <w:tr w:rsidR="00FA271B" w:rsidRPr="003372FD" w14:paraId="018BC430" w14:textId="77777777" w:rsidTr="00FA271B">
        <w:trPr>
          <w:trHeight w:val="273"/>
        </w:trPr>
        <w:tc>
          <w:tcPr>
            <w:tcW w:w="2943" w:type="dxa"/>
          </w:tcPr>
          <w:p w14:paraId="0577396B"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Cardiovascular  </w:t>
            </w:r>
          </w:p>
        </w:tc>
        <w:tc>
          <w:tcPr>
            <w:tcW w:w="3402" w:type="dxa"/>
          </w:tcPr>
          <w:p w14:paraId="49E2838E"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11 (3.6%) [1.52 -5.68]</w:t>
            </w:r>
          </w:p>
        </w:tc>
        <w:tc>
          <w:tcPr>
            <w:tcW w:w="2835" w:type="dxa"/>
          </w:tcPr>
          <w:p w14:paraId="11DDB595"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9 (4.7%) [1.71 -7.69]</w:t>
            </w:r>
          </w:p>
        </w:tc>
      </w:tr>
      <w:tr w:rsidR="00FA271B" w:rsidRPr="003372FD" w14:paraId="04AF9BB0" w14:textId="77777777" w:rsidTr="00FA271B">
        <w:trPr>
          <w:trHeight w:val="273"/>
        </w:trPr>
        <w:tc>
          <w:tcPr>
            <w:tcW w:w="2943" w:type="dxa"/>
          </w:tcPr>
          <w:p w14:paraId="69F21B9C"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Febrile neutropenia </w:t>
            </w:r>
          </w:p>
        </w:tc>
        <w:tc>
          <w:tcPr>
            <w:tcW w:w="3402" w:type="dxa"/>
          </w:tcPr>
          <w:p w14:paraId="081A1607"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7(2.3%) [0.63 -3.97]</w:t>
            </w:r>
            <w:r w:rsidRPr="003372FD">
              <w:rPr>
                <w:rFonts w:ascii="Arial" w:hAnsi="Arial" w:cs="Arial"/>
                <w:sz w:val="20"/>
                <w:szCs w:val="20"/>
                <w:lang w:val="en-GB"/>
              </w:rPr>
              <w:tab/>
            </w:r>
          </w:p>
        </w:tc>
        <w:tc>
          <w:tcPr>
            <w:tcW w:w="2835" w:type="dxa"/>
          </w:tcPr>
          <w:p w14:paraId="6BCBCE20"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6 (3.1 %) [0.65 -5.55]</w:t>
            </w:r>
          </w:p>
        </w:tc>
      </w:tr>
      <w:tr w:rsidR="00FA271B" w:rsidRPr="003372FD" w14:paraId="061B0CBA" w14:textId="77777777" w:rsidTr="00FA271B">
        <w:trPr>
          <w:trHeight w:val="273"/>
        </w:trPr>
        <w:tc>
          <w:tcPr>
            <w:tcW w:w="2943" w:type="dxa"/>
          </w:tcPr>
          <w:p w14:paraId="5FF45E5E"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Intraabdominal</w:t>
            </w:r>
          </w:p>
        </w:tc>
        <w:tc>
          <w:tcPr>
            <w:tcW w:w="3402" w:type="dxa"/>
          </w:tcPr>
          <w:p w14:paraId="3CD5152A"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7 (2.3%) [0.63-3.97]</w:t>
            </w:r>
          </w:p>
        </w:tc>
        <w:tc>
          <w:tcPr>
            <w:tcW w:w="2835" w:type="dxa"/>
          </w:tcPr>
          <w:p w14:paraId="5599BE0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4 (2.1%) [0.07-4.13]</w:t>
            </w:r>
          </w:p>
        </w:tc>
      </w:tr>
      <w:tr w:rsidR="00FA271B" w:rsidRPr="003372FD" w14:paraId="7D0C7C40" w14:textId="77777777" w:rsidTr="00FA271B">
        <w:trPr>
          <w:trHeight w:val="273"/>
        </w:trPr>
        <w:tc>
          <w:tcPr>
            <w:tcW w:w="2943" w:type="dxa"/>
          </w:tcPr>
          <w:p w14:paraId="56C3DF4F"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Extra pulmonary TB</w:t>
            </w:r>
          </w:p>
        </w:tc>
        <w:tc>
          <w:tcPr>
            <w:tcW w:w="3402" w:type="dxa"/>
          </w:tcPr>
          <w:p w14:paraId="335ACC3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4 (1.3%) [0.034 -2.57]</w:t>
            </w:r>
          </w:p>
        </w:tc>
        <w:tc>
          <w:tcPr>
            <w:tcW w:w="2835" w:type="dxa"/>
          </w:tcPr>
          <w:p w14:paraId="3D583C42"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3 (1.6%) [-0.17 - 3.37]</w:t>
            </w:r>
          </w:p>
        </w:tc>
      </w:tr>
      <w:tr w:rsidR="00FA271B" w:rsidRPr="003372FD" w14:paraId="3C320D6E" w14:textId="77777777" w:rsidTr="00FA271B">
        <w:trPr>
          <w:trHeight w:val="273"/>
        </w:trPr>
        <w:tc>
          <w:tcPr>
            <w:tcW w:w="2943" w:type="dxa"/>
          </w:tcPr>
          <w:p w14:paraId="6307A00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Eye infections </w:t>
            </w:r>
          </w:p>
        </w:tc>
        <w:tc>
          <w:tcPr>
            <w:tcW w:w="3402" w:type="dxa"/>
          </w:tcPr>
          <w:p w14:paraId="369230D6"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3 (0.9%) [-0.15- 1.95]</w:t>
            </w:r>
          </w:p>
        </w:tc>
        <w:tc>
          <w:tcPr>
            <w:tcW w:w="2835" w:type="dxa"/>
          </w:tcPr>
          <w:p w14:paraId="21685FDB"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3 (1.6%) [-0.17-3.37]</w:t>
            </w:r>
          </w:p>
        </w:tc>
      </w:tr>
      <w:tr w:rsidR="00FA271B" w:rsidRPr="003372FD" w14:paraId="21450F9E" w14:textId="77777777" w:rsidTr="00FA271B">
        <w:trPr>
          <w:trHeight w:val="273"/>
        </w:trPr>
        <w:tc>
          <w:tcPr>
            <w:tcW w:w="2943" w:type="dxa"/>
          </w:tcPr>
          <w:p w14:paraId="673A09A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Bronchitis</w:t>
            </w:r>
          </w:p>
        </w:tc>
        <w:tc>
          <w:tcPr>
            <w:tcW w:w="3402" w:type="dxa"/>
          </w:tcPr>
          <w:p w14:paraId="38904912"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3 (0.97%) [-0.12 -2.06]</w:t>
            </w:r>
          </w:p>
        </w:tc>
        <w:tc>
          <w:tcPr>
            <w:tcW w:w="2835" w:type="dxa"/>
          </w:tcPr>
          <w:p w14:paraId="124FFA61" w14:textId="10A76455"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3 (1.6%) [-0.17 -3.37]</w:t>
            </w:r>
          </w:p>
        </w:tc>
      </w:tr>
      <w:tr w:rsidR="00FA271B" w:rsidRPr="003372FD" w14:paraId="3C8DEB66" w14:textId="77777777" w:rsidTr="00FA271B">
        <w:trPr>
          <w:trHeight w:val="273"/>
        </w:trPr>
        <w:tc>
          <w:tcPr>
            <w:tcW w:w="2943" w:type="dxa"/>
          </w:tcPr>
          <w:p w14:paraId="7174D299"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Asymptomatic </w:t>
            </w:r>
            <w:proofErr w:type="spellStart"/>
            <w:r w:rsidRPr="003372FD">
              <w:rPr>
                <w:rFonts w:ascii="Arial" w:hAnsi="Arial" w:cs="Arial"/>
                <w:sz w:val="20"/>
                <w:szCs w:val="20"/>
                <w:lang w:val="en-GB"/>
              </w:rPr>
              <w:t>bacteuria</w:t>
            </w:r>
            <w:proofErr w:type="spellEnd"/>
            <w:r w:rsidRPr="003372FD">
              <w:rPr>
                <w:rFonts w:ascii="Arial" w:hAnsi="Arial" w:cs="Arial"/>
                <w:sz w:val="20"/>
                <w:szCs w:val="20"/>
                <w:lang w:val="en-GB"/>
              </w:rPr>
              <w:t xml:space="preserve"> </w:t>
            </w:r>
          </w:p>
        </w:tc>
        <w:tc>
          <w:tcPr>
            <w:tcW w:w="3402" w:type="dxa"/>
          </w:tcPr>
          <w:p w14:paraId="29C02C3F" w14:textId="00C0BA8B"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 (0.</w:t>
            </w:r>
            <w:r w:rsidR="00207E7D" w:rsidRPr="003372FD">
              <w:rPr>
                <w:rFonts w:ascii="Arial" w:hAnsi="Arial" w:cs="Arial"/>
                <w:sz w:val="20"/>
                <w:szCs w:val="20"/>
                <w:lang w:val="en-GB"/>
              </w:rPr>
              <w:t>7</w:t>
            </w:r>
            <w:r w:rsidRPr="003372FD">
              <w:rPr>
                <w:rFonts w:ascii="Arial" w:hAnsi="Arial" w:cs="Arial"/>
                <w:sz w:val="20"/>
                <w:szCs w:val="20"/>
                <w:lang w:val="en-GB"/>
              </w:rPr>
              <w:t>%) [-0.25 - 1.55</w:t>
            </w:r>
            <w:r w:rsidR="00207E7D" w:rsidRPr="003372FD">
              <w:rPr>
                <w:rFonts w:ascii="Arial" w:hAnsi="Arial" w:cs="Arial"/>
                <w:sz w:val="20"/>
                <w:szCs w:val="20"/>
                <w:lang w:val="en-GB"/>
              </w:rPr>
              <w:t>]</w:t>
            </w:r>
          </w:p>
        </w:tc>
        <w:tc>
          <w:tcPr>
            <w:tcW w:w="2835" w:type="dxa"/>
          </w:tcPr>
          <w:p w14:paraId="4C6E3FAF"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 (1.0%) [-0.40- 2.40]</w:t>
            </w:r>
          </w:p>
        </w:tc>
      </w:tr>
      <w:tr w:rsidR="00FA271B" w:rsidRPr="003372FD" w14:paraId="4EBE4445" w14:textId="77777777" w:rsidTr="003372FD">
        <w:trPr>
          <w:trHeight w:val="387"/>
        </w:trPr>
        <w:tc>
          <w:tcPr>
            <w:tcW w:w="2943" w:type="dxa"/>
          </w:tcPr>
          <w:p w14:paraId="2B8C8531"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Genitourinary for males</w:t>
            </w:r>
          </w:p>
        </w:tc>
        <w:tc>
          <w:tcPr>
            <w:tcW w:w="3402" w:type="dxa"/>
          </w:tcPr>
          <w:p w14:paraId="48DE7A2C"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 (0.6%) [0.26 – 1.46]</w:t>
            </w:r>
          </w:p>
          <w:tbl>
            <w:tblPr>
              <w:tblW w:w="1802" w:type="dxa"/>
              <w:tblLook w:val="04A0" w:firstRow="1" w:lastRow="0" w:firstColumn="1" w:lastColumn="0" w:noHBand="0" w:noVBand="1"/>
            </w:tblPr>
            <w:tblGrid>
              <w:gridCol w:w="901"/>
              <w:gridCol w:w="901"/>
            </w:tblGrid>
            <w:tr w:rsidR="00FA271B" w:rsidRPr="003372FD" w14:paraId="011281E5" w14:textId="77777777" w:rsidTr="003A3A92">
              <w:trPr>
                <w:trHeight w:val="286"/>
              </w:trPr>
              <w:tc>
                <w:tcPr>
                  <w:tcW w:w="901" w:type="dxa"/>
                  <w:tcBorders>
                    <w:top w:val="nil"/>
                    <w:left w:val="nil"/>
                    <w:bottom w:val="nil"/>
                    <w:right w:val="nil"/>
                  </w:tcBorders>
                  <w:shd w:val="clear" w:color="auto" w:fill="auto"/>
                  <w:noWrap/>
                  <w:vAlign w:val="bottom"/>
                  <w:hideMark/>
                </w:tcPr>
                <w:p w14:paraId="1A01CDDE" w14:textId="77777777" w:rsidR="00FA271B" w:rsidRPr="003372FD" w:rsidRDefault="00FA271B" w:rsidP="003372FD">
                  <w:pPr>
                    <w:pStyle w:val="NoSpacing1"/>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14:paraId="524375FE" w14:textId="77777777" w:rsidR="00FA271B" w:rsidRPr="003372FD" w:rsidRDefault="00FA271B" w:rsidP="003372FD">
                  <w:pPr>
                    <w:pStyle w:val="NoSpacing1"/>
                    <w:rPr>
                      <w:rFonts w:ascii="Arial" w:hAnsi="Arial" w:cs="Arial"/>
                      <w:sz w:val="20"/>
                      <w:szCs w:val="20"/>
                    </w:rPr>
                  </w:pPr>
                </w:p>
              </w:tc>
            </w:tr>
          </w:tbl>
          <w:p w14:paraId="3E0DE1E4" w14:textId="77777777" w:rsidR="00FA271B" w:rsidRPr="003372FD" w:rsidRDefault="00FA271B" w:rsidP="003372FD">
            <w:pPr>
              <w:pStyle w:val="NoSpacing1"/>
              <w:rPr>
                <w:rFonts w:ascii="Arial" w:hAnsi="Arial" w:cs="Arial"/>
                <w:sz w:val="20"/>
                <w:szCs w:val="20"/>
                <w:lang w:val="en-GB"/>
              </w:rPr>
            </w:pPr>
          </w:p>
        </w:tc>
        <w:tc>
          <w:tcPr>
            <w:tcW w:w="2835" w:type="dxa"/>
          </w:tcPr>
          <w:p w14:paraId="359FCE68"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2 (1.0%) [-0.40 -2.40]</w:t>
            </w:r>
          </w:p>
        </w:tc>
      </w:tr>
      <w:tr w:rsidR="00FA271B" w:rsidRPr="003372FD" w14:paraId="6BC1D9CF" w14:textId="77777777" w:rsidTr="00FA271B">
        <w:trPr>
          <w:trHeight w:val="273"/>
        </w:trPr>
        <w:tc>
          <w:tcPr>
            <w:tcW w:w="2943" w:type="dxa"/>
          </w:tcPr>
          <w:p w14:paraId="744DF8C2"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 xml:space="preserve">Laboratory confirmed </w:t>
            </w:r>
            <w:proofErr w:type="spellStart"/>
            <w:r w:rsidRPr="003372FD">
              <w:rPr>
                <w:rFonts w:ascii="Arial" w:hAnsi="Arial" w:cs="Arial"/>
                <w:sz w:val="20"/>
                <w:szCs w:val="20"/>
                <w:lang w:val="en-GB"/>
              </w:rPr>
              <w:t>bacteremia</w:t>
            </w:r>
            <w:proofErr w:type="spellEnd"/>
          </w:p>
        </w:tc>
        <w:tc>
          <w:tcPr>
            <w:tcW w:w="3402" w:type="dxa"/>
          </w:tcPr>
          <w:p w14:paraId="6E4D27AE"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 (0.32 %) [-0.31 -0.95]</w:t>
            </w:r>
          </w:p>
        </w:tc>
        <w:tc>
          <w:tcPr>
            <w:tcW w:w="2835" w:type="dxa"/>
          </w:tcPr>
          <w:p w14:paraId="20F82C22"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 (0.5%) [-0.50 -1.50]</w:t>
            </w:r>
          </w:p>
        </w:tc>
      </w:tr>
      <w:tr w:rsidR="00FA271B" w:rsidRPr="003372FD" w14:paraId="68C57B1D" w14:textId="77777777" w:rsidTr="00FA271B">
        <w:trPr>
          <w:trHeight w:val="273"/>
        </w:trPr>
        <w:tc>
          <w:tcPr>
            <w:tcW w:w="2943" w:type="dxa"/>
          </w:tcPr>
          <w:p w14:paraId="06CDC2A7"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Antimicrobial use other than treatment</w:t>
            </w:r>
          </w:p>
        </w:tc>
        <w:tc>
          <w:tcPr>
            <w:tcW w:w="3402" w:type="dxa"/>
          </w:tcPr>
          <w:p w14:paraId="1EB13C3D"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16 (5.2%) [2.72 -7.68]</w:t>
            </w:r>
          </w:p>
        </w:tc>
        <w:tc>
          <w:tcPr>
            <w:tcW w:w="2835" w:type="dxa"/>
          </w:tcPr>
          <w:p w14:paraId="1060B326" w14:textId="77777777" w:rsidR="00FA271B" w:rsidRPr="003372FD" w:rsidRDefault="00FA271B" w:rsidP="003372FD">
            <w:pPr>
              <w:pStyle w:val="NoSpacing1"/>
              <w:rPr>
                <w:rFonts w:ascii="Arial" w:hAnsi="Arial" w:cs="Arial"/>
                <w:sz w:val="20"/>
                <w:szCs w:val="20"/>
                <w:lang w:val="en-GB"/>
              </w:rPr>
            </w:pPr>
            <w:r w:rsidRPr="003372FD">
              <w:rPr>
                <w:rFonts w:ascii="Arial" w:hAnsi="Arial" w:cs="Arial"/>
                <w:sz w:val="20"/>
                <w:szCs w:val="20"/>
                <w:lang w:val="en-GB"/>
              </w:rPr>
              <w:t>16 (8.3%) [4.41 -12.19]</w:t>
            </w:r>
          </w:p>
        </w:tc>
      </w:tr>
    </w:tbl>
    <w:p w14:paraId="7B10FE38" w14:textId="77777777" w:rsidR="00FA271B" w:rsidRPr="003372FD" w:rsidRDefault="00FA271B" w:rsidP="003372FD">
      <w:pPr>
        <w:pStyle w:val="NoSpacing1"/>
        <w:rPr>
          <w:rFonts w:ascii="Arial" w:hAnsi="Arial" w:cs="Arial"/>
          <w:sz w:val="20"/>
          <w:szCs w:val="20"/>
          <w:lang w:val="en-GB"/>
        </w:rPr>
      </w:pPr>
      <w:proofErr w:type="spellStart"/>
      <w:proofErr w:type="gramStart"/>
      <w:r w:rsidRPr="003372FD">
        <w:rPr>
          <w:rFonts w:ascii="Arial" w:hAnsi="Arial" w:cs="Arial"/>
          <w:sz w:val="20"/>
          <w:szCs w:val="20"/>
          <w:vertAlign w:val="superscript"/>
          <w:lang w:val="en-GB"/>
        </w:rPr>
        <w:t>a</w:t>
      </w:r>
      <w:proofErr w:type="spellEnd"/>
      <w:proofErr w:type="gramEnd"/>
      <w:r w:rsidRPr="003372FD">
        <w:rPr>
          <w:rFonts w:ascii="Arial" w:hAnsi="Arial" w:cs="Arial"/>
          <w:sz w:val="20"/>
          <w:szCs w:val="20"/>
          <w:vertAlign w:val="superscript"/>
          <w:lang w:val="en-GB"/>
        </w:rPr>
        <w:t xml:space="preserve"> </w:t>
      </w:r>
      <w:r w:rsidRPr="003372FD">
        <w:rPr>
          <w:rFonts w:ascii="Arial" w:hAnsi="Arial" w:cs="Arial"/>
          <w:sz w:val="20"/>
          <w:szCs w:val="20"/>
          <w:lang w:val="en-GB"/>
        </w:rPr>
        <w:t>Antimicrobials could be used for more than one anatomical site of infection.</w:t>
      </w:r>
    </w:p>
    <w:p w14:paraId="55F59FC1" w14:textId="77777777" w:rsidR="00FA271B" w:rsidRPr="003372FD" w:rsidRDefault="00FA271B" w:rsidP="003372FD">
      <w:pPr>
        <w:pStyle w:val="NoSpacing1"/>
        <w:rPr>
          <w:rFonts w:ascii="Arial" w:hAnsi="Arial" w:cs="Arial"/>
          <w:sz w:val="20"/>
          <w:szCs w:val="20"/>
        </w:rPr>
      </w:pPr>
    </w:p>
    <w:p w14:paraId="4AFEA13B" w14:textId="7CC119AB" w:rsidR="00FA271B" w:rsidRPr="003372FD" w:rsidRDefault="00B10309" w:rsidP="003372FD">
      <w:pPr>
        <w:pStyle w:val="NoSpacing1"/>
        <w:rPr>
          <w:rFonts w:ascii="Arial" w:hAnsi="Arial" w:cs="Arial"/>
          <w:b/>
          <w:i/>
          <w:sz w:val="20"/>
          <w:szCs w:val="20"/>
        </w:rPr>
      </w:pPr>
      <w:r w:rsidRPr="003372FD">
        <w:rPr>
          <w:rFonts w:ascii="Arial" w:hAnsi="Arial" w:cs="Arial"/>
          <w:b/>
          <w:i/>
          <w:sz w:val="20"/>
          <w:szCs w:val="20"/>
        </w:rPr>
        <w:t xml:space="preserve">3.3 </w:t>
      </w:r>
      <w:r w:rsidR="00FA271B" w:rsidRPr="003372FD">
        <w:rPr>
          <w:rFonts w:ascii="Arial" w:hAnsi="Arial" w:cs="Arial"/>
          <w:b/>
          <w:i/>
          <w:sz w:val="20"/>
          <w:szCs w:val="20"/>
        </w:rPr>
        <w:t xml:space="preserve">Antimicrobial </w:t>
      </w:r>
      <w:r w:rsidR="00C568AB" w:rsidRPr="003372FD">
        <w:rPr>
          <w:rFonts w:ascii="Arial" w:hAnsi="Arial" w:cs="Arial"/>
          <w:b/>
          <w:i/>
          <w:sz w:val="20"/>
          <w:szCs w:val="20"/>
        </w:rPr>
        <w:t>u</w:t>
      </w:r>
      <w:r w:rsidR="00FA271B" w:rsidRPr="003372FD">
        <w:rPr>
          <w:rFonts w:ascii="Arial" w:hAnsi="Arial" w:cs="Arial"/>
          <w:b/>
          <w:i/>
          <w:sz w:val="20"/>
          <w:szCs w:val="20"/>
        </w:rPr>
        <w:t>se by ATC</w:t>
      </w:r>
    </w:p>
    <w:p w14:paraId="257C206A" w14:textId="36C1E13E" w:rsidR="00FA271B" w:rsidRDefault="00FA271B" w:rsidP="003372FD">
      <w:pPr>
        <w:pStyle w:val="NoSpacing1"/>
        <w:rPr>
          <w:rFonts w:ascii="Arial" w:hAnsi="Arial" w:cs="Arial"/>
          <w:bCs/>
          <w:sz w:val="20"/>
          <w:szCs w:val="20"/>
        </w:rPr>
      </w:pPr>
      <w:r w:rsidRPr="003372FD">
        <w:rPr>
          <w:rFonts w:ascii="Arial" w:hAnsi="Arial" w:cs="Arial"/>
          <w:bCs/>
          <w:sz w:val="20"/>
          <w:szCs w:val="20"/>
        </w:rPr>
        <w:t xml:space="preserve">Broad spectrum </w:t>
      </w:r>
      <w:proofErr w:type="spellStart"/>
      <w:r w:rsidRPr="003372FD">
        <w:rPr>
          <w:rFonts w:ascii="Arial" w:hAnsi="Arial" w:cs="Arial"/>
          <w:bCs/>
          <w:sz w:val="20"/>
          <w:szCs w:val="20"/>
        </w:rPr>
        <w:t>penicillins</w:t>
      </w:r>
      <w:proofErr w:type="spellEnd"/>
      <w:r w:rsidRPr="003372FD">
        <w:rPr>
          <w:rFonts w:ascii="Arial" w:hAnsi="Arial" w:cs="Arial"/>
          <w:bCs/>
          <w:sz w:val="20"/>
          <w:szCs w:val="20"/>
        </w:rPr>
        <w:t xml:space="preserve"> were the most commonly prescribed antimicrobials (34.1</w:t>
      </w:r>
      <w:r w:rsidR="0023574D" w:rsidRPr="003372FD">
        <w:rPr>
          <w:rFonts w:ascii="Arial" w:hAnsi="Arial" w:cs="Arial"/>
          <w:bCs/>
          <w:sz w:val="20"/>
          <w:szCs w:val="20"/>
        </w:rPr>
        <w:t xml:space="preserve">%), </w:t>
      </w:r>
      <w:r w:rsidRPr="003372FD">
        <w:rPr>
          <w:rFonts w:ascii="Arial" w:hAnsi="Arial" w:cs="Arial"/>
          <w:bCs/>
          <w:sz w:val="20"/>
          <w:szCs w:val="20"/>
        </w:rPr>
        <w:t>followed by the cephalosporins (17.9%) and anti-tuberculosis agents (12.0%). The least used antimicrobials were the tetracyclines (0.3%) (Figure1).</w:t>
      </w:r>
    </w:p>
    <w:p w14:paraId="46EACD95" w14:textId="38DDA09A" w:rsidR="003372FD" w:rsidRDefault="003372FD" w:rsidP="003372FD">
      <w:pPr>
        <w:pStyle w:val="NoSpacing1"/>
        <w:rPr>
          <w:rFonts w:ascii="Arial" w:hAnsi="Arial" w:cs="Arial"/>
          <w:bCs/>
          <w:sz w:val="20"/>
          <w:szCs w:val="20"/>
        </w:rPr>
      </w:pPr>
    </w:p>
    <w:p w14:paraId="230FE4E1" w14:textId="77777777" w:rsidR="003372FD" w:rsidRDefault="003372FD">
      <w:pPr>
        <w:rPr>
          <w:rFonts w:ascii="Arial" w:eastAsia="Times New Roman" w:hAnsi="Arial" w:cs="Arial"/>
          <w:sz w:val="20"/>
          <w:szCs w:val="20"/>
          <w:lang w:val="nl-BE" w:eastAsia="nl-BE"/>
        </w:rPr>
      </w:pPr>
      <w:r>
        <w:rPr>
          <w:rFonts w:ascii="Arial" w:hAnsi="Arial" w:cs="Arial"/>
          <w:sz w:val="20"/>
          <w:szCs w:val="20"/>
        </w:rPr>
        <w:br w:type="page"/>
      </w:r>
    </w:p>
    <w:p w14:paraId="6DC894E2" w14:textId="5EBEE74E" w:rsidR="003372FD" w:rsidRPr="003372FD" w:rsidRDefault="003372FD" w:rsidP="003372FD">
      <w:pPr>
        <w:pStyle w:val="NoSpacing1"/>
        <w:rPr>
          <w:rFonts w:ascii="Arial" w:hAnsi="Arial" w:cs="Arial"/>
          <w:sz w:val="20"/>
          <w:szCs w:val="20"/>
          <w:u w:val="single"/>
        </w:rPr>
      </w:pPr>
      <w:r w:rsidRPr="003372FD">
        <w:rPr>
          <w:rFonts w:ascii="Arial" w:hAnsi="Arial" w:cs="Arial"/>
          <w:sz w:val="20"/>
          <w:szCs w:val="20"/>
          <w:u w:val="single"/>
        </w:rPr>
        <w:lastRenderedPageBreak/>
        <w:t>Figure 1:</w:t>
      </w:r>
      <w:r>
        <w:rPr>
          <w:rFonts w:ascii="Arial" w:hAnsi="Arial" w:cs="Arial"/>
          <w:sz w:val="20"/>
          <w:szCs w:val="20"/>
          <w:u w:val="single"/>
        </w:rPr>
        <w:t xml:space="preserve"> </w:t>
      </w:r>
      <w:r w:rsidRPr="003372FD">
        <w:rPr>
          <w:rFonts w:ascii="Arial" w:hAnsi="Arial" w:cs="Arial"/>
          <w:sz w:val="20"/>
          <w:szCs w:val="20"/>
          <w:u w:val="single"/>
          <w:lang w:val="en-GB"/>
        </w:rPr>
        <w:t>Antimicrobial</w:t>
      </w:r>
      <w:r w:rsidRPr="003372FD">
        <w:rPr>
          <w:rFonts w:ascii="Arial" w:hAnsi="Arial" w:cs="Arial"/>
          <w:sz w:val="20"/>
          <w:szCs w:val="20"/>
          <w:u w:val="single"/>
        </w:rPr>
        <w:t xml:space="preserve"> use by ATC</w:t>
      </w:r>
    </w:p>
    <w:p w14:paraId="25F43D07" w14:textId="77777777" w:rsidR="00FA271B" w:rsidRPr="003372FD" w:rsidRDefault="00FA271B" w:rsidP="003372FD">
      <w:pPr>
        <w:pStyle w:val="NoSpacing1"/>
        <w:rPr>
          <w:rFonts w:ascii="Arial" w:hAnsi="Arial" w:cs="Arial"/>
          <w:sz w:val="20"/>
          <w:szCs w:val="20"/>
        </w:rPr>
      </w:pPr>
    </w:p>
    <w:p w14:paraId="25D60A10" w14:textId="77777777" w:rsidR="00FA271B" w:rsidRPr="00FA271B" w:rsidRDefault="00FA271B" w:rsidP="00FA271B">
      <w:pPr>
        <w:rPr>
          <w:rFonts w:ascii="Arial" w:hAnsi="Arial" w:cs="Arial"/>
          <w:lang w:val="en-GB"/>
        </w:rPr>
      </w:pPr>
      <w:r w:rsidRPr="00FA271B">
        <w:rPr>
          <w:rFonts w:ascii="Arial" w:hAnsi="Arial" w:cs="Arial"/>
          <w:b/>
          <w:bCs/>
          <w:noProof/>
          <w:lang w:eastAsia="en-ZA"/>
        </w:rPr>
        <w:drawing>
          <wp:inline distT="0" distB="0" distL="0" distR="0" wp14:anchorId="318B9A4D" wp14:editId="53AB4D0B">
            <wp:extent cx="5905500" cy="38671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D89C95" w14:textId="64C01130" w:rsidR="00FA271B" w:rsidRPr="003372FD" w:rsidRDefault="00B10309" w:rsidP="003372FD">
      <w:pPr>
        <w:pStyle w:val="NoSpacing1"/>
        <w:rPr>
          <w:rFonts w:ascii="Arial" w:hAnsi="Arial" w:cs="Arial"/>
          <w:b/>
          <w:i/>
          <w:sz w:val="20"/>
          <w:szCs w:val="20"/>
          <w:lang w:val="en-US"/>
        </w:rPr>
      </w:pPr>
      <w:r w:rsidRPr="003372FD">
        <w:rPr>
          <w:rFonts w:ascii="Arial" w:hAnsi="Arial" w:cs="Arial"/>
          <w:b/>
          <w:i/>
          <w:sz w:val="20"/>
          <w:szCs w:val="20"/>
          <w:lang w:val="en-US"/>
        </w:rPr>
        <w:t xml:space="preserve">3.4 </w:t>
      </w:r>
      <w:r w:rsidR="006F089E" w:rsidRPr="003372FD">
        <w:rPr>
          <w:rFonts w:ascii="Arial" w:hAnsi="Arial" w:cs="Arial"/>
          <w:b/>
          <w:i/>
          <w:sz w:val="20"/>
          <w:szCs w:val="20"/>
          <w:lang w:val="en-US"/>
        </w:rPr>
        <w:t>A</w:t>
      </w:r>
      <w:r w:rsidR="00FA271B" w:rsidRPr="003372FD">
        <w:rPr>
          <w:rFonts w:ascii="Arial" w:hAnsi="Arial" w:cs="Arial"/>
          <w:b/>
          <w:i/>
          <w:sz w:val="20"/>
          <w:szCs w:val="20"/>
          <w:lang w:val="en-US"/>
        </w:rPr>
        <w:t>ntimicrobial use in the past 90 days</w:t>
      </w:r>
      <w:r w:rsidR="009B5C2D" w:rsidRPr="003372FD">
        <w:rPr>
          <w:rFonts w:ascii="Arial" w:hAnsi="Arial" w:cs="Arial"/>
          <w:b/>
          <w:i/>
          <w:sz w:val="20"/>
          <w:szCs w:val="20"/>
          <w:lang w:val="en-US"/>
        </w:rPr>
        <w:t xml:space="preserve"> prior to admission </w:t>
      </w:r>
    </w:p>
    <w:p w14:paraId="2AFBDA1F" w14:textId="3A946FC5" w:rsidR="00FA271B" w:rsidRPr="003372FD" w:rsidRDefault="006F089E" w:rsidP="003372FD">
      <w:pPr>
        <w:pStyle w:val="NoSpacing1"/>
        <w:rPr>
          <w:rFonts w:ascii="Arial" w:hAnsi="Arial" w:cs="Arial"/>
          <w:bCs/>
          <w:sz w:val="20"/>
          <w:szCs w:val="20"/>
          <w:lang w:val="en-US"/>
        </w:rPr>
      </w:pPr>
      <w:r w:rsidRPr="003372FD">
        <w:rPr>
          <w:rFonts w:ascii="Arial" w:hAnsi="Arial" w:cs="Arial"/>
          <w:bCs/>
          <w:sz w:val="20"/>
          <w:szCs w:val="20"/>
          <w:lang w:val="en-US"/>
        </w:rPr>
        <w:t>L</w:t>
      </w:r>
      <w:r w:rsidR="00FA271B" w:rsidRPr="003372FD">
        <w:rPr>
          <w:rFonts w:ascii="Arial" w:hAnsi="Arial" w:cs="Arial"/>
          <w:bCs/>
          <w:sz w:val="20"/>
          <w:szCs w:val="20"/>
          <w:lang w:val="en-US"/>
        </w:rPr>
        <w:t xml:space="preserve">ess than half (44.5%) of the patients (137) who were on antimicrobials in the last 90 days </w:t>
      </w:r>
      <w:r w:rsidR="009B5C2D" w:rsidRPr="003372FD">
        <w:rPr>
          <w:rFonts w:ascii="Arial" w:hAnsi="Arial" w:cs="Arial"/>
          <w:bCs/>
          <w:sz w:val="20"/>
          <w:szCs w:val="20"/>
          <w:lang w:val="en-US"/>
        </w:rPr>
        <w:t xml:space="preserve">prior to admission </w:t>
      </w:r>
      <w:r w:rsidRPr="003372FD">
        <w:rPr>
          <w:rFonts w:ascii="Arial" w:hAnsi="Arial" w:cs="Arial"/>
          <w:bCs/>
          <w:sz w:val="20"/>
          <w:szCs w:val="20"/>
          <w:lang w:val="en-US"/>
        </w:rPr>
        <w:t xml:space="preserve">had </w:t>
      </w:r>
      <w:r w:rsidR="009B5C2D" w:rsidRPr="003372FD">
        <w:rPr>
          <w:rFonts w:ascii="Arial" w:hAnsi="Arial" w:cs="Arial"/>
          <w:bCs/>
          <w:sz w:val="20"/>
          <w:szCs w:val="20"/>
          <w:lang w:val="en-US"/>
        </w:rPr>
        <w:t>been prescribed</w:t>
      </w:r>
      <w:r w:rsidR="00FA271B" w:rsidRPr="003372FD">
        <w:rPr>
          <w:rFonts w:ascii="Arial" w:hAnsi="Arial" w:cs="Arial"/>
          <w:bCs/>
          <w:sz w:val="20"/>
          <w:szCs w:val="20"/>
          <w:lang w:val="en-US"/>
        </w:rPr>
        <w:t xml:space="preserve"> antimicrobials for up to five days, while 8.8% were </w:t>
      </w:r>
      <w:r w:rsidR="009B5C2D" w:rsidRPr="003372FD">
        <w:rPr>
          <w:rFonts w:ascii="Arial" w:hAnsi="Arial" w:cs="Arial"/>
          <w:bCs/>
          <w:sz w:val="20"/>
          <w:szCs w:val="20"/>
          <w:lang w:val="en-US"/>
        </w:rPr>
        <w:t>taking</w:t>
      </w:r>
      <w:r w:rsidR="00FA271B" w:rsidRPr="003372FD">
        <w:rPr>
          <w:rFonts w:ascii="Arial" w:hAnsi="Arial" w:cs="Arial"/>
          <w:bCs/>
          <w:sz w:val="20"/>
          <w:szCs w:val="20"/>
          <w:lang w:val="en-US"/>
        </w:rPr>
        <w:t xml:space="preserve"> antimicrobials fo</w:t>
      </w:r>
      <w:bookmarkStart w:id="6" w:name="_Toc504726691"/>
      <w:r w:rsidR="005B713C" w:rsidRPr="003372FD">
        <w:rPr>
          <w:rFonts w:ascii="Arial" w:hAnsi="Arial" w:cs="Arial"/>
          <w:bCs/>
          <w:sz w:val="20"/>
          <w:szCs w:val="20"/>
          <w:lang w:val="en-US"/>
        </w:rPr>
        <w:t>r more than 14 days</w:t>
      </w:r>
      <w:r w:rsidRPr="003372FD">
        <w:rPr>
          <w:rFonts w:ascii="Arial" w:hAnsi="Arial" w:cs="Arial"/>
          <w:bCs/>
          <w:sz w:val="20"/>
          <w:szCs w:val="20"/>
          <w:lang w:val="en-US"/>
        </w:rPr>
        <w:t xml:space="preserve"> (Figure 2)</w:t>
      </w:r>
      <w:r w:rsidR="005B713C" w:rsidRPr="003372FD">
        <w:rPr>
          <w:rFonts w:ascii="Arial" w:hAnsi="Arial" w:cs="Arial"/>
          <w:bCs/>
          <w:sz w:val="20"/>
          <w:szCs w:val="20"/>
          <w:lang w:val="en-US"/>
        </w:rPr>
        <w:t xml:space="preserve">. </w:t>
      </w:r>
      <w:r w:rsidR="009B5C2D" w:rsidRPr="003372FD">
        <w:rPr>
          <w:rFonts w:ascii="Arial" w:hAnsi="Arial" w:cs="Arial"/>
          <w:bCs/>
          <w:sz w:val="20"/>
          <w:szCs w:val="20"/>
          <w:lang w:val="en-US"/>
        </w:rPr>
        <w:t>The remaining patients had taken antimicrobials for between 6 and 14 days.</w:t>
      </w:r>
    </w:p>
    <w:p w14:paraId="1F11FCF9" w14:textId="77777777" w:rsidR="003372FD" w:rsidRPr="003372FD" w:rsidRDefault="003372FD" w:rsidP="003372FD">
      <w:pPr>
        <w:pStyle w:val="NoSpacing1"/>
        <w:rPr>
          <w:rFonts w:ascii="Arial" w:hAnsi="Arial" w:cs="Arial"/>
          <w:sz w:val="20"/>
          <w:szCs w:val="20"/>
        </w:rPr>
      </w:pPr>
    </w:p>
    <w:p w14:paraId="3DEAF17D" w14:textId="3A341A2F" w:rsidR="003372FD" w:rsidRPr="003372FD" w:rsidRDefault="003372FD" w:rsidP="003372FD">
      <w:pPr>
        <w:pStyle w:val="NoSpacing1"/>
        <w:rPr>
          <w:rFonts w:ascii="Arial" w:hAnsi="Arial" w:cs="Arial"/>
          <w:sz w:val="20"/>
          <w:szCs w:val="20"/>
          <w:u w:val="single"/>
        </w:rPr>
      </w:pPr>
      <w:r w:rsidRPr="003372FD">
        <w:rPr>
          <w:rFonts w:ascii="Arial" w:hAnsi="Arial" w:cs="Arial"/>
          <w:sz w:val="20"/>
          <w:szCs w:val="20"/>
          <w:u w:val="single"/>
        </w:rPr>
        <w:t>Figure 2:</w:t>
      </w:r>
      <w:r w:rsidR="0079159E">
        <w:rPr>
          <w:rFonts w:ascii="Arial" w:hAnsi="Arial" w:cs="Arial"/>
          <w:sz w:val="20"/>
          <w:szCs w:val="20"/>
          <w:u w:val="single"/>
        </w:rPr>
        <w:t xml:space="preserve"> </w:t>
      </w:r>
      <w:r w:rsidRPr="003372FD">
        <w:rPr>
          <w:rFonts w:ascii="Arial" w:hAnsi="Arial" w:cs="Arial"/>
          <w:sz w:val="20"/>
          <w:szCs w:val="20"/>
          <w:u w:val="single"/>
        </w:rPr>
        <w:t>Antimicrobial use in the past 90 days (n=137)</w:t>
      </w:r>
    </w:p>
    <w:p w14:paraId="538651C6" w14:textId="77777777" w:rsidR="00FA271B" w:rsidRPr="003372FD" w:rsidRDefault="00FA271B" w:rsidP="003372FD">
      <w:pPr>
        <w:pStyle w:val="NoSpacing1"/>
        <w:rPr>
          <w:rFonts w:ascii="Arial" w:hAnsi="Arial" w:cs="Arial"/>
          <w:bCs/>
          <w:sz w:val="20"/>
          <w:szCs w:val="20"/>
        </w:rPr>
      </w:pPr>
    </w:p>
    <w:bookmarkEnd w:id="6"/>
    <w:p w14:paraId="62FBF098" w14:textId="77777777" w:rsidR="00FA271B" w:rsidRPr="00FA271B" w:rsidRDefault="00FA271B" w:rsidP="00FA271B">
      <w:pPr>
        <w:rPr>
          <w:rFonts w:ascii="Arial" w:hAnsi="Arial" w:cs="Arial"/>
          <w:lang w:val="en-US"/>
        </w:rPr>
      </w:pPr>
      <w:r w:rsidRPr="00FA271B">
        <w:rPr>
          <w:rFonts w:ascii="Arial" w:hAnsi="Arial" w:cs="Arial"/>
          <w:b/>
          <w:noProof/>
          <w:lang w:eastAsia="en-ZA"/>
        </w:rPr>
        <w:drawing>
          <wp:inline distT="0" distB="0" distL="0" distR="0" wp14:anchorId="6DB78D5D" wp14:editId="35B717FB">
            <wp:extent cx="5734050" cy="2819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84A1FF" w14:textId="77777777" w:rsidR="0079159E" w:rsidRDefault="0079159E">
      <w:pPr>
        <w:rPr>
          <w:rFonts w:ascii="Arial" w:eastAsia="Times New Roman" w:hAnsi="Arial" w:cs="Arial"/>
          <w:sz w:val="20"/>
          <w:szCs w:val="20"/>
          <w:lang w:val="en-US" w:eastAsia="nl-BE"/>
        </w:rPr>
      </w:pPr>
      <w:r>
        <w:rPr>
          <w:rFonts w:ascii="Arial" w:hAnsi="Arial" w:cs="Arial"/>
          <w:sz w:val="20"/>
          <w:szCs w:val="20"/>
          <w:lang w:val="en-US"/>
        </w:rPr>
        <w:br w:type="page"/>
      </w:r>
    </w:p>
    <w:p w14:paraId="0BE29BB9" w14:textId="4A323769" w:rsidR="00FA271B" w:rsidRPr="0079159E" w:rsidRDefault="00B10309" w:rsidP="0079159E">
      <w:pPr>
        <w:pStyle w:val="NoSpacing1"/>
        <w:rPr>
          <w:rFonts w:ascii="Arial" w:hAnsi="Arial" w:cs="Arial"/>
          <w:sz w:val="20"/>
          <w:szCs w:val="20"/>
          <w:lang w:val="en-US"/>
        </w:rPr>
      </w:pPr>
      <w:r w:rsidRPr="0079159E">
        <w:rPr>
          <w:rFonts w:ascii="Arial" w:hAnsi="Arial" w:cs="Arial"/>
          <w:b/>
          <w:i/>
          <w:sz w:val="20"/>
          <w:szCs w:val="20"/>
          <w:lang w:val="en-US"/>
        </w:rPr>
        <w:lastRenderedPageBreak/>
        <w:t xml:space="preserve">3.5 </w:t>
      </w:r>
      <w:r w:rsidR="00FA271B" w:rsidRPr="0079159E">
        <w:rPr>
          <w:rFonts w:ascii="Arial" w:hAnsi="Arial" w:cs="Arial"/>
          <w:b/>
          <w:i/>
          <w:sz w:val="20"/>
          <w:szCs w:val="20"/>
          <w:lang w:val="en-US"/>
        </w:rPr>
        <w:t>Culture and sensitivity testing (CST) (n=193)</w:t>
      </w:r>
      <w:r w:rsidR="0059155C" w:rsidRPr="0079159E">
        <w:rPr>
          <w:rFonts w:ascii="Arial" w:hAnsi="Arial" w:cs="Arial"/>
          <w:b/>
          <w:i/>
          <w:sz w:val="20"/>
          <w:szCs w:val="20"/>
          <w:lang w:val="en-US"/>
        </w:rPr>
        <w:t xml:space="preserve">, </w:t>
      </w:r>
      <w:r w:rsidR="003D43D6" w:rsidRPr="0079159E">
        <w:rPr>
          <w:rFonts w:ascii="Arial" w:hAnsi="Arial" w:cs="Arial"/>
          <w:b/>
          <w:i/>
          <w:sz w:val="20"/>
          <w:szCs w:val="20"/>
        </w:rPr>
        <w:t>compliance to national guidelines (EML/STGs)</w:t>
      </w:r>
      <w:r w:rsidR="0059155C" w:rsidRPr="0079159E">
        <w:rPr>
          <w:rFonts w:ascii="Arial" w:hAnsi="Arial" w:cs="Arial"/>
          <w:b/>
          <w:i/>
          <w:sz w:val="20"/>
          <w:szCs w:val="20"/>
        </w:rPr>
        <w:t>, and IV to oral switching</w:t>
      </w:r>
    </w:p>
    <w:p w14:paraId="586853EA" w14:textId="77777777" w:rsidR="0079159E" w:rsidRDefault="0079159E" w:rsidP="0079159E">
      <w:pPr>
        <w:pStyle w:val="NoSpacing1"/>
        <w:rPr>
          <w:rFonts w:ascii="Arial" w:hAnsi="Arial" w:cs="Arial"/>
          <w:bCs/>
          <w:sz w:val="20"/>
          <w:szCs w:val="20"/>
          <w:lang w:val="en-US"/>
        </w:rPr>
      </w:pPr>
    </w:p>
    <w:p w14:paraId="0F7CCB92" w14:textId="124767DD" w:rsidR="00FA271B" w:rsidRPr="0079159E" w:rsidRDefault="006C386E" w:rsidP="0079159E">
      <w:pPr>
        <w:pStyle w:val="NoSpacing1"/>
        <w:rPr>
          <w:rFonts w:ascii="Arial" w:hAnsi="Arial" w:cs="Arial"/>
          <w:bCs/>
          <w:sz w:val="20"/>
          <w:szCs w:val="20"/>
          <w:lang w:val="en-US"/>
        </w:rPr>
      </w:pPr>
      <w:r w:rsidRPr="0079159E">
        <w:rPr>
          <w:rFonts w:ascii="Arial" w:hAnsi="Arial" w:cs="Arial"/>
          <w:bCs/>
          <w:sz w:val="20"/>
          <w:szCs w:val="20"/>
          <w:lang w:val="en-US"/>
        </w:rPr>
        <w:t xml:space="preserve">In </w:t>
      </w:r>
      <w:r w:rsidR="00C568AB" w:rsidRPr="0079159E">
        <w:rPr>
          <w:rFonts w:ascii="Arial" w:hAnsi="Arial" w:cs="Arial"/>
          <w:bCs/>
          <w:sz w:val="20"/>
          <w:szCs w:val="20"/>
          <w:lang w:val="en-US"/>
        </w:rPr>
        <w:t>37</w:t>
      </w:r>
      <w:r w:rsidRPr="0079159E">
        <w:rPr>
          <w:rFonts w:ascii="Arial" w:hAnsi="Arial" w:cs="Arial"/>
          <w:bCs/>
          <w:sz w:val="20"/>
          <w:szCs w:val="20"/>
          <w:lang w:val="en-US"/>
        </w:rPr>
        <w:t xml:space="preserve">% of patients’ files, culture and sensitivity tests </w:t>
      </w:r>
      <w:r w:rsidR="00B144D9" w:rsidRPr="0079159E">
        <w:rPr>
          <w:rFonts w:ascii="Arial" w:hAnsi="Arial" w:cs="Arial"/>
          <w:bCs/>
          <w:sz w:val="20"/>
          <w:szCs w:val="20"/>
          <w:lang w:val="en-US"/>
        </w:rPr>
        <w:t xml:space="preserve">(CST) </w:t>
      </w:r>
      <w:r w:rsidRPr="0079159E">
        <w:rPr>
          <w:rFonts w:ascii="Arial" w:hAnsi="Arial" w:cs="Arial"/>
          <w:bCs/>
          <w:sz w:val="20"/>
          <w:szCs w:val="20"/>
          <w:lang w:val="en-US"/>
        </w:rPr>
        <w:t xml:space="preserve">results were recorded. Where </w:t>
      </w:r>
      <w:r w:rsidR="006725DE" w:rsidRPr="0079159E">
        <w:rPr>
          <w:rFonts w:ascii="Arial" w:hAnsi="Arial" w:cs="Arial"/>
          <w:bCs/>
          <w:sz w:val="20"/>
          <w:szCs w:val="20"/>
          <w:lang w:val="en-US"/>
        </w:rPr>
        <w:t xml:space="preserve">these were </w:t>
      </w:r>
      <w:r w:rsidRPr="0079159E">
        <w:rPr>
          <w:rFonts w:ascii="Arial" w:hAnsi="Arial" w:cs="Arial"/>
          <w:bCs/>
          <w:sz w:val="20"/>
          <w:szCs w:val="20"/>
          <w:lang w:val="en-US"/>
        </w:rPr>
        <w:t>recorded, t</w:t>
      </w:r>
      <w:r w:rsidR="00FA271B" w:rsidRPr="0079159E">
        <w:rPr>
          <w:rFonts w:ascii="Arial" w:hAnsi="Arial" w:cs="Arial"/>
          <w:bCs/>
          <w:sz w:val="20"/>
          <w:szCs w:val="20"/>
          <w:lang w:val="en-US"/>
        </w:rPr>
        <w:t xml:space="preserve">he majority (83%) of antimicrobial treatment was modified following CST results when </w:t>
      </w:r>
      <w:r w:rsidR="00F5523A" w:rsidRPr="0079159E">
        <w:rPr>
          <w:rFonts w:ascii="Arial" w:hAnsi="Arial" w:cs="Arial"/>
          <w:bCs/>
          <w:sz w:val="20"/>
          <w:szCs w:val="20"/>
          <w:lang w:val="en-US"/>
        </w:rPr>
        <w:t xml:space="preserve">CST was </w:t>
      </w:r>
      <w:r w:rsidR="00FA271B" w:rsidRPr="0079159E">
        <w:rPr>
          <w:rFonts w:ascii="Arial" w:hAnsi="Arial" w:cs="Arial"/>
          <w:bCs/>
          <w:sz w:val="20"/>
          <w:szCs w:val="20"/>
          <w:lang w:val="en-US"/>
        </w:rPr>
        <w:t xml:space="preserve">requested and </w:t>
      </w:r>
      <w:r w:rsidRPr="0079159E">
        <w:rPr>
          <w:rFonts w:ascii="Arial" w:hAnsi="Arial" w:cs="Arial"/>
          <w:bCs/>
          <w:sz w:val="20"/>
          <w:szCs w:val="20"/>
          <w:lang w:val="en-US"/>
        </w:rPr>
        <w:t xml:space="preserve">in </w:t>
      </w:r>
      <w:r w:rsidR="00FA271B" w:rsidRPr="0079159E">
        <w:rPr>
          <w:rFonts w:ascii="Arial" w:hAnsi="Arial" w:cs="Arial"/>
          <w:bCs/>
          <w:sz w:val="20"/>
          <w:szCs w:val="20"/>
          <w:lang w:val="en-US"/>
        </w:rPr>
        <w:t xml:space="preserve">12 </w:t>
      </w:r>
      <w:r w:rsidRPr="0079159E">
        <w:rPr>
          <w:rFonts w:ascii="Arial" w:hAnsi="Arial" w:cs="Arial"/>
          <w:bCs/>
          <w:sz w:val="20"/>
          <w:szCs w:val="20"/>
          <w:lang w:val="en-US"/>
        </w:rPr>
        <w:t xml:space="preserve">situation </w:t>
      </w:r>
      <w:r w:rsidR="00FA271B" w:rsidRPr="0079159E">
        <w:rPr>
          <w:rFonts w:ascii="Arial" w:hAnsi="Arial" w:cs="Arial"/>
          <w:bCs/>
          <w:sz w:val="20"/>
          <w:szCs w:val="20"/>
          <w:lang w:val="en-US"/>
        </w:rPr>
        <w:t xml:space="preserve">(8.8%) </w:t>
      </w:r>
      <w:r w:rsidRPr="0079159E">
        <w:rPr>
          <w:rFonts w:ascii="Arial" w:hAnsi="Arial" w:cs="Arial"/>
          <w:bCs/>
          <w:sz w:val="20"/>
          <w:szCs w:val="20"/>
          <w:lang w:val="en-US"/>
        </w:rPr>
        <w:t xml:space="preserve">antimicrobial treatment </w:t>
      </w:r>
      <w:r w:rsidR="00FA271B" w:rsidRPr="0079159E">
        <w:rPr>
          <w:rFonts w:ascii="Arial" w:hAnsi="Arial" w:cs="Arial"/>
          <w:bCs/>
          <w:sz w:val="20"/>
          <w:szCs w:val="20"/>
          <w:lang w:val="en-US"/>
        </w:rPr>
        <w:t>was not modified as per CST results.</w:t>
      </w:r>
    </w:p>
    <w:p w14:paraId="419A5ED4" w14:textId="77777777" w:rsidR="00FA271B" w:rsidRPr="0079159E" w:rsidRDefault="00FA271B" w:rsidP="0079159E">
      <w:pPr>
        <w:pStyle w:val="NoSpacing1"/>
        <w:rPr>
          <w:rFonts w:ascii="Arial" w:hAnsi="Arial" w:cs="Arial"/>
          <w:sz w:val="20"/>
          <w:szCs w:val="20"/>
        </w:rPr>
      </w:pPr>
    </w:p>
    <w:p w14:paraId="683531C2" w14:textId="56BB1FE1" w:rsidR="00244CFE" w:rsidRPr="0079159E" w:rsidRDefault="00FA271B" w:rsidP="0079159E">
      <w:pPr>
        <w:pStyle w:val="NoSpacing1"/>
        <w:rPr>
          <w:rFonts w:ascii="Arial" w:hAnsi="Arial" w:cs="Arial"/>
          <w:sz w:val="20"/>
          <w:szCs w:val="20"/>
          <w:lang w:val="en-US"/>
        </w:rPr>
      </w:pPr>
      <w:r w:rsidRPr="0079159E">
        <w:rPr>
          <w:rFonts w:ascii="Arial" w:hAnsi="Arial" w:cs="Arial"/>
          <w:sz w:val="20"/>
          <w:szCs w:val="20"/>
        </w:rPr>
        <w:t xml:space="preserve">Most of the antimicrobial agents prescribed (98%) were from the national EML/STG. </w:t>
      </w:r>
      <w:r w:rsidR="00C568AB" w:rsidRPr="0079159E">
        <w:rPr>
          <w:rFonts w:ascii="Arial" w:hAnsi="Arial" w:cs="Arial"/>
          <w:sz w:val="20"/>
          <w:szCs w:val="20"/>
        </w:rPr>
        <w:t xml:space="preserve"> Nearly half </w:t>
      </w:r>
      <w:r w:rsidR="00C568AB" w:rsidRPr="0079159E">
        <w:rPr>
          <w:rFonts w:ascii="Arial" w:hAnsi="Arial" w:cs="Arial"/>
          <w:sz w:val="20"/>
          <w:szCs w:val="20"/>
          <w:lang w:val="en-US"/>
        </w:rPr>
        <w:t>(</w:t>
      </w:r>
      <w:r w:rsidR="00E8266E" w:rsidRPr="0079159E">
        <w:rPr>
          <w:rFonts w:ascii="Arial" w:hAnsi="Arial" w:cs="Arial"/>
          <w:sz w:val="20"/>
          <w:szCs w:val="20"/>
          <w:lang w:val="en-US"/>
        </w:rPr>
        <w:t>46%</w:t>
      </w:r>
      <w:r w:rsidR="00C568AB" w:rsidRPr="0079159E">
        <w:rPr>
          <w:rFonts w:ascii="Arial" w:hAnsi="Arial" w:cs="Arial"/>
          <w:sz w:val="20"/>
          <w:szCs w:val="20"/>
          <w:lang w:val="en-US"/>
        </w:rPr>
        <w:t>)</w:t>
      </w:r>
      <w:r w:rsidR="00E8266E" w:rsidRPr="0079159E">
        <w:rPr>
          <w:rFonts w:ascii="Arial" w:hAnsi="Arial" w:cs="Arial"/>
          <w:sz w:val="20"/>
          <w:szCs w:val="20"/>
          <w:lang w:val="en-US"/>
        </w:rPr>
        <w:t xml:space="preserve"> of the patients were on IV medication</w:t>
      </w:r>
      <w:r w:rsidR="009B3E57" w:rsidRPr="0079159E">
        <w:rPr>
          <w:rFonts w:ascii="Arial" w:hAnsi="Arial" w:cs="Arial"/>
          <w:sz w:val="20"/>
          <w:szCs w:val="20"/>
          <w:lang w:val="en-US"/>
        </w:rPr>
        <w:t xml:space="preserve">. However, </w:t>
      </w:r>
      <w:r w:rsidR="006766F0" w:rsidRPr="0079159E">
        <w:rPr>
          <w:rFonts w:ascii="Arial" w:hAnsi="Arial" w:cs="Arial"/>
          <w:sz w:val="20"/>
          <w:szCs w:val="20"/>
          <w:lang w:val="en-US"/>
        </w:rPr>
        <w:t>no patient w</w:t>
      </w:r>
      <w:r w:rsidR="003D43D6" w:rsidRPr="0079159E">
        <w:rPr>
          <w:rFonts w:ascii="Arial" w:hAnsi="Arial" w:cs="Arial"/>
          <w:sz w:val="20"/>
          <w:szCs w:val="20"/>
          <w:lang w:val="en-US"/>
        </w:rPr>
        <w:t>hen assessed had been</w:t>
      </w:r>
      <w:r w:rsidR="006766F0" w:rsidRPr="0079159E">
        <w:rPr>
          <w:rFonts w:ascii="Arial" w:hAnsi="Arial" w:cs="Arial"/>
          <w:sz w:val="20"/>
          <w:szCs w:val="20"/>
          <w:lang w:val="en-US"/>
        </w:rPr>
        <w:t xml:space="preserve"> </w:t>
      </w:r>
      <w:r w:rsidR="00E8266E" w:rsidRPr="0079159E">
        <w:rPr>
          <w:rFonts w:ascii="Arial" w:hAnsi="Arial" w:cs="Arial"/>
          <w:sz w:val="20"/>
          <w:szCs w:val="20"/>
          <w:lang w:val="en-US"/>
        </w:rPr>
        <w:t>switched from IV to oral even though</w:t>
      </w:r>
      <w:r w:rsidR="005D785F" w:rsidRPr="0079159E">
        <w:rPr>
          <w:rFonts w:ascii="Arial" w:hAnsi="Arial" w:cs="Arial"/>
          <w:sz w:val="20"/>
          <w:szCs w:val="20"/>
          <w:lang w:val="en-US"/>
        </w:rPr>
        <w:t xml:space="preserve"> some</w:t>
      </w:r>
      <w:r w:rsidR="00E8266E" w:rsidRPr="0079159E">
        <w:rPr>
          <w:rFonts w:ascii="Arial" w:hAnsi="Arial" w:cs="Arial"/>
          <w:sz w:val="20"/>
          <w:szCs w:val="20"/>
          <w:lang w:val="en-US"/>
        </w:rPr>
        <w:t xml:space="preserve"> patients </w:t>
      </w:r>
      <w:r w:rsidR="009B3E57" w:rsidRPr="0079159E">
        <w:rPr>
          <w:rFonts w:ascii="Arial" w:hAnsi="Arial" w:cs="Arial"/>
          <w:sz w:val="20"/>
          <w:szCs w:val="20"/>
          <w:lang w:val="en-US"/>
        </w:rPr>
        <w:t xml:space="preserve">appeared to be suitable candidates based on their notes, e.g. </w:t>
      </w:r>
      <w:r w:rsidR="005B5614" w:rsidRPr="0079159E">
        <w:rPr>
          <w:rFonts w:ascii="Arial" w:hAnsi="Arial" w:cs="Arial"/>
          <w:sz w:val="20"/>
          <w:szCs w:val="20"/>
          <w:lang w:val="en-US"/>
        </w:rPr>
        <w:t xml:space="preserve">they </w:t>
      </w:r>
      <w:r w:rsidR="009B3E57" w:rsidRPr="0079159E">
        <w:rPr>
          <w:rFonts w:ascii="Arial" w:hAnsi="Arial" w:cs="Arial"/>
          <w:sz w:val="20"/>
          <w:szCs w:val="20"/>
          <w:lang w:val="en-US"/>
        </w:rPr>
        <w:t xml:space="preserve">had </w:t>
      </w:r>
      <w:r w:rsidR="005B5614" w:rsidRPr="0079159E">
        <w:rPr>
          <w:rFonts w:ascii="Arial" w:hAnsi="Arial" w:cs="Arial"/>
          <w:sz w:val="20"/>
          <w:szCs w:val="20"/>
          <w:lang w:val="en-US"/>
        </w:rPr>
        <w:t xml:space="preserve">a </w:t>
      </w:r>
      <w:r w:rsidR="009B3E57" w:rsidRPr="0079159E">
        <w:rPr>
          <w:rFonts w:ascii="Arial" w:hAnsi="Arial" w:cs="Arial"/>
          <w:sz w:val="20"/>
          <w:szCs w:val="20"/>
          <w:lang w:val="en-US"/>
        </w:rPr>
        <w:t xml:space="preserve">stable GI </w:t>
      </w:r>
      <w:r w:rsidR="005B5614" w:rsidRPr="0079159E">
        <w:rPr>
          <w:rFonts w:ascii="Arial" w:hAnsi="Arial" w:cs="Arial"/>
          <w:sz w:val="20"/>
          <w:szCs w:val="20"/>
          <w:lang w:val="en-US"/>
        </w:rPr>
        <w:t>tract</w:t>
      </w:r>
      <w:r w:rsidR="005D785F" w:rsidRPr="0079159E">
        <w:rPr>
          <w:rFonts w:ascii="Arial" w:hAnsi="Arial" w:cs="Arial"/>
          <w:sz w:val="20"/>
          <w:szCs w:val="20"/>
          <w:lang w:val="en-US"/>
        </w:rPr>
        <w:t xml:space="preserve"> and other antibiotics had a good oral bioavailability, which </w:t>
      </w:r>
      <w:r w:rsidR="003D43D6" w:rsidRPr="0079159E">
        <w:rPr>
          <w:rFonts w:ascii="Arial" w:hAnsi="Arial" w:cs="Arial"/>
          <w:sz w:val="20"/>
          <w:szCs w:val="20"/>
          <w:lang w:val="en-US"/>
        </w:rPr>
        <w:t>c</w:t>
      </w:r>
      <w:r w:rsidR="005D785F" w:rsidRPr="0079159E">
        <w:rPr>
          <w:rFonts w:ascii="Arial" w:hAnsi="Arial" w:cs="Arial"/>
          <w:sz w:val="20"/>
          <w:szCs w:val="20"/>
          <w:lang w:val="en-US"/>
        </w:rPr>
        <w:t>ould have been a better choice over IV medicatio</w:t>
      </w:r>
      <w:r w:rsidR="007B2148" w:rsidRPr="0079159E">
        <w:rPr>
          <w:rFonts w:ascii="Arial" w:hAnsi="Arial" w:cs="Arial"/>
          <w:sz w:val="20"/>
          <w:szCs w:val="20"/>
          <w:lang w:val="en-US"/>
        </w:rPr>
        <w:t>n</w:t>
      </w:r>
      <w:r w:rsidR="003D43D6" w:rsidRPr="0079159E">
        <w:rPr>
          <w:rFonts w:ascii="Arial" w:hAnsi="Arial" w:cs="Arial"/>
          <w:sz w:val="20"/>
          <w:szCs w:val="20"/>
          <w:lang w:val="en-US"/>
        </w:rPr>
        <w:t>. However, this was not investigated further as this was not the principal aim of this PPS study.</w:t>
      </w:r>
    </w:p>
    <w:p w14:paraId="417E69EA" w14:textId="77777777" w:rsidR="0079159E" w:rsidRPr="0079159E" w:rsidRDefault="0079159E" w:rsidP="0079159E">
      <w:pPr>
        <w:pStyle w:val="NoSpacing1"/>
        <w:rPr>
          <w:rFonts w:ascii="Arial" w:hAnsi="Arial" w:cs="Arial"/>
          <w:sz w:val="20"/>
          <w:szCs w:val="20"/>
        </w:rPr>
      </w:pPr>
    </w:p>
    <w:p w14:paraId="424BA22F" w14:textId="7019C17A" w:rsidR="00FA271B" w:rsidRPr="0079159E" w:rsidRDefault="0079159E" w:rsidP="0079159E">
      <w:pPr>
        <w:pStyle w:val="NoSpacing1"/>
        <w:rPr>
          <w:rFonts w:ascii="Arial" w:hAnsi="Arial" w:cs="Arial"/>
          <w:b/>
          <w:sz w:val="20"/>
          <w:szCs w:val="20"/>
        </w:rPr>
      </w:pPr>
      <w:r>
        <w:rPr>
          <w:rFonts w:ascii="Arial" w:hAnsi="Arial" w:cs="Arial"/>
          <w:b/>
          <w:sz w:val="20"/>
          <w:szCs w:val="20"/>
        </w:rPr>
        <w:t xml:space="preserve">4. </w:t>
      </w:r>
      <w:r w:rsidR="00FA271B" w:rsidRPr="0079159E">
        <w:rPr>
          <w:rFonts w:ascii="Arial" w:hAnsi="Arial" w:cs="Arial"/>
          <w:b/>
          <w:sz w:val="20"/>
          <w:szCs w:val="20"/>
        </w:rPr>
        <w:t>Discussion</w:t>
      </w:r>
    </w:p>
    <w:p w14:paraId="7E5373CF" w14:textId="77777777" w:rsidR="0079159E" w:rsidRDefault="0079159E" w:rsidP="0079159E">
      <w:pPr>
        <w:pStyle w:val="NoSpacing1"/>
        <w:rPr>
          <w:rFonts w:ascii="Arial" w:hAnsi="Arial" w:cs="Arial"/>
          <w:sz w:val="20"/>
          <w:szCs w:val="20"/>
        </w:rPr>
      </w:pPr>
    </w:p>
    <w:p w14:paraId="79C15760" w14:textId="739D8DBD" w:rsidR="00792878" w:rsidRPr="0079159E" w:rsidRDefault="00792878" w:rsidP="0079159E">
      <w:pPr>
        <w:pStyle w:val="NoSpacing1"/>
        <w:rPr>
          <w:rFonts w:ascii="Arial" w:hAnsi="Arial" w:cs="Arial"/>
          <w:sz w:val="20"/>
          <w:szCs w:val="20"/>
        </w:rPr>
      </w:pPr>
      <w:r w:rsidRPr="0079159E">
        <w:rPr>
          <w:rFonts w:ascii="Arial" w:hAnsi="Arial" w:cs="Arial"/>
          <w:sz w:val="20"/>
          <w:szCs w:val="20"/>
        </w:rPr>
        <w:t>The findings show that it is feasible to collect data on current antimicrobial use within public hospitals in South Africa using a PPS design, build</w:t>
      </w:r>
      <w:r w:rsidR="00893F9C" w:rsidRPr="0079159E">
        <w:rPr>
          <w:rFonts w:ascii="Arial" w:hAnsi="Arial" w:cs="Arial"/>
          <w:sz w:val="20"/>
          <w:szCs w:val="20"/>
        </w:rPr>
        <w:t>ing</w:t>
      </w:r>
      <w:r w:rsidRPr="0079159E">
        <w:rPr>
          <w:rFonts w:ascii="Arial" w:hAnsi="Arial" w:cs="Arial"/>
          <w:sz w:val="20"/>
          <w:szCs w:val="20"/>
        </w:rPr>
        <w:t xml:space="preserve"> on the previous study in South Africa</w:t>
      </w:r>
      <w:r w:rsidR="00893F9C" w:rsidRPr="0079159E">
        <w:rPr>
          <w:rFonts w:ascii="Arial" w:hAnsi="Arial" w:cs="Arial"/>
          <w:sz w:val="20"/>
          <w:szCs w:val="20"/>
        </w:rPr>
        <w:t xml:space="preserve">, </w:t>
      </w:r>
      <w:r w:rsidRPr="0079159E">
        <w:rPr>
          <w:rFonts w:ascii="Arial" w:hAnsi="Arial" w:cs="Arial"/>
          <w:sz w:val="20"/>
          <w:szCs w:val="20"/>
        </w:rPr>
        <w:t>the Global PPS a</w:t>
      </w:r>
      <w:r w:rsidR="00893F9C" w:rsidRPr="0079159E">
        <w:rPr>
          <w:rFonts w:ascii="Arial" w:hAnsi="Arial" w:cs="Arial"/>
          <w:sz w:val="20"/>
          <w:szCs w:val="20"/>
        </w:rPr>
        <w:t>s well as</w:t>
      </w:r>
      <w:r w:rsidRPr="0079159E">
        <w:rPr>
          <w:rFonts w:ascii="Arial" w:hAnsi="Arial" w:cs="Arial"/>
          <w:sz w:val="20"/>
          <w:szCs w:val="20"/>
        </w:rPr>
        <w:t xml:space="preserve"> studies</w:t>
      </w:r>
      <w:r w:rsidR="00893F9C" w:rsidRPr="0079159E">
        <w:rPr>
          <w:rFonts w:ascii="Arial" w:hAnsi="Arial" w:cs="Arial"/>
          <w:sz w:val="20"/>
          <w:szCs w:val="20"/>
        </w:rPr>
        <w:t xml:space="preserve"> </w:t>
      </w:r>
      <w:r w:rsidRPr="0079159E">
        <w:rPr>
          <w:rFonts w:ascii="Arial" w:hAnsi="Arial" w:cs="Arial"/>
          <w:sz w:val="20"/>
          <w:szCs w:val="20"/>
        </w:rPr>
        <w:t>conducted in Botswana, Kenya and Zimbabwe</w:t>
      </w:r>
      <w:r w:rsidR="004B6A92" w:rsidRPr="0079159E">
        <w:rPr>
          <w:rFonts w:ascii="Arial" w:hAnsi="Arial" w:cs="Arial"/>
          <w:sz w:val="20"/>
          <w:szCs w:val="20"/>
        </w:rPr>
        <w:t xml:space="preserve"> [20,</w:t>
      </w:r>
      <w:r w:rsidR="00AD57E9" w:rsidRPr="0079159E">
        <w:rPr>
          <w:rFonts w:ascii="Arial" w:hAnsi="Arial" w:cs="Arial"/>
          <w:sz w:val="20"/>
          <w:szCs w:val="20"/>
        </w:rPr>
        <w:t xml:space="preserve"> 21, </w:t>
      </w:r>
      <w:r w:rsidR="004B6A92" w:rsidRPr="0079159E">
        <w:rPr>
          <w:rFonts w:ascii="Arial" w:hAnsi="Arial" w:cs="Arial"/>
          <w:sz w:val="20"/>
          <w:szCs w:val="20"/>
        </w:rPr>
        <w:t>25,26,5</w:t>
      </w:r>
      <w:r w:rsidR="006725DE" w:rsidRPr="0079159E">
        <w:rPr>
          <w:rFonts w:ascii="Arial" w:hAnsi="Arial" w:cs="Arial"/>
          <w:sz w:val="20"/>
          <w:szCs w:val="20"/>
        </w:rPr>
        <w:t>2</w:t>
      </w:r>
      <w:r w:rsidR="004B6A92" w:rsidRPr="0079159E">
        <w:rPr>
          <w:rFonts w:ascii="Arial" w:hAnsi="Arial" w:cs="Arial"/>
          <w:sz w:val="20"/>
          <w:szCs w:val="20"/>
        </w:rPr>
        <w:t>,5</w:t>
      </w:r>
      <w:r w:rsidR="006725DE" w:rsidRPr="0079159E">
        <w:rPr>
          <w:rFonts w:ascii="Arial" w:hAnsi="Arial" w:cs="Arial"/>
          <w:sz w:val="20"/>
          <w:szCs w:val="20"/>
        </w:rPr>
        <w:t>3</w:t>
      </w:r>
      <w:r w:rsidR="004B6A92" w:rsidRPr="0079159E">
        <w:rPr>
          <w:rFonts w:ascii="Arial" w:hAnsi="Arial" w:cs="Arial"/>
          <w:sz w:val="20"/>
          <w:szCs w:val="20"/>
        </w:rPr>
        <w:t>]</w:t>
      </w:r>
      <w:r w:rsidRPr="0079159E">
        <w:rPr>
          <w:rFonts w:ascii="Arial" w:hAnsi="Arial" w:cs="Arial"/>
          <w:sz w:val="20"/>
          <w:szCs w:val="20"/>
        </w:rPr>
        <w:t xml:space="preserve">. A concern </w:t>
      </w:r>
      <w:r w:rsidR="004B6A92" w:rsidRPr="0079159E">
        <w:rPr>
          <w:rFonts w:ascii="Arial" w:hAnsi="Arial" w:cs="Arial"/>
          <w:sz w:val="20"/>
          <w:szCs w:val="20"/>
        </w:rPr>
        <w:t xml:space="preserve">though </w:t>
      </w:r>
      <w:r w:rsidRPr="0079159E">
        <w:rPr>
          <w:rFonts w:ascii="Arial" w:hAnsi="Arial" w:cs="Arial"/>
          <w:sz w:val="20"/>
          <w:szCs w:val="20"/>
        </w:rPr>
        <w:t xml:space="preserve">was the length of time taken to complete the forms. This included the need to search for information in the files, which </w:t>
      </w:r>
      <w:r w:rsidR="001D78E7" w:rsidRPr="0079159E">
        <w:rPr>
          <w:rFonts w:ascii="Arial" w:hAnsi="Arial" w:cs="Arial"/>
          <w:sz w:val="20"/>
          <w:szCs w:val="20"/>
        </w:rPr>
        <w:t>was not always there</w:t>
      </w:r>
      <w:r w:rsidRPr="0079159E">
        <w:rPr>
          <w:rFonts w:ascii="Arial" w:hAnsi="Arial" w:cs="Arial"/>
          <w:sz w:val="20"/>
          <w:szCs w:val="20"/>
        </w:rPr>
        <w:t xml:space="preserve">. This is a particular issue in resource limited situations in terms of </w:t>
      </w:r>
      <w:r w:rsidR="00893F9C" w:rsidRPr="0079159E">
        <w:rPr>
          <w:rFonts w:ascii="Arial" w:hAnsi="Arial" w:cs="Arial"/>
          <w:sz w:val="20"/>
          <w:szCs w:val="20"/>
        </w:rPr>
        <w:t xml:space="preserve">both </w:t>
      </w:r>
      <w:r w:rsidRPr="0079159E">
        <w:rPr>
          <w:rFonts w:ascii="Arial" w:hAnsi="Arial" w:cs="Arial"/>
          <w:sz w:val="20"/>
          <w:szCs w:val="20"/>
        </w:rPr>
        <w:t xml:space="preserve">the costs to undertake the survey if multiple researchers are needed as well as available time for pharmacists and others to undertake the surveys in addition to their normal workloads. We have subsequently developed an APP to address </w:t>
      </w:r>
      <w:r w:rsidR="00893F9C" w:rsidRPr="0079159E">
        <w:rPr>
          <w:rFonts w:ascii="Arial" w:hAnsi="Arial" w:cs="Arial"/>
          <w:sz w:val="20"/>
          <w:szCs w:val="20"/>
        </w:rPr>
        <w:t xml:space="preserve">these </w:t>
      </w:r>
      <w:r w:rsidRPr="0079159E">
        <w:rPr>
          <w:rFonts w:ascii="Arial" w:hAnsi="Arial" w:cs="Arial"/>
          <w:sz w:val="20"/>
          <w:szCs w:val="20"/>
        </w:rPr>
        <w:t xml:space="preserve">concerns, </w:t>
      </w:r>
      <w:r w:rsidR="001D78E7" w:rsidRPr="0079159E">
        <w:rPr>
          <w:rFonts w:ascii="Arial" w:hAnsi="Arial" w:cs="Arial"/>
          <w:sz w:val="20"/>
          <w:szCs w:val="20"/>
        </w:rPr>
        <w:t xml:space="preserve">with a pilot study suggesting that using the APP considerably </w:t>
      </w:r>
      <w:r w:rsidR="00893F9C" w:rsidRPr="0079159E">
        <w:rPr>
          <w:rFonts w:ascii="Arial" w:hAnsi="Arial" w:cs="Arial"/>
          <w:sz w:val="20"/>
          <w:szCs w:val="20"/>
        </w:rPr>
        <w:t>shortens survey</w:t>
      </w:r>
      <w:r w:rsidR="001D78E7" w:rsidRPr="0079159E">
        <w:rPr>
          <w:rFonts w:ascii="Arial" w:hAnsi="Arial" w:cs="Arial"/>
          <w:sz w:val="20"/>
          <w:szCs w:val="20"/>
        </w:rPr>
        <w:t xml:space="preserve"> time </w:t>
      </w:r>
      <w:r w:rsidR="00D56F98" w:rsidRPr="0079159E">
        <w:rPr>
          <w:rFonts w:ascii="Arial" w:hAnsi="Arial" w:cs="Arial"/>
          <w:sz w:val="20"/>
          <w:szCs w:val="20"/>
        </w:rPr>
        <w:t>[5</w:t>
      </w:r>
      <w:r w:rsidR="006725DE" w:rsidRPr="0079159E">
        <w:rPr>
          <w:rFonts w:ascii="Arial" w:hAnsi="Arial" w:cs="Arial"/>
          <w:sz w:val="20"/>
          <w:szCs w:val="20"/>
        </w:rPr>
        <w:t>4</w:t>
      </w:r>
      <w:r w:rsidR="00D56F98" w:rsidRPr="0079159E">
        <w:rPr>
          <w:rFonts w:ascii="Arial" w:hAnsi="Arial" w:cs="Arial"/>
          <w:sz w:val="20"/>
          <w:szCs w:val="20"/>
        </w:rPr>
        <w:t>]</w:t>
      </w:r>
      <w:r w:rsidR="001D78E7" w:rsidRPr="0079159E">
        <w:rPr>
          <w:rFonts w:ascii="Arial" w:hAnsi="Arial" w:cs="Arial"/>
          <w:sz w:val="20"/>
          <w:szCs w:val="20"/>
        </w:rPr>
        <w:t>. W</w:t>
      </w:r>
      <w:r w:rsidRPr="0079159E">
        <w:rPr>
          <w:rFonts w:ascii="Arial" w:hAnsi="Arial" w:cs="Arial"/>
          <w:sz w:val="20"/>
          <w:szCs w:val="20"/>
        </w:rPr>
        <w:t xml:space="preserve">e are currently testing this </w:t>
      </w:r>
      <w:r w:rsidR="00893F9C" w:rsidRPr="0079159E">
        <w:rPr>
          <w:rFonts w:ascii="Arial" w:hAnsi="Arial" w:cs="Arial"/>
          <w:sz w:val="20"/>
          <w:szCs w:val="20"/>
        </w:rPr>
        <w:t xml:space="preserve">APP </w:t>
      </w:r>
      <w:r w:rsidRPr="0079159E">
        <w:rPr>
          <w:rFonts w:ascii="Arial" w:hAnsi="Arial" w:cs="Arial"/>
          <w:sz w:val="20"/>
          <w:szCs w:val="20"/>
        </w:rPr>
        <w:t xml:space="preserve">across </w:t>
      </w:r>
      <w:r w:rsidR="000043CC" w:rsidRPr="0079159E">
        <w:rPr>
          <w:rFonts w:ascii="Arial" w:hAnsi="Arial" w:cs="Arial"/>
          <w:sz w:val="20"/>
          <w:szCs w:val="20"/>
        </w:rPr>
        <w:t xml:space="preserve">44 centers in </w:t>
      </w:r>
      <w:r w:rsidRPr="0079159E">
        <w:rPr>
          <w:rFonts w:ascii="Arial" w:hAnsi="Arial" w:cs="Arial"/>
          <w:sz w:val="20"/>
          <w:szCs w:val="20"/>
        </w:rPr>
        <w:t>South Africa</w:t>
      </w:r>
      <w:r w:rsidR="001D78E7" w:rsidRPr="0079159E">
        <w:rPr>
          <w:rFonts w:ascii="Arial" w:hAnsi="Arial" w:cs="Arial"/>
          <w:sz w:val="20"/>
          <w:szCs w:val="20"/>
        </w:rPr>
        <w:t xml:space="preserve">, </w:t>
      </w:r>
      <w:r w:rsidR="00893F9C" w:rsidRPr="0079159E">
        <w:rPr>
          <w:rFonts w:ascii="Arial" w:hAnsi="Arial" w:cs="Arial"/>
          <w:sz w:val="20"/>
          <w:szCs w:val="20"/>
        </w:rPr>
        <w:t>and will be reporting the findings in due course</w:t>
      </w:r>
      <w:r w:rsidRPr="0079159E">
        <w:rPr>
          <w:rFonts w:ascii="Arial" w:hAnsi="Arial" w:cs="Arial"/>
          <w:sz w:val="20"/>
          <w:szCs w:val="20"/>
        </w:rPr>
        <w:t>.</w:t>
      </w:r>
    </w:p>
    <w:p w14:paraId="6ACEADB8" w14:textId="77777777" w:rsidR="00792878" w:rsidRPr="0079159E" w:rsidRDefault="00792878" w:rsidP="0079159E">
      <w:pPr>
        <w:pStyle w:val="NoSpacing1"/>
        <w:rPr>
          <w:rFonts w:ascii="Arial" w:hAnsi="Arial" w:cs="Arial"/>
          <w:sz w:val="20"/>
          <w:szCs w:val="20"/>
        </w:rPr>
      </w:pPr>
    </w:p>
    <w:p w14:paraId="6A99AD14" w14:textId="368E5E7B" w:rsidR="00FA271B" w:rsidRPr="0079159E" w:rsidRDefault="00FA271B" w:rsidP="0079159E">
      <w:pPr>
        <w:pStyle w:val="NoSpacing1"/>
        <w:rPr>
          <w:rFonts w:ascii="Arial" w:hAnsi="Arial" w:cs="Arial"/>
          <w:sz w:val="20"/>
          <w:szCs w:val="20"/>
        </w:rPr>
      </w:pPr>
      <w:r w:rsidRPr="0079159E">
        <w:rPr>
          <w:rFonts w:ascii="Arial" w:hAnsi="Arial" w:cs="Arial"/>
          <w:sz w:val="20"/>
          <w:szCs w:val="20"/>
        </w:rPr>
        <w:t xml:space="preserve">Antimicrobial utilization </w:t>
      </w:r>
      <w:r w:rsidR="009926AF" w:rsidRPr="0079159E">
        <w:rPr>
          <w:rFonts w:ascii="Arial" w:hAnsi="Arial" w:cs="Arial"/>
          <w:sz w:val="20"/>
          <w:szCs w:val="20"/>
        </w:rPr>
        <w:t>was seen among</w:t>
      </w:r>
      <w:r w:rsidRPr="0079159E">
        <w:rPr>
          <w:rFonts w:ascii="Arial" w:hAnsi="Arial" w:cs="Arial"/>
          <w:sz w:val="20"/>
          <w:szCs w:val="20"/>
        </w:rPr>
        <w:t xml:space="preserve"> 38.5% of </w:t>
      </w:r>
      <w:r w:rsidR="00893F9C" w:rsidRPr="0079159E">
        <w:rPr>
          <w:rFonts w:ascii="Arial" w:hAnsi="Arial" w:cs="Arial"/>
          <w:sz w:val="20"/>
          <w:szCs w:val="20"/>
        </w:rPr>
        <w:t xml:space="preserve">the </w:t>
      </w:r>
      <w:r w:rsidRPr="0079159E">
        <w:rPr>
          <w:rFonts w:ascii="Arial" w:hAnsi="Arial" w:cs="Arial"/>
          <w:sz w:val="20"/>
          <w:szCs w:val="20"/>
        </w:rPr>
        <w:t xml:space="preserve">patients </w:t>
      </w:r>
      <w:r w:rsidR="00624AA9" w:rsidRPr="0079159E">
        <w:rPr>
          <w:rFonts w:ascii="Arial" w:hAnsi="Arial" w:cs="Arial"/>
          <w:sz w:val="20"/>
          <w:szCs w:val="20"/>
        </w:rPr>
        <w:t>surveyed</w:t>
      </w:r>
      <w:r w:rsidRPr="0079159E">
        <w:rPr>
          <w:rFonts w:ascii="Arial" w:hAnsi="Arial" w:cs="Arial"/>
          <w:sz w:val="20"/>
          <w:szCs w:val="20"/>
        </w:rPr>
        <w:t xml:space="preserve"> (Table 2). This</w:t>
      </w:r>
      <w:r w:rsidR="009926AF" w:rsidRPr="0079159E">
        <w:rPr>
          <w:rFonts w:ascii="Arial" w:hAnsi="Arial" w:cs="Arial"/>
          <w:sz w:val="20"/>
          <w:szCs w:val="20"/>
        </w:rPr>
        <w:t xml:space="preserve"> is similar to the previous PPS study in South Africa (31%) [44] and the consolidated findings from the Global PPS (34.4%)</w:t>
      </w:r>
      <w:r w:rsidR="00AD57E9" w:rsidRPr="0079159E">
        <w:rPr>
          <w:rFonts w:ascii="Arial" w:hAnsi="Arial" w:cs="Arial"/>
          <w:sz w:val="20"/>
          <w:szCs w:val="20"/>
        </w:rPr>
        <w:t xml:space="preserve"> [21]</w:t>
      </w:r>
      <w:r w:rsidR="0036025D" w:rsidRPr="0079159E">
        <w:rPr>
          <w:rFonts w:ascii="Arial" w:hAnsi="Arial" w:cs="Arial"/>
          <w:sz w:val="20"/>
          <w:szCs w:val="20"/>
        </w:rPr>
        <w:t>. H</w:t>
      </w:r>
      <w:r w:rsidR="009926AF" w:rsidRPr="0079159E">
        <w:rPr>
          <w:rFonts w:ascii="Arial" w:hAnsi="Arial" w:cs="Arial"/>
          <w:sz w:val="20"/>
          <w:szCs w:val="20"/>
        </w:rPr>
        <w:t>owever</w:t>
      </w:r>
      <w:r w:rsidR="0036025D" w:rsidRPr="0079159E">
        <w:rPr>
          <w:rFonts w:ascii="Arial" w:hAnsi="Arial" w:cs="Arial"/>
          <w:sz w:val="20"/>
          <w:szCs w:val="20"/>
        </w:rPr>
        <w:t>,</w:t>
      </w:r>
      <w:r w:rsidR="009926AF" w:rsidRPr="0079159E">
        <w:rPr>
          <w:rFonts w:ascii="Arial" w:hAnsi="Arial" w:cs="Arial"/>
          <w:sz w:val="20"/>
          <w:szCs w:val="20"/>
        </w:rPr>
        <w:t xml:space="preserve"> appreciably lower that seen recently in Botswana (70</w:t>
      </w:r>
      <w:r w:rsidR="0036025D" w:rsidRPr="0079159E">
        <w:rPr>
          <w:rFonts w:ascii="Arial" w:hAnsi="Arial" w:cs="Arial"/>
          <w:sz w:val="20"/>
          <w:szCs w:val="20"/>
        </w:rPr>
        <w:t xml:space="preserve">.6% of admissions were for infectious diseases), </w:t>
      </w:r>
      <w:r w:rsidR="009926AF" w:rsidRPr="0079159E">
        <w:rPr>
          <w:rFonts w:ascii="Arial" w:hAnsi="Arial" w:cs="Arial"/>
          <w:sz w:val="20"/>
          <w:szCs w:val="20"/>
        </w:rPr>
        <w:t>Kenya (54.7% to 67.7%)</w:t>
      </w:r>
      <w:r w:rsidRPr="0079159E">
        <w:rPr>
          <w:rFonts w:ascii="Arial" w:hAnsi="Arial" w:cs="Arial"/>
          <w:sz w:val="20"/>
          <w:szCs w:val="20"/>
        </w:rPr>
        <w:t xml:space="preserve"> </w:t>
      </w:r>
      <w:r w:rsidR="0036025D" w:rsidRPr="0079159E">
        <w:rPr>
          <w:rFonts w:ascii="Arial" w:hAnsi="Arial" w:cs="Arial"/>
          <w:sz w:val="20"/>
          <w:szCs w:val="20"/>
        </w:rPr>
        <w:t xml:space="preserve">and 50% among the African countries </w:t>
      </w:r>
      <w:r w:rsidR="00893F9C" w:rsidRPr="0079159E">
        <w:rPr>
          <w:rFonts w:ascii="Arial" w:hAnsi="Arial" w:cs="Arial"/>
          <w:sz w:val="20"/>
          <w:szCs w:val="20"/>
        </w:rPr>
        <w:t xml:space="preserve">taking part </w:t>
      </w:r>
      <w:r w:rsidR="0036025D" w:rsidRPr="0079159E">
        <w:rPr>
          <w:rFonts w:ascii="Arial" w:hAnsi="Arial" w:cs="Arial"/>
          <w:sz w:val="20"/>
          <w:szCs w:val="20"/>
        </w:rPr>
        <w:t>in the Global PPS study [20,</w:t>
      </w:r>
      <w:r w:rsidR="00AD57E9" w:rsidRPr="0079159E">
        <w:rPr>
          <w:rFonts w:ascii="Arial" w:hAnsi="Arial" w:cs="Arial"/>
          <w:sz w:val="20"/>
          <w:szCs w:val="20"/>
        </w:rPr>
        <w:t>21,</w:t>
      </w:r>
      <w:r w:rsidR="0036025D" w:rsidRPr="0079159E">
        <w:rPr>
          <w:rFonts w:ascii="Arial" w:hAnsi="Arial" w:cs="Arial"/>
          <w:sz w:val="20"/>
          <w:szCs w:val="20"/>
        </w:rPr>
        <w:t>25,26,5</w:t>
      </w:r>
      <w:r w:rsidR="006725DE" w:rsidRPr="0079159E">
        <w:rPr>
          <w:rFonts w:ascii="Arial" w:hAnsi="Arial" w:cs="Arial"/>
          <w:sz w:val="20"/>
          <w:szCs w:val="20"/>
        </w:rPr>
        <w:t>3</w:t>
      </w:r>
      <w:r w:rsidR="0036025D" w:rsidRPr="0079159E">
        <w:rPr>
          <w:rFonts w:ascii="Arial" w:hAnsi="Arial" w:cs="Arial"/>
          <w:sz w:val="20"/>
          <w:szCs w:val="20"/>
        </w:rPr>
        <w:t xml:space="preserve">]. The reason for this </w:t>
      </w:r>
      <w:r w:rsidR="00893F9C" w:rsidRPr="0079159E">
        <w:rPr>
          <w:rFonts w:ascii="Arial" w:hAnsi="Arial" w:cs="Arial"/>
          <w:sz w:val="20"/>
          <w:szCs w:val="20"/>
        </w:rPr>
        <w:t xml:space="preserve">lower rate </w:t>
      </w:r>
      <w:r w:rsidR="00AD57E9" w:rsidRPr="0079159E">
        <w:rPr>
          <w:rFonts w:ascii="Arial" w:hAnsi="Arial" w:cs="Arial"/>
          <w:sz w:val="20"/>
          <w:szCs w:val="20"/>
        </w:rPr>
        <w:t xml:space="preserve">in our study </w:t>
      </w:r>
      <w:r w:rsidR="0036025D" w:rsidRPr="0079159E">
        <w:rPr>
          <w:rFonts w:ascii="Arial" w:hAnsi="Arial" w:cs="Arial"/>
          <w:sz w:val="20"/>
          <w:szCs w:val="20"/>
        </w:rPr>
        <w:t xml:space="preserve">is </w:t>
      </w:r>
      <w:r w:rsidR="00AD57E9" w:rsidRPr="0079159E">
        <w:rPr>
          <w:rFonts w:ascii="Arial" w:hAnsi="Arial" w:cs="Arial"/>
          <w:sz w:val="20"/>
          <w:szCs w:val="20"/>
        </w:rPr>
        <w:t>un</w:t>
      </w:r>
      <w:r w:rsidR="0036025D" w:rsidRPr="0079159E">
        <w:rPr>
          <w:rFonts w:ascii="Arial" w:hAnsi="Arial" w:cs="Arial"/>
          <w:sz w:val="20"/>
          <w:szCs w:val="20"/>
        </w:rPr>
        <w:t>known</w:t>
      </w:r>
      <w:r w:rsidR="00AD57E9" w:rsidRPr="0079159E">
        <w:rPr>
          <w:rFonts w:ascii="Arial" w:hAnsi="Arial" w:cs="Arial"/>
          <w:sz w:val="20"/>
          <w:szCs w:val="20"/>
        </w:rPr>
        <w:t>, and</w:t>
      </w:r>
      <w:r w:rsidR="0036025D" w:rsidRPr="0079159E">
        <w:rPr>
          <w:rFonts w:ascii="Arial" w:hAnsi="Arial" w:cs="Arial"/>
          <w:sz w:val="20"/>
          <w:szCs w:val="20"/>
        </w:rPr>
        <w:t xml:space="preserve"> </w:t>
      </w:r>
      <w:r w:rsidRPr="0079159E">
        <w:rPr>
          <w:rFonts w:ascii="Arial" w:hAnsi="Arial" w:cs="Arial"/>
          <w:sz w:val="20"/>
          <w:szCs w:val="20"/>
        </w:rPr>
        <w:t xml:space="preserve">envisaged </w:t>
      </w:r>
      <w:r w:rsidR="00AD57E9" w:rsidRPr="0079159E">
        <w:rPr>
          <w:rFonts w:ascii="Arial" w:hAnsi="Arial" w:cs="Arial"/>
          <w:sz w:val="20"/>
          <w:szCs w:val="20"/>
        </w:rPr>
        <w:t xml:space="preserve">to be higher </w:t>
      </w:r>
      <w:r w:rsidR="00E74A68" w:rsidRPr="0079159E">
        <w:rPr>
          <w:rFonts w:ascii="Arial" w:hAnsi="Arial" w:cs="Arial"/>
          <w:sz w:val="20"/>
          <w:szCs w:val="20"/>
        </w:rPr>
        <w:t xml:space="preserve">given </w:t>
      </w:r>
      <w:r w:rsidRPr="0079159E">
        <w:rPr>
          <w:rFonts w:ascii="Arial" w:hAnsi="Arial" w:cs="Arial"/>
          <w:sz w:val="20"/>
          <w:szCs w:val="20"/>
        </w:rPr>
        <w:t xml:space="preserve">the </w:t>
      </w:r>
      <w:r w:rsidR="0036025D" w:rsidRPr="0079159E">
        <w:rPr>
          <w:rFonts w:ascii="Arial" w:hAnsi="Arial" w:cs="Arial"/>
          <w:sz w:val="20"/>
          <w:szCs w:val="20"/>
        </w:rPr>
        <w:t xml:space="preserve">high </w:t>
      </w:r>
      <w:r w:rsidRPr="0079159E">
        <w:rPr>
          <w:rFonts w:ascii="Arial" w:hAnsi="Arial" w:cs="Arial"/>
          <w:sz w:val="20"/>
          <w:szCs w:val="20"/>
        </w:rPr>
        <w:t>prevalence of infectious diseases in South Africa</w:t>
      </w:r>
      <w:r w:rsidR="001112B7" w:rsidRPr="0079159E">
        <w:rPr>
          <w:rFonts w:ascii="Arial" w:hAnsi="Arial" w:cs="Arial"/>
          <w:sz w:val="20"/>
          <w:szCs w:val="20"/>
        </w:rPr>
        <w:t xml:space="preserve"> [</w:t>
      </w:r>
      <w:r w:rsidR="00E74A68" w:rsidRPr="0079159E">
        <w:rPr>
          <w:rFonts w:ascii="Arial" w:hAnsi="Arial" w:cs="Arial"/>
          <w:sz w:val="20"/>
          <w:szCs w:val="20"/>
        </w:rPr>
        <w:t>30,33-35,5</w:t>
      </w:r>
      <w:r w:rsidR="006725DE" w:rsidRPr="0079159E">
        <w:rPr>
          <w:rFonts w:ascii="Arial" w:hAnsi="Arial" w:cs="Arial"/>
          <w:sz w:val="20"/>
          <w:szCs w:val="20"/>
        </w:rPr>
        <w:t>5</w:t>
      </w:r>
      <w:r w:rsidR="00E74A68" w:rsidRPr="0079159E">
        <w:rPr>
          <w:rFonts w:ascii="Arial" w:hAnsi="Arial" w:cs="Arial"/>
          <w:sz w:val="20"/>
          <w:szCs w:val="20"/>
        </w:rPr>
        <w:t>]</w:t>
      </w:r>
      <w:r w:rsidR="00927C8F" w:rsidRPr="0079159E">
        <w:rPr>
          <w:rFonts w:ascii="Arial" w:hAnsi="Arial" w:cs="Arial"/>
          <w:sz w:val="20"/>
          <w:szCs w:val="20"/>
        </w:rPr>
        <w:t>. In addition, prior antimicrobial exposure promotes colonization and subsequent infection with antimicrobial-resistant pathogens</w:t>
      </w:r>
      <w:r w:rsidR="007D5E41" w:rsidRPr="0079159E">
        <w:rPr>
          <w:rFonts w:ascii="Arial" w:hAnsi="Arial" w:cs="Arial"/>
          <w:sz w:val="20"/>
          <w:szCs w:val="20"/>
        </w:rPr>
        <w:t>. This</w:t>
      </w:r>
      <w:r w:rsidR="00893F9C" w:rsidRPr="0079159E">
        <w:rPr>
          <w:rFonts w:ascii="Arial" w:hAnsi="Arial" w:cs="Arial"/>
          <w:sz w:val="20"/>
          <w:szCs w:val="20"/>
        </w:rPr>
        <w:t xml:space="preserve"> is known to enhance </w:t>
      </w:r>
      <w:r w:rsidR="00927C8F" w:rsidRPr="0079159E">
        <w:rPr>
          <w:rFonts w:ascii="Arial" w:hAnsi="Arial" w:cs="Arial"/>
          <w:sz w:val="20"/>
          <w:szCs w:val="20"/>
        </w:rPr>
        <w:t xml:space="preserve">AMR </w:t>
      </w:r>
      <w:r w:rsidR="00893F9C" w:rsidRPr="0079159E">
        <w:rPr>
          <w:rFonts w:ascii="Arial" w:hAnsi="Arial" w:cs="Arial"/>
          <w:sz w:val="20"/>
          <w:szCs w:val="20"/>
        </w:rPr>
        <w:t xml:space="preserve">rates </w:t>
      </w:r>
      <w:r w:rsidR="00927C8F" w:rsidRPr="0079159E">
        <w:rPr>
          <w:rFonts w:ascii="Arial" w:hAnsi="Arial" w:cs="Arial"/>
          <w:sz w:val="20"/>
          <w:szCs w:val="20"/>
        </w:rPr>
        <w:t>[14]</w:t>
      </w:r>
      <w:r w:rsidR="007D5E41" w:rsidRPr="0079159E">
        <w:rPr>
          <w:rFonts w:ascii="Arial" w:hAnsi="Arial" w:cs="Arial"/>
          <w:sz w:val="20"/>
          <w:szCs w:val="20"/>
        </w:rPr>
        <w:t>. Overall,</w:t>
      </w:r>
      <w:r w:rsidR="00AD57E9" w:rsidRPr="0079159E">
        <w:rPr>
          <w:rFonts w:ascii="Arial" w:hAnsi="Arial" w:cs="Arial"/>
          <w:sz w:val="20"/>
          <w:szCs w:val="20"/>
        </w:rPr>
        <w:t xml:space="preserve"> </w:t>
      </w:r>
      <w:r w:rsidR="00927C8F" w:rsidRPr="0079159E">
        <w:rPr>
          <w:rFonts w:ascii="Arial" w:hAnsi="Arial" w:cs="Arial"/>
          <w:bCs/>
          <w:sz w:val="20"/>
          <w:szCs w:val="20"/>
        </w:rPr>
        <w:t xml:space="preserve">44.5% of patients </w:t>
      </w:r>
      <w:r w:rsidR="00893F9C" w:rsidRPr="0079159E">
        <w:rPr>
          <w:rFonts w:ascii="Arial" w:hAnsi="Arial" w:cs="Arial"/>
          <w:bCs/>
          <w:sz w:val="20"/>
          <w:szCs w:val="20"/>
        </w:rPr>
        <w:t xml:space="preserve">in our study who had been </w:t>
      </w:r>
      <w:r w:rsidR="00927C8F" w:rsidRPr="0079159E">
        <w:rPr>
          <w:rFonts w:ascii="Arial" w:hAnsi="Arial" w:cs="Arial"/>
          <w:bCs/>
          <w:sz w:val="20"/>
          <w:szCs w:val="20"/>
        </w:rPr>
        <w:t xml:space="preserve">prescribed at least one antibiotic in hospital </w:t>
      </w:r>
      <w:r w:rsidR="00927C8F" w:rsidRPr="0079159E">
        <w:rPr>
          <w:rFonts w:ascii="Arial" w:hAnsi="Arial" w:cs="Arial"/>
          <w:sz w:val="20"/>
          <w:szCs w:val="20"/>
        </w:rPr>
        <w:t>had used antimicrobials in the past 90 days. Th</w:t>
      </w:r>
      <w:r w:rsidR="00893F9C" w:rsidRPr="0079159E">
        <w:rPr>
          <w:rFonts w:ascii="Arial" w:hAnsi="Arial" w:cs="Arial"/>
          <w:sz w:val="20"/>
          <w:szCs w:val="20"/>
        </w:rPr>
        <w:t>ese concerns</w:t>
      </w:r>
      <w:r w:rsidR="00927C8F" w:rsidRPr="0079159E">
        <w:rPr>
          <w:rFonts w:ascii="Arial" w:hAnsi="Arial" w:cs="Arial"/>
          <w:sz w:val="20"/>
          <w:szCs w:val="20"/>
        </w:rPr>
        <w:t xml:space="preserve"> will </w:t>
      </w:r>
      <w:r w:rsidR="00893F9C" w:rsidRPr="0079159E">
        <w:rPr>
          <w:rFonts w:ascii="Arial" w:hAnsi="Arial" w:cs="Arial"/>
          <w:sz w:val="20"/>
          <w:szCs w:val="20"/>
        </w:rPr>
        <w:t xml:space="preserve">also </w:t>
      </w:r>
      <w:r w:rsidR="00927C8F" w:rsidRPr="0079159E">
        <w:rPr>
          <w:rFonts w:ascii="Arial" w:hAnsi="Arial" w:cs="Arial"/>
          <w:sz w:val="20"/>
          <w:szCs w:val="20"/>
        </w:rPr>
        <w:t>be</w:t>
      </w:r>
      <w:r w:rsidR="00E74A68" w:rsidRPr="0079159E">
        <w:rPr>
          <w:rFonts w:ascii="Arial" w:hAnsi="Arial" w:cs="Arial"/>
          <w:sz w:val="20"/>
          <w:szCs w:val="20"/>
        </w:rPr>
        <w:t xml:space="preserve"> the subject of future projects to fully assess the appropriateness of antimicrobial prescribing</w:t>
      </w:r>
      <w:r w:rsidR="00893F9C" w:rsidRPr="0079159E">
        <w:rPr>
          <w:rFonts w:ascii="Arial" w:hAnsi="Arial" w:cs="Arial"/>
          <w:sz w:val="20"/>
          <w:szCs w:val="20"/>
        </w:rPr>
        <w:t xml:space="preserve"> among public hospitals in South Africa</w:t>
      </w:r>
      <w:r w:rsidR="00E74A68" w:rsidRPr="0079159E">
        <w:rPr>
          <w:rFonts w:ascii="Arial" w:hAnsi="Arial" w:cs="Arial"/>
          <w:sz w:val="20"/>
          <w:szCs w:val="20"/>
        </w:rPr>
        <w:t>. This builds on recent studies in both the hospital and ambulatory care sectors in South Africa as well as other countries [39,43,</w:t>
      </w:r>
      <w:r w:rsidR="006725DE" w:rsidRPr="0079159E">
        <w:rPr>
          <w:rFonts w:ascii="Arial" w:hAnsi="Arial" w:cs="Arial"/>
          <w:sz w:val="20"/>
          <w:szCs w:val="20"/>
        </w:rPr>
        <w:t>50</w:t>
      </w:r>
      <w:r w:rsidR="00E74A68" w:rsidRPr="0079159E">
        <w:rPr>
          <w:rFonts w:ascii="Arial" w:hAnsi="Arial" w:cs="Arial"/>
          <w:sz w:val="20"/>
          <w:szCs w:val="20"/>
        </w:rPr>
        <w:t>,5</w:t>
      </w:r>
      <w:r w:rsidR="006725DE" w:rsidRPr="0079159E">
        <w:rPr>
          <w:rFonts w:ascii="Arial" w:hAnsi="Arial" w:cs="Arial"/>
          <w:sz w:val="20"/>
          <w:szCs w:val="20"/>
        </w:rPr>
        <w:t>6</w:t>
      </w:r>
      <w:r w:rsidR="00E74A68" w:rsidRPr="0079159E">
        <w:rPr>
          <w:rFonts w:ascii="Arial" w:hAnsi="Arial" w:cs="Arial"/>
          <w:sz w:val="20"/>
          <w:szCs w:val="20"/>
        </w:rPr>
        <w:t xml:space="preserve">]. </w:t>
      </w:r>
    </w:p>
    <w:p w14:paraId="2491C776" w14:textId="77777777" w:rsidR="00FA271B" w:rsidRPr="0079159E" w:rsidRDefault="00FA271B" w:rsidP="0079159E">
      <w:pPr>
        <w:pStyle w:val="NoSpacing1"/>
        <w:rPr>
          <w:rFonts w:ascii="Arial" w:hAnsi="Arial" w:cs="Arial"/>
          <w:sz w:val="20"/>
          <w:szCs w:val="20"/>
        </w:rPr>
      </w:pPr>
    </w:p>
    <w:p w14:paraId="6B585353" w14:textId="2E667C9E" w:rsidR="00927C8F" w:rsidRPr="0079159E" w:rsidRDefault="00B144D9" w:rsidP="0079159E">
      <w:pPr>
        <w:pStyle w:val="NoSpacing1"/>
        <w:rPr>
          <w:rFonts w:ascii="Arial" w:hAnsi="Arial" w:cs="Arial"/>
          <w:sz w:val="20"/>
          <w:szCs w:val="20"/>
        </w:rPr>
      </w:pPr>
      <w:r w:rsidRPr="0079159E">
        <w:rPr>
          <w:rFonts w:ascii="Arial" w:hAnsi="Arial" w:cs="Arial"/>
          <w:sz w:val="20"/>
          <w:szCs w:val="20"/>
        </w:rPr>
        <w:t>Having said this, i</w:t>
      </w:r>
      <w:r w:rsidR="00FA271B" w:rsidRPr="0079159E">
        <w:rPr>
          <w:rFonts w:ascii="Arial" w:hAnsi="Arial" w:cs="Arial"/>
          <w:sz w:val="20"/>
          <w:szCs w:val="20"/>
        </w:rPr>
        <w:t xml:space="preserve">t was </w:t>
      </w:r>
      <w:r w:rsidR="006725DE" w:rsidRPr="0079159E">
        <w:rPr>
          <w:rFonts w:ascii="Arial" w:hAnsi="Arial" w:cs="Arial"/>
          <w:sz w:val="20"/>
          <w:szCs w:val="20"/>
        </w:rPr>
        <w:t>unfortunate</w:t>
      </w:r>
      <w:r w:rsidR="007D5E41" w:rsidRPr="0079159E">
        <w:rPr>
          <w:rFonts w:ascii="Arial" w:hAnsi="Arial" w:cs="Arial"/>
          <w:sz w:val="20"/>
          <w:szCs w:val="20"/>
        </w:rPr>
        <w:t xml:space="preserve"> </w:t>
      </w:r>
      <w:r w:rsidR="00FA271B" w:rsidRPr="0079159E">
        <w:rPr>
          <w:rFonts w:ascii="Arial" w:hAnsi="Arial" w:cs="Arial"/>
          <w:sz w:val="20"/>
          <w:szCs w:val="20"/>
        </w:rPr>
        <w:t xml:space="preserve">to see a </w:t>
      </w:r>
      <w:r w:rsidR="007D5E41" w:rsidRPr="0079159E">
        <w:rPr>
          <w:rFonts w:ascii="Arial" w:hAnsi="Arial" w:cs="Arial"/>
          <w:sz w:val="20"/>
          <w:szCs w:val="20"/>
        </w:rPr>
        <w:t xml:space="preserve">low </w:t>
      </w:r>
      <w:r w:rsidR="00AD57E9" w:rsidRPr="0079159E">
        <w:rPr>
          <w:rFonts w:ascii="Arial" w:hAnsi="Arial" w:cs="Arial"/>
          <w:sz w:val="20"/>
          <w:szCs w:val="20"/>
        </w:rPr>
        <w:t>level of</w:t>
      </w:r>
      <w:r w:rsidRPr="0079159E">
        <w:rPr>
          <w:rFonts w:ascii="Arial" w:hAnsi="Arial" w:cs="Arial"/>
          <w:sz w:val="20"/>
          <w:szCs w:val="20"/>
        </w:rPr>
        <w:t xml:space="preserve"> CST</w:t>
      </w:r>
      <w:r w:rsidR="00AD57E9" w:rsidRPr="0079159E">
        <w:rPr>
          <w:rFonts w:ascii="Arial" w:hAnsi="Arial" w:cs="Arial"/>
          <w:sz w:val="20"/>
          <w:szCs w:val="20"/>
        </w:rPr>
        <w:t>s</w:t>
      </w:r>
      <w:r w:rsidRPr="0079159E">
        <w:rPr>
          <w:rFonts w:ascii="Arial" w:hAnsi="Arial" w:cs="Arial"/>
          <w:sz w:val="20"/>
          <w:szCs w:val="20"/>
        </w:rPr>
        <w:t xml:space="preserve"> requested</w:t>
      </w:r>
      <w:r w:rsidR="006725DE" w:rsidRPr="0079159E">
        <w:rPr>
          <w:rFonts w:ascii="Arial" w:hAnsi="Arial" w:cs="Arial"/>
          <w:sz w:val="20"/>
          <w:szCs w:val="20"/>
        </w:rPr>
        <w:t>;</w:t>
      </w:r>
      <w:r w:rsidRPr="0079159E">
        <w:rPr>
          <w:rFonts w:ascii="Arial" w:hAnsi="Arial" w:cs="Arial"/>
          <w:sz w:val="20"/>
          <w:szCs w:val="20"/>
        </w:rPr>
        <w:t xml:space="preserve"> </w:t>
      </w:r>
      <w:r w:rsidR="006725DE" w:rsidRPr="0079159E">
        <w:rPr>
          <w:rFonts w:ascii="Arial" w:hAnsi="Arial" w:cs="Arial"/>
          <w:sz w:val="20"/>
          <w:szCs w:val="20"/>
        </w:rPr>
        <w:t xml:space="preserve">however, </w:t>
      </w:r>
      <w:r w:rsidR="007D5E41" w:rsidRPr="0079159E">
        <w:rPr>
          <w:rFonts w:ascii="Arial" w:hAnsi="Arial" w:cs="Arial"/>
          <w:sz w:val="20"/>
          <w:szCs w:val="20"/>
        </w:rPr>
        <w:t>encouraging to see</w:t>
      </w:r>
      <w:r w:rsidRPr="0079159E">
        <w:rPr>
          <w:rFonts w:ascii="Arial" w:hAnsi="Arial" w:cs="Arial"/>
          <w:sz w:val="20"/>
          <w:szCs w:val="20"/>
        </w:rPr>
        <w:t xml:space="preserve"> </w:t>
      </w:r>
      <w:r w:rsidR="00AD57E9" w:rsidRPr="0079159E">
        <w:rPr>
          <w:rFonts w:ascii="Arial" w:hAnsi="Arial" w:cs="Arial"/>
          <w:sz w:val="20"/>
          <w:szCs w:val="20"/>
        </w:rPr>
        <w:t xml:space="preserve">a </w:t>
      </w:r>
      <w:r w:rsidR="00FA271B" w:rsidRPr="0079159E">
        <w:rPr>
          <w:rFonts w:ascii="Arial" w:hAnsi="Arial" w:cs="Arial"/>
          <w:sz w:val="20"/>
          <w:szCs w:val="20"/>
        </w:rPr>
        <w:t>high level of modification of antimicrobial treatment following CST results when requested</w:t>
      </w:r>
      <w:r w:rsidR="007444EE" w:rsidRPr="0079159E">
        <w:rPr>
          <w:rFonts w:ascii="Arial" w:hAnsi="Arial" w:cs="Arial"/>
          <w:sz w:val="20"/>
          <w:szCs w:val="20"/>
        </w:rPr>
        <w:t>. This</w:t>
      </w:r>
      <w:r w:rsidR="00117B15" w:rsidRPr="0079159E">
        <w:rPr>
          <w:rFonts w:ascii="Arial" w:hAnsi="Arial" w:cs="Arial"/>
          <w:sz w:val="20"/>
          <w:szCs w:val="20"/>
        </w:rPr>
        <w:t xml:space="preserve"> is not always the case </w:t>
      </w:r>
      <w:r w:rsidR="004A0948" w:rsidRPr="0079159E">
        <w:rPr>
          <w:rFonts w:ascii="Arial" w:hAnsi="Arial" w:cs="Arial"/>
          <w:sz w:val="20"/>
          <w:szCs w:val="20"/>
        </w:rPr>
        <w:t xml:space="preserve">as seen in </w:t>
      </w:r>
      <w:r w:rsidR="007444EE" w:rsidRPr="0079159E">
        <w:rPr>
          <w:rFonts w:ascii="Arial" w:hAnsi="Arial" w:cs="Arial"/>
          <w:sz w:val="20"/>
          <w:szCs w:val="20"/>
        </w:rPr>
        <w:t xml:space="preserve">other </w:t>
      </w:r>
      <w:r w:rsidR="004A0948" w:rsidRPr="0079159E">
        <w:rPr>
          <w:rFonts w:ascii="Arial" w:hAnsi="Arial" w:cs="Arial"/>
          <w:sz w:val="20"/>
          <w:szCs w:val="20"/>
        </w:rPr>
        <w:t xml:space="preserve">studies performed </w:t>
      </w:r>
      <w:r w:rsidR="00AD57E9" w:rsidRPr="0079159E">
        <w:rPr>
          <w:rFonts w:ascii="Arial" w:hAnsi="Arial" w:cs="Arial"/>
          <w:sz w:val="20"/>
          <w:szCs w:val="20"/>
        </w:rPr>
        <w:t>among</w:t>
      </w:r>
      <w:r w:rsidR="00117B15" w:rsidRPr="0079159E">
        <w:rPr>
          <w:rFonts w:ascii="Arial" w:hAnsi="Arial" w:cs="Arial"/>
          <w:sz w:val="20"/>
          <w:szCs w:val="20"/>
        </w:rPr>
        <w:t xml:space="preserve"> African countries</w:t>
      </w:r>
      <w:r w:rsidR="004A0948" w:rsidRPr="0079159E">
        <w:rPr>
          <w:rFonts w:ascii="Arial" w:hAnsi="Arial" w:cs="Arial"/>
          <w:sz w:val="20"/>
          <w:szCs w:val="20"/>
        </w:rPr>
        <w:t xml:space="preserve"> where there</w:t>
      </w:r>
      <w:r w:rsidR="00E202C1" w:rsidRPr="0079159E">
        <w:rPr>
          <w:rFonts w:ascii="Arial" w:hAnsi="Arial" w:cs="Arial"/>
          <w:sz w:val="20"/>
          <w:szCs w:val="20"/>
        </w:rPr>
        <w:t xml:space="preserve"> </w:t>
      </w:r>
      <w:r w:rsidR="007444EE" w:rsidRPr="0079159E">
        <w:rPr>
          <w:rFonts w:ascii="Arial" w:hAnsi="Arial" w:cs="Arial"/>
          <w:sz w:val="20"/>
          <w:szCs w:val="20"/>
        </w:rPr>
        <w:t>has been</w:t>
      </w:r>
      <w:r w:rsidR="00E202C1" w:rsidRPr="0079159E">
        <w:rPr>
          <w:rFonts w:ascii="Arial" w:hAnsi="Arial" w:cs="Arial"/>
          <w:sz w:val="20"/>
          <w:szCs w:val="20"/>
        </w:rPr>
        <w:t xml:space="preserve"> a low rate of antimicrobial modification </w:t>
      </w:r>
      <w:r w:rsidR="00117B15" w:rsidRPr="0079159E">
        <w:rPr>
          <w:rFonts w:ascii="Arial" w:hAnsi="Arial" w:cs="Arial"/>
          <w:sz w:val="20"/>
          <w:szCs w:val="20"/>
        </w:rPr>
        <w:t>[</w:t>
      </w:r>
      <w:r w:rsidR="00875F9E" w:rsidRPr="0079159E">
        <w:rPr>
          <w:rFonts w:ascii="Arial" w:hAnsi="Arial" w:cs="Arial"/>
          <w:sz w:val="20"/>
          <w:szCs w:val="20"/>
        </w:rPr>
        <w:t>20,</w:t>
      </w:r>
      <w:r w:rsidR="00680EFB" w:rsidRPr="0079159E">
        <w:rPr>
          <w:rFonts w:ascii="Arial" w:hAnsi="Arial" w:cs="Arial"/>
          <w:sz w:val="20"/>
          <w:szCs w:val="20"/>
        </w:rPr>
        <w:t>2</w:t>
      </w:r>
      <w:r w:rsidR="00875F9E" w:rsidRPr="0079159E">
        <w:rPr>
          <w:rFonts w:ascii="Arial" w:hAnsi="Arial" w:cs="Arial"/>
          <w:sz w:val="20"/>
          <w:szCs w:val="20"/>
        </w:rPr>
        <w:t>5,26</w:t>
      </w:r>
      <w:r w:rsidR="00117B15" w:rsidRPr="0079159E">
        <w:rPr>
          <w:rFonts w:ascii="Arial" w:hAnsi="Arial" w:cs="Arial"/>
          <w:sz w:val="20"/>
          <w:szCs w:val="20"/>
        </w:rPr>
        <w:t>]</w:t>
      </w:r>
      <w:r w:rsidR="00FA271B" w:rsidRPr="0079159E">
        <w:rPr>
          <w:rFonts w:ascii="Arial" w:hAnsi="Arial" w:cs="Arial"/>
          <w:sz w:val="20"/>
          <w:szCs w:val="20"/>
        </w:rPr>
        <w:t xml:space="preserve">. However, there were concerns that antimicrobial treatment was not modified in a minority (17%) following the results, and there may well have been situations when CST could have been ordered but not recorded or available in the files at the time of data collection. These are </w:t>
      </w:r>
      <w:r w:rsidR="00875F9E" w:rsidRPr="0079159E">
        <w:rPr>
          <w:rFonts w:ascii="Arial" w:hAnsi="Arial" w:cs="Arial"/>
          <w:sz w:val="20"/>
          <w:szCs w:val="20"/>
        </w:rPr>
        <w:t xml:space="preserve">also </w:t>
      </w:r>
      <w:r w:rsidR="00FA271B" w:rsidRPr="0079159E">
        <w:rPr>
          <w:rFonts w:ascii="Arial" w:hAnsi="Arial" w:cs="Arial"/>
          <w:sz w:val="20"/>
          <w:szCs w:val="20"/>
        </w:rPr>
        <w:t>considerations for the future.</w:t>
      </w:r>
      <w:r w:rsidR="00C220F8" w:rsidRPr="0079159E">
        <w:rPr>
          <w:rFonts w:ascii="Arial" w:hAnsi="Arial" w:cs="Arial"/>
          <w:sz w:val="20"/>
          <w:szCs w:val="20"/>
        </w:rPr>
        <w:t xml:space="preserve"> </w:t>
      </w:r>
      <w:r w:rsidR="00927C8F" w:rsidRPr="0079159E">
        <w:rPr>
          <w:rFonts w:ascii="Arial" w:hAnsi="Arial" w:cs="Arial"/>
          <w:sz w:val="20"/>
          <w:szCs w:val="20"/>
        </w:rPr>
        <w:t>I</w:t>
      </w:r>
      <w:r w:rsidR="00CF235F" w:rsidRPr="0079159E">
        <w:rPr>
          <w:rFonts w:ascii="Arial" w:hAnsi="Arial" w:cs="Arial"/>
          <w:sz w:val="20"/>
          <w:szCs w:val="20"/>
        </w:rPr>
        <w:t xml:space="preserve">n </w:t>
      </w:r>
      <w:r w:rsidR="00C220F8" w:rsidRPr="0079159E">
        <w:rPr>
          <w:rFonts w:ascii="Arial" w:hAnsi="Arial" w:cs="Arial"/>
          <w:sz w:val="20"/>
          <w:szCs w:val="20"/>
        </w:rPr>
        <w:t>5.6% of occasions</w:t>
      </w:r>
      <w:r w:rsidR="00CF235F" w:rsidRPr="0079159E">
        <w:rPr>
          <w:rFonts w:ascii="Arial" w:hAnsi="Arial" w:cs="Arial"/>
          <w:sz w:val="20"/>
          <w:szCs w:val="20"/>
        </w:rPr>
        <w:t xml:space="preserve">, </w:t>
      </w:r>
      <w:r w:rsidR="00C220F8" w:rsidRPr="0079159E">
        <w:rPr>
          <w:rFonts w:ascii="Arial" w:hAnsi="Arial" w:cs="Arial"/>
          <w:sz w:val="20"/>
          <w:szCs w:val="20"/>
        </w:rPr>
        <w:t xml:space="preserve">an antimicrobial was prescribed, </w:t>
      </w:r>
      <w:r w:rsidR="007D5E41" w:rsidRPr="0079159E">
        <w:rPr>
          <w:rFonts w:ascii="Arial" w:hAnsi="Arial" w:cs="Arial"/>
          <w:sz w:val="20"/>
          <w:szCs w:val="20"/>
        </w:rPr>
        <w:t xml:space="preserve">while </w:t>
      </w:r>
      <w:r w:rsidR="00C220F8" w:rsidRPr="0079159E">
        <w:rPr>
          <w:rFonts w:ascii="Arial" w:hAnsi="Arial" w:cs="Arial"/>
          <w:sz w:val="20"/>
          <w:szCs w:val="20"/>
        </w:rPr>
        <w:t xml:space="preserve">there was no clear indication </w:t>
      </w:r>
      <w:r w:rsidR="00857CD0" w:rsidRPr="0079159E">
        <w:rPr>
          <w:rFonts w:ascii="Arial" w:hAnsi="Arial" w:cs="Arial"/>
          <w:sz w:val="20"/>
          <w:szCs w:val="20"/>
        </w:rPr>
        <w:t xml:space="preserve">for </w:t>
      </w:r>
      <w:r w:rsidR="007D5E41" w:rsidRPr="0079159E">
        <w:rPr>
          <w:rFonts w:ascii="Arial" w:hAnsi="Arial" w:cs="Arial"/>
          <w:sz w:val="20"/>
          <w:szCs w:val="20"/>
        </w:rPr>
        <w:t>its</w:t>
      </w:r>
      <w:r w:rsidR="00857CD0" w:rsidRPr="0079159E">
        <w:rPr>
          <w:rFonts w:ascii="Arial" w:hAnsi="Arial" w:cs="Arial"/>
          <w:sz w:val="20"/>
          <w:szCs w:val="20"/>
        </w:rPr>
        <w:t xml:space="preserve"> use</w:t>
      </w:r>
      <w:r w:rsidR="00C220F8" w:rsidRPr="0079159E">
        <w:rPr>
          <w:rFonts w:ascii="Arial" w:hAnsi="Arial" w:cs="Arial"/>
          <w:sz w:val="20"/>
          <w:szCs w:val="20"/>
        </w:rPr>
        <w:t xml:space="preserve"> </w:t>
      </w:r>
      <w:r w:rsidR="00CF235F" w:rsidRPr="0079159E">
        <w:rPr>
          <w:rFonts w:ascii="Arial" w:hAnsi="Arial" w:cs="Arial"/>
          <w:sz w:val="20"/>
          <w:szCs w:val="20"/>
        </w:rPr>
        <w:t xml:space="preserve">with no signs of systemic infection, and on 5.2% of occasions, antimicrobials were prescribed other than for treatment </w:t>
      </w:r>
      <w:r w:rsidR="00C220F8" w:rsidRPr="0079159E">
        <w:rPr>
          <w:rFonts w:ascii="Arial" w:hAnsi="Arial" w:cs="Arial"/>
          <w:sz w:val="20"/>
          <w:szCs w:val="20"/>
        </w:rPr>
        <w:t>(Table 3)</w:t>
      </w:r>
      <w:r w:rsidR="00CF235F" w:rsidRPr="0079159E">
        <w:rPr>
          <w:rFonts w:ascii="Arial" w:hAnsi="Arial" w:cs="Arial"/>
          <w:sz w:val="20"/>
          <w:szCs w:val="20"/>
        </w:rPr>
        <w:t xml:space="preserve">. </w:t>
      </w:r>
      <w:r w:rsidR="00C220F8" w:rsidRPr="0079159E">
        <w:rPr>
          <w:rFonts w:ascii="Arial" w:hAnsi="Arial" w:cs="Arial"/>
          <w:sz w:val="20"/>
          <w:szCs w:val="20"/>
        </w:rPr>
        <w:t xml:space="preserve">This </w:t>
      </w:r>
      <w:r w:rsidR="00CF235F" w:rsidRPr="0079159E">
        <w:rPr>
          <w:rFonts w:ascii="Arial" w:hAnsi="Arial" w:cs="Arial"/>
          <w:sz w:val="20"/>
          <w:szCs w:val="20"/>
        </w:rPr>
        <w:t xml:space="preserve">is a concern that needs to be addressed to reduce inappropriate prescribing and the potential for increasing AMR rates. However, we are aware that among African countries in the Global PPS, on </w:t>
      </w:r>
      <w:r w:rsidR="00C220F8" w:rsidRPr="0079159E">
        <w:rPr>
          <w:rFonts w:ascii="Arial" w:hAnsi="Arial" w:cs="Arial"/>
          <w:sz w:val="20"/>
          <w:szCs w:val="20"/>
        </w:rPr>
        <w:t xml:space="preserve">29.6% </w:t>
      </w:r>
      <w:r w:rsidR="00CF235F" w:rsidRPr="0079159E">
        <w:rPr>
          <w:rFonts w:ascii="Arial" w:hAnsi="Arial" w:cs="Arial"/>
          <w:sz w:val="20"/>
          <w:szCs w:val="20"/>
        </w:rPr>
        <w:t>of occasions no reason for antimicrobial prescribing was documented in the patients’ notes</w:t>
      </w:r>
      <w:r w:rsidR="00C220F8" w:rsidRPr="0079159E">
        <w:rPr>
          <w:rFonts w:ascii="Arial" w:hAnsi="Arial" w:cs="Arial"/>
          <w:sz w:val="20"/>
          <w:szCs w:val="20"/>
        </w:rPr>
        <w:t xml:space="preserve"> [2</w:t>
      </w:r>
      <w:r w:rsidR="00AD57E9" w:rsidRPr="0079159E">
        <w:rPr>
          <w:rFonts w:ascii="Arial" w:hAnsi="Arial" w:cs="Arial"/>
          <w:sz w:val="20"/>
          <w:szCs w:val="20"/>
        </w:rPr>
        <w:t>1</w:t>
      </w:r>
      <w:r w:rsidR="00C220F8" w:rsidRPr="0079159E">
        <w:rPr>
          <w:rFonts w:ascii="Arial" w:hAnsi="Arial" w:cs="Arial"/>
          <w:sz w:val="20"/>
          <w:szCs w:val="20"/>
        </w:rPr>
        <w:t>].</w:t>
      </w:r>
    </w:p>
    <w:p w14:paraId="4A4035E9" w14:textId="77777777" w:rsidR="00FA271B" w:rsidRPr="0079159E" w:rsidRDefault="00FA271B" w:rsidP="0079159E">
      <w:pPr>
        <w:pStyle w:val="NoSpacing1"/>
        <w:rPr>
          <w:rFonts w:ascii="Arial" w:hAnsi="Arial" w:cs="Arial"/>
          <w:sz w:val="20"/>
          <w:szCs w:val="20"/>
        </w:rPr>
      </w:pPr>
      <w:r w:rsidRPr="0079159E">
        <w:rPr>
          <w:rFonts w:ascii="Arial" w:hAnsi="Arial" w:cs="Arial"/>
          <w:sz w:val="20"/>
          <w:szCs w:val="20"/>
        </w:rPr>
        <w:t xml:space="preserve"> </w:t>
      </w:r>
    </w:p>
    <w:p w14:paraId="1C6117EB" w14:textId="1C824762" w:rsidR="00FA271B" w:rsidRPr="0079159E" w:rsidRDefault="00FA271B" w:rsidP="0079159E">
      <w:pPr>
        <w:pStyle w:val="NoSpacing1"/>
        <w:rPr>
          <w:rFonts w:ascii="Arial" w:hAnsi="Arial" w:cs="Arial"/>
          <w:sz w:val="20"/>
          <w:szCs w:val="20"/>
        </w:rPr>
      </w:pPr>
      <w:r w:rsidRPr="0079159E">
        <w:rPr>
          <w:rFonts w:ascii="Arial" w:hAnsi="Arial" w:cs="Arial"/>
          <w:sz w:val="20"/>
          <w:szCs w:val="20"/>
        </w:rPr>
        <w:t>Most antimicrobials were used to treat infection rather than prophylaxis, simil</w:t>
      </w:r>
      <w:r w:rsidR="0088762C" w:rsidRPr="0079159E">
        <w:rPr>
          <w:rFonts w:ascii="Arial" w:hAnsi="Arial" w:cs="Arial"/>
          <w:sz w:val="20"/>
          <w:szCs w:val="20"/>
        </w:rPr>
        <w:t>ar to other studies [</w:t>
      </w:r>
      <w:r w:rsidRPr="0079159E">
        <w:rPr>
          <w:rFonts w:ascii="Arial" w:hAnsi="Arial" w:cs="Arial"/>
          <w:sz w:val="20"/>
          <w:szCs w:val="20"/>
        </w:rPr>
        <w:t>13,</w:t>
      </w:r>
      <w:r w:rsidR="00991101" w:rsidRPr="0079159E">
        <w:rPr>
          <w:rFonts w:ascii="Arial" w:hAnsi="Arial" w:cs="Arial"/>
          <w:sz w:val="20"/>
          <w:szCs w:val="20"/>
        </w:rPr>
        <w:t xml:space="preserve"> </w:t>
      </w:r>
      <w:r w:rsidRPr="0079159E">
        <w:rPr>
          <w:rFonts w:ascii="Arial" w:hAnsi="Arial" w:cs="Arial"/>
          <w:sz w:val="20"/>
          <w:szCs w:val="20"/>
        </w:rPr>
        <w:t>2</w:t>
      </w:r>
      <w:r w:rsidR="0021338E" w:rsidRPr="0079159E">
        <w:rPr>
          <w:rFonts w:ascii="Arial" w:hAnsi="Arial" w:cs="Arial"/>
          <w:sz w:val="20"/>
          <w:szCs w:val="20"/>
        </w:rPr>
        <w:t>2</w:t>
      </w:r>
      <w:r w:rsidRPr="0079159E">
        <w:rPr>
          <w:rFonts w:ascii="Arial" w:hAnsi="Arial" w:cs="Arial"/>
          <w:sz w:val="20"/>
          <w:szCs w:val="20"/>
        </w:rPr>
        <w:t>,</w:t>
      </w:r>
      <w:r w:rsidR="00991101" w:rsidRPr="0079159E">
        <w:rPr>
          <w:rFonts w:ascii="Arial" w:hAnsi="Arial" w:cs="Arial"/>
          <w:sz w:val="20"/>
          <w:szCs w:val="20"/>
        </w:rPr>
        <w:t xml:space="preserve"> </w:t>
      </w:r>
      <w:r w:rsidRPr="0079159E">
        <w:rPr>
          <w:rFonts w:ascii="Arial" w:hAnsi="Arial" w:cs="Arial"/>
          <w:sz w:val="20"/>
          <w:szCs w:val="20"/>
        </w:rPr>
        <w:t>2</w:t>
      </w:r>
      <w:r w:rsidR="0021338E" w:rsidRPr="0079159E">
        <w:rPr>
          <w:rFonts w:ascii="Arial" w:hAnsi="Arial" w:cs="Arial"/>
          <w:sz w:val="20"/>
          <w:szCs w:val="20"/>
        </w:rPr>
        <w:t>3</w:t>
      </w:r>
      <w:r w:rsidRPr="0079159E">
        <w:rPr>
          <w:rFonts w:ascii="Arial" w:hAnsi="Arial" w:cs="Arial"/>
          <w:sz w:val="20"/>
          <w:szCs w:val="20"/>
        </w:rPr>
        <w:t>,</w:t>
      </w:r>
      <w:r w:rsidR="00991101" w:rsidRPr="0079159E">
        <w:rPr>
          <w:rFonts w:ascii="Arial" w:hAnsi="Arial" w:cs="Arial"/>
          <w:sz w:val="20"/>
          <w:szCs w:val="20"/>
        </w:rPr>
        <w:t xml:space="preserve"> </w:t>
      </w:r>
      <w:r w:rsidR="00AD57E9" w:rsidRPr="0079159E">
        <w:rPr>
          <w:rFonts w:ascii="Arial" w:hAnsi="Arial" w:cs="Arial"/>
          <w:sz w:val="20"/>
          <w:szCs w:val="20"/>
        </w:rPr>
        <w:t>26,</w:t>
      </w:r>
      <w:r w:rsidR="0021338E" w:rsidRPr="0079159E">
        <w:rPr>
          <w:rFonts w:ascii="Arial" w:hAnsi="Arial" w:cs="Arial"/>
          <w:sz w:val="20"/>
          <w:szCs w:val="20"/>
        </w:rPr>
        <w:t>44</w:t>
      </w:r>
      <w:r w:rsidR="0088762C" w:rsidRPr="0079159E">
        <w:rPr>
          <w:rFonts w:ascii="Arial" w:hAnsi="Arial" w:cs="Arial"/>
          <w:sz w:val="20"/>
          <w:szCs w:val="20"/>
        </w:rPr>
        <w:t>]</w:t>
      </w:r>
      <w:r w:rsidR="00117B15" w:rsidRPr="0079159E">
        <w:rPr>
          <w:rFonts w:ascii="Arial" w:hAnsi="Arial" w:cs="Arial"/>
          <w:sz w:val="20"/>
          <w:szCs w:val="20"/>
        </w:rPr>
        <w:t xml:space="preserve"> </w:t>
      </w:r>
      <w:r w:rsidR="0021338E" w:rsidRPr="0079159E">
        <w:rPr>
          <w:rFonts w:ascii="Arial" w:hAnsi="Arial" w:cs="Arial"/>
          <w:sz w:val="20"/>
          <w:szCs w:val="20"/>
        </w:rPr>
        <w:t>as well as the Global PPS study [2</w:t>
      </w:r>
      <w:r w:rsidR="00AD57E9" w:rsidRPr="0079159E">
        <w:rPr>
          <w:rFonts w:ascii="Arial" w:hAnsi="Arial" w:cs="Arial"/>
          <w:sz w:val="20"/>
          <w:szCs w:val="20"/>
        </w:rPr>
        <w:t>1</w:t>
      </w:r>
      <w:r w:rsidR="0021338E" w:rsidRPr="0079159E">
        <w:rPr>
          <w:rFonts w:ascii="Arial" w:hAnsi="Arial" w:cs="Arial"/>
          <w:sz w:val="20"/>
          <w:szCs w:val="20"/>
        </w:rPr>
        <w:t xml:space="preserve">], </w:t>
      </w:r>
      <w:r w:rsidR="00117B15" w:rsidRPr="0079159E">
        <w:rPr>
          <w:rFonts w:ascii="Arial" w:hAnsi="Arial" w:cs="Arial"/>
          <w:sz w:val="20"/>
          <w:szCs w:val="20"/>
        </w:rPr>
        <w:t>although different to a recent PPS study in Kenya [</w:t>
      </w:r>
      <w:r w:rsidR="00680EFB" w:rsidRPr="0079159E">
        <w:rPr>
          <w:rFonts w:ascii="Arial" w:hAnsi="Arial" w:cs="Arial"/>
          <w:sz w:val="20"/>
          <w:szCs w:val="20"/>
        </w:rPr>
        <w:t>2</w:t>
      </w:r>
      <w:r w:rsidR="0021338E" w:rsidRPr="0079159E">
        <w:rPr>
          <w:rFonts w:ascii="Arial" w:hAnsi="Arial" w:cs="Arial"/>
          <w:sz w:val="20"/>
          <w:szCs w:val="20"/>
        </w:rPr>
        <w:t>5</w:t>
      </w:r>
      <w:r w:rsidR="00117B15" w:rsidRPr="0079159E">
        <w:rPr>
          <w:rFonts w:ascii="Arial" w:hAnsi="Arial" w:cs="Arial"/>
          <w:sz w:val="20"/>
          <w:szCs w:val="20"/>
        </w:rPr>
        <w:t>]</w:t>
      </w:r>
      <w:r w:rsidR="0021338E" w:rsidRPr="0079159E">
        <w:rPr>
          <w:rFonts w:ascii="Arial" w:hAnsi="Arial" w:cs="Arial"/>
          <w:sz w:val="20"/>
          <w:szCs w:val="20"/>
        </w:rPr>
        <w:t>.</w:t>
      </w:r>
      <w:r w:rsidRPr="0079159E">
        <w:rPr>
          <w:rFonts w:ascii="Arial" w:hAnsi="Arial" w:cs="Arial"/>
          <w:sz w:val="20"/>
          <w:szCs w:val="20"/>
        </w:rPr>
        <w:t xml:space="preserve"> The high burden of TB in South Africa</w:t>
      </w:r>
      <w:r w:rsidR="0088762C" w:rsidRPr="0079159E">
        <w:rPr>
          <w:rFonts w:ascii="Arial" w:hAnsi="Arial" w:cs="Arial"/>
          <w:sz w:val="20"/>
          <w:szCs w:val="20"/>
        </w:rPr>
        <w:t xml:space="preserve"> [</w:t>
      </w:r>
      <w:r w:rsidRPr="0079159E">
        <w:rPr>
          <w:rFonts w:ascii="Arial" w:hAnsi="Arial" w:cs="Arial"/>
          <w:sz w:val="20"/>
          <w:szCs w:val="20"/>
        </w:rPr>
        <w:t>6,</w:t>
      </w:r>
      <w:r w:rsidR="00E568BE" w:rsidRPr="0079159E">
        <w:rPr>
          <w:rFonts w:ascii="Arial" w:hAnsi="Arial" w:cs="Arial"/>
          <w:sz w:val="20"/>
          <w:szCs w:val="20"/>
        </w:rPr>
        <w:t xml:space="preserve"> </w:t>
      </w:r>
      <w:r w:rsidRPr="0079159E">
        <w:rPr>
          <w:rFonts w:ascii="Arial" w:hAnsi="Arial" w:cs="Arial"/>
          <w:sz w:val="20"/>
          <w:szCs w:val="20"/>
        </w:rPr>
        <w:t>3</w:t>
      </w:r>
      <w:r w:rsidR="0021338E" w:rsidRPr="0079159E">
        <w:rPr>
          <w:rFonts w:ascii="Arial" w:hAnsi="Arial" w:cs="Arial"/>
          <w:sz w:val="20"/>
          <w:szCs w:val="20"/>
        </w:rPr>
        <w:t>3,34</w:t>
      </w:r>
      <w:r w:rsidR="0088762C" w:rsidRPr="0079159E">
        <w:rPr>
          <w:rFonts w:ascii="Arial" w:hAnsi="Arial" w:cs="Arial"/>
          <w:sz w:val="20"/>
          <w:szCs w:val="20"/>
        </w:rPr>
        <w:t>]</w:t>
      </w:r>
      <w:r w:rsidRPr="0079159E">
        <w:rPr>
          <w:rFonts w:ascii="Arial" w:hAnsi="Arial" w:cs="Arial"/>
          <w:sz w:val="20"/>
          <w:szCs w:val="20"/>
        </w:rPr>
        <w:t xml:space="preserve"> is a possible reason for the relatively high use of anti-TB agents in DGMAH (Figure 1). In line wit</w:t>
      </w:r>
      <w:r w:rsidR="00991101" w:rsidRPr="0079159E">
        <w:rPr>
          <w:rFonts w:ascii="Arial" w:hAnsi="Arial" w:cs="Arial"/>
          <w:sz w:val="20"/>
          <w:szCs w:val="20"/>
        </w:rPr>
        <w:t>h other studies performed in SA</w:t>
      </w:r>
      <w:r w:rsidR="00E568BE" w:rsidRPr="0079159E">
        <w:rPr>
          <w:rFonts w:ascii="Arial" w:hAnsi="Arial" w:cs="Arial"/>
          <w:sz w:val="20"/>
          <w:szCs w:val="20"/>
        </w:rPr>
        <w:t xml:space="preserve"> </w:t>
      </w:r>
      <w:r w:rsidR="0088762C" w:rsidRPr="0079159E">
        <w:rPr>
          <w:rFonts w:ascii="Arial" w:hAnsi="Arial" w:cs="Arial"/>
          <w:sz w:val="20"/>
          <w:szCs w:val="20"/>
        </w:rPr>
        <w:t>[</w:t>
      </w:r>
      <w:r w:rsidRPr="0079159E">
        <w:rPr>
          <w:rFonts w:ascii="Arial" w:hAnsi="Arial" w:cs="Arial"/>
          <w:sz w:val="20"/>
          <w:szCs w:val="20"/>
        </w:rPr>
        <w:t>11,</w:t>
      </w:r>
      <w:r w:rsidR="00E568BE" w:rsidRPr="0079159E">
        <w:rPr>
          <w:rFonts w:ascii="Arial" w:hAnsi="Arial" w:cs="Arial"/>
          <w:sz w:val="20"/>
          <w:szCs w:val="20"/>
        </w:rPr>
        <w:t xml:space="preserve"> </w:t>
      </w:r>
      <w:r w:rsidR="0021338E" w:rsidRPr="0079159E">
        <w:rPr>
          <w:rFonts w:ascii="Arial" w:hAnsi="Arial" w:cs="Arial"/>
          <w:sz w:val="20"/>
          <w:szCs w:val="20"/>
        </w:rPr>
        <w:t>44</w:t>
      </w:r>
      <w:r w:rsidR="0088762C" w:rsidRPr="0079159E">
        <w:rPr>
          <w:rFonts w:ascii="Arial" w:hAnsi="Arial" w:cs="Arial"/>
          <w:sz w:val="20"/>
          <w:szCs w:val="20"/>
        </w:rPr>
        <w:t>]</w:t>
      </w:r>
      <w:r w:rsidR="0021338E" w:rsidRPr="0079159E">
        <w:rPr>
          <w:rFonts w:ascii="Arial" w:hAnsi="Arial" w:cs="Arial"/>
          <w:sz w:val="20"/>
          <w:szCs w:val="20"/>
        </w:rPr>
        <w:t xml:space="preserve"> and across </w:t>
      </w:r>
      <w:r w:rsidR="0021338E" w:rsidRPr="0079159E">
        <w:rPr>
          <w:rFonts w:ascii="Arial" w:hAnsi="Arial" w:cs="Arial"/>
          <w:sz w:val="20"/>
          <w:szCs w:val="20"/>
        </w:rPr>
        <w:lastRenderedPageBreak/>
        <w:t>Africa [2</w:t>
      </w:r>
      <w:r w:rsidR="00BA3F26" w:rsidRPr="0079159E">
        <w:rPr>
          <w:rFonts w:ascii="Arial" w:hAnsi="Arial" w:cs="Arial"/>
          <w:sz w:val="20"/>
          <w:szCs w:val="20"/>
        </w:rPr>
        <w:t>1</w:t>
      </w:r>
      <w:r w:rsidR="0021338E" w:rsidRPr="0079159E">
        <w:rPr>
          <w:rFonts w:ascii="Arial" w:hAnsi="Arial" w:cs="Arial"/>
          <w:sz w:val="20"/>
          <w:szCs w:val="20"/>
        </w:rPr>
        <w:t>]</w:t>
      </w:r>
      <w:r w:rsidR="00991101" w:rsidRPr="0079159E">
        <w:rPr>
          <w:rFonts w:ascii="Arial" w:hAnsi="Arial" w:cs="Arial"/>
          <w:sz w:val="20"/>
          <w:szCs w:val="20"/>
        </w:rPr>
        <w:t>,</w:t>
      </w:r>
      <w:r w:rsidR="0088762C" w:rsidRPr="0079159E">
        <w:rPr>
          <w:rFonts w:ascii="Arial" w:hAnsi="Arial" w:cs="Arial"/>
          <w:sz w:val="20"/>
          <w:szCs w:val="20"/>
        </w:rPr>
        <w:t xml:space="preserve"> </w:t>
      </w:r>
      <w:r w:rsidRPr="0079159E">
        <w:rPr>
          <w:rFonts w:ascii="Arial" w:hAnsi="Arial" w:cs="Arial"/>
          <w:sz w:val="20"/>
          <w:szCs w:val="20"/>
        </w:rPr>
        <w:t>the</w:t>
      </w:r>
      <w:r w:rsidR="00117B15" w:rsidRPr="0079159E">
        <w:rPr>
          <w:rFonts w:ascii="Arial" w:hAnsi="Arial" w:cs="Arial"/>
          <w:sz w:val="20"/>
          <w:szCs w:val="20"/>
        </w:rPr>
        <w:t>re was</w:t>
      </w:r>
      <w:r w:rsidR="005B5614" w:rsidRPr="0079159E">
        <w:rPr>
          <w:rFonts w:ascii="Arial" w:hAnsi="Arial" w:cs="Arial"/>
          <w:sz w:val="20"/>
          <w:szCs w:val="20"/>
        </w:rPr>
        <w:t xml:space="preserve"> </w:t>
      </w:r>
      <w:r w:rsidRPr="0079159E">
        <w:rPr>
          <w:rFonts w:ascii="Arial" w:hAnsi="Arial" w:cs="Arial"/>
          <w:sz w:val="20"/>
          <w:szCs w:val="20"/>
        </w:rPr>
        <w:t>a high utilization rate</w:t>
      </w:r>
      <w:r w:rsidR="00117B15" w:rsidRPr="0079159E">
        <w:rPr>
          <w:rFonts w:ascii="Arial" w:hAnsi="Arial" w:cs="Arial"/>
          <w:sz w:val="20"/>
          <w:szCs w:val="20"/>
        </w:rPr>
        <w:t xml:space="preserve"> of </w:t>
      </w:r>
      <w:proofErr w:type="spellStart"/>
      <w:r w:rsidR="00117B15" w:rsidRPr="0079159E">
        <w:rPr>
          <w:rFonts w:ascii="Arial" w:hAnsi="Arial" w:cs="Arial"/>
          <w:sz w:val="20"/>
          <w:szCs w:val="20"/>
        </w:rPr>
        <w:t>penicillins</w:t>
      </w:r>
      <w:proofErr w:type="spellEnd"/>
      <w:r w:rsidR="00117B15" w:rsidRPr="0079159E">
        <w:rPr>
          <w:rFonts w:ascii="Arial" w:hAnsi="Arial" w:cs="Arial"/>
          <w:sz w:val="20"/>
          <w:szCs w:val="20"/>
        </w:rPr>
        <w:t xml:space="preserve"> versus other antimicrobials</w:t>
      </w:r>
      <w:r w:rsidR="0021338E" w:rsidRPr="0079159E">
        <w:rPr>
          <w:rFonts w:ascii="Arial" w:hAnsi="Arial" w:cs="Arial"/>
          <w:sz w:val="20"/>
          <w:szCs w:val="20"/>
        </w:rPr>
        <w:t xml:space="preserve"> (Figure 1)</w:t>
      </w:r>
      <w:r w:rsidRPr="0079159E">
        <w:rPr>
          <w:rFonts w:ascii="Arial" w:hAnsi="Arial" w:cs="Arial"/>
          <w:sz w:val="20"/>
          <w:szCs w:val="20"/>
        </w:rPr>
        <w:t xml:space="preserve">.  This may be due to restrictions on second line antibiotics such as cephalosporins and </w:t>
      </w:r>
      <w:proofErr w:type="spellStart"/>
      <w:r w:rsidRPr="0079159E">
        <w:rPr>
          <w:rFonts w:ascii="Arial" w:hAnsi="Arial" w:cs="Arial"/>
          <w:sz w:val="20"/>
          <w:szCs w:val="20"/>
        </w:rPr>
        <w:t>fluroquinolones</w:t>
      </w:r>
      <w:proofErr w:type="spellEnd"/>
      <w:r w:rsidRPr="0079159E">
        <w:rPr>
          <w:rFonts w:ascii="Arial" w:hAnsi="Arial" w:cs="Arial"/>
          <w:sz w:val="20"/>
          <w:szCs w:val="20"/>
        </w:rPr>
        <w:t xml:space="preserve">. Antibiotic policies to optimize the use of </w:t>
      </w:r>
      <w:proofErr w:type="spellStart"/>
      <w:r w:rsidRPr="0079159E">
        <w:rPr>
          <w:rFonts w:ascii="Arial" w:hAnsi="Arial" w:cs="Arial"/>
          <w:sz w:val="20"/>
          <w:szCs w:val="20"/>
        </w:rPr>
        <w:t>penicillins</w:t>
      </w:r>
      <w:proofErr w:type="spellEnd"/>
      <w:r w:rsidRPr="0079159E">
        <w:rPr>
          <w:rFonts w:ascii="Arial" w:hAnsi="Arial" w:cs="Arial"/>
          <w:sz w:val="20"/>
          <w:szCs w:val="20"/>
        </w:rPr>
        <w:t xml:space="preserve"> also hel</w:t>
      </w:r>
      <w:r w:rsidR="00991101" w:rsidRPr="0079159E">
        <w:rPr>
          <w:rFonts w:ascii="Arial" w:hAnsi="Arial" w:cs="Arial"/>
          <w:sz w:val="20"/>
          <w:szCs w:val="20"/>
        </w:rPr>
        <w:t>p preserve newer antimicrobials [</w:t>
      </w:r>
      <w:r w:rsidRPr="0079159E">
        <w:rPr>
          <w:rFonts w:ascii="Arial" w:hAnsi="Arial" w:cs="Arial"/>
          <w:sz w:val="20"/>
          <w:szCs w:val="20"/>
        </w:rPr>
        <w:t>2</w:t>
      </w:r>
      <w:r w:rsidR="00416B89" w:rsidRPr="0079159E">
        <w:rPr>
          <w:rFonts w:ascii="Arial" w:hAnsi="Arial" w:cs="Arial"/>
          <w:sz w:val="20"/>
          <w:szCs w:val="20"/>
        </w:rPr>
        <w:t>3</w:t>
      </w:r>
      <w:r w:rsidR="00991101" w:rsidRPr="0079159E">
        <w:rPr>
          <w:rFonts w:ascii="Arial" w:hAnsi="Arial" w:cs="Arial"/>
          <w:sz w:val="20"/>
          <w:szCs w:val="20"/>
        </w:rPr>
        <w:t>].</w:t>
      </w:r>
      <w:r w:rsidRPr="0079159E">
        <w:rPr>
          <w:rFonts w:ascii="Arial" w:hAnsi="Arial" w:cs="Arial"/>
          <w:sz w:val="20"/>
          <w:szCs w:val="20"/>
        </w:rPr>
        <w:t xml:space="preserve"> However</w:t>
      </w:r>
      <w:r w:rsidR="00624AA9" w:rsidRPr="0079159E">
        <w:rPr>
          <w:rFonts w:ascii="Arial" w:hAnsi="Arial" w:cs="Arial"/>
          <w:sz w:val="20"/>
          <w:szCs w:val="20"/>
        </w:rPr>
        <w:t>,</w:t>
      </w:r>
      <w:r w:rsidR="00E51723" w:rsidRPr="0079159E">
        <w:rPr>
          <w:rFonts w:ascii="Arial" w:hAnsi="Arial" w:cs="Arial"/>
          <w:sz w:val="20"/>
          <w:szCs w:val="20"/>
        </w:rPr>
        <w:t xml:space="preserve"> care is needed as the</w:t>
      </w:r>
      <w:r w:rsidRPr="0079159E">
        <w:rPr>
          <w:rFonts w:ascii="Arial" w:hAnsi="Arial" w:cs="Arial"/>
          <w:sz w:val="20"/>
          <w:szCs w:val="20"/>
        </w:rPr>
        <w:t xml:space="preserve"> high use</w:t>
      </w:r>
      <w:r w:rsidR="00E51723" w:rsidRPr="0079159E">
        <w:rPr>
          <w:rFonts w:ascii="Arial" w:hAnsi="Arial" w:cs="Arial"/>
          <w:sz w:val="20"/>
          <w:szCs w:val="20"/>
        </w:rPr>
        <w:t xml:space="preserve"> of </w:t>
      </w:r>
      <w:proofErr w:type="spellStart"/>
      <w:r w:rsidR="00E51723" w:rsidRPr="0079159E">
        <w:rPr>
          <w:rFonts w:ascii="Arial" w:hAnsi="Arial" w:cs="Arial"/>
          <w:sz w:val="20"/>
          <w:szCs w:val="20"/>
        </w:rPr>
        <w:t>penicillins</w:t>
      </w:r>
      <w:proofErr w:type="spellEnd"/>
      <w:r w:rsidRPr="0079159E">
        <w:rPr>
          <w:rFonts w:ascii="Arial" w:hAnsi="Arial" w:cs="Arial"/>
          <w:sz w:val="20"/>
          <w:szCs w:val="20"/>
        </w:rPr>
        <w:t xml:space="preserve"> poses a risk </w:t>
      </w:r>
      <w:r w:rsidR="00416B89" w:rsidRPr="0079159E">
        <w:rPr>
          <w:rFonts w:ascii="Arial" w:hAnsi="Arial" w:cs="Arial"/>
          <w:sz w:val="20"/>
          <w:szCs w:val="20"/>
        </w:rPr>
        <w:t>to</w:t>
      </w:r>
      <w:r w:rsidRPr="0079159E">
        <w:rPr>
          <w:rFonts w:ascii="Arial" w:hAnsi="Arial" w:cs="Arial"/>
          <w:sz w:val="20"/>
          <w:szCs w:val="20"/>
        </w:rPr>
        <w:t xml:space="preserve"> the development of resistance </w:t>
      </w:r>
      <w:r w:rsidR="00416B89" w:rsidRPr="0079159E">
        <w:rPr>
          <w:rFonts w:ascii="Arial" w:hAnsi="Arial" w:cs="Arial"/>
          <w:sz w:val="20"/>
          <w:szCs w:val="20"/>
        </w:rPr>
        <w:t>including</w:t>
      </w:r>
      <w:r w:rsidRPr="0079159E">
        <w:rPr>
          <w:rFonts w:ascii="Arial" w:hAnsi="Arial" w:cs="Arial"/>
          <w:sz w:val="20"/>
          <w:szCs w:val="20"/>
        </w:rPr>
        <w:t xml:space="preserve"> methicillin resistant </w:t>
      </w:r>
      <w:r w:rsidRPr="0079159E">
        <w:rPr>
          <w:rFonts w:ascii="Arial" w:hAnsi="Arial" w:cs="Arial"/>
          <w:i/>
          <w:sz w:val="20"/>
          <w:szCs w:val="20"/>
        </w:rPr>
        <w:t xml:space="preserve">Staphylococcus aureus </w:t>
      </w:r>
      <w:r w:rsidR="00991101" w:rsidRPr="0079159E">
        <w:rPr>
          <w:rFonts w:ascii="Arial" w:hAnsi="Arial" w:cs="Arial"/>
          <w:sz w:val="20"/>
          <w:szCs w:val="20"/>
        </w:rPr>
        <w:t>(MRSA) [</w:t>
      </w:r>
      <w:r w:rsidRPr="0079159E">
        <w:rPr>
          <w:rFonts w:ascii="Arial" w:hAnsi="Arial" w:cs="Arial"/>
          <w:sz w:val="20"/>
          <w:szCs w:val="20"/>
        </w:rPr>
        <w:t>12,2</w:t>
      </w:r>
      <w:r w:rsidR="00416B89" w:rsidRPr="0079159E">
        <w:rPr>
          <w:rFonts w:ascii="Arial" w:hAnsi="Arial" w:cs="Arial"/>
          <w:sz w:val="20"/>
          <w:szCs w:val="20"/>
        </w:rPr>
        <w:t>3</w:t>
      </w:r>
      <w:r w:rsidR="00991101" w:rsidRPr="0079159E">
        <w:rPr>
          <w:rFonts w:ascii="Arial" w:hAnsi="Arial" w:cs="Arial"/>
          <w:sz w:val="20"/>
          <w:szCs w:val="20"/>
        </w:rPr>
        <w:t>].</w:t>
      </w:r>
      <w:r w:rsidRPr="0079159E">
        <w:rPr>
          <w:rFonts w:ascii="Arial" w:hAnsi="Arial" w:cs="Arial"/>
          <w:sz w:val="20"/>
          <w:szCs w:val="20"/>
          <w:vertAlign w:val="superscript"/>
        </w:rPr>
        <w:t xml:space="preserve"> </w:t>
      </w:r>
      <w:r w:rsidRPr="0079159E">
        <w:rPr>
          <w:rFonts w:ascii="Arial" w:hAnsi="Arial" w:cs="Arial"/>
          <w:sz w:val="20"/>
          <w:szCs w:val="20"/>
        </w:rPr>
        <w:t>Th</w:t>
      </w:r>
      <w:r w:rsidR="00416B89" w:rsidRPr="0079159E">
        <w:rPr>
          <w:rFonts w:ascii="Arial" w:hAnsi="Arial" w:cs="Arial"/>
          <w:sz w:val="20"/>
          <w:szCs w:val="20"/>
        </w:rPr>
        <w:t xml:space="preserve">e use of </w:t>
      </w:r>
      <w:proofErr w:type="spellStart"/>
      <w:r w:rsidR="00416B89" w:rsidRPr="0079159E">
        <w:rPr>
          <w:rFonts w:ascii="Arial" w:hAnsi="Arial" w:cs="Arial"/>
          <w:sz w:val="20"/>
          <w:szCs w:val="20"/>
        </w:rPr>
        <w:t>penicillins</w:t>
      </w:r>
      <w:proofErr w:type="spellEnd"/>
      <w:r w:rsidR="00416B89" w:rsidRPr="0079159E">
        <w:rPr>
          <w:rFonts w:ascii="Arial" w:hAnsi="Arial" w:cs="Arial"/>
          <w:sz w:val="20"/>
          <w:szCs w:val="20"/>
        </w:rPr>
        <w:t xml:space="preserve"> along with the appropriateness of the use of antibiotics</w:t>
      </w:r>
      <w:r w:rsidRPr="0079159E">
        <w:rPr>
          <w:rFonts w:ascii="Arial" w:hAnsi="Arial" w:cs="Arial"/>
          <w:sz w:val="20"/>
          <w:szCs w:val="20"/>
        </w:rPr>
        <w:t xml:space="preserve"> will </w:t>
      </w:r>
      <w:r w:rsidR="00416B89" w:rsidRPr="0079159E">
        <w:rPr>
          <w:rFonts w:ascii="Arial" w:hAnsi="Arial" w:cs="Arial"/>
          <w:sz w:val="20"/>
          <w:szCs w:val="20"/>
        </w:rPr>
        <w:t xml:space="preserve">now </w:t>
      </w:r>
      <w:r w:rsidRPr="0079159E">
        <w:rPr>
          <w:rFonts w:ascii="Arial" w:hAnsi="Arial" w:cs="Arial"/>
          <w:sz w:val="20"/>
          <w:szCs w:val="20"/>
        </w:rPr>
        <w:t xml:space="preserve">be monitored closely in </w:t>
      </w:r>
      <w:r w:rsidR="00416B89" w:rsidRPr="0079159E">
        <w:rPr>
          <w:rFonts w:ascii="Arial" w:hAnsi="Arial" w:cs="Arial"/>
          <w:sz w:val="20"/>
          <w:szCs w:val="20"/>
        </w:rPr>
        <w:t>DGMAH</w:t>
      </w:r>
      <w:r w:rsidRPr="0079159E">
        <w:rPr>
          <w:rFonts w:ascii="Arial" w:hAnsi="Arial" w:cs="Arial"/>
          <w:sz w:val="20"/>
          <w:szCs w:val="20"/>
        </w:rPr>
        <w:t>.</w:t>
      </w:r>
    </w:p>
    <w:p w14:paraId="53DF57E7" w14:textId="77777777" w:rsidR="00FA271B" w:rsidRPr="0079159E" w:rsidRDefault="00FA271B" w:rsidP="0079159E">
      <w:pPr>
        <w:pStyle w:val="NoSpacing1"/>
        <w:rPr>
          <w:rFonts w:ascii="Arial" w:hAnsi="Arial" w:cs="Arial"/>
          <w:sz w:val="20"/>
          <w:szCs w:val="20"/>
        </w:rPr>
      </w:pPr>
    </w:p>
    <w:p w14:paraId="3A3C2856" w14:textId="6E06A833" w:rsidR="00FA271B" w:rsidRPr="0079159E" w:rsidRDefault="00416B89" w:rsidP="0079159E">
      <w:pPr>
        <w:pStyle w:val="NoSpacing1"/>
        <w:rPr>
          <w:rFonts w:ascii="Arial" w:hAnsi="Arial" w:cs="Arial"/>
          <w:sz w:val="20"/>
          <w:szCs w:val="20"/>
        </w:rPr>
      </w:pPr>
      <w:r w:rsidRPr="0079159E">
        <w:rPr>
          <w:rFonts w:ascii="Arial" w:hAnsi="Arial" w:cs="Arial"/>
          <w:sz w:val="20"/>
          <w:szCs w:val="20"/>
        </w:rPr>
        <w:t>Encouragingly as well, t</w:t>
      </w:r>
      <w:r w:rsidR="00FA271B" w:rsidRPr="0079159E">
        <w:rPr>
          <w:rFonts w:ascii="Arial" w:hAnsi="Arial" w:cs="Arial"/>
          <w:sz w:val="20"/>
          <w:szCs w:val="20"/>
        </w:rPr>
        <w:t xml:space="preserve">he majority of antimicrobials prescribed </w:t>
      </w:r>
      <w:r w:rsidRPr="0079159E">
        <w:rPr>
          <w:rFonts w:ascii="Arial" w:hAnsi="Arial" w:cs="Arial"/>
          <w:sz w:val="20"/>
          <w:szCs w:val="20"/>
        </w:rPr>
        <w:t xml:space="preserve">(98%) </w:t>
      </w:r>
      <w:r w:rsidR="00FA271B" w:rsidRPr="0079159E">
        <w:rPr>
          <w:rFonts w:ascii="Arial" w:hAnsi="Arial" w:cs="Arial"/>
          <w:sz w:val="20"/>
          <w:szCs w:val="20"/>
        </w:rPr>
        <w:t xml:space="preserve">were medicines that were available as part of the EML.  </w:t>
      </w:r>
      <w:r w:rsidRPr="0079159E">
        <w:rPr>
          <w:rFonts w:ascii="Arial" w:hAnsi="Arial" w:cs="Arial"/>
          <w:sz w:val="20"/>
          <w:szCs w:val="20"/>
        </w:rPr>
        <w:t>This is higher than a study conducted in South Africa in 2003 (90%) [5</w:t>
      </w:r>
      <w:r w:rsidR="003D063F" w:rsidRPr="0079159E">
        <w:rPr>
          <w:rFonts w:ascii="Arial" w:hAnsi="Arial" w:cs="Arial"/>
          <w:sz w:val="20"/>
          <w:szCs w:val="20"/>
        </w:rPr>
        <w:t>7</w:t>
      </w:r>
      <w:r w:rsidRPr="0079159E">
        <w:rPr>
          <w:rFonts w:ascii="Arial" w:hAnsi="Arial" w:cs="Arial"/>
          <w:sz w:val="20"/>
          <w:szCs w:val="20"/>
        </w:rPr>
        <w:t xml:space="preserve">], reflecting that </w:t>
      </w:r>
      <w:r w:rsidR="00FA271B" w:rsidRPr="0079159E">
        <w:rPr>
          <w:rFonts w:ascii="Arial" w:hAnsi="Arial" w:cs="Arial"/>
          <w:sz w:val="20"/>
          <w:szCs w:val="20"/>
        </w:rPr>
        <w:t>S</w:t>
      </w:r>
      <w:r w:rsidRPr="0079159E">
        <w:rPr>
          <w:rFonts w:ascii="Arial" w:hAnsi="Arial" w:cs="Arial"/>
          <w:sz w:val="20"/>
          <w:szCs w:val="20"/>
        </w:rPr>
        <w:t>TGs</w:t>
      </w:r>
      <w:r w:rsidR="00FA271B" w:rsidRPr="0079159E">
        <w:rPr>
          <w:rFonts w:ascii="Arial" w:hAnsi="Arial" w:cs="Arial"/>
          <w:sz w:val="20"/>
          <w:szCs w:val="20"/>
        </w:rPr>
        <w:t xml:space="preserve"> and the EML</w:t>
      </w:r>
      <w:r w:rsidR="00BA3F26" w:rsidRPr="0079159E">
        <w:rPr>
          <w:rFonts w:ascii="Arial" w:hAnsi="Arial" w:cs="Arial"/>
          <w:sz w:val="20"/>
          <w:szCs w:val="20"/>
        </w:rPr>
        <w:t xml:space="preserve"> have been promoted for a number of years</w:t>
      </w:r>
      <w:r w:rsidR="00FA271B" w:rsidRPr="0079159E">
        <w:rPr>
          <w:rFonts w:ascii="Arial" w:hAnsi="Arial" w:cs="Arial"/>
          <w:sz w:val="20"/>
          <w:szCs w:val="20"/>
        </w:rPr>
        <w:t xml:space="preserve"> alongside support measures to promote prescribing according to these guidelines</w:t>
      </w:r>
      <w:r w:rsidR="00BA3F26" w:rsidRPr="0079159E">
        <w:rPr>
          <w:rFonts w:ascii="Arial" w:hAnsi="Arial" w:cs="Arial"/>
          <w:sz w:val="20"/>
          <w:szCs w:val="20"/>
        </w:rPr>
        <w:t xml:space="preserve"> </w:t>
      </w:r>
      <w:r w:rsidR="00991101" w:rsidRPr="0079159E">
        <w:rPr>
          <w:rFonts w:ascii="Arial" w:hAnsi="Arial" w:cs="Arial"/>
          <w:sz w:val="20"/>
          <w:szCs w:val="20"/>
        </w:rPr>
        <w:t>[</w:t>
      </w:r>
      <w:r w:rsidR="00F13C4B" w:rsidRPr="0079159E">
        <w:rPr>
          <w:rFonts w:ascii="Arial" w:hAnsi="Arial" w:cs="Arial"/>
          <w:sz w:val="20"/>
          <w:szCs w:val="20"/>
        </w:rPr>
        <w:t>34</w:t>
      </w:r>
      <w:r w:rsidR="00FA271B" w:rsidRPr="0079159E">
        <w:rPr>
          <w:rFonts w:ascii="Arial" w:hAnsi="Arial" w:cs="Arial"/>
          <w:sz w:val="20"/>
          <w:szCs w:val="20"/>
        </w:rPr>
        <w:t>,</w:t>
      </w:r>
      <w:r w:rsidR="00E568BE" w:rsidRPr="0079159E">
        <w:rPr>
          <w:rFonts w:ascii="Arial" w:hAnsi="Arial" w:cs="Arial"/>
          <w:sz w:val="20"/>
          <w:szCs w:val="20"/>
        </w:rPr>
        <w:t xml:space="preserve"> </w:t>
      </w:r>
      <w:r w:rsidR="00F13C4B" w:rsidRPr="0079159E">
        <w:rPr>
          <w:rFonts w:ascii="Arial" w:hAnsi="Arial" w:cs="Arial"/>
          <w:sz w:val="20"/>
          <w:szCs w:val="20"/>
        </w:rPr>
        <w:t>5</w:t>
      </w:r>
      <w:r w:rsidR="003D063F" w:rsidRPr="0079159E">
        <w:rPr>
          <w:rFonts w:ascii="Arial" w:hAnsi="Arial" w:cs="Arial"/>
          <w:sz w:val="20"/>
          <w:szCs w:val="20"/>
        </w:rPr>
        <w:t>7</w:t>
      </w:r>
      <w:r w:rsidR="00991101" w:rsidRPr="0079159E">
        <w:rPr>
          <w:rFonts w:ascii="Arial" w:hAnsi="Arial" w:cs="Arial"/>
          <w:sz w:val="20"/>
          <w:szCs w:val="20"/>
        </w:rPr>
        <w:t>].</w:t>
      </w:r>
      <w:r w:rsidR="00FA271B" w:rsidRPr="0079159E">
        <w:rPr>
          <w:rFonts w:ascii="Arial" w:hAnsi="Arial" w:cs="Arial"/>
          <w:sz w:val="20"/>
          <w:szCs w:val="20"/>
        </w:rPr>
        <w:t xml:space="preserve"> </w:t>
      </w:r>
      <w:r w:rsidR="005B5614" w:rsidRPr="0079159E">
        <w:rPr>
          <w:rFonts w:ascii="Arial" w:hAnsi="Arial" w:cs="Arial"/>
          <w:sz w:val="20"/>
          <w:szCs w:val="20"/>
        </w:rPr>
        <w:t>The p</w:t>
      </w:r>
      <w:r w:rsidR="00FA271B" w:rsidRPr="0079159E">
        <w:rPr>
          <w:rFonts w:ascii="Arial" w:hAnsi="Arial" w:cs="Arial"/>
          <w:sz w:val="20"/>
          <w:szCs w:val="20"/>
        </w:rPr>
        <w:t xml:space="preserve">rocurement of medicines in public </w:t>
      </w:r>
      <w:r w:rsidR="00972A72" w:rsidRPr="0079159E">
        <w:rPr>
          <w:rFonts w:ascii="Arial" w:hAnsi="Arial" w:cs="Arial"/>
          <w:sz w:val="20"/>
          <w:szCs w:val="20"/>
        </w:rPr>
        <w:t xml:space="preserve">sector </w:t>
      </w:r>
      <w:r w:rsidR="00FA271B" w:rsidRPr="0079159E">
        <w:rPr>
          <w:rFonts w:ascii="Arial" w:hAnsi="Arial" w:cs="Arial"/>
          <w:sz w:val="20"/>
          <w:szCs w:val="20"/>
        </w:rPr>
        <w:t>hospitals is highly influenced by national stan</w:t>
      </w:r>
      <w:r w:rsidR="00991101" w:rsidRPr="0079159E">
        <w:rPr>
          <w:rFonts w:ascii="Arial" w:hAnsi="Arial" w:cs="Arial"/>
          <w:sz w:val="20"/>
          <w:szCs w:val="20"/>
        </w:rPr>
        <w:t>dard guidelines such as the EML</w:t>
      </w:r>
      <w:r w:rsidR="00972A72" w:rsidRPr="0079159E">
        <w:rPr>
          <w:rFonts w:ascii="Arial" w:hAnsi="Arial" w:cs="Arial"/>
          <w:sz w:val="20"/>
          <w:szCs w:val="20"/>
        </w:rPr>
        <w:t>/ STGs</w:t>
      </w:r>
      <w:r w:rsidR="00991101" w:rsidRPr="0079159E">
        <w:rPr>
          <w:rFonts w:ascii="Arial" w:hAnsi="Arial" w:cs="Arial"/>
          <w:sz w:val="20"/>
          <w:szCs w:val="20"/>
        </w:rPr>
        <w:t xml:space="preserve"> [</w:t>
      </w:r>
      <w:r w:rsidR="00F13C4B" w:rsidRPr="0079159E">
        <w:rPr>
          <w:rFonts w:ascii="Arial" w:hAnsi="Arial" w:cs="Arial"/>
          <w:sz w:val="20"/>
          <w:szCs w:val="20"/>
        </w:rPr>
        <w:t>5</w:t>
      </w:r>
      <w:r w:rsidR="003D063F" w:rsidRPr="0079159E">
        <w:rPr>
          <w:rFonts w:ascii="Arial" w:hAnsi="Arial" w:cs="Arial"/>
          <w:sz w:val="20"/>
          <w:szCs w:val="20"/>
        </w:rPr>
        <w:t>7</w:t>
      </w:r>
      <w:r w:rsidR="00991101" w:rsidRPr="0079159E">
        <w:rPr>
          <w:rFonts w:ascii="Arial" w:hAnsi="Arial" w:cs="Arial"/>
          <w:sz w:val="20"/>
          <w:szCs w:val="20"/>
        </w:rPr>
        <w:t>]</w:t>
      </w:r>
      <w:r w:rsidR="00F13C4B" w:rsidRPr="0079159E">
        <w:rPr>
          <w:rFonts w:ascii="Arial" w:hAnsi="Arial" w:cs="Arial"/>
          <w:sz w:val="20"/>
          <w:szCs w:val="20"/>
        </w:rPr>
        <w:t xml:space="preserve"> resulting in</w:t>
      </w:r>
      <w:r w:rsidR="00FA271B" w:rsidRPr="0079159E">
        <w:rPr>
          <w:rFonts w:ascii="Arial" w:hAnsi="Arial" w:cs="Arial"/>
          <w:sz w:val="20"/>
          <w:szCs w:val="20"/>
        </w:rPr>
        <w:t xml:space="preserve"> the high compliance</w:t>
      </w:r>
      <w:r w:rsidR="00680EFB" w:rsidRPr="0079159E">
        <w:rPr>
          <w:rFonts w:ascii="Arial" w:hAnsi="Arial" w:cs="Arial"/>
          <w:sz w:val="20"/>
          <w:szCs w:val="20"/>
        </w:rPr>
        <w:t xml:space="preserve"> rates seen</w:t>
      </w:r>
      <w:r w:rsidR="00FA271B" w:rsidRPr="0079159E">
        <w:rPr>
          <w:rFonts w:ascii="Arial" w:hAnsi="Arial" w:cs="Arial"/>
          <w:sz w:val="20"/>
          <w:szCs w:val="20"/>
        </w:rPr>
        <w:t xml:space="preserve">. </w:t>
      </w:r>
      <w:r w:rsidR="00624AA9" w:rsidRPr="0079159E">
        <w:rPr>
          <w:rFonts w:ascii="Arial" w:hAnsi="Arial" w:cs="Arial"/>
          <w:sz w:val="20"/>
          <w:szCs w:val="20"/>
        </w:rPr>
        <w:t xml:space="preserve">However, </w:t>
      </w:r>
      <w:r w:rsidR="00F13C4B" w:rsidRPr="0079159E">
        <w:rPr>
          <w:rFonts w:ascii="Arial" w:hAnsi="Arial" w:cs="Arial"/>
          <w:sz w:val="20"/>
          <w:szCs w:val="20"/>
        </w:rPr>
        <w:t xml:space="preserve">as mentioned, </w:t>
      </w:r>
      <w:r w:rsidR="00624AA9" w:rsidRPr="0079159E">
        <w:rPr>
          <w:rFonts w:ascii="Arial" w:hAnsi="Arial" w:cs="Arial"/>
          <w:sz w:val="20"/>
          <w:szCs w:val="20"/>
        </w:rPr>
        <w:t xml:space="preserve">we will be looking more closely at </w:t>
      </w:r>
      <w:r w:rsidR="005B5614" w:rsidRPr="0079159E">
        <w:rPr>
          <w:rFonts w:ascii="Arial" w:hAnsi="Arial" w:cs="Arial"/>
          <w:sz w:val="20"/>
          <w:szCs w:val="20"/>
        </w:rPr>
        <w:t xml:space="preserve">the </w:t>
      </w:r>
      <w:r w:rsidR="00624AA9" w:rsidRPr="0079159E">
        <w:rPr>
          <w:rFonts w:ascii="Arial" w:hAnsi="Arial" w:cs="Arial"/>
          <w:sz w:val="20"/>
          <w:szCs w:val="20"/>
        </w:rPr>
        <w:t xml:space="preserve">use </w:t>
      </w:r>
      <w:r w:rsidR="00BA3F26" w:rsidRPr="0079159E">
        <w:rPr>
          <w:rFonts w:ascii="Arial" w:hAnsi="Arial" w:cs="Arial"/>
          <w:sz w:val="20"/>
          <w:szCs w:val="20"/>
        </w:rPr>
        <w:t xml:space="preserve">of antimicrobials </w:t>
      </w:r>
      <w:r w:rsidR="00624AA9" w:rsidRPr="0079159E">
        <w:rPr>
          <w:rFonts w:ascii="Arial" w:hAnsi="Arial" w:cs="Arial"/>
          <w:sz w:val="20"/>
          <w:szCs w:val="20"/>
        </w:rPr>
        <w:t xml:space="preserve">against STGs in this and other public </w:t>
      </w:r>
      <w:r w:rsidR="00972A72" w:rsidRPr="0079159E">
        <w:rPr>
          <w:rFonts w:ascii="Arial" w:hAnsi="Arial" w:cs="Arial"/>
          <w:sz w:val="20"/>
          <w:szCs w:val="20"/>
        </w:rPr>
        <w:t xml:space="preserve">sector </w:t>
      </w:r>
      <w:r w:rsidR="00624AA9" w:rsidRPr="0079159E">
        <w:rPr>
          <w:rFonts w:ascii="Arial" w:hAnsi="Arial" w:cs="Arial"/>
          <w:sz w:val="20"/>
          <w:szCs w:val="20"/>
        </w:rPr>
        <w:t xml:space="preserve">hospitals in SA in the future to help </w:t>
      </w:r>
      <w:r w:rsidR="00BA3F26" w:rsidRPr="0079159E">
        <w:rPr>
          <w:rFonts w:ascii="Arial" w:hAnsi="Arial" w:cs="Arial"/>
          <w:sz w:val="20"/>
          <w:szCs w:val="20"/>
        </w:rPr>
        <w:t>enhance their use as part of</w:t>
      </w:r>
      <w:r w:rsidR="00624AA9" w:rsidRPr="0079159E">
        <w:rPr>
          <w:rFonts w:ascii="Arial" w:hAnsi="Arial" w:cs="Arial"/>
          <w:sz w:val="20"/>
          <w:szCs w:val="20"/>
        </w:rPr>
        <w:t xml:space="preserve"> quality improvement </w:t>
      </w:r>
      <w:proofErr w:type="spellStart"/>
      <w:r w:rsidR="00624AA9" w:rsidRPr="0079159E">
        <w:rPr>
          <w:rFonts w:ascii="Arial" w:hAnsi="Arial" w:cs="Arial"/>
          <w:sz w:val="20"/>
          <w:szCs w:val="20"/>
        </w:rPr>
        <w:t>programmes</w:t>
      </w:r>
      <w:proofErr w:type="spellEnd"/>
      <w:r w:rsidR="00624AA9" w:rsidRPr="0079159E">
        <w:rPr>
          <w:rFonts w:ascii="Arial" w:hAnsi="Arial" w:cs="Arial"/>
          <w:sz w:val="20"/>
          <w:szCs w:val="20"/>
        </w:rPr>
        <w:t xml:space="preserve">. </w:t>
      </w:r>
      <w:r w:rsidR="005B5614" w:rsidRPr="0079159E">
        <w:rPr>
          <w:rFonts w:ascii="Arial" w:hAnsi="Arial" w:cs="Arial"/>
          <w:sz w:val="20"/>
          <w:szCs w:val="20"/>
        </w:rPr>
        <w:t xml:space="preserve">This will also include looking </w:t>
      </w:r>
      <w:r w:rsidR="00F13C4B" w:rsidRPr="0079159E">
        <w:rPr>
          <w:rFonts w:ascii="Arial" w:hAnsi="Arial" w:cs="Arial"/>
          <w:sz w:val="20"/>
          <w:szCs w:val="20"/>
        </w:rPr>
        <w:t xml:space="preserve">more closely </w:t>
      </w:r>
      <w:r w:rsidR="005B5614" w:rsidRPr="0079159E">
        <w:rPr>
          <w:rFonts w:ascii="Arial" w:hAnsi="Arial" w:cs="Arial"/>
          <w:sz w:val="20"/>
          <w:szCs w:val="20"/>
        </w:rPr>
        <w:t>at the use of antibiotics to prevent surgical site infections</w:t>
      </w:r>
      <w:r w:rsidR="00F13C4B" w:rsidRPr="0079159E">
        <w:rPr>
          <w:rFonts w:ascii="Arial" w:hAnsi="Arial" w:cs="Arial"/>
          <w:sz w:val="20"/>
          <w:szCs w:val="20"/>
        </w:rPr>
        <w:t>, including the length of prescribing,</w:t>
      </w:r>
      <w:r w:rsidR="005B5614" w:rsidRPr="0079159E">
        <w:rPr>
          <w:rFonts w:ascii="Arial" w:hAnsi="Arial" w:cs="Arial"/>
          <w:sz w:val="20"/>
          <w:szCs w:val="20"/>
        </w:rPr>
        <w:t xml:space="preserve"> given concerns in SA and </w:t>
      </w:r>
      <w:r w:rsidR="00972A72" w:rsidRPr="0079159E">
        <w:rPr>
          <w:rFonts w:ascii="Arial" w:hAnsi="Arial" w:cs="Arial"/>
          <w:sz w:val="20"/>
          <w:szCs w:val="20"/>
        </w:rPr>
        <w:t xml:space="preserve">in </w:t>
      </w:r>
      <w:r w:rsidR="00F13C4B" w:rsidRPr="0079159E">
        <w:rPr>
          <w:rFonts w:ascii="Arial" w:hAnsi="Arial" w:cs="Arial"/>
          <w:sz w:val="20"/>
          <w:szCs w:val="20"/>
        </w:rPr>
        <w:t>a number of sub-Saharan African countries</w:t>
      </w:r>
      <w:r w:rsidR="004F0B36" w:rsidRPr="0079159E">
        <w:rPr>
          <w:rFonts w:ascii="Arial" w:hAnsi="Arial" w:cs="Arial"/>
          <w:sz w:val="20"/>
          <w:szCs w:val="20"/>
        </w:rPr>
        <w:t xml:space="preserve"> [</w:t>
      </w:r>
      <w:r w:rsidR="00F13C4B" w:rsidRPr="0079159E">
        <w:rPr>
          <w:rFonts w:ascii="Arial" w:hAnsi="Arial" w:cs="Arial"/>
          <w:sz w:val="20"/>
          <w:szCs w:val="20"/>
        </w:rPr>
        <w:t>43,5</w:t>
      </w:r>
      <w:r w:rsidR="003D063F" w:rsidRPr="0079159E">
        <w:rPr>
          <w:rFonts w:ascii="Arial" w:hAnsi="Arial" w:cs="Arial"/>
          <w:sz w:val="20"/>
          <w:szCs w:val="20"/>
        </w:rPr>
        <w:t>8</w:t>
      </w:r>
      <w:r w:rsidR="00F13C4B" w:rsidRPr="0079159E">
        <w:rPr>
          <w:rFonts w:ascii="Arial" w:hAnsi="Arial" w:cs="Arial"/>
          <w:sz w:val="20"/>
          <w:szCs w:val="20"/>
        </w:rPr>
        <w:t>,5</w:t>
      </w:r>
      <w:r w:rsidR="003D063F" w:rsidRPr="0079159E">
        <w:rPr>
          <w:rFonts w:ascii="Arial" w:hAnsi="Arial" w:cs="Arial"/>
          <w:sz w:val="20"/>
          <w:szCs w:val="20"/>
        </w:rPr>
        <w:t>9</w:t>
      </w:r>
      <w:r w:rsidR="004F0B36" w:rsidRPr="0079159E">
        <w:rPr>
          <w:rFonts w:ascii="Arial" w:hAnsi="Arial" w:cs="Arial"/>
          <w:sz w:val="20"/>
          <w:szCs w:val="20"/>
        </w:rPr>
        <w:t>].</w:t>
      </w:r>
    </w:p>
    <w:p w14:paraId="30E448E7" w14:textId="77777777" w:rsidR="00FA271B" w:rsidRPr="0079159E" w:rsidRDefault="00FA271B" w:rsidP="0079159E">
      <w:pPr>
        <w:pStyle w:val="NoSpacing1"/>
        <w:rPr>
          <w:rFonts w:ascii="Arial" w:hAnsi="Arial" w:cs="Arial"/>
          <w:sz w:val="20"/>
          <w:szCs w:val="20"/>
        </w:rPr>
      </w:pPr>
    </w:p>
    <w:p w14:paraId="40CDA1B5" w14:textId="24319710" w:rsidR="00FA271B" w:rsidRPr="0079159E" w:rsidRDefault="00F13C4B" w:rsidP="0079159E">
      <w:pPr>
        <w:pStyle w:val="NoSpacing1"/>
        <w:rPr>
          <w:rFonts w:ascii="Arial" w:hAnsi="Arial" w:cs="Arial"/>
          <w:sz w:val="20"/>
          <w:szCs w:val="20"/>
        </w:rPr>
      </w:pPr>
      <w:r w:rsidRPr="0079159E">
        <w:rPr>
          <w:rFonts w:ascii="Arial" w:hAnsi="Arial" w:cs="Arial"/>
          <w:sz w:val="20"/>
          <w:szCs w:val="20"/>
        </w:rPr>
        <w:t>Of concern was that</w:t>
      </w:r>
      <w:r w:rsidR="00FA271B" w:rsidRPr="0079159E">
        <w:rPr>
          <w:rFonts w:ascii="Arial" w:hAnsi="Arial" w:cs="Arial"/>
          <w:sz w:val="20"/>
          <w:szCs w:val="20"/>
        </w:rPr>
        <w:t xml:space="preserve"> no antimicrobial was switched from IV to oral </w:t>
      </w:r>
      <w:r w:rsidRPr="0079159E">
        <w:rPr>
          <w:rFonts w:ascii="Arial" w:hAnsi="Arial" w:cs="Arial"/>
          <w:sz w:val="20"/>
          <w:szCs w:val="20"/>
        </w:rPr>
        <w:t xml:space="preserve">in our study </w:t>
      </w:r>
      <w:r w:rsidR="00FA271B" w:rsidRPr="0079159E">
        <w:rPr>
          <w:rFonts w:ascii="Arial" w:hAnsi="Arial" w:cs="Arial"/>
          <w:sz w:val="20"/>
          <w:szCs w:val="20"/>
        </w:rPr>
        <w:t xml:space="preserve">even if the patient had a stable GIT. This </w:t>
      </w:r>
      <w:r w:rsidRPr="0079159E">
        <w:rPr>
          <w:rFonts w:ascii="Arial" w:hAnsi="Arial" w:cs="Arial"/>
          <w:sz w:val="20"/>
          <w:szCs w:val="20"/>
        </w:rPr>
        <w:t xml:space="preserve">may be due to lack of confidence with oral antibiotics, and </w:t>
      </w:r>
      <w:r w:rsidR="00BA3F26" w:rsidRPr="0079159E">
        <w:rPr>
          <w:rFonts w:ascii="Arial" w:hAnsi="Arial" w:cs="Arial"/>
          <w:sz w:val="20"/>
          <w:szCs w:val="20"/>
        </w:rPr>
        <w:t xml:space="preserve">this </w:t>
      </w:r>
      <w:r w:rsidR="00FA271B" w:rsidRPr="0079159E">
        <w:rPr>
          <w:rFonts w:ascii="Arial" w:hAnsi="Arial" w:cs="Arial"/>
          <w:sz w:val="20"/>
          <w:szCs w:val="20"/>
        </w:rPr>
        <w:t xml:space="preserve">will </w:t>
      </w:r>
      <w:r w:rsidR="00BA3F26" w:rsidRPr="0079159E">
        <w:rPr>
          <w:rFonts w:ascii="Arial" w:hAnsi="Arial" w:cs="Arial"/>
          <w:sz w:val="20"/>
          <w:szCs w:val="20"/>
        </w:rPr>
        <w:t xml:space="preserve">also </w:t>
      </w:r>
      <w:r w:rsidR="00FA271B" w:rsidRPr="0079159E">
        <w:rPr>
          <w:rFonts w:ascii="Arial" w:hAnsi="Arial" w:cs="Arial"/>
          <w:sz w:val="20"/>
          <w:szCs w:val="20"/>
        </w:rPr>
        <w:t>be explored in future studies in view of the cost implications</w:t>
      </w:r>
      <w:r w:rsidRPr="0079159E">
        <w:rPr>
          <w:rFonts w:ascii="Arial" w:hAnsi="Arial" w:cs="Arial"/>
          <w:sz w:val="20"/>
          <w:szCs w:val="20"/>
        </w:rPr>
        <w:t xml:space="preserve"> </w:t>
      </w:r>
      <w:r w:rsidR="000B0F7E" w:rsidRPr="0079159E">
        <w:rPr>
          <w:rFonts w:ascii="Arial" w:hAnsi="Arial" w:cs="Arial"/>
          <w:sz w:val="20"/>
          <w:szCs w:val="20"/>
        </w:rPr>
        <w:t>and potential ways to address this [</w:t>
      </w:r>
      <w:r w:rsidR="003D063F" w:rsidRPr="0079159E">
        <w:rPr>
          <w:rFonts w:ascii="Arial" w:hAnsi="Arial" w:cs="Arial"/>
          <w:sz w:val="20"/>
          <w:szCs w:val="20"/>
        </w:rPr>
        <w:t>60</w:t>
      </w:r>
      <w:r w:rsidR="000B0F7E" w:rsidRPr="0079159E">
        <w:rPr>
          <w:rFonts w:ascii="Arial" w:hAnsi="Arial" w:cs="Arial"/>
          <w:sz w:val="20"/>
          <w:szCs w:val="20"/>
        </w:rPr>
        <w:t>-6</w:t>
      </w:r>
      <w:r w:rsidR="003D063F" w:rsidRPr="0079159E">
        <w:rPr>
          <w:rFonts w:ascii="Arial" w:hAnsi="Arial" w:cs="Arial"/>
          <w:sz w:val="20"/>
          <w:szCs w:val="20"/>
        </w:rPr>
        <w:t>3</w:t>
      </w:r>
      <w:r w:rsidR="000B0F7E" w:rsidRPr="0079159E">
        <w:rPr>
          <w:rFonts w:ascii="Arial" w:hAnsi="Arial" w:cs="Arial"/>
          <w:sz w:val="20"/>
          <w:szCs w:val="20"/>
        </w:rPr>
        <w:t>]</w:t>
      </w:r>
      <w:r w:rsidR="00FA271B" w:rsidRPr="0079159E">
        <w:rPr>
          <w:rFonts w:ascii="Arial" w:hAnsi="Arial" w:cs="Arial"/>
          <w:sz w:val="20"/>
          <w:szCs w:val="20"/>
        </w:rPr>
        <w:t>.</w:t>
      </w:r>
    </w:p>
    <w:p w14:paraId="56532C9B" w14:textId="77777777" w:rsidR="00954FCD" w:rsidRPr="0079159E" w:rsidRDefault="00954FCD" w:rsidP="0079159E">
      <w:pPr>
        <w:pStyle w:val="NoSpacing1"/>
        <w:rPr>
          <w:rFonts w:ascii="Arial" w:hAnsi="Arial" w:cs="Arial"/>
          <w:sz w:val="20"/>
          <w:szCs w:val="20"/>
        </w:rPr>
      </w:pPr>
    </w:p>
    <w:p w14:paraId="299AC635" w14:textId="77777777" w:rsidR="00FA271B" w:rsidRPr="0079159E" w:rsidRDefault="00FA271B" w:rsidP="0079159E">
      <w:pPr>
        <w:pStyle w:val="NoSpacing1"/>
        <w:rPr>
          <w:rFonts w:ascii="Arial" w:hAnsi="Arial" w:cs="Arial"/>
          <w:b/>
          <w:sz w:val="20"/>
          <w:szCs w:val="20"/>
        </w:rPr>
      </w:pPr>
      <w:r w:rsidRPr="0079159E">
        <w:rPr>
          <w:rFonts w:ascii="Arial" w:hAnsi="Arial" w:cs="Arial"/>
          <w:b/>
          <w:sz w:val="20"/>
          <w:szCs w:val="20"/>
        </w:rPr>
        <w:t>Limitations</w:t>
      </w:r>
    </w:p>
    <w:p w14:paraId="31B2B652" w14:textId="37B8BD0D" w:rsidR="00FA271B" w:rsidRPr="0079159E" w:rsidRDefault="000B0F7E" w:rsidP="0079159E">
      <w:pPr>
        <w:pStyle w:val="NoSpacing1"/>
        <w:rPr>
          <w:rFonts w:ascii="Arial" w:hAnsi="Arial" w:cs="Arial"/>
          <w:sz w:val="20"/>
          <w:szCs w:val="20"/>
        </w:rPr>
      </w:pPr>
      <w:r w:rsidRPr="0079159E">
        <w:rPr>
          <w:rFonts w:ascii="Arial" w:hAnsi="Arial" w:cs="Arial"/>
          <w:sz w:val="20"/>
          <w:szCs w:val="20"/>
        </w:rPr>
        <w:t>We are aware of a number of limitations with this study. Firstly, t</w:t>
      </w:r>
      <w:r w:rsidR="00FA271B" w:rsidRPr="0079159E">
        <w:rPr>
          <w:rFonts w:ascii="Arial" w:hAnsi="Arial" w:cs="Arial"/>
          <w:sz w:val="20"/>
          <w:szCs w:val="20"/>
        </w:rPr>
        <w:t xml:space="preserve">he accuracy of the </w:t>
      </w:r>
      <w:r w:rsidRPr="0079159E">
        <w:rPr>
          <w:rFonts w:ascii="Arial" w:hAnsi="Arial" w:cs="Arial"/>
          <w:sz w:val="20"/>
          <w:szCs w:val="20"/>
        </w:rPr>
        <w:t>findings</w:t>
      </w:r>
      <w:r w:rsidR="00FA271B" w:rsidRPr="0079159E">
        <w:rPr>
          <w:rFonts w:ascii="Arial" w:hAnsi="Arial" w:cs="Arial"/>
          <w:sz w:val="20"/>
          <w:szCs w:val="20"/>
        </w:rPr>
        <w:t xml:space="preserve"> depends on the accuracy of the documentation in the patient’s files as this was not an interventional survey</w:t>
      </w:r>
      <w:r w:rsidRPr="0079159E">
        <w:rPr>
          <w:rFonts w:ascii="Arial" w:hAnsi="Arial" w:cs="Arial"/>
          <w:sz w:val="20"/>
          <w:szCs w:val="20"/>
        </w:rPr>
        <w:t xml:space="preserve"> with no patient, nurse of physician contact for clarification or additional information</w:t>
      </w:r>
      <w:r w:rsidR="00FA271B" w:rsidRPr="0079159E">
        <w:rPr>
          <w:rFonts w:ascii="Arial" w:hAnsi="Arial" w:cs="Arial"/>
          <w:sz w:val="20"/>
          <w:szCs w:val="20"/>
        </w:rPr>
        <w:t>. The use of data collectors had a positive impact in accelerating the process of data collection</w:t>
      </w:r>
      <w:r w:rsidR="004F0B36" w:rsidRPr="0079159E">
        <w:rPr>
          <w:rFonts w:ascii="Arial" w:hAnsi="Arial" w:cs="Arial"/>
          <w:sz w:val="20"/>
          <w:szCs w:val="20"/>
        </w:rPr>
        <w:t>;</w:t>
      </w:r>
      <w:r w:rsidR="00FA271B" w:rsidRPr="0079159E">
        <w:rPr>
          <w:rFonts w:ascii="Arial" w:hAnsi="Arial" w:cs="Arial"/>
          <w:sz w:val="20"/>
          <w:szCs w:val="20"/>
        </w:rPr>
        <w:t xml:space="preserve"> however, they had to be continuously monitored and </w:t>
      </w:r>
      <w:r w:rsidR="003D063F" w:rsidRPr="0079159E">
        <w:rPr>
          <w:rFonts w:ascii="Arial" w:hAnsi="Arial" w:cs="Arial"/>
          <w:sz w:val="20"/>
          <w:szCs w:val="20"/>
        </w:rPr>
        <w:t xml:space="preserve">the </w:t>
      </w:r>
      <w:r w:rsidR="00FA271B" w:rsidRPr="0079159E">
        <w:rPr>
          <w:rFonts w:ascii="Arial" w:hAnsi="Arial" w:cs="Arial"/>
          <w:sz w:val="20"/>
          <w:szCs w:val="20"/>
        </w:rPr>
        <w:t xml:space="preserve">data collected was greatly influenced by their accuracy and level of commitment. Variables such as hospital or community acquired infections were </w:t>
      </w:r>
      <w:r w:rsidR="00027CA1" w:rsidRPr="0079159E">
        <w:rPr>
          <w:rFonts w:ascii="Arial" w:hAnsi="Arial" w:cs="Arial"/>
          <w:sz w:val="20"/>
          <w:szCs w:val="20"/>
        </w:rPr>
        <w:t xml:space="preserve">also </w:t>
      </w:r>
      <w:r w:rsidR="00FA271B" w:rsidRPr="0079159E">
        <w:rPr>
          <w:rFonts w:ascii="Arial" w:hAnsi="Arial" w:cs="Arial"/>
          <w:sz w:val="20"/>
          <w:szCs w:val="20"/>
        </w:rPr>
        <w:t xml:space="preserve">not clear cut. </w:t>
      </w:r>
    </w:p>
    <w:p w14:paraId="3009442D" w14:textId="77777777" w:rsidR="00FA271B" w:rsidRPr="0079159E" w:rsidRDefault="00FA271B" w:rsidP="0079159E">
      <w:pPr>
        <w:pStyle w:val="NoSpacing1"/>
        <w:rPr>
          <w:rFonts w:ascii="Arial" w:hAnsi="Arial" w:cs="Arial"/>
          <w:sz w:val="20"/>
          <w:szCs w:val="20"/>
        </w:rPr>
      </w:pPr>
    </w:p>
    <w:p w14:paraId="6E894AC3" w14:textId="1FD1CB5E" w:rsidR="00FA271B" w:rsidRPr="0079159E" w:rsidRDefault="00FA271B" w:rsidP="0079159E">
      <w:pPr>
        <w:pStyle w:val="NoSpacing1"/>
        <w:rPr>
          <w:rFonts w:ascii="Arial" w:hAnsi="Arial" w:cs="Arial"/>
          <w:sz w:val="20"/>
          <w:szCs w:val="20"/>
        </w:rPr>
      </w:pPr>
      <w:r w:rsidRPr="0079159E">
        <w:rPr>
          <w:rFonts w:ascii="Arial" w:hAnsi="Arial" w:cs="Arial"/>
          <w:sz w:val="20"/>
          <w:szCs w:val="20"/>
        </w:rPr>
        <w:t xml:space="preserve">In addition, we are aware that the results presented on this study were obtained from one public hospital in the country and any generalization to all public sector hospitals in SA based on these results </w:t>
      </w:r>
      <w:r w:rsidR="00B55E21" w:rsidRPr="0079159E">
        <w:rPr>
          <w:rFonts w:ascii="Arial" w:hAnsi="Arial" w:cs="Arial"/>
          <w:sz w:val="20"/>
          <w:szCs w:val="20"/>
        </w:rPr>
        <w:t>is</w:t>
      </w:r>
      <w:r w:rsidRPr="0079159E">
        <w:rPr>
          <w:rFonts w:ascii="Arial" w:hAnsi="Arial" w:cs="Arial"/>
          <w:sz w:val="20"/>
          <w:szCs w:val="20"/>
        </w:rPr>
        <w:t xml:space="preserve"> not possible. However, this </w:t>
      </w:r>
      <w:r w:rsidR="000B0F7E" w:rsidRPr="0079159E">
        <w:rPr>
          <w:rFonts w:ascii="Arial" w:hAnsi="Arial" w:cs="Arial"/>
          <w:sz w:val="20"/>
          <w:szCs w:val="20"/>
        </w:rPr>
        <w:t xml:space="preserve">was not the primary aim of this study. Having said this, DGMAH </w:t>
      </w:r>
      <w:r w:rsidRPr="0079159E">
        <w:rPr>
          <w:rFonts w:ascii="Arial" w:hAnsi="Arial" w:cs="Arial"/>
          <w:sz w:val="20"/>
          <w:szCs w:val="20"/>
        </w:rPr>
        <w:t>is a leading public sector hospital in South Africa and the findings c</w:t>
      </w:r>
      <w:r w:rsidR="000B0F7E" w:rsidRPr="0079159E">
        <w:rPr>
          <w:rFonts w:ascii="Arial" w:hAnsi="Arial" w:cs="Arial"/>
          <w:sz w:val="20"/>
          <w:szCs w:val="20"/>
        </w:rPr>
        <w:t>ould potentially</w:t>
      </w:r>
      <w:r w:rsidRPr="0079159E">
        <w:rPr>
          <w:rFonts w:ascii="Arial" w:hAnsi="Arial" w:cs="Arial"/>
          <w:sz w:val="20"/>
          <w:szCs w:val="20"/>
        </w:rPr>
        <w:t xml:space="preserve"> be used to suggest improvement </w:t>
      </w:r>
      <w:proofErr w:type="spellStart"/>
      <w:r w:rsidRPr="0079159E">
        <w:rPr>
          <w:rFonts w:ascii="Arial" w:hAnsi="Arial" w:cs="Arial"/>
          <w:sz w:val="20"/>
          <w:szCs w:val="20"/>
        </w:rPr>
        <w:t>programmes</w:t>
      </w:r>
      <w:proofErr w:type="spellEnd"/>
      <w:r w:rsidRPr="0079159E">
        <w:rPr>
          <w:rFonts w:ascii="Arial" w:hAnsi="Arial" w:cs="Arial"/>
          <w:sz w:val="20"/>
          <w:szCs w:val="20"/>
        </w:rPr>
        <w:t xml:space="preserve"> in this and other hospitals in S</w:t>
      </w:r>
      <w:r w:rsidR="00B55E21" w:rsidRPr="0079159E">
        <w:rPr>
          <w:rFonts w:ascii="Arial" w:hAnsi="Arial" w:cs="Arial"/>
          <w:sz w:val="20"/>
          <w:szCs w:val="20"/>
        </w:rPr>
        <w:t>A</w:t>
      </w:r>
      <w:r w:rsidRPr="0079159E">
        <w:rPr>
          <w:rFonts w:ascii="Arial" w:hAnsi="Arial" w:cs="Arial"/>
          <w:sz w:val="20"/>
          <w:szCs w:val="20"/>
        </w:rPr>
        <w:t>.</w:t>
      </w:r>
    </w:p>
    <w:p w14:paraId="24060192" w14:textId="77777777" w:rsidR="00FA271B" w:rsidRPr="0079159E" w:rsidRDefault="00FA271B" w:rsidP="0079159E">
      <w:pPr>
        <w:pStyle w:val="NoSpacing1"/>
        <w:rPr>
          <w:rFonts w:ascii="Arial" w:hAnsi="Arial" w:cs="Arial"/>
          <w:sz w:val="20"/>
          <w:szCs w:val="20"/>
        </w:rPr>
      </w:pPr>
    </w:p>
    <w:p w14:paraId="1576F2B7" w14:textId="6BDB8C4C" w:rsidR="00FA271B" w:rsidRPr="0079159E" w:rsidRDefault="0079159E" w:rsidP="0079159E">
      <w:pPr>
        <w:pStyle w:val="NoSpacing1"/>
        <w:rPr>
          <w:rFonts w:ascii="Arial" w:hAnsi="Arial" w:cs="Arial"/>
          <w:b/>
          <w:sz w:val="20"/>
          <w:szCs w:val="20"/>
        </w:rPr>
      </w:pPr>
      <w:r>
        <w:rPr>
          <w:rFonts w:ascii="Arial" w:hAnsi="Arial" w:cs="Arial"/>
          <w:b/>
          <w:sz w:val="20"/>
          <w:szCs w:val="20"/>
        </w:rPr>
        <w:t xml:space="preserve">5. </w:t>
      </w:r>
      <w:r w:rsidR="00FA271B" w:rsidRPr="0079159E">
        <w:rPr>
          <w:rFonts w:ascii="Arial" w:hAnsi="Arial" w:cs="Arial"/>
          <w:b/>
          <w:sz w:val="20"/>
          <w:szCs w:val="20"/>
        </w:rPr>
        <w:t>Conclusion</w:t>
      </w:r>
    </w:p>
    <w:p w14:paraId="0F4A248F" w14:textId="6F015FB1" w:rsidR="00FA271B" w:rsidRPr="0079159E" w:rsidRDefault="0041496D" w:rsidP="0079159E">
      <w:pPr>
        <w:pStyle w:val="NoSpacing1"/>
        <w:rPr>
          <w:rFonts w:ascii="Arial" w:hAnsi="Arial" w:cs="Arial"/>
          <w:sz w:val="20"/>
          <w:szCs w:val="20"/>
        </w:rPr>
      </w:pPr>
      <w:r w:rsidRPr="0079159E">
        <w:rPr>
          <w:rFonts w:ascii="Arial" w:hAnsi="Arial" w:cs="Arial"/>
          <w:sz w:val="20"/>
          <w:szCs w:val="20"/>
        </w:rPr>
        <w:t xml:space="preserve">The PPS design is appropriate for collecting data on current antimicrobial use within public </w:t>
      </w:r>
      <w:r w:rsidR="007D0B57" w:rsidRPr="0079159E">
        <w:rPr>
          <w:rFonts w:ascii="Arial" w:hAnsi="Arial" w:cs="Arial"/>
          <w:sz w:val="20"/>
          <w:szCs w:val="20"/>
        </w:rPr>
        <w:t xml:space="preserve">sector </w:t>
      </w:r>
      <w:r w:rsidRPr="0079159E">
        <w:rPr>
          <w:rFonts w:ascii="Arial" w:hAnsi="Arial" w:cs="Arial"/>
          <w:sz w:val="20"/>
          <w:szCs w:val="20"/>
        </w:rPr>
        <w:t xml:space="preserve">hospitals in SA. </w:t>
      </w:r>
      <w:r w:rsidR="000B0F7E" w:rsidRPr="0079159E">
        <w:rPr>
          <w:rFonts w:ascii="Arial" w:hAnsi="Arial" w:cs="Arial"/>
          <w:sz w:val="20"/>
          <w:szCs w:val="20"/>
        </w:rPr>
        <w:t>Encouragingly, there was high use of antimicrobials contained with national EMLs</w:t>
      </w:r>
      <w:r w:rsidR="007D0B57" w:rsidRPr="0079159E">
        <w:rPr>
          <w:rFonts w:ascii="Arial" w:hAnsi="Arial" w:cs="Arial"/>
          <w:sz w:val="20"/>
          <w:szCs w:val="20"/>
        </w:rPr>
        <w:t xml:space="preserve">/ </w:t>
      </w:r>
      <w:r w:rsidR="000B0F7E" w:rsidRPr="0079159E">
        <w:rPr>
          <w:rFonts w:ascii="Arial" w:hAnsi="Arial" w:cs="Arial"/>
          <w:sz w:val="20"/>
          <w:szCs w:val="20"/>
        </w:rPr>
        <w:t>STGs. In addition, t</w:t>
      </w:r>
      <w:r w:rsidR="00FA271B" w:rsidRPr="0079159E">
        <w:rPr>
          <w:rFonts w:ascii="Arial" w:hAnsi="Arial" w:cs="Arial"/>
          <w:sz w:val="20"/>
          <w:szCs w:val="20"/>
        </w:rPr>
        <w:t xml:space="preserve">he results showed a high use of broad spectrum </w:t>
      </w:r>
      <w:proofErr w:type="spellStart"/>
      <w:r w:rsidR="00FA271B" w:rsidRPr="0079159E">
        <w:rPr>
          <w:rFonts w:ascii="Arial" w:hAnsi="Arial" w:cs="Arial"/>
          <w:sz w:val="20"/>
          <w:szCs w:val="20"/>
        </w:rPr>
        <w:t>penicillins</w:t>
      </w:r>
      <w:proofErr w:type="spellEnd"/>
      <w:r w:rsidR="00FA271B" w:rsidRPr="0079159E">
        <w:rPr>
          <w:rFonts w:ascii="Arial" w:hAnsi="Arial" w:cs="Arial"/>
          <w:sz w:val="20"/>
          <w:szCs w:val="20"/>
        </w:rPr>
        <w:t xml:space="preserve"> and low use of restricted or newer antimicrobials (e. g carbapenems)</w:t>
      </w:r>
      <w:r w:rsidR="00027CA1" w:rsidRPr="0079159E">
        <w:rPr>
          <w:rFonts w:ascii="Arial" w:hAnsi="Arial" w:cs="Arial"/>
          <w:sz w:val="20"/>
          <w:szCs w:val="20"/>
        </w:rPr>
        <w:t>,</w:t>
      </w:r>
      <w:r w:rsidR="00FA271B" w:rsidRPr="0079159E">
        <w:rPr>
          <w:rFonts w:ascii="Arial" w:hAnsi="Arial" w:cs="Arial"/>
          <w:sz w:val="20"/>
          <w:szCs w:val="20"/>
        </w:rPr>
        <w:t xml:space="preserve"> which is encouraging. </w:t>
      </w:r>
      <w:r w:rsidR="000B0F7E" w:rsidRPr="0079159E">
        <w:rPr>
          <w:rFonts w:ascii="Arial" w:hAnsi="Arial" w:cs="Arial"/>
          <w:sz w:val="20"/>
          <w:szCs w:val="20"/>
        </w:rPr>
        <w:t>CST results were also acted on in the majority of situations</w:t>
      </w:r>
      <w:r w:rsidR="00FA271B" w:rsidRPr="0079159E">
        <w:rPr>
          <w:rFonts w:ascii="Arial" w:hAnsi="Arial" w:cs="Arial"/>
          <w:sz w:val="20"/>
          <w:szCs w:val="20"/>
        </w:rPr>
        <w:t>. However, there is a concern with the lack of IV to oral switching</w:t>
      </w:r>
      <w:r w:rsidR="00B55E21" w:rsidRPr="0079159E">
        <w:rPr>
          <w:rFonts w:ascii="Arial" w:hAnsi="Arial" w:cs="Arial"/>
          <w:sz w:val="20"/>
          <w:szCs w:val="20"/>
        </w:rPr>
        <w:t>,</w:t>
      </w:r>
      <w:r w:rsidR="00FA271B" w:rsidRPr="0079159E">
        <w:rPr>
          <w:rFonts w:ascii="Arial" w:hAnsi="Arial" w:cs="Arial"/>
          <w:sz w:val="20"/>
          <w:szCs w:val="20"/>
        </w:rPr>
        <w:t xml:space="preserve"> and that not all suitable patients have CST and not all results are acted upon. These are suggested quality improvement </w:t>
      </w:r>
      <w:proofErr w:type="spellStart"/>
      <w:r w:rsidR="00FA271B" w:rsidRPr="0079159E">
        <w:rPr>
          <w:rFonts w:ascii="Arial" w:hAnsi="Arial" w:cs="Arial"/>
          <w:sz w:val="20"/>
          <w:szCs w:val="20"/>
        </w:rPr>
        <w:t>programmes</w:t>
      </w:r>
      <w:proofErr w:type="spellEnd"/>
      <w:r w:rsidR="00FA271B" w:rsidRPr="0079159E">
        <w:rPr>
          <w:rFonts w:ascii="Arial" w:hAnsi="Arial" w:cs="Arial"/>
          <w:sz w:val="20"/>
          <w:szCs w:val="20"/>
        </w:rPr>
        <w:t xml:space="preserve"> for the future</w:t>
      </w:r>
      <w:r w:rsidR="000B0F7E" w:rsidRPr="0079159E">
        <w:rPr>
          <w:rFonts w:ascii="Arial" w:hAnsi="Arial" w:cs="Arial"/>
          <w:sz w:val="20"/>
          <w:szCs w:val="20"/>
        </w:rPr>
        <w:t>.</w:t>
      </w:r>
    </w:p>
    <w:p w14:paraId="22C0166D" w14:textId="453961C8" w:rsidR="00FA271B" w:rsidRPr="0079159E" w:rsidRDefault="000B0F7E" w:rsidP="0079159E">
      <w:pPr>
        <w:pStyle w:val="NoSpacing1"/>
        <w:rPr>
          <w:rFonts w:ascii="Arial" w:hAnsi="Arial" w:cs="Arial"/>
          <w:sz w:val="20"/>
          <w:szCs w:val="20"/>
        </w:rPr>
      </w:pPr>
      <w:r w:rsidRPr="0079159E">
        <w:rPr>
          <w:rFonts w:ascii="Arial" w:hAnsi="Arial" w:cs="Arial"/>
          <w:sz w:val="20"/>
          <w:szCs w:val="20"/>
        </w:rPr>
        <w:t xml:space="preserve">There was </w:t>
      </w:r>
      <w:r w:rsidR="0041496D" w:rsidRPr="0079159E">
        <w:rPr>
          <w:rFonts w:ascii="Arial" w:hAnsi="Arial" w:cs="Arial"/>
          <w:sz w:val="20"/>
          <w:szCs w:val="20"/>
        </w:rPr>
        <w:t xml:space="preserve">also a </w:t>
      </w:r>
      <w:r w:rsidRPr="0079159E">
        <w:rPr>
          <w:rFonts w:ascii="Arial" w:hAnsi="Arial" w:cs="Arial"/>
          <w:sz w:val="20"/>
          <w:szCs w:val="20"/>
        </w:rPr>
        <w:t>concern a</w:t>
      </w:r>
      <w:r w:rsidR="00C50971" w:rsidRPr="0079159E">
        <w:rPr>
          <w:rFonts w:ascii="Arial" w:hAnsi="Arial" w:cs="Arial"/>
          <w:sz w:val="20"/>
          <w:szCs w:val="20"/>
        </w:rPr>
        <w:t>bout</w:t>
      </w:r>
      <w:r w:rsidRPr="0079159E">
        <w:rPr>
          <w:rFonts w:ascii="Arial" w:hAnsi="Arial" w:cs="Arial"/>
          <w:sz w:val="20"/>
          <w:szCs w:val="20"/>
        </w:rPr>
        <w:t xml:space="preserve"> the length of time to survey each patient and enter the findings onto standardized forms for analysis.</w:t>
      </w:r>
      <w:r w:rsidR="007D0B57" w:rsidRPr="0079159E">
        <w:rPr>
          <w:rFonts w:ascii="Arial" w:hAnsi="Arial" w:cs="Arial"/>
          <w:sz w:val="20"/>
          <w:szCs w:val="20"/>
        </w:rPr>
        <w:t xml:space="preserve"> </w:t>
      </w:r>
      <w:r w:rsidR="00FA271B" w:rsidRPr="0079159E">
        <w:rPr>
          <w:rFonts w:ascii="Arial" w:hAnsi="Arial" w:cs="Arial"/>
          <w:sz w:val="20"/>
          <w:szCs w:val="20"/>
        </w:rPr>
        <w:t xml:space="preserve">Further work is </w:t>
      </w:r>
      <w:r w:rsidR="0041496D" w:rsidRPr="0079159E">
        <w:rPr>
          <w:rFonts w:ascii="Arial" w:hAnsi="Arial" w:cs="Arial"/>
          <w:sz w:val="20"/>
          <w:szCs w:val="20"/>
        </w:rPr>
        <w:t xml:space="preserve">now </w:t>
      </w:r>
      <w:r w:rsidRPr="0079159E">
        <w:rPr>
          <w:rFonts w:ascii="Arial" w:hAnsi="Arial" w:cs="Arial"/>
          <w:sz w:val="20"/>
          <w:szCs w:val="20"/>
        </w:rPr>
        <w:t>ongoing</w:t>
      </w:r>
      <w:r w:rsidR="00FA271B" w:rsidRPr="0079159E">
        <w:rPr>
          <w:rFonts w:ascii="Arial" w:hAnsi="Arial" w:cs="Arial"/>
          <w:sz w:val="20"/>
          <w:szCs w:val="20"/>
        </w:rPr>
        <w:t xml:space="preserve"> develop</w:t>
      </w:r>
      <w:r w:rsidRPr="0079159E">
        <w:rPr>
          <w:rFonts w:ascii="Arial" w:hAnsi="Arial" w:cs="Arial"/>
          <w:sz w:val="20"/>
          <w:szCs w:val="20"/>
        </w:rPr>
        <w:t>ing</w:t>
      </w:r>
      <w:r w:rsidR="00FA271B" w:rsidRPr="0079159E">
        <w:rPr>
          <w:rFonts w:ascii="Arial" w:hAnsi="Arial" w:cs="Arial"/>
          <w:sz w:val="20"/>
          <w:szCs w:val="20"/>
        </w:rPr>
        <w:t xml:space="preserve"> a </w:t>
      </w:r>
      <w:proofErr w:type="spellStart"/>
      <w:r w:rsidR="00FA271B" w:rsidRPr="0079159E">
        <w:rPr>
          <w:rFonts w:ascii="Arial" w:hAnsi="Arial" w:cs="Arial"/>
          <w:sz w:val="20"/>
          <w:szCs w:val="20"/>
        </w:rPr>
        <w:t>standard</w:t>
      </w:r>
      <w:r w:rsidRPr="0079159E">
        <w:rPr>
          <w:rFonts w:ascii="Arial" w:hAnsi="Arial" w:cs="Arial"/>
          <w:sz w:val="20"/>
          <w:szCs w:val="20"/>
        </w:rPr>
        <w:t>ised</w:t>
      </w:r>
      <w:proofErr w:type="spellEnd"/>
      <w:r w:rsidR="00FA271B" w:rsidRPr="0079159E">
        <w:rPr>
          <w:rFonts w:ascii="Arial" w:hAnsi="Arial" w:cs="Arial"/>
          <w:sz w:val="20"/>
          <w:szCs w:val="20"/>
        </w:rPr>
        <w:t xml:space="preserve"> data collection tool for such surveys </w:t>
      </w:r>
      <w:r w:rsidRPr="0079159E">
        <w:rPr>
          <w:rFonts w:ascii="Arial" w:hAnsi="Arial" w:cs="Arial"/>
          <w:sz w:val="20"/>
          <w:szCs w:val="20"/>
        </w:rPr>
        <w:t xml:space="preserve">using </w:t>
      </w:r>
      <w:r w:rsidR="00FA271B" w:rsidRPr="0079159E">
        <w:rPr>
          <w:rFonts w:ascii="Arial" w:hAnsi="Arial" w:cs="Arial"/>
          <w:sz w:val="20"/>
          <w:szCs w:val="20"/>
        </w:rPr>
        <w:t>a web-based application</w:t>
      </w:r>
      <w:r w:rsidR="0041496D" w:rsidRPr="0079159E">
        <w:rPr>
          <w:rFonts w:ascii="Arial" w:hAnsi="Arial" w:cs="Arial"/>
          <w:sz w:val="20"/>
          <w:szCs w:val="20"/>
        </w:rPr>
        <w:t xml:space="preserve"> to address this concern</w:t>
      </w:r>
      <w:r w:rsidR="00C50971" w:rsidRPr="0079159E">
        <w:rPr>
          <w:rFonts w:ascii="Arial" w:hAnsi="Arial" w:cs="Arial"/>
          <w:sz w:val="20"/>
          <w:szCs w:val="20"/>
        </w:rPr>
        <w:t>. T</w:t>
      </w:r>
      <w:r w:rsidRPr="0079159E">
        <w:rPr>
          <w:rFonts w:ascii="Arial" w:hAnsi="Arial" w:cs="Arial"/>
          <w:sz w:val="20"/>
          <w:szCs w:val="20"/>
        </w:rPr>
        <w:t>he</w:t>
      </w:r>
      <w:r w:rsidR="00C50971" w:rsidRPr="0079159E">
        <w:rPr>
          <w:rFonts w:ascii="Arial" w:hAnsi="Arial" w:cs="Arial"/>
          <w:sz w:val="20"/>
          <w:szCs w:val="20"/>
        </w:rPr>
        <w:t>se</w:t>
      </w:r>
      <w:r w:rsidRPr="0079159E">
        <w:rPr>
          <w:rFonts w:ascii="Arial" w:hAnsi="Arial" w:cs="Arial"/>
          <w:sz w:val="20"/>
          <w:szCs w:val="20"/>
        </w:rPr>
        <w:t xml:space="preserve"> findings will be reported in the future</w:t>
      </w:r>
      <w:r w:rsidR="00FA271B" w:rsidRPr="0079159E">
        <w:rPr>
          <w:rFonts w:ascii="Arial" w:hAnsi="Arial" w:cs="Arial"/>
          <w:sz w:val="20"/>
          <w:szCs w:val="20"/>
        </w:rPr>
        <w:t>.</w:t>
      </w:r>
    </w:p>
    <w:p w14:paraId="3E290D5E" w14:textId="77777777" w:rsidR="00FA271B" w:rsidRPr="0079159E" w:rsidRDefault="00FA271B" w:rsidP="0079159E">
      <w:pPr>
        <w:pStyle w:val="NoSpacing1"/>
        <w:rPr>
          <w:rFonts w:ascii="Arial" w:hAnsi="Arial" w:cs="Arial"/>
          <w:sz w:val="20"/>
          <w:szCs w:val="20"/>
        </w:rPr>
      </w:pPr>
    </w:p>
    <w:p w14:paraId="47F2AAB6" w14:textId="77777777" w:rsidR="00FA271B" w:rsidRPr="0079159E" w:rsidRDefault="00FA271B" w:rsidP="0079159E">
      <w:pPr>
        <w:pStyle w:val="NoSpacing1"/>
        <w:rPr>
          <w:rFonts w:ascii="Arial" w:hAnsi="Arial" w:cs="Arial"/>
          <w:b/>
          <w:sz w:val="20"/>
          <w:szCs w:val="20"/>
        </w:rPr>
      </w:pPr>
      <w:r w:rsidRPr="0079159E">
        <w:rPr>
          <w:rFonts w:ascii="Arial" w:hAnsi="Arial" w:cs="Arial"/>
          <w:b/>
          <w:sz w:val="20"/>
          <w:szCs w:val="20"/>
        </w:rPr>
        <w:t>Funding and conflicts of interest</w:t>
      </w:r>
    </w:p>
    <w:p w14:paraId="438BE09C" w14:textId="77777777" w:rsidR="00FA271B" w:rsidRPr="0079159E" w:rsidRDefault="00FA271B" w:rsidP="0079159E">
      <w:pPr>
        <w:pStyle w:val="NoSpacing1"/>
        <w:rPr>
          <w:rFonts w:ascii="Arial" w:hAnsi="Arial" w:cs="Arial"/>
          <w:sz w:val="20"/>
          <w:szCs w:val="20"/>
        </w:rPr>
      </w:pPr>
      <w:r w:rsidRPr="0079159E">
        <w:rPr>
          <w:rFonts w:ascii="Arial" w:hAnsi="Arial" w:cs="Arial"/>
          <w:sz w:val="20"/>
          <w:szCs w:val="20"/>
        </w:rPr>
        <w:t>The research was funded from SMU and as part of a Newton Scholarship.</w:t>
      </w:r>
    </w:p>
    <w:p w14:paraId="68348800" w14:textId="77777777" w:rsidR="00FA271B" w:rsidRPr="0079159E" w:rsidRDefault="00FA271B" w:rsidP="0079159E">
      <w:pPr>
        <w:pStyle w:val="NoSpacing1"/>
        <w:rPr>
          <w:rFonts w:ascii="Arial" w:hAnsi="Arial" w:cs="Arial"/>
          <w:sz w:val="20"/>
          <w:szCs w:val="20"/>
        </w:rPr>
      </w:pPr>
    </w:p>
    <w:p w14:paraId="42526535" w14:textId="77777777" w:rsidR="00FA271B" w:rsidRPr="0079159E" w:rsidRDefault="00FA271B" w:rsidP="0079159E">
      <w:pPr>
        <w:pStyle w:val="NoSpacing1"/>
        <w:rPr>
          <w:rFonts w:ascii="Arial" w:hAnsi="Arial" w:cs="Arial"/>
          <w:sz w:val="20"/>
          <w:szCs w:val="20"/>
        </w:rPr>
      </w:pPr>
      <w:r w:rsidRPr="0079159E">
        <w:rPr>
          <w:rFonts w:ascii="Arial" w:hAnsi="Arial" w:cs="Arial"/>
          <w:sz w:val="20"/>
          <w:szCs w:val="20"/>
        </w:rPr>
        <w:t>The authors declare they have no other conflicts of interest.</w:t>
      </w:r>
    </w:p>
    <w:p w14:paraId="4D5718F4" w14:textId="77777777" w:rsidR="003303EE" w:rsidRPr="0079159E" w:rsidRDefault="003303EE" w:rsidP="0079159E">
      <w:pPr>
        <w:pStyle w:val="NoSpacing1"/>
        <w:rPr>
          <w:rFonts w:ascii="Arial" w:hAnsi="Arial" w:cs="Arial"/>
          <w:b/>
          <w:sz w:val="20"/>
          <w:szCs w:val="20"/>
          <w:lang w:val="en-GB"/>
        </w:rPr>
      </w:pPr>
    </w:p>
    <w:p w14:paraId="216531C4" w14:textId="77777777" w:rsidR="00FA271B" w:rsidRPr="0079159E" w:rsidRDefault="00FA271B" w:rsidP="0079159E">
      <w:pPr>
        <w:pStyle w:val="NoSpacing1"/>
        <w:rPr>
          <w:rFonts w:ascii="Arial" w:hAnsi="Arial" w:cs="Arial"/>
          <w:b/>
          <w:sz w:val="20"/>
          <w:szCs w:val="20"/>
          <w:lang w:val="en-GB"/>
        </w:rPr>
      </w:pPr>
      <w:r w:rsidRPr="0079159E">
        <w:rPr>
          <w:rFonts w:ascii="Arial" w:hAnsi="Arial" w:cs="Arial"/>
          <w:b/>
          <w:sz w:val="20"/>
          <w:szCs w:val="20"/>
          <w:lang w:val="en-GB"/>
        </w:rPr>
        <w:t>References</w:t>
      </w:r>
    </w:p>
    <w:p w14:paraId="019336F7" w14:textId="10D5DB68" w:rsidR="00B10309" w:rsidRPr="0079159E" w:rsidRDefault="0079159E" w:rsidP="0079159E">
      <w:pPr>
        <w:pStyle w:val="NoSpacing1"/>
        <w:rPr>
          <w:rFonts w:ascii="Arial" w:hAnsi="Arial" w:cs="Arial"/>
          <w:sz w:val="20"/>
          <w:szCs w:val="20"/>
          <w:lang w:val="en-GB"/>
        </w:rPr>
      </w:pPr>
      <w:bookmarkStart w:id="7" w:name="_Hlk1630677"/>
      <w:r>
        <w:rPr>
          <w:rFonts w:ascii="Arial" w:hAnsi="Arial" w:cs="Arial"/>
          <w:sz w:val="20"/>
          <w:szCs w:val="20"/>
        </w:rPr>
        <w:t xml:space="preserve">1. </w:t>
      </w:r>
      <w:r w:rsidR="00B10309" w:rsidRPr="0079159E">
        <w:rPr>
          <w:rFonts w:ascii="Arial" w:hAnsi="Arial" w:cs="Arial"/>
          <w:sz w:val="20"/>
          <w:szCs w:val="20"/>
        </w:rPr>
        <w:t>Gandra S, Barter DM, Laxminarayan R. Economic burden of antibiotic resistance: how much do we really know? Clinical microbiology and infection. 2014; 20(10):973-80.</w:t>
      </w:r>
    </w:p>
    <w:p w14:paraId="07B05835" w14:textId="3AB60829" w:rsidR="00B10309" w:rsidRPr="0079159E" w:rsidRDefault="0079159E" w:rsidP="0079159E">
      <w:pPr>
        <w:pStyle w:val="NoSpacing1"/>
        <w:rPr>
          <w:rFonts w:ascii="Arial" w:hAnsi="Arial" w:cs="Arial"/>
          <w:sz w:val="20"/>
          <w:szCs w:val="20"/>
          <w:lang w:val="en-GB"/>
        </w:rPr>
      </w:pPr>
      <w:r>
        <w:rPr>
          <w:rFonts w:ascii="Arial" w:hAnsi="Arial" w:cs="Arial"/>
          <w:sz w:val="20"/>
          <w:szCs w:val="20"/>
          <w:lang w:val="en-GB"/>
        </w:rPr>
        <w:lastRenderedPageBreak/>
        <w:t xml:space="preserve">2. </w:t>
      </w:r>
      <w:r w:rsidR="00B10309" w:rsidRPr="0079159E">
        <w:rPr>
          <w:rFonts w:ascii="Arial" w:hAnsi="Arial" w:cs="Arial"/>
          <w:sz w:val="20"/>
          <w:szCs w:val="20"/>
          <w:lang w:val="en-GB"/>
        </w:rPr>
        <w:t xml:space="preserve">Md </w:t>
      </w:r>
      <w:proofErr w:type="spellStart"/>
      <w:r w:rsidR="00B10309" w:rsidRPr="0079159E">
        <w:rPr>
          <w:rFonts w:ascii="Arial" w:hAnsi="Arial" w:cs="Arial"/>
          <w:sz w:val="20"/>
          <w:szCs w:val="20"/>
          <w:lang w:val="en-GB"/>
        </w:rPr>
        <w:t>Rezal</w:t>
      </w:r>
      <w:proofErr w:type="spellEnd"/>
      <w:r w:rsidR="00B10309" w:rsidRPr="0079159E">
        <w:rPr>
          <w:rFonts w:ascii="Arial" w:hAnsi="Arial" w:cs="Arial"/>
          <w:sz w:val="20"/>
          <w:szCs w:val="20"/>
          <w:lang w:val="en-GB"/>
        </w:rPr>
        <w:t xml:space="preserve"> R, </w:t>
      </w:r>
      <w:proofErr w:type="spellStart"/>
      <w:r w:rsidR="00B10309" w:rsidRPr="0079159E">
        <w:rPr>
          <w:rFonts w:ascii="Arial" w:hAnsi="Arial" w:cs="Arial"/>
          <w:sz w:val="20"/>
          <w:szCs w:val="20"/>
          <w:lang w:val="en-GB"/>
        </w:rPr>
        <w:t>Hassali</w:t>
      </w:r>
      <w:proofErr w:type="spellEnd"/>
      <w:r w:rsidR="00B10309" w:rsidRPr="0079159E">
        <w:rPr>
          <w:rFonts w:ascii="Arial" w:hAnsi="Arial" w:cs="Arial"/>
          <w:sz w:val="20"/>
          <w:szCs w:val="20"/>
          <w:lang w:val="en-GB"/>
        </w:rPr>
        <w:t xml:space="preserve"> M, </w:t>
      </w:r>
      <w:proofErr w:type="spellStart"/>
      <w:r w:rsidR="00B10309" w:rsidRPr="0079159E">
        <w:rPr>
          <w:rFonts w:ascii="Arial" w:hAnsi="Arial" w:cs="Arial"/>
          <w:sz w:val="20"/>
          <w:szCs w:val="20"/>
          <w:lang w:val="en-GB"/>
        </w:rPr>
        <w:t>Alrasheedy</w:t>
      </w:r>
      <w:proofErr w:type="spellEnd"/>
      <w:r w:rsidR="00B10309" w:rsidRPr="0079159E">
        <w:rPr>
          <w:rFonts w:ascii="Arial" w:hAnsi="Arial" w:cs="Arial"/>
          <w:sz w:val="20"/>
          <w:szCs w:val="20"/>
          <w:lang w:val="en-GB"/>
        </w:rPr>
        <w:t xml:space="preserve"> A, Saleem F, Yusof F, Godman, B. Physicians’ knowledge, perceptions and behaviour towards antibiotic prescribing: a systematic review of the literature. Expert Review of Anti-infective Therapy. 2015; 13(5):665-680.</w:t>
      </w:r>
    </w:p>
    <w:p w14:paraId="13349EC2" w14:textId="32E9B371" w:rsidR="00B10309" w:rsidRPr="0079159E" w:rsidRDefault="0079159E" w:rsidP="0079159E">
      <w:pPr>
        <w:pStyle w:val="NoSpacing1"/>
        <w:rPr>
          <w:rFonts w:ascii="Arial" w:hAnsi="Arial" w:cs="Arial"/>
          <w:sz w:val="20"/>
          <w:szCs w:val="20"/>
          <w:lang w:val="en-GB"/>
        </w:rPr>
      </w:pPr>
      <w:r>
        <w:rPr>
          <w:rFonts w:ascii="Arial" w:hAnsi="Arial" w:cs="Arial"/>
          <w:sz w:val="20"/>
          <w:szCs w:val="20"/>
          <w:lang w:val="en-GB"/>
        </w:rPr>
        <w:t xml:space="preserve">3. </w:t>
      </w:r>
      <w:r w:rsidR="00B10309" w:rsidRPr="0079159E">
        <w:rPr>
          <w:rFonts w:ascii="Arial" w:hAnsi="Arial" w:cs="Arial"/>
          <w:sz w:val="20"/>
          <w:szCs w:val="20"/>
          <w:lang w:val="en-GB"/>
        </w:rPr>
        <w:t xml:space="preserve">Mendelson M, </w:t>
      </w:r>
      <w:proofErr w:type="spellStart"/>
      <w:r w:rsidR="00B10309" w:rsidRPr="0079159E">
        <w:rPr>
          <w:rFonts w:ascii="Arial" w:hAnsi="Arial" w:cs="Arial"/>
          <w:sz w:val="20"/>
          <w:szCs w:val="20"/>
          <w:lang w:val="en-GB"/>
        </w:rPr>
        <w:t>Matsoso</w:t>
      </w:r>
      <w:proofErr w:type="spellEnd"/>
      <w:r w:rsidR="00B10309" w:rsidRPr="0079159E">
        <w:rPr>
          <w:rFonts w:ascii="Arial" w:hAnsi="Arial" w:cs="Arial"/>
          <w:sz w:val="20"/>
          <w:szCs w:val="20"/>
          <w:lang w:val="en-GB"/>
        </w:rPr>
        <w:t>, M. The South African antimicrobial resistance strategy framework. AMR control. 2015; 54-61.</w:t>
      </w:r>
    </w:p>
    <w:p w14:paraId="64BB2B9D" w14:textId="740E4AAC" w:rsidR="00B10309" w:rsidRPr="0079159E" w:rsidRDefault="0079159E" w:rsidP="0079159E">
      <w:pPr>
        <w:pStyle w:val="NoSpacing1"/>
        <w:rPr>
          <w:rFonts w:ascii="Arial" w:hAnsi="Arial" w:cs="Arial"/>
          <w:sz w:val="20"/>
          <w:szCs w:val="20"/>
        </w:rPr>
      </w:pPr>
      <w:r>
        <w:rPr>
          <w:rFonts w:ascii="Arial" w:hAnsi="Arial" w:cs="Arial"/>
          <w:sz w:val="20"/>
          <w:szCs w:val="20"/>
          <w:lang w:val="en-GB"/>
        </w:rPr>
        <w:t xml:space="preserve">4. </w:t>
      </w:r>
      <w:r w:rsidR="00B10309" w:rsidRPr="0079159E">
        <w:rPr>
          <w:rFonts w:ascii="Arial" w:hAnsi="Arial" w:cs="Arial"/>
          <w:sz w:val="20"/>
          <w:szCs w:val="20"/>
          <w:lang w:val="en-GB"/>
        </w:rPr>
        <w:t>National department of health (</w:t>
      </w:r>
      <w:proofErr w:type="spellStart"/>
      <w:r w:rsidR="00B10309" w:rsidRPr="0079159E">
        <w:rPr>
          <w:rFonts w:ascii="Arial" w:hAnsi="Arial" w:cs="Arial"/>
          <w:sz w:val="20"/>
          <w:szCs w:val="20"/>
          <w:lang w:val="en-GB"/>
        </w:rPr>
        <w:t>NDoH</w:t>
      </w:r>
      <w:proofErr w:type="spellEnd"/>
      <w:r w:rsidR="00B10309" w:rsidRPr="0079159E">
        <w:rPr>
          <w:rFonts w:ascii="Arial" w:hAnsi="Arial" w:cs="Arial"/>
          <w:sz w:val="20"/>
          <w:szCs w:val="20"/>
          <w:lang w:val="en-GB"/>
        </w:rPr>
        <w:t xml:space="preserve">) - Republic of South Africa. Antimicrobial resistance: National strategy framework 2014 – 2024. Available at URL: </w:t>
      </w:r>
      <w:hyperlink r:id="rId18" w:history="1">
        <w:r w:rsidR="00B10309" w:rsidRPr="0079159E">
          <w:rPr>
            <w:rStyle w:val="Hyperlink"/>
            <w:rFonts w:ascii="Arial" w:hAnsi="Arial" w:cs="Arial"/>
            <w:sz w:val="20"/>
            <w:szCs w:val="20"/>
            <w:lang w:val="en-US"/>
          </w:rPr>
          <w:t>https://www.health-e.org.za/wp-content/uploads/2015/09/Antimicrobial-Resistance-National-Strategy-Framework-2014-2024.pdf</w:t>
        </w:r>
      </w:hyperlink>
      <w:r w:rsidR="00B10309" w:rsidRPr="0079159E">
        <w:rPr>
          <w:rFonts w:ascii="Arial" w:hAnsi="Arial" w:cs="Arial"/>
          <w:sz w:val="20"/>
          <w:szCs w:val="20"/>
        </w:rPr>
        <w:t xml:space="preserve">  </w:t>
      </w:r>
    </w:p>
    <w:p w14:paraId="7B8511E4" w14:textId="3C44F8DD" w:rsidR="00B10309" w:rsidRPr="0079159E" w:rsidRDefault="0079159E" w:rsidP="0079159E">
      <w:pPr>
        <w:pStyle w:val="NoSpacing1"/>
        <w:rPr>
          <w:rFonts w:ascii="Arial" w:hAnsi="Arial" w:cs="Arial"/>
          <w:sz w:val="20"/>
          <w:szCs w:val="20"/>
          <w:lang w:val="en-GB"/>
        </w:rPr>
      </w:pPr>
      <w:r>
        <w:rPr>
          <w:rFonts w:ascii="Arial" w:hAnsi="Arial" w:cs="Arial"/>
          <w:sz w:val="20"/>
          <w:szCs w:val="20"/>
        </w:rPr>
        <w:t xml:space="preserve">5. </w:t>
      </w:r>
      <w:r w:rsidR="00B10309" w:rsidRPr="0079159E">
        <w:rPr>
          <w:rFonts w:ascii="Arial" w:hAnsi="Arial" w:cs="Arial"/>
          <w:sz w:val="20"/>
          <w:szCs w:val="20"/>
        </w:rPr>
        <w:t>Llor C, Bjerrum L. Antimicrobial resistance: risk associated with antibiotic overuse and initiatives to reduce the problem. Therapeutic advances in drug safety. 2014;5(6):229-41.</w:t>
      </w:r>
    </w:p>
    <w:p w14:paraId="3B0C56E8" w14:textId="3E6E5AA8"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6. </w:t>
      </w:r>
      <w:r w:rsidR="00B10309" w:rsidRPr="0079159E">
        <w:rPr>
          <w:rFonts w:ascii="Arial" w:hAnsi="Arial" w:cs="Arial"/>
          <w:noProof/>
          <w:sz w:val="20"/>
          <w:szCs w:val="20"/>
        </w:rPr>
        <w:t>Van Boeckel TP, Gandra S, Ashok A, Caudron Q, Grenfell BT, Levin SA, et al. Global antibiotic consumption 2000 to 2010: an analysis of national pharmaceutical sales data. The Lancet Infectious diseases. 2014;14(8):742-50</w:t>
      </w:r>
    </w:p>
    <w:p w14:paraId="636EDE84" w14:textId="20B8D131"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7. </w:t>
      </w:r>
      <w:r w:rsidR="00B10309" w:rsidRPr="0079159E">
        <w:rPr>
          <w:rFonts w:ascii="Arial" w:hAnsi="Arial" w:cs="Arial"/>
          <w:noProof/>
          <w:sz w:val="20"/>
          <w:szCs w:val="20"/>
        </w:rPr>
        <w:t>Bell BG, Schellevis F, Stobberingh E, Goossens H, Pringle M. A systematic review and meta-analysis of the effects of antibiotic consumption on antibiotic resistance. BMC Infectious Diseases. 2014;14:13</w:t>
      </w:r>
      <w:r w:rsidR="00B10309" w:rsidRPr="0079159E">
        <w:rPr>
          <w:rFonts w:ascii="Arial" w:hAnsi="Arial" w:cs="Arial"/>
          <w:sz w:val="20"/>
          <w:szCs w:val="20"/>
        </w:rPr>
        <w:t>.</w:t>
      </w:r>
    </w:p>
    <w:p w14:paraId="2F5B5ECC" w14:textId="692E85E9"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8. </w:t>
      </w:r>
      <w:r w:rsidR="00B10309" w:rsidRPr="0079159E">
        <w:rPr>
          <w:rFonts w:ascii="Arial" w:hAnsi="Arial" w:cs="Arial"/>
          <w:noProof/>
          <w:sz w:val="20"/>
          <w:szCs w:val="20"/>
        </w:rPr>
        <w:t>Jinks T, Lee N, Sharland M, Rex J, Gertler N, Diver M, et al. A time for action: antimicrobial resistance needs global response. Bull World Health Organ. 2016;94(8):558-a</w:t>
      </w:r>
      <w:r w:rsidR="00B10309" w:rsidRPr="0079159E" w:rsidDel="007D0AC3">
        <w:rPr>
          <w:rFonts w:ascii="Arial" w:hAnsi="Arial" w:cs="Arial"/>
          <w:sz w:val="20"/>
          <w:szCs w:val="20"/>
          <w:lang w:val="en-GB"/>
        </w:rPr>
        <w:t xml:space="preserve"> </w:t>
      </w:r>
    </w:p>
    <w:p w14:paraId="5F5080B7" w14:textId="498338C6"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9. </w:t>
      </w:r>
      <w:r w:rsidR="00B10309" w:rsidRPr="0079159E">
        <w:rPr>
          <w:rFonts w:ascii="Arial" w:hAnsi="Arial" w:cs="Arial"/>
          <w:noProof/>
          <w:sz w:val="20"/>
          <w:szCs w:val="20"/>
        </w:rPr>
        <w:t>Founou RC, Founou LL, Essack SY. Clinical and economic impact of antibiotic resistance in developing countries: A systematic review and meta-analysis. PloS one. 2017;12(12):e0189621</w:t>
      </w:r>
    </w:p>
    <w:p w14:paraId="2E66C6B2" w14:textId="485D8641"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10. </w:t>
      </w:r>
      <w:r w:rsidR="00B10309" w:rsidRPr="0079159E">
        <w:rPr>
          <w:rFonts w:ascii="Arial" w:hAnsi="Arial" w:cs="Arial"/>
          <w:noProof/>
          <w:sz w:val="20"/>
          <w:szCs w:val="20"/>
        </w:rPr>
        <w:t>Collignon P, Athukorala PC, Senanayake S, Khan F. Antimicrobial resistance: the major contribution of poor governance and corruption to this growing problem. PloS one. 2015;10(3):e0116746</w:t>
      </w:r>
    </w:p>
    <w:p w14:paraId="37E168D1" w14:textId="27FB7544"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11. </w:t>
      </w:r>
      <w:r w:rsidR="00B10309" w:rsidRPr="0079159E">
        <w:rPr>
          <w:rFonts w:ascii="Arial" w:hAnsi="Arial" w:cs="Arial"/>
          <w:noProof/>
          <w:sz w:val="20"/>
          <w:szCs w:val="20"/>
        </w:rPr>
        <w:t>Schellack N, Benjamin D, Brink A, Duse A, Faure K, Goff D, et al. A situational analysis of current antimicrobial governance, regulation, and utilization in South Africa. International journal of infectious diseases. 2017;64:100-6</w:t>
      </w:r>
    </w:p>
    <w:p w14:paraId="5D7EDEB5" w14:textId="2CC48155" w:rsidR="00B10309" w:rsidRPr="0079159E" w:rsidRDefault="0079159E" w:rsidP="0079159E">
      <w:pPr>
        <w:pStyle w:val="NoSpacing1"/>
        <w:rPr>
          <w:rFonts w:ascii="Arial" w:hAnsi="Arial" w:cs="Arial"/>
          <w:sz w:val="20"/>
          <w:szCs w:val="20"/>
          <w:lang w:val="en-GB"/>
        </w:rPr>
      </w:pPr>
      <w:r>
        <w:rPr>
          <w:rFonts w:ascii="Arial" w:hAnsi="Arial" w:cs="Arial"/>
          <w:sz w:val="20"/>
          <w:szCs w:val="20"/>
          <w:lang w:val="en-GB"/>
        </w:rPr>
        <w:t xml:space="preserve">12. </w:t>
      </w:r>
      <w:r w:rsidR="00B10309" w:rsidRPr="0079159E">
        <w:rPr>
          <w:rFonts w:ascii="Arial" w:hAnsi="Arial" w:cs="Arial"/>
          <w:sz w:val="20"/>
          <w:szCs w:val="20"/>
          <w:lang w:val="en-GB"/>
        </w:rPr>
        <w:t>O’Neill J. Securing new drugs for future generations: the pipeline of antibiotics. 2015.</w:t>
      </w:r>
      <w:r w:rsidR="00B10309" w:rsidRPr="0079159E">
        <w:rPr>
          <w:rFonts w:ascii="Arial" w:hAnsi="Arial" w:cs="Arial"/>
          <w:sz w:val="20"/>
          <w:szCs w:val="20"/>
        </w:rPr>
        <w:t xml:space="preserve"> Available at URL: </w:t>
      </w:r>
      <w:hyperlink r:id="rId19" w:history="1">
        <w:r w:rsidR="00B10309" w:rsidRPr="0079159E">
          <w:rPr>
            <w:rStyle w:val="Hyperlink"/>
            <w:rFonts w:ascii="Arial" w:hAnsi="Arial" w:cs="Arial"/>
            <w:sz w:val="20"/>
            <w:szCs w:val="20"/>
            <w:lang w:val="en-US"/>
          </w:rPr>
          <w:t>https://amr-review.org/sites/default/files/SECURING%20NEW%20DRUGS%20FOR%20FUTURE%20GENERATIONS%20FINAL%20WEB_0.pdf</w:t>
        </w:r>
      </w:hyperlink>
    </w:p>
    <w:p w14:paraId="6732BC37" w14:textId="2A1AC98D"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13. </w:t>
      </w:r>
      <w:r w:rsidR="00B10309" w:rsidRPr="0079159E">
        <w:rPr>
          <w:rFonts w:ascii="Arial" w:hAnsi="Arial" w:cs="Arial"/>
          <w:noProof/>
          <w:sz w:val="20"/>
          <w:szCs w:val="20"/>
        </w:rPr>
        <w:t>Versporten A, Bolokhovets G, Ghazaryan L, Abilova V, Pyshnik G, Spasojevic T, et al. Antibiotic use in eastern Europe: a cross-national database study in coordination with the WHO Regional Office for Europe. The Lancet Infectious diseases. 2014;14(5):381-7</w:t>
      </w:r>
    </w:p>
    <w:p w14:paraId="206B6A7E" w14:textId="05674733" w:rsidR="00B10309" w:rsidRPr="0079159E" w:rsidRDefault="0079159E" w:rsidP="0079159E">
      <w:pPr>
        <w:pStyle w:val="NoSpacing1"/>
        <w:rPr>
          <w:rFonts w:ascii="Arial" w:hAnsi="Arial" w:cs="Arial"/>
          <w:sz w:val="20"/>
          <w:szCs w:val="20"/>
          <w:lang w:val="en-GB"/>
        </w:rPr>
      </w:pPr>
      <w:r>
        <w:rPr>
          <w:rFonts w:ascii="Arial" w:hAnsi="Arial" w:cs="Arial"/>
          <w:sz w:val="20"/>
          <w:szCs w:val="20"/>
        </w:rPr>
        <w:t xml:space="preserve">14. </w:t>
      </w:r>
      <w:r w:rsidR="00B10309" w:rsidRPr="0079159E">
        <w:rPr>
          <w:rFonts w:ascii="Arial" w:hAnsi="Arial" w:cs="Arial"/>
          <w:sz w:val="20"/>
          <w:szCs w:val="20"/>
        </w:rPr>
        <w:t xml:space="preserve">WHO. Antimicrobial resistance. Global Report on Surveillance, Available at URL: </w:t>
      </w:r>
      <w:r w:rsidR="0030684B" w:rsidRPr="0079159E">
        <w:rPr>
          <w:rStyle w:val="Hyperlink"/>
          <w:rFonts w:ascii="Arial" w:hAnsi="Arial" w:cs="Arial"/>
          <w:sz w:val="20"/>
          <w:szCs w:val="20"/>
          <w:lang w:val="en-US"/>
        </w:rPr>
        <w:fldChar w:fldCharType="begin"/>
      </w:r>
      <w:r w:rsidR="0030684B" w:rsidRPr="0079159E">
        <w:rPr>
          <w:rStyle w:val="Hyperlink"/>
          <w:rFonts w:ascii="Arial" w:hAnsi="Arial" w:cs="Arial"/>
          <w:sz w:val="20"/>
          <w:szCs w:val="20"/>
          <w:lang w:val="en-US"/>
        </w:rPr>
        <w:instrText xml:space="preserve"> HYPERLINK "http://www.euro.who.int/en/heal</w:instrText>
      </w:r>
      <w:r w:rsidR="0030684B" w:rsidRPr="0079159E">
        <w:rPr>
          <w:rStyle w:val="Hyperlink"/>
          <w:rFonts w:ascii="Arial" w:hAnsi="Arial" w:cs="Arial"/>
          <w:sz w:val="20"/>
          <w:szCs w:val="20"/>
          <w:lang w:val="en-US"/>
        </w:rPr>
        <w:instrText xml:space="preserve">th-topics/disease-prevention/antimicrobial-resistance/news/news/2014/04/new-report-antibiotic-resistance-a-global-health-threat" </w:instrText>
      </w:r>
      <w:r w:rsidR="0030684B" w:rsidRPr="0079159E">
        <w:rPr>
          <w:rStyle w:val="Hyperlink"/>
          <w:rFonts w:ascii="Arial" w:hAnsi="Arial" w:cs="Arial"/>
          <w:sz w:val="20"/>
          <w:szCs w:val="20"/>
          <w:lang w:val="en-US"/>
        </w:rPr>
        <w:fldChar w:fldCharType="separate"/>
      </w:r>
      <w:r w:rsidR="00B10309" w:rsidRPr="0079159E">
        <w:rPr>
          <w:rStyle w:val="Hyperlink"/>
          <w:rFonts w:ascii="Arial" w:hAnsi="Arial" w:cs="Arial"/>
          <w:sz w:val="20"/>
          <w:szCs w:val="20"/>
          <w:lang w:val="en-US"/>
        </w:rPr>
        <w:t>http://www.euro.who.int/en/health-topics/disease-prevention/antimicrobial-resistance/news/news/2014/04/new-report-antibiotic-resistance-a-global-health-threat</w:t>
      </w:r>
      <w:r w:rsidR="0030684B" w:rsidRPr="0079159E">
        <w:rPr>
          <w:rStyle w:val="Hyperlink"/>
          <w:rFonts w:ascii="Arial" w:hAnsi="Arial" w:cs="Arial"/>
          <w:sz w:val="20"/>
          <w:szCs w:val="20"/>
          <w:lang w:val="en-US"/>
        </w:rPr>
        <w:fldChar w:fldCharType="end"/>
      </w:r>
    </w:p>
    <w:p w14:paraId="478BE993" w14:textId="24485D4E" w:rsidR="001F2B3A" w:rsidRPr="0079159E" w:rsidRDefault="0079159E" w:rsidP="0079159E">
      <w:pPr>
        <w:pStyle w:val="NoSpacing1"/>
        <w:rPr>
          <w:rFonts w:ascii="Arial" w:hAnsi="Arial" w:cs="Arial"/>
          <w:sz w:val="20"/>
          <w:szCs w:val="20"/>
          <w:lang w:val="en-GB"/>
        </w:rPr>
      </w:pPr>
      <w:r>
        <w:rPr>
          <w:rFonts w:ascii="Arial" w:hAnsi="Arial" w:cs="Arial"/>
          <w:sz w:val="20"/>
          <w:szCs w:val="20"/>
        </w:rPr>
        <w:t xml:space="preserve">15. </w:t>
      </w:r>
      <w:r w:rsidR="001F2B3A" w:rsidRPr="0079159E">
        <w:rPr>
          <w:rFonts w:ascii="Arial" w:hAnsi="Arial" w:cs="Arial"/>
          <w:bCs/>
          <w:sz w:val="20"/>
          <w:szCs w:val="20"/>
          <w:lang w:eastAsia="zh-CN"/>
        </w:rPr>
        <w:t xml:space="preserve">Robertson J, Iwamoto </w:t>
      </w:r>
      <w:r w:rsidR="001F2B3A" w:rsidRPr="0079159E">
        <w:rPr>
          <w:rFonts w:ascii="Arial" w:hAnsi="Arial" w:cs="Arial"/>
          <w:bCs/>
          <w:sz w:val="20"/>
          <w:szCs w:val="20"/>
          <w:vertAlign w:val="superscript"/>
          <w:lang w:eastAsia="zh-CN"/>
        </w:rPr>
        <w:t xml:space="preserve"> </w:t>
      </w:r>
      <w:r w:rsidR="001F2B3A" w:rsidRPr="0079159E">
        <w:rPr>
          <w:rFonts w:ascii="Arial" w:hAnsi="Arial" w:cs="Arial"/>
          <w:bCs/>
          <w:sz w:val="20"/>
          <w:szCs w:val="20"/>
          <w:lang w:eastAsia="zh-CN"/>
        </w:rPr>
        <w:t xml:space="preserve">K, </w:t>
      </w:r>
      <w:r w:rsidR="001F2B3A" w:rsidRPr="0079159E">
        <w:rPr>
          <w:rFonts w:ascii="Arial" w:hAnsi="Arial" w:cs="Arial"/>
          <w:sz w:val="20"/>
          <w:szCs w:val="20"/>
          <w:lang w:eastAsia="zh-CN"/>
        </w:rPr>
        <w:t xml:space="preserve">Hoxha I, Ghazaryan L, </w:t>
      </w:r>
      <w:proofErr w:type="spellStart"/>
      <w:r w:rsidR="001F2B3A" w:rsidRPr="0079159E">
        <w:rPr>
          <w:rFonts w:ascii="Arial" w:hAnsi="Arial" w:cs="Arial"/>
          <w:sz w:val="20"/>
          <w:szCs w:val="20"/>
          <w:lang w:eastAsia="zh-CN"/>
        </w:rPr>
        <w:t>Abilova</w:t>
      </w:r>
      <w:proofErr w:type="spellEnd"/>
      <w:r w:rsidR="001F2B3A" w:rsidRPr="0079159E">
        <w:rPr>
          <w:rFonts w:ascii="Arial" w:hAnsi="Arial" w:cs="Arial"/>
          <w:sz w:val="20"/>
          <w:szCs w:val="20"/>
          <w:lang w:eastAsia="zh-CN"/>
        </w:rPr>
        <w:t xml:space="preserve"> V, Cvijanovic A et al. </w:t>
      </w:r>
      <w:r w:rsidR="001F2B3A" w:rsidRPr="0079159E">
        <w:rPr>
          <w:rFonts w:ascii="Arial" w:hAnsi="Arial" w:cs="Arial"/>
          <w:bCs/>
          <w:sz w:val="20"/>
          <w:szCs w:val="20"/>
          <w:lang w:eastAsia="zh-CN"/>
        </w:rPr>
        <w:t>Antimicrobial Medicines Consumption in Eastern Europe and Central Asia – an Updated Cross-National Study and Assessment of Quantitative Metrics for Policy Action</w:t>
      </w:r>
      <w:r w:rsidR="001F2B3A" w:rsidRPr="0079159E">
        <w:rPr>
          <w:rFonts w:ascii="Arial" w:hAnsi="Arial" w:cs="Arial"/>
          <w:b/>
          <w:bCs/>
          <w:sz w:val="20"/>
          <w:szCs w:val="20"/>
          <w:lang w:eastAsia="zh-CN"/>
        </w:rPr>
        <w:t xml:space="preserve">. </w:t>
      </w:r>
      <w:r w:rsidR="001F2B3A" w:rsidRPr="0079159E">
        <w:rPr>
          <w:rFonts w:ascii="Arial" w:hAnsi="Arial" w:cs="Arial"/>
          <w:sz w:val="20"/>
          <w:szCs w:val="20"/>
        </w:rPr>
        <w:t xml:space="preserve">Frontiers in Pharmacology. 2019. </w:t>
      </w:r>
      <w:proofErr w:type="spellStart"/>
      <w:r w:rsidR="001F2B3A" w:rsidRPr="0079159E">
        <w:rPr>
          <w:rFonts w:ascii="Arial" w:hAnsi="Arial" w:cs="Arial"/>
          <w:sz w:val="20"/>
          <w:szCs w:val="20"/>
        </w:rPr>
        <w:t>Eprint</w:t>
      </w:r>
      <w:proofErr w:type="spellEnd"/>
      <w:r w:rsidR="001F2B3A" w:rsidRPr="0079159E">
        <w:rPr>
          <w:rFonts w:ascii="Arial" w:hAnsi="Arial" w:cs="Arial"/>
          <w:sz w:val="20"/>
          <w:szCs w:val="20"/>
        </w:rPr>
        <w:t xml:space="preserve"> (</w:t>
      </w:r>
      <w:proofErr w:type="spellStart"/>
      <w:r w:rsidR="001F2B3A" w:rsidRPr="0079159E">
        <w:rPr>
          <w:rFonts w:ascii="Arial" w:hAnsi="Arial" w:cs="Arial"/>
          <w:sz w:val="20"/>
          <w:szCs w:val="20"/>
          <w:shd w:val="clear" w:color="auto" w:fill="FFFFFF"/>
        </w:rPr>
        <w:t>doi</w:t>
      </w:r>
      <w:proofErr w:type="spellEnd"/>
      <w:r w:rsidR="001F2B3A" w:rsidRPr="0079159E">
        <w:rPr>
          <w:rFonts w:ascii="Arial" w:hAnsi="Arial" w:cs="Arial"/>
          <w:sz w:val="20"/>
          <w:szCs w:val="20"/>
          <w:shd w:val="clear" w:color="auto" w:fill="FFFFFF"/>
        </w:rPr>
        <w:t>: 10.3389/fphar.2018.01156</w:t>
      </w:r>
      <w:r w:rsidR="001F2B3A" w:rsidRPr="0079159E">
        <w:rPr>
          <w:rFonts w:ascii="Arial" w:hAnsi="Arial" w:cs="Arial"/>
          <w:sz w:val="20"/>
          <w:szCs w:val="20"/>
        </w:rPr>
        <w:t>)</w:t>
      </w:r>
    </w:p>
    <w:p w14:paraId="7D00C706" w14:textId="2C782EEB" w:rsidR="00B10309" w:rsidRPr="0079159E" w:rsidRDefault="0079159E" w:rsidP="0079159E">
      <w:pPr>
        <w:pStyle w:val="NoSpacing1"/>
        <w:rPr>
          <w:rFonts w:ascii="Arial" w:hAnsi="Arial" w:cs="Arial"/>
          <w:sz w:val="20"/>
          <w:szCs w:val="20"/>
          <w:lang w:val="en-GB"/>
        </w:rPr>
      </w:pPr>
      <w:r>
        <w:rPr>
          <w:rFonts w:ascii="Arial" w:hAnsi="Arial" w:cs="Arial"/>
          <w:sz w:val="20"/>
          <w:szCs w:val="20"/>
          <w:lang w:val="en-GB"/>
        </w:rPr>
        <w:t xml:space="preserve">16. </w:t>
      </w:r>
      <w:r w:rsidR="00B10309" w:rsidRPr="0079159E">
        <w:rPr>
          <w:rFonts w:ascii="Arial" w:hAnsi="Arial" w:cs="Arial"/>
          <w:sz w:val="20"/>
          <w:szCs w:val="20"/>
          <w:lang w:val="en-GB"/>
        </w:rPr>
        <w:t>European Centre for Disease Prevention and Control (ECDC).</w:t>
      </w:r>
      <w:r w:rsidR="00B10309" w:rsidRPr="0079159E">
        <w:rPr>
          <w:rFonts w:ascii="Arial" w:hAnsi="Arial" w:cs="Arial"/>
          <w:sz w:val="20"/>
          <w:szCs w:val="20"/>
        </w:rPr>
        <w:t xml:space="preserve"> European Surveillance of Antimicrobial Consumption Network (ESAC-Net). Available at URL: </w:t>
      </w:r>
      <w:hyperlink r:id="rId20" w:history="1">
        <w:r w:rsidR="00B10309" w:rsidRPr="0079159E">
          <w:rPr>
            <w:rStyle w:val="Hyperlink"/>
            <w:rFonts w:ascii="Arial" w:hAnsi="Arial" w:cs="Arial"/>
            <w:sz w:val="20"/>
            <w:szCs w:val="20"/>
            <w:lang w:val="en-US"/>
          </w:rPr>
          <w:t>http://www.ecdc.europa.eu/en/activities/surveillance/ESAC-Net/Pages/index.aspx</w:t>
        </w:r>
      </w:hyperlink>
      <w:r w:rsidR="00B10309" w:rsidRPr="0079159E">
        <w:rPr>
          <w:rFonts w:ascii="Arial" w:hAnsi="Arial" w:cs="Arial"/>
          <w:sz w:val="20"/>
          <w:szCs w:val="20"/>
        </w:rPr>
        <w:t xml:space="preserve"> </w:t>
      </w:r>
    </w:p>
    <w:p w14:paraId="21E020C0" w14:textId="07304C36" w:rsidR="00B10309" w:rsidRPr="0079159E" w:rsidRDefault="0079159E" w:rsidP="0079159E">
      <w:pPr>
        <w:pStyle w:val="NoSpacing1"/>
        <w:rPr>
          <w:rFonts w:ascii="Arial" w:hAnsi="Arial" w:cs="Arial"/>
          <w:sz w:val="20"/>
          <w:szCs w:val="20"/>
          <w:lang w:val="en-GB"/>
        </w:rPr>
      </w:pPr>
      <w:r>
        <w:rPr>
          <w:rFonts w:ascii="Arial" w:hAnsi="Arial" w:cs="Arial"/>
          <w:sz w:val="20"/>
          <w:szCs w:val="20"/>
        </w:rPr>
        <w:t xml:space="preserve">17. </w:t>
      </w:r>
      <w:r w:rsidR="00B10309" w:rsidRPr="0079159E">
        <w:rPr>
          <w:rFonts w:ascii="Arial" w:hAnsi="Arial" w:cs="Arial"/>
          <w:sz w:val="20"/>
          <w:szCs w:val="20"/>
          <w:lang w:val="en-GB"/>
        </w:rPr>
        <w:t xml:space="preserve">Cddep.org. 2016. </w:t>
      </w:r>
      <w:r w:rsidR="00B10309" w:rsidRPr="0079159E">
        <w:rPr>
          <w:rFonts w:ascii="Arial" w:hAnsi="Arial" w:cs="Arial"/>
          <w:iCs/>
          <w:sz w:val="20"/>
          <w:szCs w:val="20"/>
          <w:lang w:val="en-GB"/>
        </w:rPr>
        <w:t>The State of the World's Antibiotics, 2015 | Centre for Disease Dynamics, Economics &amp; Policy (CDDEP)</w:t>
      </w:r>
      <w:r w:rsidR="00B10309" w:rsidRPr="0079159E">
        <w:rPr>
          <w:rFonts w:ascii="Arial" w:hAnsi="Arial" w:cs="Arial"/>
          <w:sz w:val="20"/>
          <w:szCs w:val="20"/>
          <w:lang w:val="en-GB"/>
        </w:rPr>
        <w:t xml:space="preserve">. Available at: </w:t>
      </w:r>
      <w:hyperlink r:id="rId21" w:history="1">
        <w:r w:rsidR="00B10309" w:rsidRPr="0079159E">
          <w:rPr>
            <w:rStyle w:val="Hyperlink"/>
            <w:rFonts w:ascii="Arial" w:hAnsi="Arial" w:cs="Arial"/>
            <w:sz w:val="20"/>
            <w:szCs w:val="20"/>
            <w:lang w:val="en-GB"/>
          </w:rPr>
          <w:t>http://www.cddep.org/publications/state_worlds_antibiotics_2015</w:t>
        </w:r>
      </w:hyperlink>
    </w:p>
    <w:p w14:paraId="2E552B0F" w14:textId="5257C1B1"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18. </w:t>
      </w:r>
      <w:r w:rsidR="00B10309" w:rsidRPr="0079159E">
        <w:rPr>
          <w:rFonts w:ascii="Arial" w:hAnsi="Arial" w:cs="Arial"/>
          <w:noProof/>
          <w:sz w:val="20"/>
          <w:szCs w:val="20"/>
        </w:rPr>
        <w:t>Bloom G, Merrett GB, Wilkinson A, Lin V, Paulin S. Antimicrobial resistance and universal health coverage. BMJ global health. 2017;2(4):e000518</w:t>
      </w:r>
    </w:p>
    <w:p w14:paraId="1461B8F7" w14:textId="44370E1D" w:rsidR="00B10309"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19. </w:t>
      </w:r>
      <w:r w:rsidR="00B10309" w:rsidRPr="0079159E">
        <w:rPr>
          <w:rFonts w:ascii="Arial" w:hAnsi="Arial" w:cs="Arial"/>
          <w:noProof/>
          <w:sz w:val="20"/>
          <w:szCs w:val="20"/>
        </w:rPr>
        <w:t>Essack SY, Desta AT, Abotsi RE, Agoba EE. Antimicrobial resistance in the WHO African region: current status and roadmap for action. Journal of public health. 2017;39(1):8-13</w:t>
      </w:r>
      <w:r w:rsidR="00B10309" w:rsidRPr="0079159E">
        <w:rPr>
          <w:rFonts w:ascii="Arial" w:hAnsi="Arial" w:cs="Arial"/>
          <w:sz w:val="20"/>
          <w:szCs w:val="20"/>
          <w:lang w:val="en-GB"/>
        </w:rPr>
        <w:t>.</w:t>
      </w:r>
    </w:p>
    <w:p w14:paraId="17E46965" w14:textId="2A1D410E" w:rsidR="001F2B3A"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20. </w:t>
      </w:r>
      <w:r w:rsidR="001F2B3A" w:rsidRPr="0079159E">
        <w:rPr>
          <w:rFonts w:ascii="Arial" w:hAnsi="Arial" w:cs="Arial"/>
          <w:noProof/>
          <w:sz w:val="20"/>
          <w:szCs w:val="20"/>
        </w:rPr>
        <w:t>Massele A, Tiroyakgosi C, Matome M, Desta A, Muller A, Paramadhas BD, et al. Research activities to improve the utilization of antibiotics in Africa. Expert review of pharmacoeconomics &amp; outcomes research. 2017;17(1):1-4</w:t>
      </w:r>
    </w:p>
    <w:p w14:paraId="679345AA" w14:textId="62E8630C" w:rsidR="001F2B3A"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21. </w:t>
      </w:r>
      <w:r w:rsidR="001F2B3A" w:rsidRPr="0079159E">
        <w:rPr>
          <w:rFonts w:ascii="Arial" w:hAnsi="Arial" w:cs="Arial"/>
          <w:noProof/>
          <w:sz w:val="20"/>
          <w:szCs w:val="20"/>
        </w:rPr>
        <w:t>Versporten A, Zarb P, Caniaux I, Gros MF, Drapier N, Miller M, et al. Antimicrobial consumption and resistance in adult hospital inpatients in 53 countries: results of an internet-based global point prevalence survey. The Lancet Global health. 2018;6(6):e619-e29</w:t>
      </w:r>
    </w:p>
    <w:p w14:paraId="04019F65" w14:textId="51FB146C" w:rsidR="00B10309" w:rsidRPr="0079159E" w:rsidRDefault="00D27DDE" w:rsidP="0079159E">
      <w:pPr>
        <w:pStyle w:val="NoSpacing1"/>
        <w:rPr>
          <w:rFonts w:ascii="Arial" w:hAnsi="Arial" w:cs="Arial"/>
          <w:sz w:val="20"/>
          <w:szCs w:val="20"/>
          <w:lang w:val="en-GB"/>
        </w:rPr>
      </w:pPr>
      <w:r w:rsidRPr="0079159E">
        <w:rPr>
          <w:rFonts w:ascii="Arial" w:hAnsi="Arial" w:cs="Arial"/>
          <w:sz w:val="20"/>
          <w:szCs w:val="20"/>
          <w:lang w:val="en-GB"/>
        </w:rPr>
        <w:t xml:space="preserve">22. </w:t>
      </w:r>
      <w:r w:rsidR="00B10309" w:rsidRPr="0079159E">
        <w:rPr>
          <w:rFonts w:ascii="Arial" w:hAnsi="Arial" w:cs="Arial"/>
          <w:sz w:val="20"/>
          <w:szCs w:val="20"/>
          <w:lang w:val="en-GB"/>
        </w:rPr>
        <w:t>European Centre for Disease Prevention and Control. </w:t>
      </w:r>
      <w:r w:rsidR="00B10309" w:rsidRPr="0079159E">
        <w:rPr>
          <w:rFonts w:ascii="Arial" w:hAnsi="Arial" w:cs="Arial"/>
          <w:iCs/>
          <w:sz w:val="20"/>
          <w:szCs w:val="20"/>
          <w:lang w:val="en-GB"/>
        </w:rPr>
        <w:t>Point Prevalence Survey of Healthcare-associated Infections and Antimicrobial Use in European Acute Care Hospitals</w:t>
      </w:r>
      <w:r w:rsidR="00B10309" w:rsidRPr="0079159E">
        <w:rPr>
          <w:rFonts w:ascii="Arial" w:hAnsi="Arial" w:cs="Arial"/>
          <w:sz w:val="20"/>
          <w:szCs w:val="20"/>
          <w:lang w:val="en-GB"/>
        </w:rPr>
        <w:t xml:space="preserve">. Available at URL: </w:t>
      </w:r>
      <w:hyperlink r:id="rId22" w:history="1">
        <w:r w:rsidR="00B10309" w:rsidRPr="0079159E">
          <w:rPr>
            <w:rStyle w:val="Hyperlink"/>
            <w:rFonts w:ascii="Arial" w:hAnsi="Arial" w:cs="Arial"/>
            <w:sz w:val="20"/>
            <w:szCs w:val="20"/>
            <w:lang w:val="en-US"/>
          </w:rPr>
          <w:t>http://ecdc.europa.eu/en/publications/Publications/PPS-HAI-antimicrobial-use-EU-acute-care-hospitals-V5-3.pdf</w:t>
        </w:r>
      </w:hyperlink>
    </w:p>
    <w:p w14:paraId="4D4C99FE" w14:textId="46CF2BB8" w:rsidR="00B10309"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lastRenderedPageBreak/>
        <w:t xml:space="preserve">23. </w:t>
      </w:r>
      <w:r w:rsidR="00B10309" w:rsidRPr="0079159E">
        <w:rPr>
          <w:rFonts w:ascii="Arial" w:hAnsi="Arial" w:cs="Arial"/>
          <w:noProof/>
          <w:sz w:val="20"/>
          <w:szCs w:val="20"/>
        </w:rPr>
        <w:t>Aldeyab MA, Kearney MP, McElnay JC, Magee FA, Conlon G, Gill D, et al. A point prevalence survey of antibiotic prescriptions: benchmarking and patterns of use. British journal of clinical pharmacology. 2011;71(2):293-6</w:t>
      </w:r>
    </w:p>
    <w:p w14:paraId="0EBC76E0" w14:textId="033621E0" w:rsidR="00B10309"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 xml:space="preserve">24. </w:t>
      </w:r>
      <w:r w:rsidR="00B10309" w:rsidRPr="0079159E">
        <w:rPr>
          <w:rFonts w:ascii="Arial" w:hAnsi="Arial" w:cs="Arial"/>
          <w:noProof/>
          <w:sz w:val="20"/>
          <w:szCs w:val="20"/>
        </w:rPr>
        <w:t>Versporten A, Bielicki J, Drapier N, Sharland M, Goossens H. The Worldwide Antibiotic Resistance and Prescribing in European Children (ARPEC) point prevalence survey: developing hospital-quality indicators of antibiotic prescribing for children. The Journal of antimicrobial chemotherapy. 2016;71(4):1106-17</w:t>
      </w:r>
    </w:p>
    <w:p w14:paraId="6F291B6E" w14:textId="6CC0339C" w:rsidR="00B10309"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 xml:space="preserve">25. </w:t>
      </w:r>
      <w:r w:rsidR="00B10309" w:rsidRPr="0079159E">
        <w:rPr>
          <w:rFonts w:ascii="Arial" w:hAnsi="Arial" w:cs="Arial"/>
          <w:noProof/>
          <w:sz w:val="20"/>
          <w:szCs w:val="20"/>
        </w:rPr>
        <w:t>Okoth C, Opanga S, Okalebo F, Oluka M, Baker Kurdi A, Godman B. Point prevalence survey of antibiotic use and resistance at a referral hospital in Kenya: findings and implications. Hospital practice. 2018:</w:t>
      </w:r>
      <w:r w:rsidR="001F2B3A" w:rsidRPr="0079159E">
        <w:rPr>
          <w:rFonts w:ascii="Arial" w:hAnsi="Arial" w:cs="Arial"/>
          <w:noProof/>
          <w:sz w:val="20"/>
          <w:szCs w:val="20"/>
        </w:rPr>
        <w:t>;46(3):128-36</w:t>
      </w:r>
    </w:p>
    <w:p w14:paraId="170E43AC" w14:textId="2552C77B" w:rsidR="00B10309"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 xml:space="preserve">26. </w:t>
      </w:r>
      <w:r w:rsidR="00B10309" w:rsidRPr="0079159E">
        <w:rPr>
          <w:rFonts w:ascii="Arial" w:hAnsi="Arial" w:cs="Arial"/>
          <w:noProof/>
          <w:sz w:val="20"/>
          <w:szCs w:val="20"/>
        </w:rPr>
        <w:t>Tiroyakgosi C, Matome M, Summers E, Mashalla Y, Paramadhas BA, Souda S, et al. Ongoing initiatives to improve the use of antibiotics in Botswana: University of Botswana symposium meeting report. Expert review of anti-infective therapy. 2018;16(5):381-4</w:t>
      </w:r>
    </w:p>
    <w:p w14:paraId="3006B21E" w14:textId="7C7F0D82" w:rsidR="001F2B3A"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27. </w:t>
      </w:r>
      <w:r w:rsidR="001F2B3A" w:rsidRPr="0079159E">
        <w:rPr>
          <w:rFonts w:ascii="Arial" w:hAnsi="Arial" w:cs="Arial"/>
          <w:noProof/>
          <w:sz w:val="20"/>
          <w:szCs w:val="20"/>
        </w:rPr>
        <w:t>Gandra S, Singh SK, Jinka DR, Kanithi R, Chikkappa AK, Sharma A, et al. Point Prevalence Surveys of Antimicrobial Use among Hospitalized Children in Six Hospitals in India in 2016. Antibiotics. 2017;6(3):19</w:t>
      </w:r>
    </w:p>
    <w:p w14:paraId="2E6EDEEE" w14:textId="3809D287" w:rsidR="0081045A"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28. </w:t>
      </w:r>
      <w:r w:rsidR="0081045A" w:rsidRPr="0079159E">
        <w:rPr>
          <w:rFonts w:ascii="Arial" w:hAnsi="Arial" w:cs="Arial"/>
          <w:noProof/>
          <w:sz w:val="20"/>
          <w:szCs w:val="20"/>
        </w:rPr>
        <w:t>Al Matar M, Enani M, Binsaleh G, Roushdy H, Alokaili D, Al Bannai A, et al. Point prevalence survey of antibiotic use in 26 Saudi hospitals in 2016. Journal of infection and public health. 2018</w:t>
      </w:r>
    </w:p>
    <w:p w14:paraId="684A860A" w14:textId="567E649D" w:rsidR="0081045A"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29. </w:t>
      </w:r>
      <w:r w:rsidR="0081045A" w:rsidRPr="0079159E">
        <w:rPr>
          <w:rFonts w:ascii="Arial" w:hAnsi="Arial" w:cs="Arial"/>
          <w:noProof/>
          <w:sz w:val="20"/>
          <w:szCs w:val="20"/>
        </w:rPr>
        <w:t>Talaat M, Saied T, Kandeel A, El-Ata GA, El-Kholy A, Hafez S, et al. A Point Prevalence Survey of Antibiotic Use in 18 Hospitals in Egypt. Antibiotics. 2014;3(3):450-60</w:t>
      </w:r>
    </w:p>
    <w:p w14:paraId="6FD3761C" w14:textId="73F851A0" w:rsidR="0081045A"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30. </w:t>
      </w:r>
      <w:r w:rsidR="0081045A" w:rsidRPr="0079159E">
        <w:rPr>
          <w:rFonts w:ascii="Arial" w:hAnsi="Arial" w:cs="Arial"/>
          <w:noProof/>
          <w:sz w:val="20"/>
          <w:szCs w:val="20"/>
        </w:rPr>
        <w:t>Kharsany ABM, Karim QA. HIV Infection and AIDS in Sub-Saharan Africa: Current Status, Challenges and Opportunities. The open AIDS journal. 2016;10:34-48</w:t>
      </w:r>
    </w:p>
    <w:p w14:paraId="364E6FCF" w14:textId="0DD3915C" w:rsidR="0081045A"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31. </w:t>
      </w:r>
      <w:r w:rsidR="0081045A" w:rsidRPr="0079159E">
        <w:rPr>
          <w:rFonts w:ascii="Arial" w:hAnsi="Arial" w:cs="Arial"/>
          <w:noProof/>
          <w:sz w:val="20"/>
          <w:szCs w:val="20"/>
        </w:rPr>
        <w:t>Mwita S, Jande M, Marwa K, Hamasaki K, Katabalo D, Burger J , Godman B et al. Medicines dispensers’ knowledge on the implementation of an artemisinin-based combination therapy policy for the treatment of uncomplicated malaria in Tanzania. Journal of Pharmaceutical Health Services Research 2017;8:227-33</w:t>
      </w:r>
    </w:p>
    <w:p w14:paraId="06370C98" w14:textId="19AB30FC" w:rsidR="0081045A"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32. </w:t>
      </w:r>
      <w:r w:rsidR="0081045A" w:rsidRPr="0079159E">
        <w:rPr>
          <w:rFonts w:ascii="Arial" w:hAnsi="Arial" w:cs="Arial"/>
          <w:noProof/>
          <w:sz w:val="20"/>
          <w:szCs w:val="20"/>
        </w:rPr>
        <w:t>Wanyiri JW, Kanyi H, Maina S, Wang DE, Ngugi P, O'Connor R, et al. Infectious diarrhoea in antiretroviral therapy-naïve HIV/AIDS patients in Kenya. Transactions of the Royal Society of Tropical Medicine and Hygiene. 2013;107(10):631-8</w:t>
      </w:r>
    </w:p>
    <w:p w14:paraId="17F9CBE0" w14:textId="0BE426AA" w:rsidR="00120424"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33. </w:t>
      </w:r>
      <w:r w:rsidR="00120424" w:rsidRPr="0079159E">
        <w:rPr>
          <w:rFonts w:ascii="Arial" w:hAnsi="Arial" w:cs="Arial"/>
          <w:noProof/>
          <w:sz w:val="20"/>
          <w:szCs w:val="20"/>
        </w:rPr>
        <w:t xml:space="preserve">WHO. GLOBAL TUBERCULOSIS REPORT. 2016. Available at URL: </w:t>
      </w:r>
      <w:hyperlink r:id="rId23" w:history="1">
        <w:r w:rsidR="00120424" w:rsidRPr="0079159E">
          <w:rPr>
            <w:rStyle w:val="Hyperlink"/>
            <w:rFonts w:ascii="Arial" w:hAnsi="Arial" w:cs="Arial"/>
            <w:noProof/>
            <w:sz w:val="20"/>
            <w:szCs w:val="20"/>
          </w:rPr>
          <w:t>http://apps.who.int/iris/bitstream/10665/250441/1/9789241565394-eng.pdf?ua=1</w:t>
        </w:r>
      </w:hyperlink>
    </w:p>
    <w:p w14:paraId="09897D2D" w14:textId="29080CC0" w:rsidR="00CB2D94"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 xml:space="preserve">34. </w:t>
      </w:r>
      <w:r w:rsidR="00CB2D94" w:rsidRPr="0079159E">
        <w:rPr>
          <w:rFonts w:ascii="Arial" w:hAnsi="Arial" w:cs="Arial"/>
          <w:noProof/>
          <w:sz w:val="20"/>
          <w:szCs w:val="20"/>
        </w:rPr>
        <w:t>Meyer JC, Schellack N, Stokes J, Lancaster R, Zeeman H, Defty D, et al. Ongoing Initiatives to Improve the Quality and Efficiency of Medicine Use within the Public Healthcare System in South Africa; A Preliminary Study. Frontiers in pharmacology. 2017;8:751</w:t>
      </w:r>
    </w:p>
    <w:p w14:paraId="192809A5" w14:textId="356F844F" w:rsidR="001F2B3A"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 xml:space="preserve">35. </w:t>
      </w:r>
      <w:r w:rsidR="00CB2D94" w:rsidRPr="0079159E">
        <w:rPr>
          <w:rFonts w:ascii="Arial" w:hAnsi="Arial" w:cs="Arial"/>
          <w:noProof/>
          <w:sz w:val="20"/>
          <w:szCs w:val="20"/>
        </w:rPr>
        <w:t>Measuring progress and projecting attainment on the basis of past trends of the health-related Sustainable Development Goals in 188 countries: an analysis from the Global Burden of Disease Study 2016. Lancet. 2017;390(10100):1423-59</w:t>
      </w:r>
    </w:p>
    <w:p w14:paraId="1946E8F1" w14:textId="5534592D" w:rsidR="00B10309"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 xml:space="preserve">36. </w:t>
      </w:r>
      <w:r w:rsidR="00B10309" w:rsidRPr="0079159E">
        <w:rPr>
          <w:rFonts w:ascii="Arial" w:hAnsi="Arial" w:cs="Arial"/>
          <w:noProof/>
          <w:sz w:val="20"/>
          <w:szCs w:val="20"/>
        </w:rPr>
        <w:t>Crowther-Gibson P, Govender N, Lewis DA, Bamford C, Brink A, von Gottberg A, et al. Part IV. Human infections and antibiotic resistance. South African medical journal. 2011;101(8 Pt 2):567-78</w:t>
      </w:r>
    </w:p>
    <w:p w14:paraId="18FDECA5" w14:textId="3AAAD7D8" w:rsidR="00120424" w:rsidRPr="0079159E" w:rsidRDefault="00D27DDE" w:rsidP="0079159E">
      <w:pPr>
        <w:pStyle w:val="NoSpacing1"/>
        <w:rPr>
          <w:rFonts w:ascii="Arial" w:hAnsi="Arial" w:cs="Arial"/>
          <w:sz w:val="20"/>
          <w:szCs w:val="20"/>
        </w:rPr>
      </w:pPr>
      <w:r w:rsidRPr="0079159E">
        <w:rPr>
          <w:rFonts w:ascii="Arial" w:hAnsi="Arial" w:cs="Arial"/>
          <w:sz w:val="20"/>
          <w:szCs w:val="20"/>
          <w:lang w:val="en-GB"/>
        </w:rPr>
        <w:t xml:space="preserve">37. </w:t>
      </w:r>
      <w:r w:rsidR="00120424" w:rsidRPr="0079159E">
        <w:rPr>
          <w:rFonts w:ascii="Arial" w:hAnsi="Arial" w:cs="Arial"/>
          <w:sz w:val="20"/>
          <w:szCs w:val="20"/>
          <w:lang w:val="en-GB"/>
        </w:rPr>
        <w:t xml:space="preserve">Bamford C, </w:t>
      </w:r>
      <w:proofErr w:type="spellStart"/>
      <w:r w:rsidR="00120424" w:rsidRPr="0079159E">
        <w:rPr>
          <w:rFonts w:ascii="Arial" w:hAnsi="Arial" w:cs="Arial"/>
          <w:sz w:val="20"/>
          <w:szCs w:val="20"/>
          <w:lang w:val="en-GB"/>
        </w:rPr>
        <w:t>Bonorchis</w:t>
      </w:r>
      <w:proofErr w:type="spellEnd"/>
      <w:r w:rsidR="00120424" w:rsidRPr="0079159E">
        <w:rPr>
          <w:rFonts w:ascii="Arial" w:hAnsi="Arial" w:cs="Arial"/>
          <w:sz w:val="20"/>
          <w:szCs w:val="20"/>
          <w:lang w:val="en-GB"/>
        </w:rPr>
        <w:t xml:space="preserve"> K, Ryan A, et al. Antimicrobial susceptibility patterns of Escherichia coli strains isolated from urine samples in South Africa from 2007-2011. South African Journal of Epidemiology and Infection 2012; 27(2):46</w:t>
      </w:r>
    </w:p>
    <w:p w14:paraId="501CF8D7" w14:textId="2E1E7C9B" w:rsidR="00120424" w:rsidRPr="0079159E" w:rsidRDefault="00D27DDE" w:rsidP="0079159E">
      <w:pPr>
        <w:pStyle w:val="NoSpacing1"/>
        <w:rPr>
          <w:rFonts w:ascii="Arial" w:hAnsi="Arial" w:cs="Arial"/>
          <w:sz w:val="20"/>
          <w:szCs w:val="20"/>
          <w:lang w:val="en-GB"/>
        </w:rPr>
      </w:pPr>
      <w:r w:rsidRPr="0079159E">
        <w:rPr>
          <w:rFonts w:ascii="Arial" w:hAnsi="Arial" w:cs="Arial"/>
          <w:sz w:val="20"/>
          <w:szCs w:val="20"/>
        </w:rPr>
        <w:t xml:space="preserve">38. </w:t>
      </w:r>
      <w:r w:rsidR="00120424" w:rsidRPr="0079159E">
        <w:rPr>
          <w:rFonts w:ascii="Arial" w:hAnsi="Arial" w:cs="Arial"/>
          <w:sz w:val="20"/>
          <w:szCs w:val="20"/>
        </w:rPr>
        <w:t>Fourie T,</w:t>
      </w:r>
      <w:r w:rsidR="00120424" w:rsidRPr="0079159E">
        <w:rPr>
          <w:rFonts w:ascii="Arial" w:hAnsi="Arial" w:cs="Arial"/>
          <w:sz w:val="20"/>
          <w:szCs w:val="20"/>
          <w:vertAlign w:val="superscript"/>
        </w:rPr>
        <w:t xml:space="preserve"> </w:t>
      </w:r>
      <w:proofErr w:type="spellStart"/>
      <w:r w:rsidR="00120424" w:rsidRPr="0079159E">
        <w:rPr>
          <w:rFonts w:ascii="Arial" w:hAnsi="Arial" w:cs="Arial"/>
          <w:sz w:val="20"/>
          <w:szCs w:val="20"/>
        </w:rPr>
        <w:t>Schellack</w:t>
      </w:r>
      <w:proofErr w:type="spellEnd"/>
      <w:r w:rsidR="00120424" w:rsidRPr="0079159E">
        <w:rPr>
          <w:rFonts w:ascii="Arial" w:hAnsi="Arial" w:cs="Arial"/>
          <w:sz w:val="20"/>
          <w:szCs w:val="20"/>
        </w:rPr>
        <w:t xml:space="preserve"> N, </w:t>
      </w:r>
      <w:proofErr w:type="spellStart"/>
      <w:r w:rsidR="00120424" w:rsidRPr="0079159E">
        <w:rPr>
          <w:rFonts w:ascii="Arial" w:hAnsi="Arial" w:cs="Arial"/>
          <w:sz w:val="20"/>
          <w:szCs w:val="20"/>
        </w:rPr>
        <w:t>Bronkhorst</w:t>
      </w:r>
      <w:proofErr w:type="spellEnd"/>
      <w:r w:rsidR="00120424" w:rsidRPr="0079159E">
        <w:rPr>
          <w:rFonts w:ascii="Arial" w:hAnsi="Arial" w:cs="Arial"/>
          <w:sz w:val="20"/>
          <w:szCs w:val="20"/>
        </w:rPr>
        <w:t xml:space="preserve"> E, Coetzee J, Godman B. Antibiotic prescribing practices in the presence of Extended-spectrum β-lactamase (ESBL) positive organisms in an adult intensive care unit in South Africa – a pilot study. </w:t>
      </w:r>
      <w:r w:rsidR="00120424" w:rsidRPr="0079159E">
        <w:rPr>
          <w:rFonts w:ascii="Arial" w:hAnsi="Arial" w:cs="Arial"/>
          <w:noProof/>
          <w:sz w:val="20"/>
          <w:szCs w:val="20"/>
        </w:rPr>
        <w:t xml:space="preserve">Alexandria Journal of Medicine. 2018; </w:t>
      </w:r>
      <w:r w:rsidR="00120424" w:rsidRPr="0079159E">
        <w:rPr>
          <w:rFonts w:ascii="Arial" w:hAnsi="Arial" w:cs="Arial"/>
          <w:sz w:val="20"/>
          <w:szCs w:val="20"/>
        </w:rPr>
        <w:t>54: 541–547</w:t>
      </w:r>
    </w:p>
    <w:p w14:paraId="619AA566" w14:textId="5349EE57" w:rsidR="00AC0480"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39. </w:t>
      </w:r>
      <w:r w:rsidR="00AC0480" w:rsidRPr="0079159E">
        <w:rPr>
          <w:rFonts w:ascii="Arial" w:hAnsi="Arial" w:cs="Arial"/>
          <w:noProof/>
          <w:sz w:val="20"/>
          <w:szCs w:val="20"/>
        </w:rPr>
        <w:t>Matsitse TB, Helberg E, Meyer JC, Godman B, Massele A, Schellack N. Compliance with the primary health care treatment guidelines and the essential medicines list in the management of sexually transmitted infections in correctional centres in South Africa: findings and implications. Expert review of anti-infective therapy. 2017;15(10):963-7</w:t>
      </w:r>
    </w:p>
    <w:p w14:paraId="6905CE67" w14:textId="6F986B40" w:rsidR="00AC0480"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 xml:space="preserve">40. </w:t>
      </w:r>
      <w:r w:rsidR="00AC0480" w:rsidRPr="0079159E">
        <w:rPr>
          <w:rFonts w:ascii="Arial" w:hAnsi="Arial" w:cs="Arial"/>
          <w:noProof/>
          <w:sz w:val="20"/>
          <w:szCs w:val="20"/>
        </w:rPr>
        <w:t>Mendelson M, Matsoso MP. The World Health Organization Global Action Plan for antimicrobial resistance. South African medical journal. 2015;105(5):325</w:t>
      </w:r>
    </w:p>
    <w:p w14:paraId="757E2842" w14:textId="4B846887" w:rsidR="00AC0480"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41. </w:t>
      </w:r>
      <w:r w:rsidR="00AC0480" w:rsidRPr="0079159E">
        <w:rPr>
          <w:rFonts w:ascii="Arial" w:hAnsi="Arial" w:cs="Arial"/>
          <w:noProof/>
          <w:sz w:val="20"/>
          <w:szCs w:val="20"/>
        </w:rPr>
        <w:t>Gasson J, Blockman M, Willems B. Antibiotic prescribing practice and adherence to guidelines in primary care in the Cape Town Metro District, South Africa. South African medical journal. 2018;108(4):304-10</w:t>
      </w:r>
    </w:p>
    <w:p w14:paraId="3B9B301E" w14:textId="56CC61BA" w:rsidR="00AC0480"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42. </w:t>
      </w:r>
      <w:r w:rsidR="00AC0480" w:rsidRPr="0079159E">
        <w:rPr>
          <w:rFonts w:ascii="Arial" w:hAnsi="Arial" w:cs="Arial"/>
          <w:noProof/>
          <w:sz w:val="20"/>
          <w:szCs w:val="20"/>
        </w:rPr>
        <w:t>Ncube NB, Solanki GC, Kredo T, Lalloo R. Antibiotic prescription patterns of South African general medical practitioners for treatment of acute bronchitis. South African medical journal. 2017;107(2):119-22</w:t>
      </w:r>
    </w:p>
    <w:p w14:paraId="0A272D0F" w14:textId="18120C5C" w:rsidR="00AC0480" w:rsidRPr="0079159E" w:rsidRDefault="00D27DDE" w:rsidP="0079159E">
      <w:pPr>
        <w:pStyle w:val="NoSpacing1"/>
        <w:rPr>
          <w:rFonts w:ascii="Arial" w:hAnsi="Arial" w:cs="Arial"/>
          <w:sz w:val="20"/>
          <w:szCs w:val="20"/>
        </w:rPr>
      </w:pPr>
      <w:r w:rsidRPr="0079159E">
        <w:rPr>
          <w:rFonts w:ascii="Arial" w:hAnsi="Arial" w:cs="Arial"/>
          <w:noProof/>
          <w:sz w:val="20"/>
          <w:szCs w:val="20"/>
        </w:rPr>
        <w:t xml:space="preserve">43. </w:t>
      </w:r>
      <w:r w:rsidR="00AC0480" w:rsidRPr="0079159E">
        <w:rPr>
          <w:rFonts w:ascii="Arial" w:hAnsi="Arial" w:cs="Arial"/>
          <w:noProof/>
          <w:sz w:val="20"/>
          <w:szCs w:val="20"/>
        </w:rPr>
        <w:t xml:space="preserve">van der Sandt N, Schellack N, Mabope LA, Mawela MP, Kruger D, Godman B. Surgical Antimicrobial Prophylaxis Among Pediatric Patients in South Africa Comparing Two Healthcare Settings. The Pediatric infectious disease journal. </w:t>
      </w:r>
      <w:r w:rsidR="00F72071" w:rsidRPr="0079159E">
        <w:rPr>
          <w:rFonts w:ascii="Arial" w:hAnsi="Arial" w:cs="Arial"/>
          <w:color w:val="000000"/>
          <w:sz w:val="20"/>
          <w:szCs w:val="20"/>
        </w:rPr>
        <w:t>2019 Feb;38(2):122-12</w:t>
      </w:r>
    </w:p>
    <w:p w14:paraId="28A1C8A2" w14:textId="77777777" w:rsidR="00AC0480" w:rsidRPr="0079159E" w:rsidRDefault="00AC0480" w:rsidP="0079159E">
      <w:pPr>
        <w:pStyle w:val="NoSpacing1"/>
        <w:rPr>
          <w:rFonts w:ascii="Arial" w:hAnsi="Arial" w:cs="Arial"/>
          <w:sz w:val="20"/>
          <w:szCs w:val="20"/>
          <w:lang w:val="en-GB"/>
        </w:rPr>
      </w:pPr>
    </w:p>
    <w:p w14:paraId="0442990A" w14:textId="4E83D265" w:rsidR="00B10309" w:rsidRPr="0079159E" w:rsidRDefault="00D27DDE" w:rsidP="0079159E">
      <w:pPr>
        <w:pStyle w:val="NoSpacing1"/>
        <w:rPr>
          <w:rFonts w:ascii="Arial" w:hAnsi="Arial" w:cs="Arial"/>
          <w:sz w:val="20"/>
          <w:szCs w:val="20"/>
          <w:lang w:val="en-GB"/>
        </w:rPr>
      </w:pPr>
      <w:r w:rsidRPr="0079159E">
        <w:rPr>
          <w:rFonts w:ascii="Arial" w:hAnsi="Arial" w:cs="Arial"/>
          <w:sz w:val="20"/>
          <w:szCs w:val="20"/>
        </w:rPr>
        <w:t xml:space="preserve">44. </w:t>
      </w:r>
      <w:r w:rsidR="00B10309" w:rsidRPr="0079159E">
        <w:rPr>
          <w:rFonts w:ascii="Arial" w:hAnsi="Arial" w:cs="Arial"/>
          <w:sz w:val="20"/>
          <w:szCs w:val="20"/>
        </w:rPr>
        <w:t xml:space="preserve">Finlayson H, </w:t>
      </w:r>
      <w:proofErr w:type="spellStart"/>
      <w:r w:rsidR="00B10309" w:rsidRPr="0079159E">
        <w:rPr>
          <w:rFonts w:ascii="Arial" w:hAnsi="Arial" w:cs="Arial"/>
          <w:sz w:val="20"/>
          <w:szCs w:val="20"/>
        </w:rPr>
        <w:t>Versporten</w:t>
      </w:r>
      <w:proofErr w:type="spellEnd"/>
      <w:r w:rsidR="00B10309" w:rsidRPr="0079159E">
        <w:rPr>
          <w:rFonts w:ascii="Arial" w:hAnsi="Arial" w:cs="Arial"/>
          <w:sz w:val="20"/>
          <w:szCs w:val="20"/>
        </w:rPr>
        <w:t xml:space="preserve"> A, Whitelaw A, </w:t>
      </w:r>
      <w:proofErr w:type="spellStart"/>
      <w:r w:rsidR="00B10309" w:rsidRPr="0079159E">
        <w:rPr>
          <w:rFonts w:ascii="Arial" w:hAnsi="Arial" w:cs="Arial"/>
          <w:sz w:val="20"/>
          <w:szCs w:val="20"/>
        </w:rPr>
        <w:t>Goossens</w:t>
      </w:r>
      <w:proofErr w:type="spellEnd"/>
      <w:r w:rsidR="00B10309" w:rsidRPr="0079159E">
        <w:rPr>
          <w:rFonts w:ascii="Arial" w:hAnsi="Arial" w:cs="Arial"/>
          <w:sz w:val="20"/>
          <w:szCs w:val="20"/>
        </w:rPr>
        <w:t xml:space="preserve"> H, </w:t>
      </w:r>
      <w:proofErr w:type="spellStart"/>
      <w:r w:rsidR="00B10309" w:rsidRPr="0079159E">
        <w:rPr>
          <w:rFonts w:ascii="Arial" w:hAnsi="Arial" w:cs="Arial"/>
          <w:sz w:val="20"/>
          <w:szCs w:val="20"/>
        </w:rPr>
        <w:t>Taljaard</w:t>
      </w:r>
      <w:proofErr w:type="spellEnd"/>
      <w:r w:rsidR="00B10309" w:rsidRPr="0079159E">
        <w:rPr>
          <w:rFonts w:ascii="Arial" w:hAnsi="Arial" w:cs="Arial"/>
          <w:sz w:val="20"/>
          <w:szCs w:val="20"/>
        </w:rPr>
        <w:t xml:space="preserve"> J. The global point prevalence survey of antimicrobial consumption and resistance (Global-PPS): Results of antimicrobial prescribing in a South African tertiary hospital. 2015. Available at URL: </w:t>
      </w:r>
      <w:hyperlink r:id="rId24" w:history="1">
        <w:r w:rsidR="00B10309" w:rsidRPr="0079159E">
          <w:rPr>
            <w:rStyle w:val="Hyperlink"/>
            <w:rFonts w:ascii="Arial" w:hAnsi="Arial" w:cs="Arial"/>
            <w:sz w:val="20"/>
            <w:szCs w:val="20"/>
            <w:lang w:val="en-US"/>
          </w:rPr>
          <w:t>http://www.global-pps.com/wp-content/uploads/ECCMID-2016_South-Africa.pdf</w:t>
        </w:r>
      </w:hyperlink>
      <w:r w:rsidR="00B10309" w:rsidRPr="0079159E">
        <w:rPr>
          <w:rFonts w:ascii="Arial" w:hAnsi="Arial" w:cs="Arial"/>
          <w:sz w:val="20"/>
          <w:szCs w:val="20"/>
        </w:rPr>
        <w:t>.</w:t>
      </w:r>
    </w:p>
    <w:p w14:paraId="3405179D" w14:textId="2A2C5473" w:rsidR="00B10309" w:rsidRPr="0079159E" w:rsidRDefault="00D27DDE" w:rsidP="0079159E">
      <w:pPr>
        <w:pStyle w:val="NoSpacing1"/>
        <w:rPr>
          <w:rFonts w:ascii="Arial" w:hAnsi="Arial" w:cs="Arial"/>
          <w:sz w:val="20"/>
          <w:szCs w:val="20"/>
        </w:rPr>
      </w:pPr>
      <w:r w:rsidRPr="0079159E">
        <w:rPr>
          <w:rFonts w:ascii="Arial" w:hAnsi="Arial" w:cs="Arial"/>
          <w:sz w:val="20"/>
          <w:szCs w:val="20"/>
        </w:rPr>
        <w:t xml:space="preserve">45. </w:t>
      </w:r>
      <w:proofErr w:type="spellStart"/>
      <w:r w:rsidR="00B10309" w:rsidRPr="0079159E">
        <w:rPr>
          <w:rFonts w:ascii="Arial" w:hAnsi="Arial" w:cs="Arial"/>
          <w:sz w:val="20"/>
          <w:szCs w:val="20"/>
        </w:rPr>
        <w:t>Paramadhas</w:t>
      </w:r>
      <w:proofErr w:type="spellEnd"/>
      <w:r w:rsidR="00B10309" w:rsidRPr="0079159E">
        <w:rPr>
          <w:rFonts w:ascii="Arial" w:hAnsi="Arial" w:cs="Arial"/>
          <w:sz w:val="20"/>
          <w:szCs w:val="20"/>
        </w:rPr>
        <w:t xml:space="preserve"> BDA, </w:t>
      </w:r>
      <w:proofErr w:type="spellStart"/>
      <w:r w:rsidR="00B10309" w:rsidRPr="0079159E">
        <w:rPr>
          <w:rFonts w:ascii="Arial" w:hAnsi="Arial" w:cs="Arial"/>
          <w:sz w:val="20"/>
          <w:szCs w:val="20"/>
        </w:rPr>
        <w:t>Kgatlwane</w:t>
      </w:r>
      <w:proofErr w:type="spellEnd"/>
      <w:r w:rsidR="00B10309" w:rsidRPr="0079159E">
        <w:rPr>
          <w:rFonts w:ascii="Arial" w:hAnsi="Arial" w:cs="Arial"/>
          <w:sz w:val="20"/>
          <w:szCs w:val="20"/>
        </w:rPr>
        <w:t xml:space="preserve"> J, </w:t>
      </w:r>
      <w:proofErr w:type="spellStart"/>
      <w:r w:rsidR="00B10309" w:rsidRPr="0079159E">
        <w:rPr>
          <w:rFonts w:ascii="Arial" w:hAnsi="Arial" w:cs="Arial"/>
          <w:sz w:val="20"/>
          <w:szCs w:val="20"/>
        </w:rPr>
        <w:t>Tiroyakgosi</w:t>
      </w:r>
      <w:proofErr w:type="spellEnd"/>
      <w:r w:rsidR="00B10309" w:rsidRPr="0079159E">
        <w:rPr>
          <w:rFonts w:ascii="Arial" w:hAnsi="Arial" w:cs="Arial"/>
          <w:sz w:val="20"/>
          <w:szCs w:val="20"/>
        </w:rPr>
        <w:t xml:space="preserve"> C, </w:t>
      </w:r>
      <w:proofErr w:type="spellStart"/>
      <w:r w:rsidR="00B10309" w:rsidRPr="0079159E">
        <w:rPr>
          <w:rFonts w:ascii="Arial" w:hAnsi="Arial" w:cs="Arial"/>
          <w:sz w:val="20"/>
          <w:szCs w:val="20"/>
        </w:rPr>
        <w:t>Matome</w:t>
      </w:r>
      <w:proofErr w:type="spellEnd"/>
      <w:r w:rsidR="00B10309" w:rsidRPr="0079159E">
        <w:rPr>
          <w:rFonts w:ascii="Arial" w:hAnsi="Arial" w:cs="Arial"/>
          <w:sz w:val="20"/>
          <w:szCs w:val="20"/>
        </w:rPr>
        <w:t xml:space="preserve"> M, </w:t>
      </w:r>
      <w:proofErr w:type="spellStart"/>
      <w:r w:rsidR="00B10309" w:rsidRPr="0079159E">
        <w:rPr>
          <w:rFonts w:ascii="Arial" w:hAnsi="Arial" w:cs="Arial"/>
          <w:sz w:val="20"/>
          <w:szCs w:val="20"/>
        </w:rPr>
        <w:t>Massele</w:t>
      </w:r>
      <w:proofErr w:type="spellEnd"/>
      <w:r w:rsidR="00B10309" w:rsidRPr="0079159E">
        <w:rPr>
          <w:rFonts w:ascii="Arial" w:hAnsi="Arial" w:cs="Arial"/>
          <w:sz w:val="20"/>
          <w:szCs w:val="20"/>
        </w:rPr>
        <w:t xml:space="preserve"> A, Godman B et al. Antibiotic Utilization Studies Using Point Prevalence Survey in Botswana. MURIA 3 2017; 8. Available at URL:  </w:t>
      </w:r>
      <w:hyperlink r:id="rId25" w:history="1">
        <w:r w:rsidR="00B10309" w:rsidRPr="0079159E">
          <w:rPr>
            <w:rStyle w:val="Hyperlink"/>
            <w:rFonts w:ascii="Arial" w:hAnsi="Arial" w:cs="Arial"/>
            <w:sz w:val="20"/>
            <w:szCs w:val="20"/>
            <w:lang w:val="en-US"/>
          </w:rPr>
          <w:t>http://muria.mandela.ac.za/muria/media/Store/documents/Abstract%20book%20-%20MURAI%203/MURIA3-AbstractBook-July-2017.pdf</w:t>
        </w:r>
      </w:hyperlink>
      <w:r w:rsidR="00B10309" w:rsidRPr="0079159E">
        <w:rPr>
          <w:rFonts w:ascii="Arial" w:hAnsi="Arial" w:cs="Arial"/>
          <w:sz w:val="20"/>
          <w:szCs w:val="20"/>
        </w:rPr>
        <w:t xml:space="preserve">  </w:t>
      </w:r>
    </w:p>
    <w:p w14:paraId="6B8F9BC5" w14:textId="0126CBA5" w:rsidR="00F72071" w:rsidRPr="0079159E" w:rsidRDefault="0079159E" w:rsidP="0079159E">
      <w:pPr>
        <w:pStyle w:val="NoSpacing1"/>
        <w:rPr>
          <w:rFonts w:ascii="Arial" w:hAnsi="Arial" w:cs="Arial"/>
          <w:sz w:val="20"/>
          <w:szCs w:val="20"/>
        </w:rPr>
      </w:pPr>
      <w:r>
        <w:rPr>
          <w:rFonts w:ascii="Arial" w:eastAsia="Calibri" w:hAnsi="Arial" w:cs="Arial"/>
          <w:sz w:val="20"/>
          <w:szCs w:val="20"/>
        </w:rPr>
        <w:t xml:space="preserve">46. </w:t>
      </w:r>
      <w:r w:rsidR="00F72071" w:rsidRPr="0079159E">
        <w:rPr>
          <w:rFonts w:ascii="Arial" w:eastAsia="Calibri" w:hAnsi="Arial" w:cs="Arial"/>
          <w:sz w:val="20"/>
          <w:szCs w:val="20"/>
        </w:rPr>
        <w:t xml:space="preserve">Paramadhas BD, </w:t>
      </w:r>
      <w:r w:rsidR="00F72071" w:rsidRPr="0079159E">
        <w:rPr>
          <w:rFonts w:ascii="Arial" w:hAnsi="Arial" w:cs="Arial"/>
          <w:sz w:val="20"/>
          <w:szCs w:val="20"/>
        </w:rPr>
        <w:t>Tiroyakgosi</w:t>
      </w:r>
      <w:r w:rsidR="00F72071" w:rsidRPr="0079159E">
        <w:rPr>
          <w:rFonts w:ascii="Arial" w:eastAsia="Calibri" w:hAnsi="Arial" w:cs="Arial"/>
          <w:sz w:val="20"/>
          <w:szCs w:val="20"/>
        </w:rPr>
        <w:t xml:space="preserve"> C, Godman B. Point Prevalence Study on Antibiotic Utilization among Public Hospitals in Botswana. </w:t>
      </w:r>
      <w:r w:rsidR="00F72071" w:rsidRPr="0079159E">
        <w:rPr>
          <w:rFonts w:ascii="Arial" w:hAnsi="Arial" w:cs="Arial"/>
          <w:sz w:val="20"/>
          <w:szCs w:val="20"/>
        </w:rPr>
        <w:t xml:space="preserve">MURIA Conference </w:t>
      </w:r>
      <w:proofErr w:type="spellStart"/>
      <w:r w:rsidR="00F72071" w:rsidRPr="0079159E">
        <w:rPr>
          <w:rFonts w:ascii="Arial" w:hAnsi="Arial" w:cs="Arial"/>
          <w:sz w:val="20"/>
          <w:szCs w:val="20"/>
        </w:rPr>
        <w:t>Anti Infectives</w:t>
      </w:r>
      <w:proofErr w:type="spellEnd"/>
      <w:r w:rsidR="00F72071" w:rsidRPr="0079159E">
        <w:rPr>
          <w:rFonts w:ascii="Arial" w:hAnsi="Arial" w:cs="Arial"/>
          <w:sz w:val="20"/>
          <w:szCs w:val="20"/>
        </w:rPr>
        <w:t xml:space="preserve">. 2016: 7 (Available at URL: </w:t>
      </w:r>
      <w:hyperlink r:id="rId26" w:history="1">
        <w:r w:rsidR="00F72071" w:rsidRPr="0079159E">
          <w:rPr>
            <w:rStyle w:val="Hyperlink"/>
            <w:rFonts w:ascii="Arial" w:hAnsi="Arial" w:cs="Arial"/>
            <w:sz w:val="20"/>
            <w:szCs w:val="20"/>
          </w:rPr>
          <w:t>http://muria.nmmu.ac.za/2nd-MURIA-Training-Workshop-and-Symposium,-25-27-J</w:t>
        </w:r>
      </w:hyperlink>
      <w:r w:rsidR="00F72071" w:rsidRPr="0079159E">
        <w:rPr>
          <w:rFonts w:ascii="Arial" w:hAnsi="Arial" w:cs="Arial"/>
          <w:sz w:val="20"/>
          <w:szCs w:val="20"/>
        </w:rPr>
        <w:t>)</w:t>
      </w:r>
    </w:p>
    <w:p w14:paraId="01B0829E" w14:textId="650F71AE" w:rsidR="00F72071" w:rsidRPr="0079159E" w:rsidRDefault="0079159E" w:rsidP="0079159E">
      <w:pPr>
        <w:pStyle w:val="NoSpacing1"/>
        <w:rPr>
          <w:rFonts w:ascii="Arial" w:hAnsi="Arial" w:cs="Arial"/>
          <w:sz w:val="20"/>
          <w:szCs w:val="20"/>
          <w:lang w:val="en-GB"/>
        </w:rPr>
      </w:pPr>
      <w:r>
        <w:rPr>
          <w:rFonts w:ascii="Arial" w:hAnsi="Arial" w:cs="Arial"/>
          <w:noProof/>
          <w:sz w:val="20"/>
          <w:szCs w:val="20"/>
        </w:rPr>
        <w:t xml:space="preserve">47. </w:t>
      </w:r>
      <w:r w:rsidR="00F72071" w:rsidRPr="0079159E">
        <w:rPr>
          <w:rFonts w:ascii="Arial" w:hAnsi="Arial" w:cs="Arial"/>
          <w:noProof/>
          <w:sz w:val="20"/>
          <w:szCs w:val="20"/>
        </w:rPr>
        <w:t>Massele A, Burger J, Kalemeera F, Jande M, Didimalang T, Kalungia AC, et al. Outcome of the second Medicines Utilisation Research in Africa Group meeting to promote sustainable and appropriate medicine use in Africa. Expert review of pharmacoeconomics &amp; outcomes research. 2017;17(2):149-5</w:t>
      </w:r>
    </w:p>
    <w:p w14:paraId="1F4381B3" w14:textId="13E5723B" w:rsidR="00B10309" w:rsidRPr="0079159E" w:rsidRDefault="00D27DDE" w:rsidP="0079159E">
      <w:pPr>
        <w:pStyle w:val="NoSpacing1"/>
        <w:rPr>
          <w:rFonts w:ascii="Arial" w:hAnsi="Arial" w:cs="Arial"/>
          <w:sz w:val="20"/>
          <w:szCs w:val="20"/>
          <w:lang w:val="en-GB"/>
        </w:rPr>
      </w:pPr>
      <w:r w:rsidRPr="0079159E">
        <w:rPr>
          <w:rFonts w:ascii="Arial" w:hAnsi="Arial" w:cs="Arial"/>
          <w:sz w:val="20"/>
          <w:szCs w:val="20"/>
        </w:rPr>
        <w:t>4</w:t>
      </w:r>
      <w:r w:rsidR="00F72071" w:rsidRPr="0079159E">
        <w:rPr>
          <w:rFonts w:ascii="Arial" w:hAnsi="Arial" w:cs="Arial"/>
          <w:sz w:val="20"/>
          <w:szCs w:val="20"/>
        </w:rPr>
        <w:t>8</w:t>
      </w:r>
      <w:r w:rsidRPr="0079159E">
        <w:rPr>
          <w:rFonts w:ascii="Arial" w:hAnsi="Arial" w:cs="Arial"/>
          <w:sz w:val="20"/>
          <w:szCs w:val="20"/>
        </w:rPr>
        <w:t xml:space="preserve">. </w:t>
      </w:r>
      <w:r w:rsidR="00B10309" w:rsidRPr="0079159E">
        <w:rPr>
          <w:rFonts w:ascii="Arial" w:hAnsi="Arial" w:cs="Arial"/>
          <w:sz w:val="20"/>
          <w:szCs w:val="20"/>
        </w:rPr>
        <w:t xml:space="preserve">WHO. WHO Collaborating Centre for Drug Statistics Methodology. ATC/ DDD Index. Available at URL: </w:t>
      </w:r>
      <w:hyperlink r:id="rId27" w:history="1">
        <w:r w:rsidR="00B10309" w:rsidRPr="0079159E">
          <w:rPr>
            <w:rStyle w:val="Hyperlink"/>
            <w:rFonts w:ascii="Arial" w:hAnsi="Arial" w:cs="Arial"/>
            <w:sz w:val="20"/>
            <w:szCs w:val="20"/>
            <w:lang w:val="en-US"/>
          </w:rPr>
          <w:t>https://www.whocc.no/</w:t>
        </w:r>
      </w:hyperlink>
      <w:r w:rsidR="00B10309" w:rsidRPr="0079159E">
        <w:rPr>
          <w:rFonts w:ascii="Arial" w:hAnsi="Arial" w:cs="Arial"/>
          <w:sz w:val="20"/>
          <w:szCs w:val="20"/>
        </w:rPr>
        <w:t xml:space="preserve">  </w:t>
      </w:r>
    </w:p>
    <w:p w14:paraId="116DA0EF" w14:textId="1C890345" w:rsidR="002B24DB" w:rsidRPr="0079159E" w:rsidRDefault="00D27DDE" w:rsidP="0079159E">
      <w:pPr>
        <w:pStyle w:val="NoSpacing1"/>
        <w:rPr>
          <w:rFonts w:ascii="Arial" w:hAnsi="Arial" w:cs="Arial"/>
          <w:sz w:val="20"/>
          <w:szCs w:val="20"/>
          <w:lang w:val="en-GB"/>
        </w:rPr>
      </w:pPr>
      <w:r w:rsidRPr="0079159E">
        <w:rPr>
          <w:rFonts w:ascii="Arial" w:hAnsi="Arial" w:cs="Arial"/>
          <w:sz w:val="20"/>
          <w:szCs w:val="20"/>
        </w:rPr>
        <w:t>4</w:t>
      </w:r>
      <w:r w:rsidR="00F72071" w:rsidRPr="0079159E">
        <w:rPr>
          <w:rFonts w:ascii="Arial" w:hAnsi="Arial" w:cs="Arial"/>
          <w:sz w:val="20"/>
          <w:szCs w:val="20"/>
        </w:rPr>
        <w:t>9</w:t>
      </w:r>
      <w:r w:rsidRPr="0079159E">
        <w:rPr>
          <w:rFonts w:ascii="Arial" w:hAnsi="Arial" w:cs="Arial"/>
          <w:sz w:val="20"/>
          <w:szCs w:val="20"/>
        </w:rPr>
        <w:t xml:space="preserve">. </w:t>
      </w:r>
      <w:r w:rsidR="002B24DB" w:rsidRPr="0079159E">
        <w:rPr>
          <w:rFonts w:ascii="Arial" w:hAnsi="Arial" w:cs="Arial"/>
          <w:sz w:val="20"/>
          <w:szCs w:val="20"/>
        </w:rPr>
        <w:t xml:space="preserve">NDOH. National Department of Health. STANDARD TREATMENT GUIDELINES  AND  ESSENTIAL MEDICINES LIST  FOR  SOUTH AFRICA. Available at URL: http://www.kznhealth.gov.za/pharmacy/edlphc2014a.pdf </w:t>
      </w:r>
    </w:p>
    <w:p w14:paraId="7BD362FA" w14:textId="395BE2F6" w:rsidR="00B10309" w:rsidRPr="0079159E" w:rsidRDefault="00F72071" w:rsidP="0079159E">
      <w:pPr>
        <w:pStyle w:val="NoSpacing1"/>
        <w:rPr>
          <w:rFonts w:ascii="Arial" w:hAnsi="Arial" w:cs="Arial"/>
          <w:sz w:val="20"/>
          <w:szCs w:val="20"/>
          <w:lang w:val="en-GB"/>
        </w:rPr>
      </w:pPr>
      <w:r w:rsidRPr="0079159E">
        <w:rPr>
          <w:rFonts w:ascii="Arial" w:hAnsi="Arial" w:cs="Arial"/>
          <w:noProof/>
          <w:sz w:val="20"/>
          <w:szCs w:val="20"/>
        </w:rPr>
        <w:t>50</w:t>
      </w:r>
      <w:r w:rsidR="00D27DDE" w:rsidRPr="0079159E">
        <w:rPr>
          <w:rFonts w:ascii="Arial" w:hAnsi="Arial" w:cs="Arial"/>
          <w:noProof/>
          <w:sz w:val="20"/>
          <w:szCs w:val="20"/>
        </w:rPr>
        <w:t xml:space="preserve">. </w:t>
      </w:r>
      <w:r w:rsidR="00B10309" w:rsidRPr="0079159E">
        <w:rPr>
          <w:rFonts w:ascii="Arial" w:hAnsi="Arial" w:cs="Arial"/>
          <w:noProof/>
          <w:sz w:val="20"/>
          <w:szCs w:val="20"/>
        </w:rPr>
        <w:t>Nakwatumbah S, Kibuule D, Godman B, Haakuria V, Kalemeera F, Baker A, et al. Compliance to guidelines for the prescribing of antibiotics in acute infections at Namibia's national referral hospital: a pilot study and the implications. Expert review of anti-infective therapy. 2017;15(7):713-21</w:t>
      </w:r>
    </w:p>
    <w:p w14:paraId="7788FE70" w14:textId="151EC200" w:rsidR="00B10309" w:rsidRPr="0079159E" w:rsidRDefault="00F72071" w:rsidP="0079159E">
      <w:pPr>
        <w:pStyle w:val="NoSpacing1"/>
        <w:rPr>
          <w:rFonts w:ascii="Arial" w:hAnsi="Arial" w:cs="Arial"/>
          <w:sz w:val="20"/>
          <w:szCs w:val="20"/>
          <w:lang w:val="en-GB"/>
        </w:rPr>
      </w:pPr>
      <w:r w:rsidRPr="0079159E">
        <w:rPr>
          <w:rFonts w:ascii="Arial" w:hAnsi="Arial" w:cs="Arial"/>
          <w:noProof/>
          <w:sz w:val="20"/>
          <w:szCs w:val="20"/>
        </w:rPr>
        <w:t>51</w:t>
      </w:r>
      <w:r w:rsidR="00D27DDE" w:rsidRPr="0079159E">
        <w:rPr>
          <w:rFonts w:ascii="Arial" w:hAnsi="Arial" w:cs="Arial"/>
          <w:noProof/>
          <w:sz w:val="20"/>
          <w:szCs w:val="20"/>
        </w:rPr>
        <w:t xml:space="preserve">. </w:t>
      </w:r>
      <w:r w:rsidR="00B10309" w:rsidRPr="0079159E">
        <w:rPr>
          <w:rFonts w:ascii="Arial" w:hAnsi="Arial" w:cs="Arial"/>
          <w:noProof/>
          <w:sz w:val="20"/>
          <w:szCs w:val="20"/>
        </w:rPr>
        <w:t>van den Bosch CM, Hulscher ME, Natsch S, Wille J, Prins JM, Geerlings SE. Applicability of generic quality indicators for appropriate antibiotic use in daily hospital practice: a cross-sectional point-prevalence multicenter study. Clinical microbiology and infection. 2016;22(10):888.e1-.e9</w:t>
      </w:r>
    </w:p>
    <w:p w14:paraId="43D2059F" w14:textId="58052A2E" w:rsidR="004B6A92" w:rsidRPr="0079159E" w:rsidRDefault="00D27DDE" w:rsidP="0079159E">
      <w:pPr>
        <w:pStyle w:val="NoSpacing1"/>
        <w:rPr>
          <w:rFonts w:ascii="Arial" w:hAnsi="Arial" w:cs="Arial"/>
          <w:noProof/>
          <w:sz w:val="20"/>
          <w:szCs w:val="20"/>
        </w:rPr>
      </w:pPr>
      <w:r w:rsidRPr="0079159E">
        <w:rPr>
          <w:rFonts w:ascii="Arial" w:hAnsi="Arial" w:cs="Arial"/>
          <w:noProof/>
          <w:sz w:val="20"/>
          <w:szCs w:val="20"/>
        </w:rPr>
        <w:t>5</w:t>
      </w:r>
      <w:r w:rsidR="00F72071" w:rsidRPr="0079159E">
        <w:rPr>
          <w:rFonts w:ascii="Arial" w:hAnsi="Arial" w:cs="Arial"/>
          <w:noProof/>
          <w:sz w:val="20"/>
          <w:szCs w:val="20"/>
        </w:rPr>
        <w:t>2</w:t>
      </w:r>
      <w:r w:rsidRPr="0079159E">
        <w:rPr>
          <w:rFonts w:ascii="Arial" w:hAnsi="Arial" w:cs="Arial"/>
          <w:noProof/>
          <w:sz w:val="20"/>
          <w:szCs w:val="20"/>
        </w:rPr>
        <w:t xml:space="preserve">. </w:t>
      </w:r>
      <w:r w:rsidR="004B6A92" w:rsidRPr="0079159E">
        <w:rPr>
          <w:rFonts w:ascii="Arial" w:hAnsi="Arial" w:cs="Arial"/>
          <w:noProof/>
          <w:sz w:val="20"/>
          <w:szCs w:val="20"/>
        </w:rPr>
        <w:t>MTAPURI-ZINYOWERA S, MADZIKWA N, NDHLOVU M, CHAIBVA B, HOVE R, ROBERTSON V</w:t>
      </w:r>
      <w:r w:rsidR="004B6A92" w:rsidRPr="0079159E">
        <w:rPr>
          <w:rFonts w:ascii="Arial" w:hAnsi="Arial" w:cs="Arial"/>
          <w:sz w:val="20"/>
          <w:szCs w:val="20"/>
        </w:rPr>
        <w:t xml:space="preserve"> </w:t>
      </w:r>
      <w:r w:rsidR="004B6A92" w:rsidRPr="0079159E">
        <w:rPr>
          <w:rFonts w:ascii="Arial" w:hAnsi="Arial" w:cs="Arial"/>
          <w:noProof/>
          <w:sz w:val="20"/>
          <w:szCs w:val="20"/>
        </w:rPr>
        <w:t xml:space="preserve">The first point-prevalence survey in different hospital settings in Zimbabwe. MURIA 3 2017; 8. Available at URL: </w:t>
      </w:r>
      <w:hyperlink r:id="rId28" w:history="1">
        <w:r w:rsidR="004B6A92" w:rsidRPr="0079159E">
          <w:rPr>
            <w:rStyle w:val="Hyperlink"/>
            <w:rFonts w:ascii="Arial" w:hAnsi="Arial" w:cs="Arial"/>
            <w:noProof/>
            <w:sz w:val="20"/>
            <w:szCs w:val="20"/>
          </w:rPr>
          <w:t>http://muria.mandela.ac.za/muria/media/Store/documents/Abstract%20book%20-%20MURAI%203/MURIA3-AbstractBook-July-2017.pdf</w:t>
        </w:r>
      </w:hyperlink>
    </w:p>
    <w:p w14:paraId="6B2E7143" w14:textId="592FF8AE" w:rsidR="004B6A92" w:rsidRPr="0079159E" w:rsidRDefault="00D27DDE" w:rsidP="0079159E">
      <w:pPr>
        <w:pStyle w:val="NoSpacing1"/>
        <w:rPr>
          <w:rFonts w:ascii="Arial" w:hAnsi="Arial" w:cs="Arial"/>
          <w:sz w:val="20"/>
          <w:szCs w:val="20"/>
        </w:rPr>
      </w:pPr>
      <w:r w:rsidRPr="0079159E">
        <w:rPr>
          <w:rFonts w:ascii="Arial" w:hAnsi="Arial" w:cs="Arial"/>
          <w:noProof/>
          <w:sz w:val="20"/>
          <w:szCs w:val="20"/>
        </w:rPr>
        <w:t>5</w:t>
      </w:r>
      <w:r w:rsidR="00F72071" w:rsidRPr="0079159E">
        <w:rPr>
          <w:rFonts w:ascii="Arial" w:hAnsi="Arial" w:cs="Arial"/>
          <w:noProof/>
          <w:sz w:val="20"/>
          <w:szCs w:val="20"/>
        </w:rPr>
        <w:t>3</w:t>
      </w:r>
      <w:r w:rsidRPr="0079159E">
        <w:rPr>
          <w:rFonts w:ascii="Arial" w:hAnsi="Arial" w:cs="Arial"/>
          <w:noProof/>
          <w:sz w:val="20"/>
          <w:szCs w:val="20"/>
        </w:rPr>
        <w:t xml:space="preserve">. </w:t>
      </w:r>
      <w:r w:rsidR="004B6A92" w:rsidRPr="0079159E">
        <w:rPr>
          <w:rFonts w:ascii="Arial" w:hAnsi="Arial" w:cs="Arial"/>
          <w:noProof/>
          <w:sz w:val="20"/>
          <w:szCs w:val="20"/>
        </w:rPr>
        <w:t>Momanyi L, Oluka M, Opanga S, Nyamu D, Kurdi A, Godman B. Antibiotic prescribing patterns at a referral hospital in Kenya: A point prevalence survey. MURIA 4 2018; 7. Available at URL: file:///C:/Users/mail/Downloads/Consolidated-abstract-booklet%20(4).pdf</w:t>
      </w:r>
    </w:p>
    <w:p w14:paraId="55D69084" w14:textId="2064207A" w:rsidR="00D56F98" w:rsidRPr="0079159E" w:rsidRDefault="00D27DDE" w:rsidP="0079159E">
      <w:pPr>
        <w:pStyle w:val="NoSpacing1"/>
        <w:rPr>
          <w:rFonts w:ascii="Arial" w:hAnsi="Arial" w:cs="Arial"/>
          <w:sz w:val="20"/>
          <w:szCs w:val="20"/>
        </w:rPr>
      </w:pPr>
      <w:r w:rsidRPr="0079159E">
        <w:rPr>
          <w:rFonts w:ascii="Arial" w:hAnsi="Arial" w:cs="Arial"/>
          <w:sz w:val="20"/>
          <w:szCs w:val="20"/>
        </w:rPr>
        <w:t>5</w:t>
      </w:r>
      <w:r w:rsidR="00F72071" w:rsidRPr="0079159E">
        <w:rPr>
          <w:rFonts w:ascii="Arial" w:hAnsi="Arial" w:cs="Arial"/>
          <w:sz w:val="20"/>
          <w:szCs w:val="20"/>
        </w:rPr>
        <w:t>4</w:t>
      </w:r>
      <w:r w:rsidRPr="0079159E">
        <w:rPr>
          <w:rFonts w:ascii="Arial" w:hAnsi="Arial" w:cs="Arial"/>
          <w:sz w:val="20"/>
          <w:szCs w:val="20"/>
        </w:rPr>
        <w:t xml:space="preserve">. </w:t>
      </w:r>
      <w:r w:rsidR="00D56F98" w:rsidRPr="0079159E">
        <w:rPr>
          <w:rFonts w:ascii="Arial" w:hAnsi="Arial" w:cs="Arial"/>
          <w:sz w:val="20"/>
          <w:szCs w:val="20"/>
        </w:rPr>
        <w:t>Dlamini NN, Meyer JC, Kruger D, Godman B, Kurdi K, Bennie M et al. Development of a web-based application to improve data collection for antimicrobial point prevalence surveys in the public health care system in South Africa; findings and implications. M</w:t>
      </w:r>
      <w:r w:rsidR="00D56F98" w:rsidRPr="0079159E">
        <w:rPr>
          <w:rFonts w:ascii="Arial" w:hAnsi="Arial" w:cs="Arial"/>
          <w:noProof/>
          <w:sz w:val="20"/>
          <w:szCs w:val="20"/>
        </w:rPr>
        <w:t>URIA 4; 2018: 4-5. Available at URL: file:///C:/Users/mail/Downloads/Consolidated-abstract-booklet%20(4).pdf.</w:t>
      </w:r>
      <w:r w:rsidR="00D56F98" w:rsidRPr="0079159E">
        <w:rPr>
          <w:rFonts w:ascii="Arial" w:hAnsi="Arial" w:cs="Arial"/>
          <w:sz w:val="20"/>
          <w:szCs w:val="20"/>
        </w:rPr>
        <w:t xml:space="preserve"> </w:t>
      </w:r>
    </w:p>
    <w:p w14:paraId="331B938F" w14:textId="3C3EA610" w:rsidR="00416B89" w:rsidRPr="0079159E" w:rsidRDefault="00D27DDE" w:rsidP="0079159E">
      <w:pPr>
        <w:pStyle w:val="NoSpacing1"/>
        <w:rPr>
          <w:rFonts w:ascii="Arial" w:hAnsi="Arial" w:cs="Arial"/>
          <w:sz w:val="20"/>
          <w:szCs w:val="20"/>
          <w:lang w:val="en-GB"/>
        </w:rPr>
      </w:pPr>
      <w:r w:rsidRPr="0079159E">
        <w:rPr>
          <w:rFonts w:ascii="Arial" w:hAnsi="Arial" w:cs="Arial"/>
          <w:noProof/>
          <w:sz w:val="20"/>
          <w:szCs w:val="20"/>
        </w:rPr>
        <w:t>5</w:t>
      </w:r>
      <w:r w:rsidR="00F72071" w:rsidRPr="0079159E">
        <w:rPr>
          <w:rFonts w:ascii="Arial" w:hAnsi="Arial" w:cs="Arial"/>
          <w:noProof/>
          <w:sz w:val="20"/>
          <w:szCs w:val="20"/>
        </w:rPr>
        <w:t>5</w:t>
      </w:r>
      <w:r w:rsidRPr="0079159E">
        <w:rPr>
          <w:rFonts w:ascii="Arial" w:hAnsi="Arial" w:cs="Arial"/>
          <w:noProof/>
          <w:sz w:val="20"/>
          <w:szCs w:val="20"/>
        </w:rPr>
        <w:t xml:space="preserve">. </w:t>
      </w:r>
      <w:r w:rsidR="00E74A68" w:rsidRPr="0079159E">
        <w:rPr>
          <w:rFonts w:ascii="Arial" w:hAnsi="Arial" w:cs="Arial"/>
          <w:noProof/>
          <w:sz w:val="20"/>
          <w:szCs w:val="20"/>
        </w:rPr>
        <w:t>Wang H, Wolock TM, Carter A, Nguyen G, Kyu HH, Gakidou E, et al. Estimates of global, regional, and national incidence, prevalence, and mortality of HIV, 1980-2015: the Global Burden of Disease Study 2015. The lancet HIV. 2016;3(8):e361-87</w:t>
      </w:r>
    </w:p>
    <w:p w14:paraId="3CFFBD9C" w14:textId="4A758110" w:rsidR="00416B89" w:rsidRPr="0079159E" w:rsidRDefault="00D27DDE" w:rsidP="0079159E">
      <w:pPr>
        <w:pStyle w:val="NoSpacing1"/>
        <w:rPr>
          <w:rFonts w:ascii="Arial" w:hAnsi="Arial" w:cs="Arial"/>
          <w:sz w:val="20"/>
          <w:szCs w:val="20"/>
        </w:rPr>
      </w:pPr>
      <w:r w:rsidRPr="0079159E">
        <w:rPr>
          <w:rFonts w:ascii="Arial" w:hAnsi="Arial" w:cs="Arial"/>
          <w:noProof/>
          <w:sz w:val="20"/>
          <w:szCs w:val="20"/>
        </w:rPr>
        <w:t>5</w:t>
      </w:r>
      <w:r w:rsidR="00F72071" w:rsidRPr="0079159E">
        <w:rPr>
          <w:rFonts w:ascii="Arial" w:hAnsi="Arial" w:cs="Arial"/>
          <w:noProof/>
          <w:sz w:val="20"/>
          <w:szCs w:val="20"/>
        </w:rPr>
        <w:t>6</w:t>
      </w:r>
      <w:r w:rsidRPr="0079159E">
        <w:rPr>
          <w:rFonts w:ascii="Arial" w:hAnsi="Arial" w:cs="Arial"/>
          <w:noProof/>
          <w:sz w:val="20"/>
          <w:szCs w:val="20"/>
        </w:rPr>
        <w:t xml:space="preserve">. </w:t>
      </w:r>
      <w:r w:rsidR="00416B89" w:rsidRPr="0079159E">
        <w:rPr>
          <w:rFonts w:ascii="Arial" w:hAnsi="Arial" w:cs="Arial"/>
          <w:noProof/>
          <w:sz w:val="20"/>
          <w:szCs w:val="20"/>
        </w:rPr>
        <w:t>Afriyie DK, Amponsah SK, Dogbey J, Agyekum K, Kesse S, Truter I, et al. A pilot study evaluating the prescribing of ceftriaxone in hospitals in Ghana: findings and implications. Hospital practice. 2017;45(4):143-9</w:t>
      </w:r>
    </w:p>
    <w:p w14:paraId="5D9604FF" w14:textId="18E52712" w:rsidR="00B10309" w:rsidRPr="0079159E" w:rsidRDefault="00416B89" w:rsidP="0079159E">
      <w:pPr>
        <w:pStyle w:val="NoSpacing1"/>
        <w:rPr>
          <w:rStyle w:val="Hyperlink"/>
          <w:rFonts w:ascii="Arial" w:hAnsi="Arial" w:cs="Arial"/>
          <w:sz w:val="20"/>
          <w:szCs w:val="20"/>
          <w:lang w:val="en-GB"/>
        </w:rPr>
      </w:pPr>
      <w:r w:rsidRPr="0079159E">
        <w:rPr>
          <w:rFonts w:ascii="Arial" w:hAnsi="Arial" w:cs="Arial"/>
          <w:sz w:val="20"/>
          <w:szCs w:val="20"/>
          <w:lang w:val="en-GB"/>
        </w:rPr>
        <w:t>5</w:t>
      </w:r>
      <w:r w:rsidR="00F72071" w:rsidRPr="0079159E">
        <w:rPr>
          <w:rFonts w:ascii="Arial" w:hAnsi="Arial" w:cs="Arial"/>
          <w:sz w:val="20"/>
          <w:szCs w:val="20"/>
          <w:lang w:val="en-GB"/>
        </w:rPr>
        <w:t>7</w:t>
      </w:r>
      <w:r w:rsidRPr="0079159E">
        <w:rPr>
          <w:rFonts w:ascii="Arial" w:hAnsi="Arial" w:cs="Arial"/>
          <w:sz w:val="20"/>
          <w:szCs w:val="20"/>
          <w:lang w:val="en-GB"/>
        </w:rPr>
        <w:t xml:space="preserve">. </w:t>
      </w:r>
      <w:proofErr w:type="spellStart"/>
      <w:r w:rsidR="00B10309" w:rsidRPr="0079159E">
        <w:rPr>
          <w:rFonts w:ascii="Arial" w:hAnsi="Arial" w:cs="Arial"/>
          <w:sz w:val="20"/>
          <w:szCs w:val="20"/>
          <w:lang w:val="en-GB"/>
        </w:rPr>
        <w:t>Gray</w:t>
      </w:r>
      <w:proofErr w:type="spellEnd"/>
      <w:r w:rsidR="00B10309" w:rsidRPr="0079159E">
        <w:rPr>
          <w:rFonts w:ascii="Arial" w:hAnsi="Arial" w:cs="Arial"/>
          <w:sz w:val="20"/>
          <w:szCs w:val="20"/>
          <w:lang w:val="en-GB"/>
        </w:rPr>
        <w:t xml:space="preserve"> A, Suleman F, Patel A, </w:t>
      </w:r>
      <w:proofErr w:type="spellStart"/>
      <w:r w:rsidR="00B10309" w:rsidRPr="0079159E">
        <w:rPr>
          <w:rFonts w:ascii="Arial" w:hAnsi="Arial" w:cs="Arial"/>
          <w:sz w:val="20"/>
          <w:szCs w:val="20"/>
          <w:lang w:val="en-GB"/>
        </w:rPr>
        <w:t>Bannenberg</w:t>
      </w:r>
      <w:proofErr w:type="spellEnd"/>
      <w:r w:rsidR="00B10309" w:rsidRPr="0079159E">
        <w:rPr>
          <w:rFonts w:ascii="Arial" w:hAnsi="Arial" w:cs="Arial"/>
          <w:sz w:val="20"/>
          <w:szCs w:val="20"/>
          <w:lang w:val="en-GB"/>
        </w:rPr>
        <w:t xml:space="preserve"> W. Improving Health Systems Efficiency - South Africa. Implementation of reforms under the National Drug Policy. 2015. Available online at: </w:t>
      </w:r>
      <w:hyperlink r:id="rId29" w:history="1">
        <w:r w:rsidR="00B10309" w:rsidRPr="0079159E">
          <w:rPr>
            <w:rStyle w:val="Hyperlink"/>
            <w:rFonts w:ascii="Arial" w:hAnsi="Arial" w:cs="Arial"/>
            <w:sz w:val="20"/>
            <w:szCs w:val="20"/>
            <w:lang w:val="en-GB"/>
          </w:rPr>
          <w:t>http://apps.who.int/iris/bitstream/10665/186477/1/WHO_HIS_HGF_CaseStudy_15.9_eng.pdf</w:t>
        </w:r>
      </w:hyperlink>
    </w:p>
    <w:p w14:paraId="1696B52E" w14:textId="2A18925D" w:rsidR="00B10309" w:rsidRPr="0079159E" w:rsidRDefault="00F13C4B" w:rsidP="0079159E">
      <w:pPr>
        <w:pStyle w:val="NoSpacing1"/>
        <w:rPr>
          <w:rFonts w:ascii="Arial" w:hAnsi="Arial" w:cs="Arial"/>
          <w:sz w:val="20"/>
          <w:szCs w:val="20"/>
          <w:lang w:val="en-GB"/>
        </w:rPr>
      </w:pPr>
      <w:r w:rsidRPr="0079159E">
        <w:rPr>
          <w:rFonts w:ascii="Arial" w:hAnsi="Arial" w:cs="Arial"/>
          <w:noProof/>
          <w:sz w:val="20"/>
          <w:szCs w:val="20"/>
        </w:rPr>
        <w:t>5</w:t>
      </w:r>
      <w:r w:rsidR="00F72071" w:rsidRPr="0079159E">
        <w:rPr>
          <w:rFonts w:ascii="Arial" w:hAnsi="Arial" w:cs="Arial"/>
          <w:noProof/>
          <w:sz w:val="20"/>
          <w:szCs w:val="20"/>
        </w:rPr>
        <w:t>8</w:t>
      </w:r>
      <w:r w:rsidRPr="0079159E">
        <w:rPr>
          <w:rFonts w:ascii="Arial" w:hAnsi="Arial" w:cs="Arial"/>
          <w:noProof/>
          <w:sz w:val="20"/>
          <w:szCs w:val="20"/>
        </w:rPr>
        <w:t xml:space="preserve">. </w:t>
      </w:r>
      <w:r w:rsidR="00B10309" w:rsidRPr="0079159E">
        <w:rPr>
          <w:rFonts w:ascii="Arial" w:hAnsi="Arial" w:cs="Arial"/>
          <w:noProof/>
          <w:sz w:val="20"/>
          <w:szCs w:val="20"/>
        </w:rPr>
        <w:t>Mwita JC, Souda S, Magafu M, Massele A, Godman B, Mwandri M. Prophylactic antibiotics to prevent surgical site infections in Botswana: findings and implications. Hospital practice. 2018:</w:t>
      </w:r>
      <w:r w:rsidR="00F72071" w:rsidRPr="0079159E">
        <w:rPr>
          <w:rFonts w:ascii="Arial" w:hAnsi="Arial" w:cs="Arial"/>
          <w:noProof/>
          <w:sz w:val="20"/>
          <w:szCs w:val="20"/>
        </w:rPr>
        <w:t xml:space="preserve"> 46(3):97-102</w:t>
      </w:r>
    </w:p>
    <w:p w14:paraId="2EB17656" w14:textId="0BB3D5CD" w:rsidR="00B10309" w:rsidRPr="0079159E" w:rsidRDefault="00F13C4B" w:rsidP="0079159E">
      <w:pPr>
        <w:pStyle w:val="NoSpacing1"/>
        <w:rPr>
          <w:rFonts w:ascii="Arial" w:hAnsi="Arial" w:cs="Arial"/>
          <w:sz w:val="20"/>
          <w:szCs w:val="20"/>
        </w:rPr>
      </w:pPr>
      <w:r w:rsidRPr="0079159E">
        <w:rPr>
          <w:rFonts w:ascii="Arial" w:hAnsi="Arial" w:cs="Arial"/>
          <w:sz w:val="20"/>
          <w:szCs w:val="20"/>
        </w:rPr>
        <w:t>5</w:t>
      </w:r>
      <w:r w:rsidR="00F72071" w:rsidRPr="0079159E">
        <w:rPr>
          <w:rFonts w:ascii="Arial" w:hAnsi="Arial" w:cs="Arial"/>
          <w:sz w:val="20"/>
          <w:szCs w:val="20"/>
        </w:rPr>
        <w:t>9</w:t>
      </w:r>
      <w:r w:rsidRPr="0079159E">
        <w:rPr>
          <w:rFonts w:ascii="Arial" w:hAnsi="Arial" w:cs="Arial"/>
          <w:sz w:val="20"/>
          <w:szCs w:val="20"/>
        </w:rPr>
        <w:t xml:space="preserve">. </w:t>
      </w:r>
      <w:proofErr w:type="spellStart"/>
      <w:r w:rsidR="00B10309" w:rsidRPr="0079159E">
        <w:rPr>
          <w:rFonts w:ascii="Arial" w:hAnsi="Arial" w:cs="Arial"/>
          <w:sz w:val="20"/>
          <w:szCs w:val="20"/>
        </w:rPr>
        <w:t>Opanga</w:t>
      </w:r>
      <w:proofErr w:type="spellEnd"/>
      <w:r w:rsidR="00B10309" w:rsidRPr="0079159E">
        <w:rPr>
          <w:rFonts w:ascii="Arial" w:hAnsi="Arial" w:cs="Arial"/>
          <w:sz w:val="20"/>
          <w:szCs w:val="20"/>
        </w:rPr>
        <w:t xml:space="preserve"> SA, </w:t>
      </w:r>
      <w:proofErr w:type="spellStart"/>
      <w:r w:rsidR="00B10309" w:rsidRPr="0079159E">
        <w:rPr>
          <w:rFonts w:ascii="Arial" w:hAnsi="Arial" w:cs="Arial"/>
          <w:sz w:val="20"/>
          <w:szCs w:val="20"/>
        </w:rPr>
        <w:t>Ombe</w:t>
      </w:r>
      <w:proofErr w:type="spellEnd"/>
      <w:r w:rsidR="00B10309" w:rsidRPr="0079159E">
        <w:rPr>
          <w:rFonts w:ascii="Arial" w:hAnsi="Arial" w:cs="Arial"/>
          <w:sz w:val="20"/>
          <w:szCs w:val="20"/>
        </w:rPr>
        <w:t xml:space="preserve"> NJM, </w:t>
      </w:r>
      <w:proofErr w:type="spellStart"/>
      <w:r w:rsidR="00B10309" w:rsidRPr="0079159E">
        <w:rPr>
          <w:rFonts w:ascii="Arial" w:hAnsi="Arial" w:cs="Arial"/>
          <w:sz w:val="20"/>
          <w:szCs w:val="20"/>
        </w:rPr>
        <w:t>Okalebo</w:t>
      </w:r>
      <w:proofErr w:type="spellEnd"/>
      <w:r w:rsidR="00B10309" w:rsidRPr="0079159E">
        <w:rPr>
          <w:rFonts w:ascii="Arial" w:hAnsi="Arial" w:cs="Arial"/>
          <w:sz w:val="20"/>
          <w:szCs w:val="20"/>
        </w:rPr>
        <w:t xml:space="preserve"> FA, Godman B, </w:t>
      </w:r>
      <w:proofErr w:type="spellStart"/>
      <w:r w:rsidR="00B10309" w:rsidRPr="0079159E">
        <w:rPr>
          <w:rFonts w:ascii="Arial" w:hAnsi="Arial" w:cs="Arial"/>
          <w:sz w:val="20"/>
          <w:szCs w:val="20"/>
        </w:rPr>
        <w:t>Oluka</w:t>
      </w:r>
      <w:proofErr w:type="spellEnd"/>
      <w:r w:rsidR="00B10309" w:rsidRPr="0079159E">
        <w:rPr>
          <w:rFonts w:ascii="Arial" w:hAnsi="Arial" w:cs="Arial"/>
          <w:sz w:val="20"/>
          <w:szCs w:val="20"/>
        </w:rPr>
        <w:t xml:space="preserve"> M et al. Determinants of the Effectiveness of Antimicrobial Prophylaxis among Neurotrauma Patients at a Referral Hospital in Kenya: Findings and Implications. J Infect Dis </w:t>
      </w:r>
      <w:proofErr w:type="spellStart"/>
      <w:r w:rsidR="00B10309" w:rsidRPr="0079159E">
        <w:rPr>
          <w:rFonts w:ascii="Arial" w:hAnsi="Arial" w:cs="Arial"/>
          <w:sz w:val="20"/>
          <w:szCs w:val="20"/>
        </w:rPr>
        <w:t>Preve</w:t>
      </w:r>
      <w:proofErr w:type="spellEnd"/>
      <w:r w:rsidR="00B10309" w:rsidRPr="0079159E">
        <w:rPr>
          <w:rFonts w:ascii="Arial" w:hAnsi="Arial" w:cs="Arial"/>
          <w:sz w:val="20"/>
          <w:szCs w:val="20"/>
        </w:rPr>
        <w:t xml:space="preserve"> Med 2015; 5: 169</w:t>
      </w:r>
    </w:p>
    <w:p w14:paraId="4E383FB7" w14:textId="4F4F267D" w:rsidR="000B0F7E" w:rsidRPr="0079159E" w:rsidRDefault="00F72071" w:rsidP="0079159E">
      <w:pPr>
        <w:pStyle w:val="NoSpacing1"/>
        <w:rPr>
          <w:rFonts w:ascii="Arial" w:hAnsi="Arial" w:cs="Arial"/>
          <w:noProof/>
          <w:sz w:val="20"/>
          <w:szCs w:val="20"/>
        </w:rPr>
      </w:pPr>
      <w:r w:rsidRPr="0079159E">
        <w:rPr>
          <w:rFonts w:ascii="Arial" w:hAnsi="Arial" w:cs="Arial"/>
          <w:noProof/>
          <w:sz w:val="20"/>
          <w:szCs w:val="20"/>
        </w:rPr>
        <w:t>60</w:t>
      </w:r>
      <w:r w:rsidR="000B0F7E" w:rsidRPr="0079159E">
        <w:rPr>
          <w:rFonts w:ascii="Arial" w:hAnsi="Arial" w:cs="Arial"/>
          <w:noProof/>
          <w:sz w:val="20"/>
          <w:szCs w:val="20"/>
        </w:rPr>
        <w:t>. Cyriac JM, James E. Switch over from intravenous to oral therapy: A concise overview. Journal of pharmacology &amp; pharmacotherapeutics. 2014;5(2):83-7.</w:t>
      </w:r>
    </w:p>
    <w:p w14:paraId="59F83CCD" w14:textId="2A845AA2" w:rsidR="000B0F7E" w:rsidRPr="0079159E" w:rsidRDefault="00F72071" w:rsidP="0079159E">
      <w:pPr>
        <w:pStyle w:val="NoSpacing1"/>
        <w:rPr>
          <w:rFonts w:ascii="Arial" w:hAnsi="Arial" w:cs="Arial"/>
          <w:noProof/>
          <w:sz w:val="20"/>
          <w:szCs w:val="20"/>
        </w:rPr>
      </w:pPr>
      <w:r w:rsidRPr="0079159E">
        <w:rPr>
          <w:rFonts w:ascii="Arial" w:hAnsi="Arial" w:cs="Arial"/>
          <w:noProof/>
          <w:sz w:val="20"/>
          <w:szCs w:val="20"/>
        </w:rPr>
        <w:t>61</w:t>
      </w:r>
      <w:r w:rsidR="000B0F7E" w:rsidRPr="0079159E">
        <w:rPr>
          <w:rFonts w:ascii="Arial" w:hAnsi="Arial" w:cs="Arial"/>
          <w:noProof/>
          <w:sz w:val="20"/>
          <w:szCs w:val="20"/>
        </w:rPr>
        <w:t xml:space="preserve">. Govertment of Southern Australia. IV to Oral Switch Clinical Guideline for adult patients: Can antibiotics S.T.O.P. October 2017. Available at URL: </w:t>
      </w:r>
      <w:hyperlink r:id="rId30" w:history="1">
        <w:r w:rsidR="000B0F7E" w:rsidRPr="0079159E">
          <w:rPr>
            <w:rStyle w:val="Hyperlink"/>
            <w:rFonts w:ascii="Arial" w:hAnsi="Arial" w:cs="Arial"/>
            <w:noProof/>
            <w:sz w:val="20"/>
            <w:szCs w:val="20"/>
          </w:rPr>
          <w:t>https://www.sahealth.sa.gov.au/wps/wcm/connect/86d0af8047ca4a108ca28dfc651ee2b2/IV+to+Oral+Switch+Clinical+Guideline_V1.1_26102017.pdf?MOD=AJPERES&amp;CACHEID=ROOTWORKSPACE-86d0af8047ca4a108ca28dfc651ee2b2-msqBcxq</w:t>
        </w:r>
      </w:hyperlink>
      <w:r w:rsidR="000B0F7E" w:rsidRPr="0079159E">
        <w:rPr>
          <w:rFonts w:ascii="Arial" w:hAnsi="Arial" w:cs="Arial"/>
          <w:noProof/>
          <w:sz w:val="20"/>
          <w:szCs w:val="20"/>
        </w:rPr>
        <w:t>.</w:t>
      </w:r>
    </w:p>
    <w:p w14:paraId="60EAAB0F" w14:textId="3295CECC" w:rsidR="000B0F7E" w:rsidRPr="0079159E" w:rsidRDefault="000B0F7E" w:rsidP="0079159E">
      <w:pPr>
        <w:pStyle w:val="NoSpacing1"/>
        <w:rPr>
          <w:rFonts w:ascii="Arial" w:hAnsi="Arial" w:cs="Arial"/>
          <w:noProof/>
          <w:sz w:val="20"/>
          <w:szCs w:val="20"/>
        </w:rPr>
      </w:pPr>
      <w:r w:rsidRPr="0079159E">
        <w:rPr>
          <w:rFonts w:ascii="Arial" w:hAnsi="Arial" w:cs="Arial"/>
          <w:noProof/>
          <w:sz w:val="20"/>
          <w:szCs w:val="20"/>
        </w:rPr>
        <w:lastRenderedPageBreak/>
        <w:t>6</w:t>
      </w:r>
      <w:r w:rsidR="00F72071" w:rsidRPr="0079159E">
        <w:rPr>
          <w:rFonts w:ascii="Arial" w:hAnsi="Arial" w:cs="Arial"/>
          <w:noProof/>
          <w:sz w:val="20"/>
          <w:szCs w:val="20"/>
        </w:rPr>
        <w:t>2</w:t>
      </w:r>
      <w:r w:rsidRPr="0079159E">
        <w:rPr>
          <w:rFonts w:ascii="Arial" w:hAnsi="Arial" w:cs="Arial"/>
          <w:noProof/>
          <w:sz w:val="20"/>
          <w:szCs w:val="20"/>
        </w:rPr>
        <w:t>. Shrayteh ZM, Rahal MK, Malaeb DN. Practice of switch from intravenous to oral antibiotics. Springerplus. 2014;3:717.</w:t>
      </w:r>
    </w:p>
    <w:p w14:paraId="7EC7702A" w14:textId="0C81DA07" w:rsidR="000B0F7E" w:rsidRPr="0079159E" w:rsidRDefault="000B0F7E" w:rsidP="0079159E">
      <w:pPr>
        <w:pStyle w:val="NoSpacing1"/>
        <w:rPr>
          <w:rFonts w:ascii="Arial" w:hAnsi="Arial" w:cs="Arial"/>
          <w:sz w:val="20"/>
          <w:szCs w:val="20"/>
        </w:rPr>
      </w:pPr>
      <w:r w:rsidRPr="0079159E">
        <w:rPr>
          <w:rFonts w:ascii="Arial" w:hAnsi="Arial" w:cs="Arial"/>
          <w:noProof/>
          <w:sz w:val="20"/>
          <w:szCs w:val="20"/>
        </w:rPr>
        <w:t>6</w:t>
      </w:r>
      <w:r w:rsidR="00F72071" w:rsidRPr="0079159E">
        <w:rPr>
          <w:rFonts w:ascii="Arial" w:hAnsi="Arial" w:cs="Arial"/>
          <w:noProof/>
          <w:sz w:val="20"/>
          <w:szCs w:val="20"/>
        </w:rPr>
        <w:t>3</w:t>
      </w:r>
      <w:r w:rsidRPr="0079159E">
        <w:rPr>
          <w:rFonts w:ascii="Arial" w:hAnsi="Arial" w:cs="Arial"/>
          <w:noProof/>
          <w:sz w:val="20"/>
          <w:szCs w:val="20"/>
        </w:rPr>
        <w:t>. Sze WT, Kong MC. Impact of printed antimicrobial stewardship recommendations on early intravenous to oral antibiotics switch practice in district hospitals. Pharmacy practice. 2018;16(2):85</w:t>
      </w:r>
    </w:p>
    <w:p w14:paraId="2881BA54" w14:textId="77777777" w:rsidR="000B0F7E" w:rsidRPr="0079159E" w:rsidRDefault="000B0F7E" w:rsidP="0079159E">
      <w:pPr>
        <w:pStyle w:val="NoSpacing1"/>
        <w:rPr>
          <w:rFonts w:ascii="Arial" w:hAnsi="Arial" w:cs="Arial"/>
          <w:sz w:val="20"/>
          <w:szCs w:val="20"/>
        </w:rPr>
      </w:pPr>
    </w:p>
    <w:bookmarkEnd w:id="0"/>
    <w:bookmarkEnd w:id="7"/>
    <w:p w14:paraId="43DA8776" w14:textId="77777777" w:rsidR="008638BC" w:rsidRPr="00B10309" w:rsidRDefault="008638BC" w:rsidP="00B10309">
      <w:pPr>
        <w:rPr>
          <w:rFonts w:ascii="Arial" w:hAnsi="Arial" w:cs="Arial"/>
        </w:rPr>
      </w:pPr>
    </w:p>
    <w:sectPr w:rsidR="008638BC" w:rsidRPr="00B10309">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F302" w14:textId="77777777" w:rsidR="0030684B" w:rsidRDefault="0030684B" w:rsidP="00BF1392">
      <w:pPr>
        <w:spacing w:after="0" w:line="240" w:lineRule="auto"/>
      </w:pPr>
      <w:r>
        <w:separator/>
      </w:r>
    </w:p>
  </w:endnote>
  <w:endnote w:type="continuationSeparator" w:id="0">
    <w:p w14:paraId="0E25DFDD" w14:textId="77777777" w:rsidR="0030684B" w:rsidRDefault="0030684B" w:rsidP="00BF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456664"/>
      <w:docPartObj>
        <w:docPartGallery w:val="Page Numbers (Bottom of Page)"/>
        <w:docPartUnique/>
      </w:docPartObj>
    </w:sdtPr>
    <w:sdtEndPr>
      <w:rPr>
        <w:noProof/>
      </w:rPr>
    </w:sdtEndPr>
    <w:sdtContent>
      <w:p w14:paraId="5ECA5E9B" w14:textId="4A555F9F" w:rsidR="0014666E" w:rsidRDefault="0014666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8B92A27" w14:textId="77777777" w:rsidR="0014666E" w:rsidRDefault="00146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B50F3" w14:textId="77777777" w:rsidR="0030684B" w:rsidRDefault="0030684B" w:rsidP="00BF1392">
      <w:pPr>
        <w:spacing w:after="0" w:line="240" w:lineRule="auto"/>
      </w:pPr>
      <w:r>
        <w:separator/>
      </w:r>
    </w:p>
  </w:footnote>
  <w:footnote w:type="continuationSeparator" w:id="0">
    <w:p w14:paraId="37E5FCFA" w14:textId="77777777" w:rsidR="0030684B" w:rsidRDefault="0030684B" w:rsidP="00BF1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3F22"/>
    <w:multiLevelType w:val="hybridMultilevel"/>
    <w:tmpl w:val="085E4A14"/>
    <w:lvl w:ilvl="0" w:tplc="2EB404B6">
      <w:start w:val="1"/>
      <w:numFmt w:val="decimal"/>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8A4C0C"/>
    <w:multiLevelType w:val="hybridMultilevel"/>
    <w:tmpl w:val="085E4A14"/>
    <w:lvl w:ilvl="0" w:tplc="2EB404B6">
      <w:start w:val="1"/>
      <w:numFmt w:val="decimal"/>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9D2106"/>
    <w:multiLevelType w:val="multilevel"/>
    <w:tmpl w:val="DA66342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3DF4A04"/>
    <w:multiLevelType w:val="hybridMultilevel"/>
    <w:tmpl w:val="E552174E"/>
    <w:lvl w:ilvl="0" w:tplc="53CE5D32">
      <w:start w:val="46"/>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1B"/>
    <w:rsid w:val="000043CC"/>
    <w:rsid w:val="00027CA1"/>
    <w:rsid w:val="0004270E"/>
    <w:rsid w:val="00050603"/>
    <w:rsid w:val="00060633"/>
    <w:rsid w:val="00060B8F"/>
    <w:rsid w:val="000903E4"/>
    <w:rsid w:val="0009120A"/>
    <w:rsid w:val="00096E60"/>
    <w:rsid w:val="000B0F7E"/>
    <w:rsid w:val="000D72B4"/>
    <w:rsid w:val="000E028A"/>
    <w:rsid w:val="001112B7"/>
    <w:rsid w:val="00117B15"/>
    <w:rsid w:val="00120424"/>
    <w:rsid w:val="001355CA"/>
    <w:rsid w:val="0014666E"/>
    <w:rsid w:val="00152DA1"/>
    <w:rsid w:val="00173FE3"/>
    <w:rsid w:val="00176753"/>
    <w:rsid w:val="001B0C90"/>
    <w:rsid w:val="001D670F"/>
    <w:rsid w:val="001D78E7"/>
    <w:rsid w:val="001F2B3A"/>
    <w:rsid w:val="00204727"/>
    <w:rsid w:val="00207E7D"/>
    <w:rsid w:val="0021338E"/>
    <w:rsid w:val="0023574D"/>
    <w:rsid w:val="00241976"/>
    <w:rsid w:val="00242289"/>
    <w:rsid w:val="00244CFE"/>
    <w:rsid w:val="00251B8F"/>
    <w:rsid w:val="00251E55"/>
    <w:rsid w:val="002724AF"/>
    <w:rsid w:val="00272FA1"/>
    <w:rsid w:val="002A47CD"/>
    <w:rsid w:val="002B24DB"/>
    <w:rsid w:val="002D6A73"/>
    <w:rsid w:val="002E14B5"/>
    <w:rsid w:val="002F2BD8"/>
    <w:rsid w:val="0030684B"/>
    <w:rsid w:val="00321C1A"/>
    <w:rsid w:val="00324EEE"/>
    <w:rsid w:val="003303EE"/>
    <w:rsid w:val="003372FD"/>
    <w:rsid w:val="00347D04"/>
    <w:rsid w:val="0036025D"/>
    <w:rsid w:val="0037252B"/>
    <w:rsid w:val="0038636A"/>
    <w:rsid w:val="003A16BE"/>
    <w:rsid w:val="003A3A92"/>
    <w:rsid w:val="003B61C0"/>
    <w:rsid w:val="003D063F"/>
    <w:rsid w:val="003D43D6"/>
    <w:rsid w:val="003E0701"/>
    <w:rsid w:val="0041364B"/>
    <w:rsid w:val="0041496D"/>
    <w:rsid w:val="00416B89"/>
    <w:rsid w:val="00420C2F"/>
    <w:rsid w:val="00426D22"/>
    <w:rsid w:val="004273FF"/>
    <w:rsid w:val="00434CD9"/>
    <w:rsid w:val="004423B5"/>
    <w:rsid w:val="00461750"/>
    <w:rsid w:val="0049649D"/>
    <w:rsid w:val="004A0948"/>
    <w:rsid w:val="004A130B"/>
    <w:rsid w:val="004B5754"/>
    <w:rsid w:val="004B6A92"/>
    <w:rsid w:val="004C3617"/>
    <w:rsid w:val="004F067F"/>
    <w:rsid w:val="004F0B36"/>
    <w:rsid w:val="004F1912"/>
    <w:rsid w:val="00503D16"/>
    <w:rsid w:val="00513954"/>
    <w:rsid w:val="005237FD"/>
    <w:rsid w:val="00544D35"/>
    <w:rsid w:val="00570E4E"/>
    <w:rsid w:val="00572435"/>
    <w:rsid w:val="0059155C"/>
    <w:rsid w:val="005A1D83"/>
    <w:rsid w:val="005B5614"/>
    <w:rsid w:val="005B713C"/>
    <w:rsid w:val="005B79BF"/>
    <w:rsid w:val="005D785F"/>
    <w:rsid w:val="005D7AC0"/>
    <w:rsid w:val="005F13F1"/>
    <w:rsid w:val="00601E4E"/>
    <w:rsid w:val="00624AA9"/>
    <w:rsid w:val="006351BF"/>
    <w:rsid w:val="00641E7D"/>
    <w:rsid w:val="00644EF9"/>
    <w:rsid w:val="00651621"/>
    <w:rsid w:val="00657EC7"/>
    <w:rsid w:val="006725DE"/>
    <w:rsid w:val="006766F0"/>
    <w:rsid w:val="00680EFB"/>
    <w:rsid w:val="006A3378"/>
    <w:rsid w:val="006A68E6"/>
    <w:rsid w:val="006B3639"/>
    <w:rsid w:val="006B3CB8"/>
    <w:rsid w:val="006C386E"/>
    <w:rsid w:val="006C45D7"/>
    <w:rsid w:val="006D109B"/>
    <w:rsid w:val="006E353E"/>
    <w:rsid w:val="006F089E"/>
    <w:rsid w:val="00705720"/>
    <w:rsid w:val="00706146"/>
    <w:rsid w:val="007131B1"/>
    <w:rsid w:val="00722611"/>
    <w:rsid w:val="007444EE"/>
    <w:rsid w:val="007574BF"/>
    <w:rsid w:val="00764CDB"/>
    <w:rsid w:val="007763E3"/>
    <w:rsid w:val="0079159E"/>
    <w:rsid w:val="00792878"/>
    <w:rsid w:val="00793E68"/>
    <w:rsid w:val="007A38C6"/>
    <w:rsid w:val="007B2148"/>
    <w:rsid w:val="007D0B57"/>
    <w:rsid w:val="007D5E41"/>
    <w:rsid w:val="0081045A"/>
    <w:rsid w:val="00823F83"/>
    <w:rsid w:val="00832A1A"/>
    <w:rsid w:val="00833627"/>
    <w:rsid w:val="00841E80"/>
    <w:rsid w:val="0085593E"/>
    <w:rsid w:val="00857CD0"/>
    <w:rsid w:val="008638BC"/>
    <w:rsid w:val="008719F0"/>
    <w:rsid w:val="00875F9E"/>
    <w:rsid w:val="0088762C"/>
    <w:rsid w:val="00893F9C"/>
    <w:rsid w:val="008A1C9D"/>
    <w:rsid w:val="008D51C0"/>
    <w:rsid w:val="008E7B57"/>
    <w:rsid w:val="0092640A"/>
    <w:rsid w:val="00927197"/>
    <w:rsid w:val="00927C8F"/>
    <w:rsid w:val="00953B70"/>
    <w:rsid w:val="00954FCD"/>
    <w:rsid w:val="00972A72"/>
    <w:rsid w:val="00991101"/>
    <w:rsid w:val="009926AF"/>
    <w:rsid w:val="009945B0"/>
    <w:rsid w:val="009A79B8"/>
    <w:rsid w:val="009B3E57"/>
    <w:rsid w:val="009B5C2D"/>
    <w:rsid w:val="009B7D3F"/>
    <w:rsid w:val="009D48EB"/>
    <w:rsid w:val="009E1026"/>
    <w:rsid w:val="009F420D"/>
    <w:rsid w:val="009F5093"/>
    <w:rsid w:val="00A01FE5"/>
    <w:rsid w:val="00A65E2A"/>
    <w:rsid w:val="00AC0480"/>
    <w:rsid w:val="00AD57E9"/>
    <w:rsid w:val="00B03AFD"/>
    <w:rsid w:val="00B10309"/>
    <w:rsid w:val="00B10983"/>
    <w:rsid w:val="00B144D9"/>
    <w:rsid w:val="00B37C54"/>
    <w:rsid w:val="00B447EF"/>
    <w:rsid w:val="00B44CB1"/>
    <w:rsid w:val="00B4728E"/>
    <w:rsid w:val="00B55E21"/>
    <w:rsid w:val="00B706F5"/>
    <w:rsid w:val="00B721DC"/>
    <w:rsid w:val="00B9271D"/>
    <w:rsid w:val="00BA3F26"/>
    <w:rsid w:val="00BC2C8A"/>
    <w:rsid w:val="00BE5D19"/>
    <w:rsid w:val="00BF1392"/>
    <w:rsid w:val="00C220F8"/>
    <w:rsid w:val="00C25C31"/>
    <w:rsid w:val="00C4632B"/>
    <w:rsid w:val="00C50971"/>
    <w:rsid w:val="00C568AB"/>
    <w:rsid w:val="00C8111E"/>
    <w:rsid w:val="00C8177F"/>
    <w:rsid w:val="00C81BB2"/>
    <w:rsid w:val="00CA0556"/>
    <w:rsid w:val="00CA7601"/>
    <w:rsid w:val="00CB2D94"/>
    <w:rsid w:val="00CC0AFD"/>
    <w:rsid w:val="00CF235F"/>
    <w:rsid w:val="00D27DDE"/>
    <w:rsid w:val="00D34E8B"/>
    <w:rsid w:val="00D56F98"/>
    <w:rsid w:val="00D676D3"/>
    <w:rsid w:val="00D81E0C"/>
    <w:rsid w:val="00D95048"/>
    <w:rsid w:val="00DD5155"/>
    <w:rsid w:val="00DF0BB9"/>
    <w:rsid w:val="00E033E0"/>
    <w:rsid w:val="00E1047C"/>
    <w:rsid w:val="00E202C1"/>
    <w:rsid w:val="00E30C77"/>
    <w:rsid w:val="00E34608"/>
    <w:rsid w:val="00E3586E"/>
    <w:rsid w:val="00E468E5"/>
    <w:rsid w:val="00E51723"/>
    <w:rsid w:val="00E568BE"/>
    <w:rsid w:val="00E62602"/>
    <w:rsid w:val="00E62C3E"/>
    <w:rsid w:val="00E66E10"/>
    <w:rsid w:val="00E74A68"/>
    <w:rsid w:val="00E8266E"/>
    <w:rsid w:val="00EB2C38"/>
    <w:rsid w:val="00EC6CC8"/>
    <w:rsid w:val="00ED47C0"/>
    <w:rsid w:val="00EE5805"/>
    <w:rsid w:val="00EF402C"/>
    <w:rsid w:val="00EF7E63"/>
    <w:rsid w:val="00F06C0B"/>
    <w:rsid w:val="00F13C4B"/>
    <w:rsid w:val="00F221CF"/>
    <w:rsid w:val="00F5523A"/>
    <w:rsid w:val="00F60288"/>
    <w:rsid w:val="00F72071"/>
    <w:rsid w:val="00F77B9E"/>
    <w:rsid w:val="00F864F8"/>
    <w:rsid w:val="00F917CF"/>
    <w:rsid w:val="00FA271B"/>
    <w:rsid w:val="00FC0FD1"/>
    <w:rsid w:val="00FE4DFC"/>
    <w:rsid w:val="00FE5C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D8AC"/>
  <w15:docId w15:val="{7EDCC647-884A-48F1-BBAB-845948E3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71B"/>
    <w:rPr>
      <w:color w:val="0000FF" w:themeColor="hyperlink"/>
      <w:u w:val="single"/>
    </w:rPr>
  </w:style>
  <w:style w:type="paragraph" w:styleId="BalloonText">
    <w:name w:val="Balloon Text"/>
    <w:basedOn w:val="Normal"/>
    <w:link w:val="BalloonTextChar"/>
    <w:uiPriority w:val="99"/>
    <w:semiHidden/>
    <w:unhideWhenUsed/>
    <w:rsid w:val="00BF1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92"/>
    <w:rPr>
      <w:rFonts w:ascii="Segoe UI" w:hAnsi="Segoe UI" w:cs="Segoe UI"/>
      <w:sz w:val="18"/>
      <w:szCs w:val="18"/>
    </w:rPr>
  </w:style>
  <w:style w:type="paragraph" w:styleId="Header">
    <w:name w:val="header"/>
    <w:basedOn w:val="Normal"/>
    <w:link w:val="HeaderChar"/>
    <w:uiPriority w:val="99"/>
    <w:unhideWhenUsed/>
    <w:rsid w:val="00BF1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392"/>
  </w:style>
  <w:style w:type="paragraph" w:styleId="Footer">
    <w:name w:val="footer"/>
    <w:basedOn w:val="Normal"/>
    <w:link w:val="FooterChar"/>
    <w:uiPriority w:val="99"/>
    <w:unhideWhenUsed/>
    <w:rsid w:val="00BF1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392"/>
  </w:style>
  <w:style w:type="character" w:styleId="CommentReference">
    <w:name w:val="annotation reference"/>
    <w:basedOn w:val="DefaultParagraphFont"/>
    <w:uiPriority w:val="99"/>
    <w:semiHidden/>
    <w:unhideWhenUsed/>
    <w:rsid w:val="00BF1392"/>
    <w:rPr>
      <w:sz w:val="16"/>
      <w:szCs w:val="16"/>
    </w:rPr>
  </w:style>
  <w:style w:type="paragraph" w:styleId="CommentText">
    <w:name w:val="annotation text"/>
    <w:basedOn w:val="Normal"/>
    <w:link w:val="CommentTextChar"/>
    <w:uiPriority w:val="99"/>
    <w:semiHidden/>
    <w:unhideWhenUsed/>
    <w:rsid w:val="00BF1392"/>
    <w:pPr>
      <w:spacing w:line="240" w:lineRule="auto"/>
    </w:pPr>
    <w:rPr>
      <w:sz w:val="20"/>
      <w:szCs w:val="20"/>
    </w:rPr>
  </w:style>
  <w:style w:type="character" w:customStyle="1" w:styleId="CommentTextChar">
    <w:name w:val="Comment Text Char"/>
    <w:basedOn w:val="DefaultParagraphFont"/>
    <w:link w:val="CommentText"/>
    <w:uiPriority w:val="99"/>
    <w:semiHidden/>
    <w:rsid w:val="00BF1392"/>
    <w:rPr>
      <w:sz w:val="20"/>
      <w:szCs w:val="20"/>
    </w:rPr>
  </w:style>
  <w:style w:type="paragraph" w:styleId="CommentSubject">
    <w:name w:val="annotation subject"/>
    <w:basedOn w:val="CommentText"/>
    <w:next w:val="CommentText"/>
    <w:link w:val="CommentSubjectChar"/>
    <w:uiPriority w:val="99"/>
    <w:semiHidden/>
    <w:unhideWhenUsed/>
    <w:rsid w:val="00BF1392"/>
    <w:rPr>
      <w:b/>
      <w:bCs/>
    </w:rPr>
  </w:style>
  <w:style w:type="character" w:customStyle="1" w:styleId="CommentSubjectChar">
    <w:name w:val="Comment Subject Char"/>
    <w:basedOn w:val="CommentTextChar"/>
    <w:link w:val="CommentSubject"/>
    <w:uiPriority w:val="99"/>
    <w:semiHidden/>
    <w:rsid w:val="00BF1392"/>
    <w:rPr>
      <w:b/>
      <w:bCs/>
      <w:sz w:val="20"/>
      <w:szCs w:val="20"/>
    </w:rPr>
  </w:style>
  <w:style w:type="paragraph" w:styleId="NoSpacing">
    <w:name w:val="No Spacing"/>
    <w:link w:val="NoSpacingChar"/>
    <w:uiPriority w:val="1"/>
    <w:qFormat/>
    <w:rsid w:val="004F0B36"/>
    <w:pPr>
      <w:spacing w:after="0" w:line="240" w:lineRule="auto"/>
    </w:pPr>
    <w:rPr>
      <w:lang w:val="en-GB"/>
    </w:rPr>
  </w:style>
  <w:style w:type="paragraph" w:styleId="ListParagraph">
    <w:name w:val="List Paragraph"/>
    <w:basedOn w:val="Normal"/>
    <w:uiPriority w:val="34"/>
    <w:qFormat/>
    <w:rsid w:val="00B10309"/>
    <w:pPr>
      <w:ind w:left="720"/>
      <w:contextualSpacing/>
    </w:pPr>
  </w:style>
  <w:style w:type="paragraph" w:customStyle="1" w:styleId="NoSpacing1">
    <w:name w:val="No Spacing1"/>
    <w:link w:val="NoSpacing1Char"/>
    <w:qFormat/>
    <w:rsid w:val="001F2B3A"/>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1F2B3A"/>
    <w:rPr>
      <w:rFonts w:ascii="Times New Roman" w:eastAsia="Times New Roman" w:hAnsi="Times New Roman" w:cs="Times New Roman"/>
      <w:lang w:val="nl-BE" w:eastAsia="nl-BE"/>
    </w:rPr>
  </w:style>
  <w:style w:type="character" w:customStyle="1" w:styleId="NoSpacingChar">
    <w:name w:val="No Spacing Char"/>
    <w:link w:val="NoSpacing"/>
    <w:uiPriority w:val="1"/>
    <w:rsid w:val="00120424"/>
    <w:rPr>
      <w:lang w:val="en-GB"/>
    </w:rPr>
  </w:style>
  <w:style w:type="paragraph" w:customStyle="1" w:styleId="EndNoteBibliography">
    <w:name w:val="EndNote Bibliography"/>
    <w:basedOn w:val="Normal"/>
    <w:link w:val="EndNoteBibliographyChar"/>
    <w:rsid w:val="002B24DB"/>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B24D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kuthula.dlamini@smu.ac.za" TargetMode="External"/><Relationship Id="rId13" Type="http://schemas.openxmlformats.org/officeDocument/2006/relationships/hyperlink" Target="mailto:Brian.godman@strath.ac.uk" TargetMode="External"/><Relationship Id="rId18" Type="http://schemas.openxmlformats.org/officeDocument/2006/relationships/hyperlink" Target="https://www.health-e.org.za/wp-content/uploads/2015/09/Antimicrobial-Resistance-National-Strategy-Framework-2014-2024.pdf" TargetMode="External"/><Relationship Id="rId26" Type="http://schemas.openxmlformats.org/officeDocument/2006/relationships/hyperlink" Target="http://muria.nmmu.ac.za/2nd-MURIA-Training-Workshop-and-Symposium,-25-27-J" TargetMode="External"/><Relationship Id="rId3" Type="http://schemas.openxmlformats.org/officeDocument/2006/relationships/styles" Target="styles.xml"/><Relationship Id="rId21" Type="http://schemas.openxmlformats.org/officeDocument/2006/relationships/hyperlink" Target="http://www.cddep.org/publications/state_worlds_antibiotics_2015" TargetMode="External"/><Relationship Id="rId7" Type="http://schemas.openxmlformats.org/officeDocument/2006/relationships/endnotes" Target="endnotes.xml"/><Relationship Id="rId12" Type="http://schemas.openxmlformats.org/officeDocument/2006/relationships/hyperlink" Target="mailto:amanj.baker@strath.ac.uk" TargetMode="External"/><Relationship Id="rId17" Type="http://schemas.openxmlformats.org/officeDocument/2006/relationships/chart" Target="charts/chart2.xml"/><Relationship Id="rId25" Type="http://schemas.openxmlformats.org/officeDocument/2006/relationships/hyperlink" Target="http://muria.mandela.ac.za/muria/media/Store/documents/Abstract%20book%20-%20MURAI%203/MURIA3-AbstractBook-July-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ecdc.europa.eu/en/activities/surveillance/ESAC-Net/Pages/index.aspx" TargetMode="External"/><Relationship Id="rId29" Type="http://schemas.openxmlformats.org/officeDocument/2006/relationships/hyperlink" Target="http://apps.who.int/iris/bitstream/10665/186477/1/WHO_HIS_HGF_CaseStudy_15.9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Kruger@smu.ac.sa" TargetMode="External"/><Relationship Id="rId24" Type="http://schemas.openxmlformats.org/officeDocument/2006/relationships/hyperlink" Target="http://www.global-pps.com/wp-content/uploads/ECCMID-2016_South-Africa.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kuthula.dlamini@smu.ac.za" TargetMode="External"/><Relationship Id="rId23" Type="http://schemas.openxmlformats.org/officeDocument/2006/relationships/hyperlink" Target="http://apps.who.int/iris/bitstream/10665/250441/1/9789241565394-eng.pdf?ua=1" TargetMode="External"/><Relationship Id="rId28" Type="http://schemas.openxmlformats.org/officeDocument/2006/relationships/hyperlink" Target="http://muria.mandela.ac.za/muria/media/Store/documents/Abstract%20book%20-%20MURAI%203/MURIA3-AbstractBook-July-2017.pdf" TargetMode="External"/><Relationship Id="rId10" Type="http://schemas.openxmlformats.org/officeDocument/2006/relationships/hyperlink" Target="mailto:hannelie.meyer@smu.ac.za" TargetMode="External"/><Relationship Id="rId19" Type="http://schemas.openxmlformats.org/officeDocument/2006/relationships/hyperlink" Target="https://amr-review.org/sites/default/files/SECURING%20NEW%20DRUGS%20FOR%20FUTURE%20GENERATIONS%20FINAL%20WEB_0.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alie.schellack@smu.ac.za" TargetMode="External"/><Relationship Id="rId14" Type="http://schemas.openxmlformats.org/officeDocument/2006/relationships/hyperlink" Target="mailto:Brian.Godman@ki.se" TargetMode="External"/><Relationship Id="rId22" Type="http://schemas.openxmlformats.org/officeDocument/2006/relationships/hyperlink" Target="http://ecdc.europa.eu/en/publications/Publications/PPS-HAI-antimicrobial-use-EU-acute-care-hospitals-V5-3.pdf" TargetMode="External"/><Relationship Id="rId27" Type="http://schemas.openxmlformats.org/officeDocument/2006/relationships/hyperlink" Target="https://www.whocc.no/" TargetMode="External"/><Relationship Id="rId30" Type="http://schemas.openxmlformats.org/officeDocument/2006/relationships/hyperlink" Target="https://www.sahealth.sa.gov.au/wps/wcm/connect/86d0af8047ca4a108ca28dfc651ee2b2/IV+to+Oral+Switch+Clinical+Guideline_V1.1_26102017.pdf?MOD=AJPERES&amp;CACHEID=ROOTWORKSPACE-86d0af8047ca4a108ca28dfc651ee2b2-msqBcxq"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annelie.Meyer\Documents\Posters\Nokuthula%20spreadsheet%20patient%201%20to%20%2051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'[Nokuthula spreadsheet patient 1 to  512.xlsx]Analysis'!$G$113:$G$124</c:f>
              <c:strCache>
                <c:ptCount val="12"/>
                <c:pt idx="0">
                  <c:v> J1C1  Broad spectrum penicillins oral/IV</c:v>
                </c:pt>
                <c:pt idx="1">
                  <c:v> J1D1  Cephalosporins oral/IV</c:v>
                </c:pt>
                <c:pt idx="2">
                  <c:v>Anti-tuberculosis agents</c:v>
                </c:pt>
                <c:pt idx="3">
                  <c:v>J01X Dimidazole derivatives</c:v>
                </c:pt>
                <c:pt idx="4">
                  <c:v> J1K0  Aminoglycosides</c:v>
                </c:pt>
                <c:pt idx="5">
                  <c:v> J1P2  Penems and carbapenems</c:v>
                </c:pt>
                <c:pt idx="6">
                  <c:v> J1E0  Trimethoprim combos</c:v>
                </c:pt>
                <c:pt idx="7">
                  <c:v> J1F0  Macrolides &amp; similar type</c:v>
                </c:pt>
                <c:pt idx="8">
                  <c:v> J1G1  Fluroquinolones</c:v>
                </c:pt>
                <c:pt idx="9">
                  <c:v>Antifungals</c:v>
                </c:pt>
                <c:pt idx="10">
                  <c:v> J1X1  Glycopeptide antibacterials</c:v>
                </c:pt>
                <c:pt idx="11">
                  <c:v> J1A0  Tetracyclines &amp; combos</c:v>
                </c:pt>
              </c:strCache>
            </c:strRef>
          </c:cat>
          <c:val>
            <c:numRef>
              <c:f>'[Nokuthula spreadsheet patient 1 to  512.xlsx]Analysis'!$H$113:$H$124</c:f>
              <c:numCache>
                <c:formatCode>General</c:formatCode>
                <c:ptCount val="12"/>
              </c:numCache>
            </c:numRef>
          </c:val>
          <c:extLst>
            <c:ext xmlns:c16="http://schemas.microsoft.com/office/drawing/2014/chart" uri="{C3380CC4-5D6E-409C-BE32-E72D297353CC}">
              <c16:uniqueId val="{00000000-3405-4337-92B2-1E97967A245D}"/>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'[Nokuthula spreadsheet patient 1 to  512.xlsx]Analysis'!$G$113:$G$124</c:f>
              <c:strCache>
                <c:ptCount val="12"/>
                <c:pt idx="0">
                  <c:v> J1C1  Broad spectrum penicillins oral/IV</c:v>
                </c:pt>
                <c:pt idx="1">
                  <c:v> J1D1  Cephalosporins oral/IV</c:v>
                </c:pt>
                <c:pt idx="2">
                  <c:v>Anti-tuberculosis agents</c:v>
                </c:pt>
                <c:pt idx="3">
                  <c:v>J01X Dimidazole derivatives</c:v>
                </c:pt>
                <c:pt idx="4">
                  <c:v> J1K0  Aminoglycosides</c:v>
                </c:pt>
                <c:pt idx="5">
                  <c:v> J1P2  Penems and carbapenems</c:v>
                </c:pt>
                <c:pt idx="6">
                  <c:v> J1E0  Trimethoprim combos</c:v>
                </c:pt>
                <c:pt idx="7">
                  <c:v> J1F0  Macrolides &amp; similar type</c:v>
                </c:pt>
                <c:pt idx="8">
                  <c:v> J1G1  Fluroquinolones</c:v>
                </c:pt>
                <c:pt idx="9">
                  <c:v>Antifungals</c:v>
                </c:pt>
                <c:pt idx="10">
                  <c:v> J1X1  Glycopeptide antibacterials</c:v>
                </c:pt>
                <c:pt idx="11">
                  <c:v> J1A0  Tetracyclines &amp; combos</c:v>
                </c:pt>
              </c:strCache>
            </c:strRef>
          </c:cat>
          <c:val>
            <c:numRef>
              <c:f>'[Nokuthula spreadsheet patient 1 to  512.xlsx]Analysis'!$I$113:$I$124</c:f>
              <c:numCache>
                <c:formatCode>0.0%</c:formatCode>
                <c:ptCount val="12"/>
                <c:pt idx="0">
                  <c:v>0.34090909090909088</c:v>
                </c:pt>
                <c:pt idx="1">
                  <c:v>0.17857142857142858</c:v>
                </c:pt>
                <c:pt idx="2">
                  <c:v>0.12012987012987013</c:v>
                </c:pt>
                <c:pt idx="3">
                  <c:v>7.792207792207792E-2</c:v>
                </c:pt>
                <c:pt idx="4">
                  <c:v>7.1428571428571425E-2</c:v>
                </c:pt>
                <c:pt idx="5">
                  <c:v>7.1428571428571425E-2</c:v>
                </c:pt>
                <c:pt idx="6">
                  <c:v>4.8701298701298704E-2</c:v>
                </c:pt>
                <c:pt idx="7">
                  <c:v>4.2207792207792208E-2</c:v>
                </c:pt>
                <c:pt idx="8">
                  <c:v>2.922077922077922E-2</c:v>
                </c:pt>
                <c:pt idx="9">
                  <c:v>9.74025974025974E-3</c:v>
                </c:pt>
                <c:pt idx="10">
                  <c:v>6.4935064935064939E-3</c:v>
                </c:pt>
                <c:pt idx="11">
                  <c:v>3.246753246753247E-3</c:v>
                </c:pt>
              </c:numCache>
            </c:numRef>
          </c:val>
          <c:extLst>
            <c:ext xmlns:c16="http://schemas.microsoft.com/office/drawing/2014/chart" uri="{C3380CC4-5D6E-409C-BE32-E72D297353CC}">
              <c16:uniqueId val="{00000001-3405-4337-92B2-1E97967A245D}"/>
            </c:ext>
          </c:extLst>
        </c:ser>
        <c:dLbls>
          <c:dLblPos val="outEnd"/>
          <c:showLegendKey val="0"/>
          <c:showVal val="1"/>
          <c:showCatName val="0"/>
          <c:showSerName val="0"/>
          <c:showPercent val="0"/>
          <c:showBubbleSize val="0"/>
        </c:dLbls>
        <c:gapWidth val="150"/>
        <c:axId val="108015616"/>
        <c:axId val="108017536"/>
      </c:barChart>
      <c:catAx>
        <c:axId val="108015616"/>
        <c:scaling>
          <c:orientation val="minMax"/>
        </c:scaling>
        <c:delete val="0"/>
        <c:axPos val="l"/>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08017536"/>
        <c:crosses val="autoZero"/>
        <c:auto val="1"/>
        <c:lblAlgn val="ctr"/>
        <c:lblOffset val="100"/>
        <c:noMultiLvlLbl val="0"/>
      </c:catAx>
      <c:valAx>
        <c:axId val="108017536"/>
        <c:scaling>
          <c:orientation val="minMax"/>
        </c:scaling>
        <c:delete val="0"/>
        <c:axPos val="b"/>
        <c:majorGridlines/>
        <c:title>
          <c:tx>
            <c:rich>
              <a:bodyPr/>
              <a:lstStyle/>
              <a:p>
                <a:pPr>
                  <a:defRPr sz="1100">
                    <a:latin typeface="Arial" panose="020B0604020202020204" pitchFamily="34" charset="0"/>
                    <a:cs typeface="Arial" panose="020B0604020202020204" pitchFamily="34" charset="0"/>
                  </a:defRPr>
                </a:pPr>
                <a:r>
                  <a:rPr lang="en-US" sz="1100">
                    <a:latin typeface="Arial" panose="020B0604020202020204" pitchFamily="34" charset="0"/>
                    <a:cs typeface="Arial" panose="020B0604020202020204" pitchFamily="34" charset="0"/>
                  </a:rPr>
                  <a:t>% of Antimicrobials</a:t>
                </a:r>
              </a:p>
            </c:rich>
          </c:tx>
          <c:layout>
            <c:manualLayout>
              <c:xMode val="edge"/>
              <c:yMode val="edge"/>
              <c:x val="0.55994384422877375"/>
              <c:y val="0.92372024635955774"/>
            </c:manualLayout>
          </c:layout>
          <c:overlay val="0"/>
        </c:title>
        <c:numFmt formatCode="0%" sourceLinked="0"/>
        <c:majorTickMark val="out"/>
        <c:minorTickMark val="none"/>
        <c:tickLblPos val="nextTo"/>
        <c:crossAx val="108015616"/>
        <c:crosses val="autoZero"/>
        <c:crossBetween val="between"/>
        <c:majorUnit val="0.1"/>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68532712480707"/>
          <c:y val="2.6419096261615947E-2"/>
          <c:w val="0.84673659978549198"/>
          <c:h val="0.83978931687593106"/>
        </c:manualLayout>
      </c:layout>
      <c:barChart>
        <c:barDir val="col"/>
        <c:grouping val="clustered"/>
        <c:varyColors val="0"/>
        <c:ser>
          <c:idx val="0"/>
          <c:order val="0"/>
          <c:spPr>
            <a:solidFill>
              <a:srgbClr val="0070C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Analysis!$A$37:$A$40</c:f>
              <c:strCache>
                <c:ptCount val="4"/>
                <c:pt idx="0">
                  <c:v>Up to  5 days</c:v>
                </c:pt>
                <c:pt idx="1">
                  <c:v>6 to 10 days</c:v>
                </c:pt>
                <c:pt idx="2">
                  <c:v>11 to 14 days</c:v>
                </c:pt>
                <c:pt idx="3">
                  <c:v>More than 14 days</c:v>
                </c:pt>
              </c:strCache>
            </c:strRef>
          </c:cat>
          <c:val>
            <c:numRef>
              <c:f>Analysis!$C$37:$C$40</c:f>
              <c:numCache>
                <c:formatCode>0.0%</c:formatCode>
                <c:ptCount val="4"/>
                <c:pt idx="0">
                  <c:v>0.44525547445255476</c:v>
                </c:pt>
                <c:pt idx="1">
                  <c:v>0.38686131386861317</c:v>
                </c:pt>
                <c:pt idx="2">
                  <c:v>8.0291970802919707E-2</c:v>
                </c:pt>
                <c:pt idx="3">
                  <c:v>8.7591240875912413E-2</c:v>
                </c:pt>
              </c:numCache>
            </c:numRef>
          </c:val>
          <c:extLst>
            <c:ext xmlns:c16="http://schemas.microsoft.com/office/drawing/2014/chart" uri="{C3380CC4-5D6E-409C-BE32-E72D297353CC}">
              <c16:uniqueId val="{00000000-DB74-47AD-B98C-84185DC6FFBD}"/>
            </c:ext>
          </c:extLst>
        </c:ser>
        <c:dLbls>
          <c:showLegendKey val="0"/>
          <c:showVal val="1"/>
          <c:showCatName val="0"/>
          <c:showSerName val="0"/>
          <c:showPercent val="0"/>
          <c:showBubbleSize val="0"/>
        </c:dLbls>
        <c:gapWidth val="219"/>
        <c:overlap val="-27"/>
        <c:axId val="107679744"/>
        <c:axId val="107682432"/>
      </c:barChart>
      <c:catAx>
        <c:axId val="107679744"/>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7682432"/>
        <c:crosses val="autoZero"/>
        <c:auto val="1"/>
        <c:lblAlgn val="ctr"/>
        <c:lblOffset val="100"/>
        <c:noMultiLvlLbl val="0"/>
      </c:catAx>
      <c:valAx>
        <c:axId val="107682432"/>
        <c:scaling>
          <c:orientation val="minMax"/>
        </c:scaling>
        <c:delete val="0"/>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r>
                  <a:rPr lang="en-ZA" sz="1100" b="1" dirty="0">
                    <a:solidFill>
                      <a:schemeClr val="tx1"/>
                    </a:solidFill>
                    <a:latin typeface="Arial" panose="020B0604020202020204" pitchFamily="34" charset="0"/>
                    <a:cs typeface="Arial" panose="020B0604020202020204" pitchFamily="34" charset="0"/>
                  </a:rPr>
                  <a:t>%</a:t>
                </a:r>
                <a:r>
                  <a:rPr lang="en-ZA" sz="1050" b="1" dirty="0">
                    <a:solidFill>
                      <a:schemeClr val="tx1"/>
                    </a:solidFill>
                    <a:latin typeface="Arial" panose="020B0604020202020204" pitchFamily="34" charset="0"/>
                    <a:cs typeface="Arial" panose="020B0604020202020204" pitchFamily="34" charset="0"/>
                  </a:rPr>
                  <a:t> of Patients</a:t>
                </a:r>
              </a:p>
            </c:rich>
          </c:tx>
          <c:overlay val="0"/>
          <c:spPr>
            <a:noFill/>
            <a:ln>
              <a:noFill/>
            </a:ln>
            <a:effectLst/>
          </c:spPr>
        </c:title>
        <c:numFmt formatCode="0%"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7679744"/>
        <c:crosses val="autoZero"/>
        <c:crossBetween val="between"/>
      </c:valAx>
      <c:spPr>
        <a:solidFill>
          <a:schemeClr val="bg1"/>
        </a:solidFill>
        <a:ln>
          <a:solidFill>
            <a:schemeClr val="tx1"/>
          </a:solid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99B2-E090-4014-B213-4C00C13C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6896</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Dlamini</dc:creator>
  <cp:keywords/>
  <dc:description/>
  <cp:lastModifiedBy>Brian Godman</cp:lastModifiedBy>
  <cp:revision>3</cp:revision>
  <dcterms:created xsi:type="dcterms:W3CDTF">2019-03-07T17:43:00Z</dcterms:created>
  <dcterms:modified xsi:type="dcterms:W3CDTF">2019-03-07T18:00:00Z</dcterms:modified>
</cp:coreProperties>
</file>