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73A2" w14:textId="159CCA4C" w:rsidR="000359CE" w:rsidRPr="00F505C6" w:rsidRDefault="000359CE" w:rsidP="000359CE">
      <w:pPr>
        <w:spacing w:line="240" w:lineRule="auto"/>
        <w:jc w:val="center"/>
        <w:rPr>
          <w:rFonts w:cs="Times New Roman"/>
          <w:b/>
          <w:lang w:val="en-US"/>
        </w:rPr>
      </w:pPr>
      <w:r w:rsidRPr="00F505C6">
        <w:rPr>
          <w:rFonts w:cs="Times New Roman"/>
          <w:b/>
          <w:lang w:val="en-US"/>
        </w:rPr>
        <w:t xml:space="preserve">SOCIAL MISSION AS COMPETITIVE ADVANTAGE: A CONFIGURATIONAL ANALYSIS OF </w:t>
      </w:r>
      <w:r>
        <w:rPr>
          <w:rFonts w:cs="Times New Roman"/>
          <w:b/>
          <w:lang w:val="en-US"/>
        </w:rPr>
        <w:t>THE STRATEGIC CONDITIONS OF</w:t>
      </w:r>
      <w:r w:rsidRPr="00F505C6">
        <w:rPr>
          <w:rFonts w:cs="Times New Roman"/>
          <w:b/>
          <w:lang w:val="en-US"/>
        </w:rPr>
        <w:t xml:space="preserve"> SOCIAL ENTREPRENEURSHIP</w:t>
      </w:r>
    </w:p>
    <w:p w14:paraId="4EBC0656" w14:textId="77777777" w:rsidR="000359CE" w:rsidRDefault="000359CE" w:rsidP="000359CE">
      <w:pPr>
        <w:spacing w:line="240" w:lineRule="auto"/>
        <w:jc w:val="center"/>
        <w:rPr>
          <w:rFonts w:cs="Times New Roman"/>
          <w:b/>
          <w:lang w:val="en-US"/>
        </w:rPr>
      </w:pPr>
    </w:p>
    <w:p w14:paraId="1E4BEE15" w14:textId="77777777" w:rsidR="000359CE" w:rsidRDefault="000359CE" w:rsidP="000359CE">
      <w:pPr>
        <w:spacing w:line="240" w:lineRule="auto"/>
        <w:jc w:val="center"/>
        <w:rPr>
          <w:rFonts w:cs="Times New Roman"/>
          <w:b/>
          <w:lang w:val="en-US"/>
        </w:rPr>
      </w:pPr>
    </w:p>
    <w:p w14:paraId="61F95120" w14:textId="77777777" w:rsidR="000359CE" w:rsidRDefault="000359CE" w:rsidP="000359CE">
      <w:pPr>
        <w:spacing w:line="240" w:lineRule="auto"/>
        <w:jc w:val="center"/>
        <w:rPr>
          <w:rFonts w:cs="Times New Roman"/>
          <w:b/>
          <w:lang w:val="en-US"/>
        </w:rPr>
      </w:pPr>
    </w:p>
    <w:p w14:paraId="34AA2CFD" w14:textId="77777777" w:rsidR="000359CE" w:rsidRDefault="000359CE" w:rsidP="000359CE">
      <w:pPr>
        <w:spacing w:line="240" w:lineRule="auto"/>
        <w:jc w:val="center"/>
        <w:rPr>
          <w:rFonts w:cs="Times New Roman"/>
          <w:b/>
          <w:lang w:val="en-US"/>
        </w:rPr>
      </w:pPr>
    </w:p>
    <w:p w14:paraId="7F8CC31E" w14:textId="77777777" w:rsidR="000359CE" w:rsidRDefault="000359CE" w:rsidP="000359CE">
      <w:pPr>
        <w:spacing w:line="240" w:lineRule="auto"/>
        <w:jc w:val="center"/>
        <w:rPr>
          <w:rFonts w:cs="Times New Roman"/>
          <w:b/>
          <w:lang w:val="en-US"/>
        </w:rPr>
      </w:pPr>
    </w:p>
    <w:p w14:paraId="5626549A" w14:textId="77777777" w:rsidR="000359CE" w:rsidRDefault="000359CE" w:rsidP="000359CE">
      <w:pPr>
        <w:spacing w:line="240" w:lineRule="auto"/>
        <w:jc w:val="center"/>
        <w:rPr>
          <w:rFonts w:cs="Times New Roman"/>
          <w:b/>
          <w:lang w:val="en-US"/>
        </w:rPr>
      </w:pPr>
    </w:p>
    <w:p w14:paraId="178877C8" w14:textId="77777777" w:rsidR="000359CE" w:rsidRPr="00DD133A" w:rsidRDefault="000359CE" w:rsidP="000359CE">
      <w:pPr>
        <w:pStyle w:val="MAINBODY"/>
        <w:spacing w:after="0" w:line="240" w:lineRule="auto"/>
        <w:ind w:firstLine="0"/>
        <w:jc w:val="center"/>
        <w:rPr>
          <w:rFonts w:cs="Times New Roman"/>
          <w:b/>
          <w:bCs/>
        </w:rPr>
      </w:pPr>
      <w:r w:rsidRPr="00DD133A">
        <w:rPr>
          <w:rFonts w:cs="Times New Roman"/>
          <w:b/>
          <w:bCs/>
        </w:rPr>
        <w:t>Pablo Muñoz*</w:t>
      </w:r>
    </w:p>
    <w:p w14:paraId="6967F358" w14:textId="77777777" w:rsidR="000359CE" w:rsidRPr="00A03CBB" w:rsidRDefault="000359CE" w:rsidP="000359CE">
      <w:pPr>
        <w:pStyle w:val="MAINBODY"/>
        <w:spacing w:after="0" w:line="240" w:lineRule="auto"/>
        <w:ind w:firstLine="0"/>
        <w:jc w:val="center"/>
        <w:rPr>
          <w:rFonts w:cs="Times New Roman"/>
        </w:rPr>
      </w:pPr>
      <w:r>
        <w:rPr>
          <w:rFonts w:cs="Times New Roman"/>
        </w:rPr>
        <w:t xml:space="preserve">Senior Lecturer in </w:t>
      </w:r>
      <w:r>
        <w:t>Entrepreneurship</w:t>
      </w:r>
    </w:p>
    <w:p w14:paraId="53EF5FF1" w14:textId="77777777" w:rsidR="000359CE" w:rsidRPr="00A03CBB" w:rsidRDefault="000359CE" w:rsidP="000359CE">
      <w:pPr>
        <w:pStyle w:val="MAINBODY"/>
        <w:spacing w:after="0" w:line="240" w:lineRule="auto"/>
        <w:ind w:firstLine="0"/>
        <w:jc w:val="center"/>
        <w:rPr>
          <w:rFonts w:cs="Times New Roman"/>
        </w:rPr>
      </w:pPr>
      <w:r>
        <w:rPr>
          <w:rFonts w:cs="Times New Roman"/>
        </w:rPr>
        <w:t xml:space="preserve">University of Liverpool, Management </w:t>
      </w:r>
      <w:r>
        <w:t>School</w:t>
      </w:r>
    </w:p>
    <w:p w14:paraId="21408CC0" w14:textId="77777777" w:rsidR="000359CE" w:rsidRDefault="000359CE" w:rsidP="000359CE">
      <w:pPr>
        <w:pStyle w:val="MAINBODY"/>
        <w:spacing w:after="0" w:line="240" w:lineRule="auto"/>
        <w:ind w:firstLine="0"/>
        <w:jc w:val="center"/>
        <w:rPr>
          <w:rFonts w:cs="Times New Roman"/>
        </w:rPr>
      </w:pPr>
      <w:r>
        <w:rPr>
          <w:rFonts w:cs="Times New Roman"/>
        </w:rPr>
        <w:t>Liverpool, UK</w:t>
      </w:r>
    </w:p>
    <w:p w14:paraId="44646051" w14:textId="77777777" w:rsidR="000359CE" w:rsidRDefault="000359CE" w:rsidP="000359CE">
      <w:pPr>
        <w:pStyle w:val="Affiliation"/>
      </w:pPr>
      <w:r w:rsidRPr="00641516">
        <w:t xml:space="preserve">e-mail: </w:t>
      </w:r>
      <w:r>
        <w:t>pmunoz@liverpool.ac.uk</w:t>
      </w:r>
    </w:p>
    <w:p w14:paraId="59CFD09A" w14:textId="77777777" w:rsidR="000359CE" w:rsidRDefault="000359CE" w:rsidP="000359CE">
      <w:pPr>
        <w:pStyle w:val="Affiliation"/>
        <w:rPr>
          <w:rFonts w:cs="Arial"/>
          <w:szCs w:val="20"/>
        </w:rPr>
      </w:pPr>
    </w:p>
    <w:p w14:paraId="1482813C" w14:textId="77777777" w:rsidR="000359CE" w:rsidRDefault="000359CE" w:rsidP="000359CE">
      <w:pPr>
        <w:pStyle w:val="Affiliation"/>
        <w:rPr>
          <w:rFonts w:cs="Arial"/>
          <w:szCs w:val="20"/>
        </w:rPr>
      </w:pPr>
    </w:p>
    <w:p w14:paraId="6DA493BD" w14:textId="77777777" w:rsidR="000359CE" w:rsidRPr="00DD133A" w:rsidRDefault="000359CE" w:rsidP="000359CE">
      <w:pPr>
        <w:pStyle w:val="Affiliation"/>
        <w:rPr>
          <w:rFonts w:cs="Arial"/>
          <w:b/>
          <w:szCs w:val="20"/>
        </w:rPr>
      </w:pPr>
      <w:r w:rsidRPr="00DD133A">
        <w:rPr>
          <w:rFonts w:cs="Arial"/>
          <w:b/>
          <w:szCs w:val="20"/>
        </w:rPr>
        <w:t>Jonathan Kimmitt</w:t>
      </w:r>
    </w:p>
    <w:p w14:paraId="5DC4BBA9" w14:textId="77777777" w:rsidR="000359CE" w:rsidRDefault="000359CE" w:rsidP="000359CE">
      <w:pPr>
        <w:pStyle w:val="Affiliation"/>
        <w:rPr>
          <w:rFonts w:cs="Arial"/>
          <w:szCs w:val="20"/>
        </w:rPr>
      </w:pPr>
      <w:r>
        <w:rPr>
          <w:rFonts w:cs="Arial"/>
          <w:szCs w:val="20"/>
        </w:rPr>
        <w:t>Lecturer in Entrepreneurship</w:t>
      </w:r>
    </w:p>
    <w:p w14:paraId="5F6021ED" w14:textId="77777777" w:rsidR="000359CE" w:rsidRDefault="000359CE" w:rsidP="000359CE">
      <w:pPr>
        <w:pStyle w:val="Affiliation"/>
        <w:rPr>
          <w:rFonts w:cs="Arial"/>
          <w:szCs w:val="20"/>
        </w:rPr>
      </w:pPr>
      <w:r>
        <w:rPr>
          <w:rFonts w:cs="Arial"/>
          <w:szCs w:val="20"/>
        </w:rPr>
        <w:t>Newcastle University, Business School</w:t>
      </w:r>
    </w:p>
    <w:p w14:paraId="060271A5" w14:textId="77777777" w:rsidR="000359CE" w:rsidRDefault="000359CE" w:rsidP="000359CE">
      <w:pPr>
        <w:pStyle w:val="Affiliation"/>
        <w:rPr>
          <w:rFonts w:cs="Arial"/>
          <w:szCs w:val="20"/>
        </w:rPr>
      </w:pPr>
      <w:r>
        <w:rPr>
          <w:rFonts w:cs="Arial"/>
          <w:szCs w:val="20"/>
        </w:rPr>
        <w:t>Newcastle, UK</w:t>
      </w:r>
    </w:p>
    <w:p w14:paraId="26CE73AD" w14:textId="77777777" w:rsidR="000359CE" w:rsidRDefault="000359CE" w:rsidP="000359CE">
      <w:pPr>
        <w:pStyle w:val="Affiliation"/>
        <w:rPr>
          <w:rFonts w:cs="Arial"/>
          <w:szCs w:val="20"/>
        </w:rPr>
      </w:pPr>
      <w:r w:rsidRPr="00641516">
        <w:t>e-mail:</w:t>
      </w:r>
      <w:r>
        <w:t xml:space="preserve"> </w:t>
      </w:r>
      <w:r w:rsidRPr="006B54B9">
        <w:t>jonathan.kimmitt@newcastle.ac.uk</w:t>
      </w:r>
    </w:p>
    <w:p w14:paraId="5938782E" w14:textId="77777777" w:rsidR="000359CE" w:rsidRDefault="000359CE" w:rsidP="000359CE">
      <w:pPr>
        <w:pStyle w:val="MAINBODY"/>
        <w:spacing w:after="0" w:line="240" w:lineRule="auto"/>
        <w:ind w:firstLine="0"/>
        <w:jc w:val="center"/>
        <w:rPr>
          <w:rFonts w:cs="Times New Roman"/>
          <w:bCs/>
        </w:rPr>
      </w:pPr>
    </w:p>
    <w:p w14:paraId="66676FB9" w14:textId="77777777" w:rsidR="000359CE" w:rsidRDefault="000359CE" w:rsidP="000359CE">
      <w:pPr>
        <w:pStyle w:val="Affiliation"/>
        <w:jc w:val="left"/>
        <w:rPr>
          <w:rFonts w:cs="Arial"/>
          <w:szCs w:val="20"/>
        </w:rPr>
      </w:pPr>
    </w:p>
    <w:p w14:paraId="29360571" w14:textId="77777777" w:rsidR="000359CE" w:rsidRDefault="000359CE" w:rsidP="000359CE">
      <w:pPr>
        <w:pStyle w:val="Affiliation"/>
        <w:rPr>
          <w:rFonts w:cs="Arial"/>
          <w:szCs w:val="20"/>
        </w:rPr>
      </w:pPr>
    </w:p>
    <w:p w14:paraId="187B95D9" w14:textId="77777777" w:rsidR="000359CE" w:rsidRDefault="000359CE" w:rsidP="000359CE">
      <w:pPr>
        <w:pStyle w:val="Affiliation"/>
        <w:rPr>
          <w:rFonts w:cs="Arial"/>
          <w:szCs w:val="20"/>
        </w:rPr>
      </w:pPr>
    </w:p>
    <w:p w14:paraId="5830587B" w14:textId="77777777" w:rsidR="000359CE" w:rsidRPr="00744C1F" w:rsidRDefault="000359CE" w:rsidP="000359CE">
      <w:pPr>
        <w:pStyle w:val="Affiliation"/>
        <w:rPr>
          <w:rFonts w:cs="Arial"/>
          <w:i/>
          <w:szCs w:val="20"/>
        </w:rPr>
      </w:pPr>
      <w:r w:rsidRPr="00744C1F">
        <w:rPr>
          <w:rFonts w:cs="Arial"/>
          <w:i/>
          <w:szCs w:val="20"/>
        </w:rPr>
        <w:t>*Corresponding author</w:t>
      </w:r>
    </w:p>
    <w:p w14:paraId="51BF5ECB" w14:textId="77777777" w:rsidR="000359CE" w:rsidRPr="00F505C6" w:rsidRDefault="000359CE" w:rsidP="000359CE">
      <w:pPr>
        <w:spacing w:line="240" w:lineRule="auto"/>
        <w:jc w:val="center"/>
        <w:rPr>
          <w:rFonts w:cs="Times New Roman"/>
          <w:b/>
          <w:lang w:val="en-US"/>
        </w:rPr>
      </w:pPr>
    </w:p>
    <w:p w14:paraId="35A4721B" w14:textId="77777777" w:rsidR="000359CE" w:rsidRDefault="000359CE" w:rsidP="000359CE">
      <w:pPr>
        <w:spacing w:line="240" w:lineRule="auto"/>
        <w:ind w:firstLine="0"/>
        <w:rPr>
          <w:rFonts w:cs="Times New Roman"/>
          <w:b/>
          <w:lang w:val="en-US"/>
        </w:rPr>
      </w:pPr>
    </w:p>
    <w:p w14:paraId="00BA3FEB" w14:textId="77777777" w:rsidR="000359CE" w:rsidRDefault="000359CE" w:rsidP="000359CE">
      <w:pPr>
        <w:spacing w:line="240" w:lineRule="auto"/>
        <w:ind w:firstLine="0"/>
        <w:rPr>
          <w:rFonts w:cs="Times New Roman"/>
          <w:b/>
          <w:lang w:val="en-US"/>
        </w:rPr>
      </w:pPr>
    </w:p>
    <w:p w14:paraId="0432C024" w14:textId="77777777" w:rsidR="000359CE" w:rsidRDefault="000359CE" w:rsidP="000359CE">
      <w:pPr>
        <w:spacing w:line="240" w:lineRule="auto"/>
        <w:ind w:firstLine="0"/>
        <w:rPr>
          <w:rFonts w:cs="Times New Roman"/>
          <w:b/>
          <w:lang w:val="en-US"/>
        </w:rPr>
      </w:pPr>
    </w:p>
    <w:p w14:paraId="2A01C72C" w14:textId="77777777" w:rsidR="000359CE" w:rsidRDefault="000359CE" w:rsidP="000359CE">
      <w:pPr>
        <w:spacing w:line="240" w:lineRule="auto"/>
        <w:ind w:firstLine="0"/>
        <w:rPr>
          <w:rFonts w:cs="Times New Roman"/>
          <w:lang w:val="en-US"/>
        </w:rPr>
      </w:pPr>
    </w:p>
    <w:p w14:paraId="2142BAC3" w14:textId="2BE8C464" w:rsidR="000359CE" w:rsidRPr="000359CE" w:rsidRDefault="000359CE" w:rsidP="000359CE">
      <w:pPr>
        <w:spacing w:line="240" w:lineRule="auto"/>
        <w:ind w:firstLine="0"/>
        <w:jc w:val="center"/>
        <w:rPr>
          <w:rFonts w:cs="Times New Roman"/>
          <w:i/>
          <w:lang w:val="en-US"/>
        </w:rPr>
      </w:pPr>
      <w:r w:rsidRPr="000359CE">
        <w:rPr>
          <w:rFonts w:cs="Times New Roman"/>
          <w:i/>
          <w:lang w:val="en-US"/>
        </w:rPr>
        <w:t>Forthcoming in Journal of Business Research</w:t>
      </w:r>
    </w:p>
    <w:p w14:paraId="180381E1" w14:textId="77777777" w:rsidR="000359CE" w:rsidRDefault="000359CE" w:rsidP="000359CE">
      <w:pPr>
        <w:spacing w:line="240" w:lineRule="auto"/>
        <w:ind w:firstLine="0"/>
        <w:rPr>
          <w:rFonts w:cs="Times New Roman"/>
          <w:lang w:val="en-US"/>
        </w:rPr>
      </w:pPr>
    </w:p>
    <w:p w14:paraId="599A44F4" w14:textId="77777777" w:rsidR="000359CE" w:rsidRDefault="000359CE" w:rsidP="000359CE">
      <w:pPr>
        <w:spacing w:line="240" w:lineRule="auto"/>
        <w:ind w:firstLine="0"/>
        <w:rPr>
          <w:rFonts w:cs="Times New Roman"/>
          <w:lang w:val="en-US"/>
        </w:rPr>
      </w:pPr>
    </w:p>
    <w:p w14:paraId="4E59DCDA" w14:textId="1BC2F8DC" w:rsidR="000359CE" w:rsidRDefault="000359CE" w:rsidP="000359CE">
      <w:pPr>
        <w:spacing w:line="240" w:lineRule="auto"/>
        <w:ind w:firstLine="0"/>
        <w:rPr>
          <w:b/>
        </w:rPr>
      </w:pPr>
    </w:p>
    <w:p w14:paraId="21D1E32B" w14:textId="77777777" w:rsidR="000359CE" w:rsidRDefault="000359CE" w:rsidP="000359CE">
      <w:pPr>
        <w:spacing w:line="240" w:lineRule="auto"/>
        <w:ind w:firstLine="0"/>
        <w:rPr>
          <w:rFonts w:cs="Times New Roman"/>
          <w:lang w:val="en-US"/>
        </w:rPr>
      </w:pPr>
      <w:bookmarkStart w:id="0" w:name="_GoBack"/>
      <w:bookmarkEnd w:id="0"/>
    </w:p>
    <w:p w14:paraId="687A6BCA" w14:textId="77777777" w:rsidR="000359CE" w:rsidRDefault="000359CE" w:rsidP="000359CE">
      <w:pPr>
        <w:spacing w:line="240" w:lineRule="auto"/>
        <w:ind w:firstLine="0"/>
        <w:rPr>
          <w:rFonts w:cs="Times New Roman"/>
          <w:lang w:val="en-US"/>
        </w:rPr>
      </w:pPr>
    </w:p>
    <w:p w14:paraId="3B8600FF" w14:textId="77777777" w:rsidR="000359CE" w:rsidRDefault="000359CE" w:rsidP="000359CE">
      <w:pPr>
        <w:spacing w:line="240" w:lineRule="auto"/>
        <w:ind w:firstLine="0"/>
        <w:rPr>
          <w:rFonts w:cs="Times New Roman"/>
          <w:lang w:val="en-US"/>
        </w:rPr>
      </w:pPr>
    </w:p>
    <w:p w14:paraId="1EE0FD99" w14:textId="77777777" w:rsidR="000359CE" w:rsidRDefault="000359CE" w:rsidP="000359CE">
      <w:pPr>
        <w:spacing w:line="240" w:lineRule="auto"/>
        <w:ind w:firstLine="0"/>
        <w:rPr>
          <w:rFonts w:cs="Times New Roman"/>
          <w:lang w:val="en-US"/>
        </w:rPr>
      </w:pPr>
    </w:p>
    <w:p w14:paraId="386D8A95" w14:textId="77777777" w:rsidR="000359CE" w:rsidRDefault="000359CE" w:rsidP="000359CE">
      <w:pPr>
        <w:spacing w:line="240" w:lineRule="auto"/>
        <w:ind w:firstLine="0"/>
        <w:rPr>
          <w:rFonts w:cs="Times New Roman"/>
          <w:lang w:val="en-US"/>
        </w:rPr>
      </w:pPr>
    </w:p>
    <w:p w14:paraId="5D6A5237" w14:textId="77777777" w:rsidR="000359CE" w:rsidRDefault="000359CE" w:rsidP="000359CE">
      <w:pPr>
        <w:spacing w:line="240" w:lineRule="auto"/>
        <w:ind w:firstLine="0"/>
        <w:rPr>
          <w:rFonts w:cs="Times New Roman"/>
          <w:lang w:val="en-US"/>
        </w:rPr>
      </w:pPr>
    </w:p>
    <w:p w14:paraId="52E0EAE3" w14:textId="77777777" w:rsidR="000359CE" w:rsidRDefault="000359CE" w:rsidP="000359CE">
      <w:pPr>
        <w:spacing w:line="240" w:lineRule="auto"/>
        <w:ind w:firstLine="0"/>
        <w:rPr>
          <w:rFonts w:cs="Times New Roman"/>
          <w:lang w:val="en-US"/>
        </w:rPr>
      </w:pPr>
    </w:p>
    <w:p w14:paraId="199FD751" w14:textId="77777777" w:rsidR="000359CE" w:rsidRDefault="000359CE" w:rsidP="000359CE">
      <w:pPr>
        <w:spacing w:line="240" w:lineRule="auto"/>
        <w:ind w:firstLine="0"/>
        <w:rPr>
          <w:rFonts w:cs="Times New Roman"/>
          <w:lang w:val="en-US"/>
        </w:rPr>
      </w:pPr>
    </w:p>
    <w:p w14:paraId="2413F187" w14:textId="77777777" w:rsidR="000359CE" w:rsidRDefault="000359CE" w:rsidP="000359CE">
      <w:pPr>
        <w:spacing w:line="240" w:lineRule="auto"/>
        <w:ind w:firstLine="0"/>
        <w:rPr>
          <w:rFonts w:cs="Times New Roman"/>
          <w:i/>
          <w:lang w:val="en-US"/>
        </w:rPr>
      </w:pPr>
    </w:p>
    <w:p w14:paraId="2C259D3D" w14:textId="77777777" w:rsidR="000359CE" w:rsidRDefault="000359CE" w:rsidP="000359CE">
      <w:pPr>
        <w:spacing w:line="240" w:lineRule="auto"/>
        <w:ind w:firstLine="0"/>
        <w:rPr>
          <w:rFonts w:cs="Times New Roman"/>
          <w:i/>
          <w:lang w:val="en-US"/>
        </w:rPr>
      </w:pPr>
    </w:p>
    <w:p w14:paraId="3A0DF4CB" w14:textId="77777777" w:rsidR="000359CE" w:rsidRDefault="000359CE" w:rsidP="000359CE">
      <w:pPr>
        <w:spacing w:line="240" w:lineRule="auto"/>
        <w:ind w:firstLine="0"/>
        <w:rPr>
          <w:rFonts w:cs="Times New Roman"/>
          <w:i/>
          <w:lang w:val="en-US"/>
        </w:rPr>
      </w:pPr>
    </w:p>
    <w:p w14:paraId="4474DC19" w14:textId="77777777" w:rsidR="000359CE" w:rsidRPr="001309A6" w:rsidRDefault="000359CE" w:rsidP="000359CE">
      <w:pPr>
        <w:spacing w:line="240" w:lineRule="auto"/>
        <w:ind w:firstLine="0"/>
        <w:rPr>
          <w:rFonts w:cs="Times New Roman"/>
          <w:i/>
          <w:lang w:val="en-US"/>
        </w:rPr>
      </w:pPr>
      <w:r w:rsidRPr="001309A6">
        <w:rPr>
          <w:rFonts w:cs="Times New Roman"/>
          <w:i/>
          <w:lang w:val="en-US"/>
        </w:rPr>
        <w:t xml:space="preserve">Acknowledgments: </w:t>
      </w:r>
      <w:r w:rsidRPr="001309A6">
        <w:rPr>
          <w:i/>
        </w:rPr>
        <w:t>This study was funded by Production Development Corporation (CORFO - Chile). Grant number (15PES-44402).</w:t>
      </w:r>
    </w:p>
    <w:p w14:paraId="522C8871" w14:textId="77777777" w:rsidR="000359CE" w:rsidRPr="00F505C6" w:rsidRDefault="000359CE" w:rsidP="000359CE">
      <w:pPr>
        <w:rPr>
          <w:rFonts w:cs="Times New Roman"/>
          <w:lang w:val="en-US"/>
        </w:rPr>
      </w:pPr>
    </w:p>
    <w:p w14:paraId="510E072A" w14:textId="3F74537C" w:rsidR="00E30EF0" w:rsidRPr="00F505C6" w:rsidRDefault="000C507A" w:rsidP="00A360DF">
      <w:pPr>
        <w:spacing w:line="240" w:lineRule="auto"/>
        <w:jc w:val="center"/>
        <w:rPr>
          <w:rFonts w:cs="Times New Roman"/>
          <w:b/>
          <w:lang w:val="en-US"/>
        </w:rPr>
      </w:pPr>
      <w:r w:rsidRPr="00F505C6">
        <w:rPr>
          <w:rFonts w:cs="Times New Roman"/>
          <w:b/>
          <w:lang w:val="en-US"/>
        </w:rPr>
        <w:lastRenderedPageBreak/>
        <w:t xml:space="preserve">Social Mission as Competitive Advantage: A Configurational Analysis of </w:t>
      </w:r>
      <w:r w:rsidR="000D3082">
        <w:rPr>
          <w:rFonts w:cs="Times New Roman"/>
          <w:b/>
          <w:lang w:val="en-US"/>
        </w:rPr>
        <w:t xml:space="preserve">the </w:t>
      </w:r>
      <w:r w:rsidR="00EF2970">
        <w:rPr>
          <w:rFonts w:cs="Times New Roman"/>
          <w:b/>
          <w:lang w:val="en-US"/>
        </w:rPr>
        <w:t xml:space="preserve">Strategic Conditions </w:t>
      </w:r>
      <w:r w:rsidR="009F4665">
        <w:rPr>
          <w:rFonts w:cs="Times New Roman"/>
          <w:b/>
          <w:lang w:val="en-US"/>
        </w:rPr>
        <w:t>of</w:t>
      </w:r>
      <w:r w:rsidRPr="00F505C6">
        <w:rPr>
          <w:rFonts w:cs="Times New Roman"/>
          <w:b/>
          <w:lang w:val="en-US"/>
        </w:rPr>
        <w:t xml:space="preserve"> Social Entrepreneurship</w:t>
      </w:r>
    </w:p>
    <w:p w14:paraId="2235B9D7" w14:textId="77777777" w:rsidR="00A360DF" w:rsidRPr="00F505C6" w:rsidRDefault="00A360DF" w:rsidP="00A360DF">
      <w:pPr>
        <w:spacing w:line="240" w:lineRule="auto"/>
        <w:jc w:val="center"/>
        <w:rPr>
          <w:rFonts w:cs="Times New Roman"/>
          <w:b/>
          <w:lang w:val="en-US"/>
        </w:rPr>
      </w:pPr>
    </w:p>
    <w:p w14:paraId="7028EE73" w14:textId="77777777" w:rsidR="00A360DF" w:rsidRPr="00F505C6" w:rsidRDefault="00A360DF" w:rsidP="00A360DF">
      <w:pPr>
        <w:spacing w:line="240" w:lineRule="auto"/>
        <w:jc w:val="center"/>
        <w:rPr>
          <w:rFonts w:cs="Times New Roman"/>
          <w:i/>
          <w:lang w:val="en-US"/>
        </w:rPr>
      </w:pPr>
    </w:p>
    <w:p w14:paraId="4BE73E8B" w14:textId="765C1304" w:rsidR="00D318BC" w:rsidRPr="00F505C6" w:rsidRDefault="00D318BC" w:rsidP="00FE74B1">
      <w:pPr>
        <w:pStyle w:val="Heading1"/>
        <w:rPr>
          <w:lang w:val="en-US"/>
        </w:rPr>
      </w:pPr>
      <w:r w:rsidRPr="00F505C6">
        <w:rPr>
          <w:lang w:val="en-US"/>
        </w:rPr>
        <w:t>Abstract</w:t>
      </w:r>
    </w:p>
    <w:p w14:paraId="712885B7" w14:textId="46244196" w:rsidR="00D318BC" w:rsidRDefault="00794709" w:rsidP="0029602D">
      <w:pPr>
        <w:spacing w:line="240" w:lineRule="auto"/>
        <w:ind w:firstLine="0"/>
        <w:rPr>
          <w:rFonts w:cs="Times New Roman"/>
          <w:lang w:val="en-US"/>
        </w:rPr>
      </w:pPr>
      <w:r w:rsidRPr="00F505C6">
        <w:rPr>
          <w:rFonts w:cs="Times New Roman"/>
          <w:lang w:val="en-US"/>
        </w:rPr>
        <w:t>In social entrepreneurship, social and economic missions co-exist in</w:t>
      </w:r>
      <w:r w:rsidR="005C269C" w:rsidRPr="00F505C6">
        <w:rPr>
          <w:rFonts w:cs="Times New Roman"/>
          <w:lang w:val="en-US"/>
        </w:rPr>
        <w:t xml:space="preserve"> a </w:t>
      </w:r>
      <w:r w:rsidRPr="00F505C6">
        <w:rPr>
          <w:rFonts w:cs="Times New Roman"/>
          <w:lang w:val="en-US"/>
        </w:rPr>
        <w:t>tension</w:t>
      </w:r>
      <w:r w:rsidR="005C269C" w:rsidRPr="00F505C6">
        <w:rPr>
          <w:rFonts w:cs="Times New Roman"/>
          <w:lang w:val="en-US"/>
        </w:rPr>
        <w:t>ed balance</w:t>
      </w:r>
      <w:r w:rsidRPr="00F505C6">
        <w:rPr>
          <w:rFonts w:cs="Times New Roman"/>
          <w:lang w:val="en-US"/>
        </w:rPr>
        <w:t xml:space="preserve">. </w:t>
      </w:r>
      <w:r w:rsidR="00FF7DBC">
        <w:rPr>
          <w:rFonts w:cs="Times New Roman"/>
          <w:lang w:val="en-US"/>
        </w:rPr>
        <w:t>At times, b</w:t>
      </w:r>
      <w:r w:rsidRPr="00F505C6">
        <w:rPr>
          <w:rFonts w:cs="Times New Roman"/>
          <w:lang w:val="en-US"/>
        </w:rPr>
        <w:t xml:space="preserve">usiness </w:t>
      </w:r>
      <w:r w:rsidR="00FF7DBC">
        <w:rPr>
          <w:rFonts w:cs="Times New Roman"/>
          <w:lang w:val="en-US"/>
        </w:rPr>
        <w:t>survival</w:t>
      </w:r>
      <w:r w:rsidRPr="00F505C6">
        <w:rPr>
          <w:rFonts w:cs="Times New Roman"/>
          <w:lang w:val="en-US"/>
        </w:rPr>
        <w:t xml:space="preserve"> requires </w:t>
      </w:r>
      <w:r w:rsidR="00AB6AE7" w:rsidRPr="00F505C6">
        <w:rPr>
          <w:rFonts w:cs="Times New Roman"/>
          <w:lang w:val="en-US"/>
        </w:rPr>
        <w:t>reprioritizing</w:t>
      </w:r>
      <w:r w:rsidRPr="00F505C6">
        <w:rPr>
          <w:rFonts w:cs="Times New Roman"/>
          <w:lang w:val="en-US"/>
        </w:rPr>
        <w:t xml:space="preserve"> objectives</w:t>
      </w:r>
      <w:r w:rsidR="00A66512">
        <w:rPr>
          <w:rFonts w:cs="Times New Roman"/>
          <w:lang w:val="en-US"/>
        </w:rPr>
        <w:t>,</w:t>
      </w:r>
      <w:r w:rsidRPr="00F505C6">
        <w:rPr>
          <w:rFonts w:cs="Times New Roman"/>
          <w:lang w:val="en-US"/>
        </w:rPr>
        <w:t xml:space="preserve"> leading social entrepreneurs to drift away from social values in pursuit of commercial gains</w:t>
      </w:r>
      <w:r w:rsidR="00FF7DBC">
        <w:rPr>
          <w:rFonts w:cs="Times New Roman"/>
          <w:lang w:val="en-US"/>
        </w:rPr>
        <w:t>. This</w:t>
      </w:r>
      <w:r w:rsidRPr="00F505C6">
        <w:rPr>
          <w:rFonts w:cs="Times New Roman"/>
          <w:lang w:val="en-US"/>
        </w:rPr>
        <w:t xml:space="preserve"> requires </w:t>
      </w:r>
      <w:r w:rsidR="005C269C" w:rsidRPr="00F505C6">
        <w:rPr>
          <w:rFonts w:cs="Times New Roman"/>
          <w:lang w:val="en-US"/>
        </w:rPr>
        <w:t>(re)</w:t>
      </w:r>
      <w:r w:rsidRPr="00F505C6">
        <w:rPr>
          <w:rFonts w:cs="Times New Roman"/>
          <w:lang w:val="en-US"/>
        </w:rPr>
        <w:t xml:space="preserve">balancing acts aimed at mitigating the effects of drift. Although critical for business survival, the micro antecedents of this balancing act remain uncovered. </w:t>
      </w:r>
      <w:r w:rsidR="00D318BC" w:rsidRPr="00F505C6">
        <w:rPr>
          <w:rFonts w:cs="Times New Roman"/>
          <w:lang w:val="en-US"/>
        </w:rPr>
        <w:t>This study explores the complex interactions between the micro-foundations and micro-processes</w:t>
      </w:r>
      <w:r w:rsidR="00857BFC">
        <w:rPr>
          <w:rFonts w:cs="Times New Roman"/>
          <w:lang w:val="en-US"/>
        </w:rPr>
        <w:t xml:space="preserve"> (</w:t>
      </w:r>
      <w:r w:rsidR="00EF2970" w:rsidRPr="00EF2970">
        <w:rPr>
          <w:rFonts w:cs="Times New Roman"/>
          <w:lang w:val="en-US"/>
        </w:rPr>
        <w:t>strategic conditions</w:t>
      </w:r>
      <w:r w:rsidR="00857BFC">
        <w:rPr>
          <w:rFonts w:cs="Times New Roman"/>
          <w:lang w:val="en-US"/>
        </w:rPr>
        <w:t>)</w:t>
      </w:r>
      <w:r w:rsidR="00D318BC" w:rsidRPr="00F505C6">
        <w:rPr>
          <w:rFonts w:cs="Times New Roman"/>
          <w:lang w:val="en-US"/>
        </w:rPr>
        <w:t xml:space="preserve"> of social entrepreneurs in the development of </w:t>
      </w:r>
      <w:r w:rsidRPr="00F505C6">
        <w:rPr>
          <w:rFonts w:cs="Times New Roman"/>
          <w:lang w:val="en-US"/>
        </w:rPr>
        <w:t>market-</w:t>
      </w:r>
      <w:r w:rsidR="00D318BC" w:rsidRPr="00F505C6">
        <w:rPr>
          <w:rFonts w:cs="Times New Roman"/>
          <w:lang w:val="en-US"/>
        </w:rPr>
        <w:t xml:space="preserve">oriented social missions. </w:t>
      </w:r>
      <w:r w:rsidR="005C269C" w:rsidRPr="00F505C6">
        <w:rPr>
          <w:rFonts w:cs="Times New Roman"/>
          <w:lang w:val="en-US"/>
        </w:rPr>
        <w:t>Drawing on</w:t>
      </w:r>
      <w:r w:rsidR="00D318BC" w:rsidRPr="00F505C6">
        <w:rPr>
          <w:rFonts w:cs="Times New Roman"/>
          <w:lang w:val="en-US"/>
        </w:rPr>
        <w:t xml:space="preserve"> a fuzzy-set qualitative comparative analysis of 111 social entrepreneurs in Chile, </w:t>
      </w:r>
      <w:r w:rsidR="00A66512" w:rsidRPr="00DC379F">
        <w:rPr>
          <w:rFonts w:eastAsia="Times New Roman" w:cs="Times New Roman"/>
        </w:rPr>
        <w:t>this study reveals four alternative combinations</w:t>
      </w:r>
      <w:r w:rsidR="00D318BC" w:rsidRPr="00F505C6">
        <w:rPr>
          <w:rFonts w:cs="Times New Roman"/>
          <w:lang w:val="en-US"/>
        </w:rPr>
        <w:t xml:space="preserve"> of </w:t>
      </w:r>
      <w:r w:rsidR="00EF2970" w:rsidRPr="00EF2970">
        <w:rPr>
          <w:rFonts w:cs="Times New Roman"/>
          <w:lang w:val="en-US"/>
        </w:rPr>
        <w:t>strategic conditions</w:t>
      </w:r>
      <w:r w:rsidR="00EF2970">
        <w:rPr>
          <w:rFonts w:cs="Times New Roman"/>
          <w:lang w:val="en-US"/>
        </w:rPr>
        <w:t xml:space="preserve"> </w:t>
      </w:r>
      <w:r w:rsidR="00D318BC" w:rsidRPr="00F505C6">
        <w:rPr>
          <w:rFonts w:cs="Times New Roman"/>
          <w:lang w:val="en-US"/>
        </w:rPr>
        <w:t xml:space="preserve">that explain why the social mission of a social </w:t>
      </w:r>
      <w:r w:rsidR="00FF7DBC">
        <w:rPr>
          <w:rFonts w:cs="Times New Roman"/>
          <w:lang w:val="en-US"/>
        </w:rPr>
        <w:t xml:space="preserve">entrepreneur </w:t>
      </w:r>
      <w:r w:rsidR="00D318BC" w:rsidRPr="00F505C6">
        <w:rPr>
          <w:rFonts w:cs="Times New Roman"/>
          <w:lang w:val="en-US"/>
        </w:rPr>
        <w:t xml:space="preserve">can be perceived as being valuable for </w:t>
      </w:r>
      <w:r w:rsidR="00A66512">
        <w:rPr>
          <w:rFonts w:cs="Times New Roman"/>
          <w:lang w:val="en-US"/>
        </w:rPr>
        <w:t>achieving</w:t>
      </w:r>
      <w:r w:rsidR="00D318BC" w:rsidRPr="00F505C6">
        <w:rPr>
          <w:rFonts w:cs="Times New Roman"/>
          <w:lang w:val="en-US"/>
        </w:rPr>
        <w:t xml:space="preserve"> a competitive advantage.</w:t>
      </w:r>
      <w:r w:rsidR="00DD4CB1">
        <w:rPr>
          <w:rFonts w:cs="Times New Roman"/>
          <w:lang w:val="en-US"/>
        </w:rPr>
        <w:t xml:space="preserve"> The findings contribute </w:t>
      </w:r>
      <w:r w:rsidR="00A66512">
        <w:rPr>
          <w:rFonts w:cs="Times New Roman"/>
          <w:lang w:val="en-US"/>
        </w:rPr>
        <w:t>to</w:t>
      </w:r>
      <w:r w:rsidRPr="00F505C6">
        <w:rPr>
          <w:rFonts w:cs="Times New Roman"/>
          <w:lang w:val="en-US"/>
        </w:rPr>
        <w:t xml:space="preserve"> a more complex understanding of the set of conditions involved in the balancing act between social and economic missions in social entrepreneurship. </w:t>
      </w:r>
      <w:r w:rsidR="00A66512">
        <w:rPr>
          <w:rFonts w:cs="Times New Roman"/>
          <w:lang w:val="en-US"/>
        </w:rPr>
        <w:t>This study</w:t>
      </w:r>
      <w:r w:rsidR="005C269C" w:rsidRPr="00F505C6">
        <w:rPr>
          <w:rFonts w:cs="Times New Roman"/>
          <w:lang w:val="en-US"/>
        </w:rPr>
        <w:t xml:space="preserve"> calls into question the binary assumption underlying the commitment of social entrepreneurs to their social mission</w:t>
      </w:r>
      <w:r w:rsidR="00DD7EF6" w:rsidRPr="00F505C6">
        <w:rPr>
          <w:rFonts w:cs="Times New Roman"/>
          <w:lang w:val="en-US"/>
        </w:rPr>
        <w:t xml:space="preserve">. </w:t>
      </w:r>
    </w:p>
    <w:p w14:paraId="75FE1DC7" w14:textId="77777777" w:rsidR="006865AA" w:rsidRDefault="006865AA" w:rsidP="0029602D">
      <w:pPr>
        <w:spacing w:line="240" w:lineRule="auto"/>
        <w:ind w:firstLine="0"/>
        <w:rPr>
          <w:rFonts w:cs="Times New Roman"/>
          <w:lang w:val="en-US"/>
        </w:rPr>
      </w:pPr>
    </w:p>
    <w:p w14:paraId="30C9428C" w14:textId="77777777" w:rsidR="006865AA" w:rsidRDefault="006865AA" w:rsidP="0029602D">
      <w:pPr>
        <w:spacing w:line="240" w:lineRule="auto"/>
        <w:ind w:firstLine="0"/>
        <w:rPr>
          <w:rFonts w:cs="Times New Roman"/>
          <w:lang w:val="en-US"/>
        </w:rPr>
      </w:pPr>
    </w:p>
    <w:p w14:paraId="340AB406" w14:textId="7C934C30" w:rsidR="006865AA" w:rsidRPr="00F505C6" w:rsidRDefault="006865AA" w:rsidP="0029602D">
      <w:pPr>
        <w:spacing w:line="240" w:lineRule="auto"/>
        <w:ind w:firstLine="0"/>
        <w:rPr>
          <w:rFonts w:cs="Times New Roman"/>
          <w:lang w:val="en-US"/>
        </w:rPr>
      </w:pPr>
      <w:r w:rsidRPr="00FF7DBC">
        <w:rPr>
          <w:rFonts w:cs="Times New Roman"/>
          <w:b/>
          <w:lang w:val="en-US"/>
        </w:rPr>
        <w:t>Keywords:</w:t>
      </w:r>
      <w:r>
        <w:rPr>
          <w:rFonts w:cs="Times New Roman"/>
          <w:lang w:val="en-US"/>
        </w:rPr>
        <w:t xml:space="preserve"> social entrepreneurship, competitive advantage, strategies, social mission, mission drift, </w:t>
      </w:r>
      <w:r w:rsidR="000D7EF3" w:rsidRPr="00D501E5">
        <w:rPr>
          <w:rFonts w:cs="Times New Roman"/>
        </w:rPr>
        <w:t>fuzzy-set qualitative comparative analysis</w:t>
      </w:r>
      <w:r>
        <w:rPr>
          <w:rFonts w:cs="Times New Roman"/>
          <w:lang w:val="en-US"/>
        </w:rPr>
        <w:t xml:space="preserve">. </w:t>
      </w:r>
    </w:p>
    <w:p w14:paraId="611AFB0A" w14:textId="77777777" w:rsidR="00794709" w:rsidRPr="00F505C6" w:rsidRDefault="00794709" w:rsidP="009A3A36">
      <w:pPr>
        <w:rPr>
          <w:rFonts w:cs="Times New Roman"/>
          <w:lang w:val="en-US"/>
        </w:rPr>
      </w:pPr>
    </w:p>
    <w:p w14:paraId="5ADC7080" w14:textId="77777777" w:rsidR="00FE74B1" w:rsidRPr="00F505C6" w:rsidRDefault="00FE74B1">
      <w:pPr>
        <w:spacing w:after="160" w:line="259" w:lineRule="auto"/>
        <w:ind w:firstLine="0"/>
        <w:jc w:val="left"/>
        <w:rPr>
          <w:rFonts w:eastAsiaTheme="majorEastAsia" w:cstheme="majorBidi"/>
          <w:b/>
          <w:color w:val="000000" w:themeColor="text1"/>
          <w:szCs w:val="32"/>
          <w:lang w:val="en-US"/>
        </w:rPr>
      </w:pPr>
      <w:r w:rsidRPr="00F505C6">
        <w:rPr>
          <w:lang w:val="en-US"/>
        </w:rPr>
        <w:br w:type="page"/>
      </w:r>
    </w:p>
    <w:p w14:paraId="74BC1CFE" w14:textId="44F0899F" w:rsidR="00D318BC" w:rsidRPr="00F505C6" w:rsidRDefault="00FE74B1" w:rsidP="00FE74B1">
      <w:pPr>
        <w:pStyle w:val="Heading1"/>
        <w:rPr>
          <w:lang w:val="en-US"/>
        </w:rPr>
      </w:pPr>
      <w:r w:rsidRPr="00F505C6">
        <w:rPr>
          <w:lang w:val="en-US"/>
        </w:rPr>
        <w:lastRenderedPageBreak/>
        <w:t>Introduction</w:t>
      </w:r>
    </w:p>
    <w:p w14:paraId="20EE9F5A" w14:textId="494ABCB0" w:rsidR="006D1B4C" w:rsidRDefault="009A3A36" w:rsidP="002E5AF6">
      <w:pPr>
        <w:ind w:firstLine="0"/>
        <w:rPr>
          <w:rFonts w:cs="Times New Roman"/>
          <w:lang w:val="en-US"/>
        </w:rPr>
      </w:pPr>
      <w:r w:rsidRPr="00F505C6">
        <w:rPr>
          <w:rFonts w:cs="Times New Roman"/>
          <w:lang w:val="en-US"/>
        </w:rPr>
        <w:t>It is well understood that social entrepreneurs</w:t>
      </w:r>
      <w:r w:rsidR="00D64F24" w:rsidRPr="00F505C6">
        <w:rPr>
          <w:rFonts w:cs="Times New Roman"/>
          <w:lang w:val="en-US"/>
        </w:rPr>
        <w:t xml:space="preserve"> can</w:t>
      </w:r>
      <w:r w:rsidRPr="00F505C6">
        <w:rPr>
          <w:rFonts w:cs="Times New Roman"/>
          <w:lang w:val="en-US"/>
        </w:rPr>
        <w:t xml:space="preserve"> experience significant tensions between their social and economic mission (</w:t>
      </w:r>
      <w:r w:rsidR="001B1E46" w:rsidRPr="001B1E46">
        <w:rPr>
          <w:rFonts w:cs="Times New Roman"/>
          <w:lang w:val="en-US"/>
        </w:rPr>
        <w:t xml:space="preserve">Ebrahim, Battilana, &amp; Mair, </w:t>
      </w:r>
      <w:r w:rsidRPr="00F505C6">
        <w:rPr>
          <w:rFonts w:cs="Times New Roman"/>
          <w:lang w:val="en-US"/>
        </w:rPr>
        <w:t xml:space="preserve">2014). </w:t>
      </w:r>
      <w:r w:rsidR="00D64F24" w:rsidRPr="00F505C6">
        <w:rPr>
          <w:rFonts w:cs="Times New Roman"/>
          <w:lang w:val="en-US"/>
        </w:rPr>
        <w:t xml:space="preserve">These are seen as dual objectives, whereby the social mission represents their main </w:t>
      </w:r>
      <w:r w:rsidR="00480423" w:rsidRPr="00F505C6">
        <w:rPr>
          <w:rFonts w:cs="Times New Roman"/>
          <w:lang w:val="en-US"/>
        </w:rPr>
        <w:t xml:space="preserve">normative </w:t>
      </w:r>
      <w:r w:rsidR="009848FB" w:rsidRPr="00F505C6">
        <w:rPr>
          <w:rFonts w:cs="Times New Roman"/>
          <w:lang w:val="en-US"/>
        </w:rPr>
        <w:t>purpose, which</w:t>
      </w:r>
      <w:r w:rsidR="00D64F24" w:rsidRPr="00F505C6">
        <w:rPr>
          <w:rFonts w:cs="Times New Roman"/>
          <w:lang w:val="en-US"/>
        </w:rPr>
        <w:t xml:space="preserve"> runs alongside a more </w:t>
      </w:r>
      <w:r w:rsidR="00480423" w:rsidRPr="00F505C6">
        <w:rPr>
          <w:rFonts w:cs="Times New Roman"/>
          <w:lang w:val="en-US"/>
        </w:rPr>
        <w:t>utilitarian</w:t>
      </w:r>
      <w:r w:rsidR="00D64F24" w:rsidRPr="00F505C6">
        <w:rPr>
          <w:rFonts w:cs="Times New Roman"/>
          <w:lang w:val="en-US"/>
        </w:rPr>
        <w:t xml:space="preserve"> objective of making the business </w:t>
      </w:r>
      <w:r w:rsidR="003130B6" w:rsidRPr="00F505C6">
        <w:rPr>
          <w:rFonts w:cs="Times New Roman"/>
          <w:lang w:val="en-US"/>
        </w:rPr>
        <w:t xml:space="preserve">economically </w:t>
      </w:r>
      <w:r w:rsidR="00D64F24" w:rsidRPr="00F505C6">
        <w:rPr>
          <w:rFonts w:cs="Times New Roman"/>
          <w:lang w:val="en-US"/>
        </w:rPr>
        <w:t>functional (</w:t>
      </w:r>
      <w:r w:rsidR="006F78E8" w:rsidRPr="00F505C6">
        <w:rPr>
          <w:lang w:val="en-US"/>
        </w:rPr>
        <w:t xml:space="preserve">Moss, Short, </w:t>
      </w:r>
      <w:r w:rsidR="006F78E8">
        <w:rPr>
          <w:lang w:val="en-US"/>
        </w:rPr>
        <w:t xml:space="preserve">Payne, </w:t>
      </w:r>
      <w:r w:rsidR="006F78E8" w:rsidRPr="00F505C6">
        <w:rPr>
          <w:lang w:val="en-US"/>
        </w:rPr>
        <w:t xml:space="preserve">&amp; Lumpkin, </w:t>
      </w:r>
      <w:r w:rsidR="00D64F24" w:rsidRPr="00F505C6">
        <w:rPr>
          <w:rFonts w:cs="Times New Roman"/>
          <w:lang w:val="en-US"/>
        </w:rPr>
        <w:t>2011)</w:t>
      </w:r>
      <w:r w:rsidR="00480423" w:rsidRPr="00F505C6">
        <w:rPr>
          <w:rFonts w:cs="Times New Roman"/>
          <w:lang w:val="en-US"/>
        </w:rPr>
        <w:t xml:space="preserve">. </w:t>
      </w:r>
      <w:r w:rsidRPr="00F505C6">
        <w:rPr>
          <w:rFonts w:cs="Times New Roman"/>
          <w:lang w:val="en-US"/>
        </w:rPr>
        <w:t xml:space="preserve">When </w:t>
      </w:r>
      <w:r w:rsidR="00CF78C0">
        <w:rPr>
          <w:rFonts w:cs="Times New Roman"/>
          <w:lang w:val="en-US"/>
        </w:rPr>
        <w:t>social entrepreneurs</w:t>
      </w:r>
      <w:r w:rsidRPr="00F505C6">
        <w:rPr>
          <w:rFonts w:cs="Times New Roman"/>
          <w:lang w:val="en-US"/>
        </w:rPr>
        <w:t xml:space="preserve"> </w:t>
      </w:r>
      <w:r w:rsidR="00295264">
        <w:rPr>
          <w:rFonts w:cs="Times New Roman"/>
          <w:lang w:val="en-US"/>
        </w:rPr>
        <w:t>over</w:t>
      </w:r>
      <w:r w:rsidR="00D64F24" w:rsidRPr="00F505C6">
        <w:rPr>
          <w:rFonts w:cs="Times New Roman"/>
          <w:lang w:val="en-US"/>
        </w:rPr>
        <w:t>emphasize the economic business component</w:t>
      </w:r>
      <w:r w:rsidR="00DD4CB1">
        <w:rPr>
          <w:rFonts w:cs="Times New Roman"/>
          <w:lang w:val="en-US"/>
        </w:rPr>
        <w:t>,</w:t>
      </w:r>
      <w:r w:rsidR="00D64F24" w:rsidRPr="00F505C6">
        <w:rPr>
          <w:rFonts w:cs="Times New Roman"/>
          <w:lang w:val="en-US"/>
        </w:rPr>
        <w:t xml:space="preserve"> this is often described as </w:t>
      </w:r>
      <w:r w:rsidR="00DD4CB1">
        <w:rPr>
          <w:rFonts w:cs="Times New Roman"/>
          <w:lang w:val="en-US"/>
        </w:rPr>
        <w:t>“</w:t>
      </w:r>
      <w:r w:rsidR="00D64F24" w:rsidRPr="00F505C6">
        <w:rPr>
          <w:rFonts w:cs="Times New Roman"/>
          <w:lang w:val="en-US"/>
        </w:rPr>
        <w:t>mission drift</w:t>
      </w:r>
      <w:r w:rsidR="00DD4CB1">
        <w:rPr>
          <w:rFonts w:cs="Times New Roman"/>
          <w:lang w:val="en-US"/>
        </w:rPr>
        <w:t>”</w:t>
      </w:r>
      <w:r w:rsidR="00480423" w:rsidRPr="00F505C6">
        <w:rPr>
          <w:rFonts w:cs="Times New Roman"/>
          <w:lang w:val="en-US"/>
        </w:rPr>
        <w:t xml:space="preserve"> (</w:t>
      </w:r>
      <w:r w:rsidR="003130B6" w:rsidRPr="00F505C6">
        <w:rPr>
          <w:rFonts w:cs="Times New Roman"/>
          <w:lang w:val="en-US"/>
        </w:rPr>
        <w:t>Cornforth, 2014</w:t>
      </w:r>
      <w:r w:rsidR="00480423" w:rsidRPr="00F505C6">
        <w:rPr>
          <w:rFonts w:cs="Times New Roman"/>
          <w:lang w:val="en-US"/>
        </w:rPr>
        <w:t xml:space="preserve">). </w:t>
      </w:r>
      <w:r w:rsidR="00CF78C0">
        <w:rPr>
          <w:rFonts w:cs="Times New Roman"/>
          <w:lang w:val="en-US"/>
        </w:rPr>
        <w:t>Thus, e</w:t>
      </w:r>
      <w:r w:rsidR="00480423" w:rsidRPr="00F505C6">
        <w:rPr>
          <w:rFonts w:cs="Times New Roman"/>
          <w:lang w:val="en-US"/>
        </w:rPr>
        <w:t xml:space="preserve">vidence suggests </w:t>
      </w:r>
      <w:r w:rsidR="001774CB" w:rsidRPr="00F505C6">
        <w:rPr>
          <w:rFonts w:cs="Times New Roman"/>
          <w:lang w:val="en-US"/>
        </w:rPr>
        <w:t>that entreprene</w:t>
      </w:r>
      <w:r w:rsidR="00FE5389">
        <w:rPr>
          <w:rFonts w:cs="Times New Roman"/>
          <w:lang w:val="en-US"/>
        </w:rPr>
        <w:t>urs adopt particular strategies</w:t>
      </w:r>
      <w:r w:rsidR="001774CB" w:rsidRPr="00F505C6">
        <w:rPr>
          <w:rFonts w:cs="Times New Roman"/>
          <w:lang w:val="en-US"/>
        </w:rPr>
        <w:t xml:space="preserve"> such as stakeholder engagement, to mitigate the effects of </w:t>
      </w:r>
      <w:r w:rsidR="00886E2F">
        <w:rPr>
          <w:rFonts w:cs="Times New Roman"/>
          <w:lang w:val="en-US"/>
        </w:rPr>
        <w:t xml:space="preserve">this </w:t>
      </w:r>
      <w:r w:rsidR="001774CB" w:rsidRPr="00F505C6">
        <w:rPr>
          <w:rFonts w:cs="Times New Roman"/>
          <w:lang w:val="en-US"/>
        </w:rPr>
        <w:t xml:space="preserve">drift </w:t>
      </w:r>
      <w:r w:rsidR="00480423" w:rsidRPr="00F505C6">
        <w:rPr>
          <w:rFonts w:cs="Times New Roman"/>
          <w:lang w:val="en-US"/>
        </w:rPr>
        <w:t xml:space="preserve">(Ramus </w:t>
      </w:r>
      <w:r w:rsidR="00451B4D">
        <w:rPr>
          <w:rFonts w:cs="Times New Roman"/>
          <w:lang w:val="en-US"/>
        </w:rPr>
        <w:t>&amp;</w:t>
      </w:r>
      <w:r w:rsidR="00451B4D" w:rsidRPr="00F505C6">
        <w:rPr>
          <w:rFonts w:cs="Times New Roman"/>
          <w:lang w:val="en-US"/>
        </w:rPr>
        <w:t xml:space="preserve"> </w:t>
      </w:r>
      <w:r w:rsidR="00480423" w:rsidRPr="00F505C6">
        <w:rPr>
          <w:rFonts w:cs="Times New Roman"/>
          <w:lang w:val="en-US"/>
        </w:rPr>
        <w:t>Vaccaro, 2017).</w:t>
      </w:r>
      <w:r w:rsidR="001774CB" w:rsidRPr="00F505C6">
        <w:rPr>
          <w:rFonts w:cs="Times New Roman"/>
          <w:lang w:val="en-US"/>
        </w:rPr>
        <w:t xml:space="preserve"> </w:t>
      </w:r>
    </w:p>
    <w:p w14:paraId="69315057" w14:textId="23C9BA41" w:rsidR="00EF2970" w:rsidRPr="000D1D1C" w:rsidRDefault="00EF2970" w:rsidP="00EF2970">
      <w:pPr>
        <w:rPr>
          <w:rFonts w:cs="Times New Roman"/>
          <w:lang w:val="en-US"/>
        </w:rPr>
      </w:pPr>
      <w:r>
        <w:rPr>
          <w:rFonts w:cs="Times New Roman"/>
          <w:lang w:val="en-US"/>
        </w:rPr>
        <w:t xml:space="preserve">Despite this body of work, prior research consistently portrays social and economic missions as two sides of a balancing act. This balancing act occurs on a continuum where, at one end, social entrepreneurs are solving social problems as reflected in the social mission. However, at the other end of the continuum, </w:t>
      </w:r>
      <w:r w:rsidR="00736323">
        <w:rPr>
          <w:rFonts w:cs="Times New Roman"/>
          <w:lang w:val="en-US"/>
        </w:rPr>
        <w:t>social entrepreneurs</w:t>
      </w:r>
      <w:r>
        <w:rPr>
          <w:rFonts w:cs="Times New Roman"/>
          <w:lang w:val="en-US"/>
        </w:rPr>
        <w:t xml:space="preserve"> prioritize profit making as commercialized entities that begin to neglect the social component of their organizations. This tension, trade-off or balancing act has been discussed within the social entrepreneurship (Florin &amp; Schmidt, 2011) and hybrid organizing literature (</w:t>
      </w:r>
      <w:r w:rsidRPr="006F78E8">
        <w:rPr>
          <w:rFonts w:cs="Times New Roman"/>
          <w:lang w:val="en-US"/>
        </w:rPr>
        <w:t xml:space="preserve">Doherty, Haugh, &amp; Lyon, </w:t>
      </w:r>
      <w:r>
        <w:rPr>
          <w:rFonts w:cs="Times New Roman"/>
          <w:lang w:val="en-US"/>
        </w:rPr>
        <w:t>2014)</w:t>
      </w:r>
      <w:r w:rsidR="00FE5389">
        <w:rPr>
          <w:rFonts w:cs="Times New Roman"/>
          <w:lang w:val="en-US"/>
        </w:rPr>
        <w:t>,</w:t>
      </w:r>
      <w:r>
        <w:rPr>
          <w:rFonts w:cs="Times New Roman"/>
          <w:lang w:val="en-US"/>
        </w:rPr>
        <w:t xml:space="preserve"> and with notable examples from the microfinance industry (</w:t>
      </w:r>
      <w:r>
        <w:t xml:space="preserve">Mersland &amp; Strøm, </w:t>
      </w:r>
      <w:r w:rsidRPr="00554430">
        <w:t>2010</w:t>
      </w:r>
      <w:r>
        <w:t>)</w:t>
      </w:r>
      <w:r>
        <w:rPr>
          <w:rFonts w:cs="Times New Roman"/>
          <w:lang w:val="en-US"/>
        </w:rPr>
        <w:t xml:space="preserve">. However, it is unclear whether strong social and economic missions can actually operate in tandem, particularly when factoring in the strategic value of an organization’s social mission (Kimmitt &amp; </w:t>
      </w:r>
      <w:r w:rsidRPr="00F505C6">
        <w:rPr>
          <w:rFonts w:cs="Times New Roman"/>
          <w:lang w:val="en-US"/>
        </w:rPr>
        <w:t>Muñoz</w:t>
      </w:r>
      <w:r>
        <w:rPr>
          <w:rFonts w:cs="Times New Roman"/>
          <w:lang w:val="en-US"/>
        </w:rPr>
        <w:t xml:space="preserve">, 2018; </w:t>
      </w:r>
      <w:r w:rsidRPr="00035FFD">
        <w:rPr>
          <w:rFonts w:cs="Times New Roman"/>
          <w:lang w:val="en-US"/>
        </w:rPr>
        <w:t>Teasdale</w:t>
      </w:r>
      <w:r>
        <w:rPr>
          <w:rFonts w:cs="Times New Roman"/>
          <w:lang w:val="en-US"/>
        </w:rPr>
        <w:t>,</w:t>
      </w:r>
      <w:r w:rsidRPr="00035FFD">
        <w:rPr>
          <w:rFonts w:cs="Times New Roman"/>
          <w:lang w:val="en-US"/>
        </w:rPr>
        <w:t xml:space="preserve"> 2010</w:t>
      </w:r>
      <w:r>
        <w:rPr>
          <w:rFonts w:cs="Times New Roman"/>
          <w:lang w:val="en-US"/>
        </w:rPr>
        <w:t xml:space="preserve">). Such a strategic perspective, so far unexplored in the literature, suggests that social missions are strategically advantageous and enable competitive advantage. </w:t>
      </w:r>
      <w:r w:rsidR="00DD4CB1" w:rsidRPr="00D501E5">
        <w:rPr>
          <w:rFonts w:cs="Times New Roman"/>
        </w:rPr>
        <w:t>Therefore, this study asks: how do strategic conditions combine</w:t>
      </w:r>
      <w:r w:rsidR="00DD4CB1" w:rsidRPr="00F505C6">
        <w:rPr>
          <w:szCs w:val="24"/>
          <w:lang w:val="en-US"/>
        </w:rPr>
        <w:t xml:space="preserve"> </w:t>
      </w:r>
      <w:r w:rsidRPr="00F505C6">
        <w:rPr>
          <w:szCs w:val="24"/>
          <w:lang w:val="en-US"/>
        </w:rPr>
        <w:t xml:space="preserve">for social entrepreneurs to </w:t>
      </w:r>
      <w:r>
        <w:rPr>
          <w:szCs w:val="24"/>
          <w:lang w:val="en-US"/>
        </w:rPr>
        <w:t>improve their competitive advantage through their</w:t>
      </w:r>
      <w:r w:rsidRPr="00F505C6">
        <w:rPr>
          <w:szCs w:val="24"/>
          <w:lang w:val="en-US"/>
        </w:rPr>
        <w:t xml:space="preserve"> social mission?</w:t>
      </w:r>
    </w:p>
    <w:p w14:paraId="0B752C61" w14:textId="5D5AA651" w:rsidR="00E604E2" w:rsidRPr="00F505C6" w:rsidRDefault="00FF7120" w:rsidP="008B53D7">
      <w:pPr>
        <w:rPr>
          <w:rFonts w:cs="Times New Roman"/>
          <w:lang w:val="en-US"/>
        </w:rPr>
      </w:pPr>
      <w:r w:rsidRPr="00D501E5">
        <w:rPr>
          <w:rFonts w:cs="Times New Roman"/>
        </w:rPr>
        <w:t xml:space="preserve">Building upon the ideas of complexity reasoning of social venture micro-processes and antecedents (Muñoz &amp; Dimov, 2015; Muñoz &amp; Kibler, 2016; Rey-Martí, Ribeiro-Soriano, &amp; </w:t>
      </w:r>
      <w:r w:rsidRPr="00D501E5">
        <w:rPr>
          <w:rFonts w:cs="Times New Roman"/>
        </w:rPr>
        <w:lastRenderedPageBreak/>
        <w:t>Sánchez-García, 2016), we argue</w:t>
      </w:r>
      <w:r>
        <w:rPr>
          <w:rFonts w:cs="Times New Roman"/>
        </w:rPr>
        <w:t xml:space="preserve"> </w:t>
      </w:r>
      <w:r w:rsidR="00480423" w:rsidRPr="00F505C6">
        <w:rPr>
          <w:rFonts w:cs="Times New Roman"/>
          <w:lang w:val="en-US"/>
        </w:rPr>
        <w:t xml:space="preserve">that </w:t>
      </w:r>
      <w:r w:rsidR="0095512C">
        <w:rPr>
          <w:rFonts w:cs="Times New Roman"/>
          <w:lang w:val="en-US"/>
        </w:rPr>
        <w:t>a</w:t>
      </w:r>
      <w:r w:rsidR="0095512C" w:rsidRPr="00F505C6">
        <w:rPr>
          <w:rFonts w:cs="Times New Roman"/>
          <w:lang w:val="en-US"/>
        </w:rPr>
        <w:t xml:space="preserve"> </w:t>
      </w:r>
      <w:r w:rsidR="00480423" w:rsidRPr="00F505C6">
        <w:rPr>
          <w:rFonts w:cs="Times New Roman"/>
          <w:lang w:val="en-US"/>
        </w:rPr>
        <w:t xml:space="preserve">social mission has a clear strategic imperative for making the economic business component </w:t>
      </w:r>
      <w:r w:rsidR="001774CB" w:rsidRPr="00F505C6">
        <w:rPr>
          <w:rFonts w:cs="Times New Roman"/>
          <w:lang w:val="en-US"/>
        </w:rPr>
        <w:t>work. By using the social mission strategically to elicit economic viability, the symbiotic link between the dual objectives is much closer than first thought.</w:t>
      </w:r>
      <w:r w:rsidR="00480423" w:rsidRPr="00F505C6">
        <w:rPr>
          <w:rFonts w:cs="Times New Roman"/>
          <w:lang w:val="en-US"/>
        </w:rPr>
        <w:t xml:space="preserve"> </w:t>
      </w:r>
      <w:r w:rsidR="0048629F" w:rsidRPr="00F505C6">
        <w:rPr>
          <w:rFonts w:cs="Times New Roman"/>
          <w:lang w:val="en-US"/>
        </w:rPr>
        <w:t>Through a configurational approach</w:t>
      </w:r>
      <w:r w:rsidR="00F07DE4" w:rsidRPr="00F505C6">
        <w:rPr>
          <w:rFonts w:cs="Times New Roman"/>
          <w:lang w:val="en-US"/>
        </w:rPr>
        <w:t xml:space="preserve"> (Ragin, 2008)</w:t>
      </w:r>
      <w:r w:rsidR="0048629F" w:rsidRPr="00F505C6">
        <w:rPr>
          <w:rFonts w:cs="Times New Roman"/>
          <w:lang w:val="en-US"/>
        </w:rPr>
        <w:t xml:space="preserve">, the study unpacks causal complexity through the </w:t>
      </w:r>
      <w:r w:rsidR="003130B6" w:rsidRPr="00F505C6">
        <w:rPr>
          <w:rFonts w:cs="Times New Roman"/>
          <w:lang w:val="en-US"/>
        </w:rPr>
        <w:t>set of</w:t>
      </w:r>
      <w:r w:rsidR="008B53D7" w:rsidRPr="00F505C6">
        <w:rPr>
          <w:rFonts w:cs="Times New Roman"/>
          <w:lang w:val="en-US"/>
        </w:rPr>
        <w:t xml:space="preserve"> conjunctural</w:t>
      </w:r>
      <w:r w:rsidR="003130B6" w:rsidRPr="00F505C6">
        <w:rPr>
          <w:rFonts w:cs="Times New Roman"/>
          <w:lang w:val="en-US"/>
        </w:rPr>
        <w:t xml:space="preserve"> </w:t>
      </w:r>
      <w:r w:rsidR="00EF2970" w:rsidRPr="00EF2970">
        <w:rPr>
          <w:rFonts w:cs="Times New Roman"/>
          <w:lang w:val="en-US"/>
        </w:rPr>
        <w:t>strategic conditions</w:t>
      </w:r>
      <w:r w:rsidR="00EF2970" w:rsidRPr="00EF2970" w:rsidDel="00EF2970">
        <w:rPr>
          <w:rFonts w:cs="Times New Roman"/>
          <w:lang w:val="en-US"/>
        </w:rPr>
        <w:t xml:space="preserve"> </w:t>
      </w:r>
      <w:r w:rsidR="0048629F" w:rsidRPr="00F505C6">
        <w:rPr>
          <w:rFonts w:cs="Times New Roman"/>
          <w:lang w:val="en-US"/>
        </w:rPr>
        <w:t>that allow social entrepreneurs to remain competitive through their social mission</w:t>
      </w:r>
      <w:r w:rsidR="00F32390">
        <w:rPr>
          <w:szCs w:val="24"/>
          <w:lang w:val="en-US"/>
        </w:rPr>
        <w:t>;</w:t>
      </w:r>
      <w:r w:rsidR="00CF78C0">
        <w:rPr>
          <w:szCs w:val="24"/>
          <w:lang w:val="en-US"/>
        </w:rPr>
        <w:t xml:space="preserve"> social missions actually improve financial performance</w:t>
      </w:r>
      <w:r w:rsidR="00A66512">
        <w:rPr>
          <w:szCs w:val="24"/>
          <w:lang w:val="en-US"/>
        </w:rPr>
        <w:t>,</w:t>
      </w:r>
      <w:r w:rsidR="00CF78C0">
        <w:rPr>
          <w:szCs w:val="24"/>
          <w:lang w:val="en-US"/>
        </w:rPr>
        <w:t xml:space="preserve"> and one does not necessarily compromise the other</w:t>
      </w:r>
      <w:r w:rsidR="0048629F" w:rsidRPr="00F505C6">
        <w:rPr>
          <w:rFonts w:cs="Times New Roman"/>
          <w:lang w:val="en-US"/>
        </w:rPr>
        <w:t xml:space="preserve">. </w:t>
      </w:r>
      <w:r w:rsidR="001774CB" w:rsidRPr="00F505C6">
        <w:rPr>
          <w:rFonts w:cs="Times New Roman"/>
          <w:lang w:val="en-US"/>
        </w:rPr>
        <w:t xml:space="preserve">In particular, it focuses on understanding this within the emerging </w:t>
      </w:r>
      <w:r w:rsidR="00C9295D" w:rsidRPr="00F505C6">
        <w:rPr>
          <w:rFonts w:cs="Times New Roman"/>
          <w:lang w:val="en-US"/>
        </w:rPr>
        <w:t>social industry</w:t>
      </w:r>
      <w:r w:rsidR="001774CB" w:rsidRPr="00F505C6">
        <w:rPr>
          <w:rFonts w:cs="Times New Roman"/>
          <w:lang w:val="en-US"/>
        </w:rPr>
        <w:t xml:space="preserve"> </w:t>
      </w:r>
      <w:r w:rsidR="00C9295D" w:rsidRPr="00F505C6">
        <w:rPr>
          <w:rFonts w:cs="Times New Roman"/>
          <w:lang w:val="en-US"/>
        </w:rPr>
        <w:t>in</w:t>
      </w:r>
      <w:r w:rsidR="001774CB" w:rsidRPr="00F505C6">
        <w:rPr>
          <w:rFonts w:cs="Times New Roman"/>
          <w:lang w:val="en-US"/>
        </w:rPr>
        <w:t xml:space="preserve"> Chile. </w:t>
      </w:r>
    </w:p>
    <w:p w14:paraId="76CED662" w14:textId="40E1A9B6" w:rsidR="002E5AF6" w:rsidRPr="00F505C6" w:rsidRDefault="001774CB" w:rsidP="008E6E54">
      <w:pPr>
        <w:rPr>
          <w:lang w:val="en-US"/>
        </w:rPr>
      </w:pPr>
      <w:r w:rsidRPr="00F505C6">
        <w:rPr>
          <w:lang w:val="en-US"/>
        </w:rPr>
        <w:t>Building on the entrepreneurial strategy framework for emerging markets</w:t>
      </w:r>
      <w:r w:rsidR="00E72996" w:rsidRPr="00F505C6">
        <w:rPr>
          <w:lang w:val="en-US"/>
        </w:rPr>
        <w:t xml:space="preserve"> outlined by </w:t>
      </w:r>
      <w:r w:rsidR="006A3255" w:rsidRPr="006A3255">
        <w:rPr>
          <w:lang w:val="en-US"/>
        </w:rPr>
        <w:t xml:space="preserve">Bruton, Filatotchev, Si, </w:t>
      </w:r>
      <w:r w:rsidR="006A3255">
        <w:rPr>
          <w:lang w:val="en-US"/>
        </w:rPr>
        <w:t>and Wright</w:t>
      </w:r>
      <w:r w:rsidR="006A3255" w:rsidRPr="006A3255">
        <w:rPr>
          <w:lang w:val="en-US"/>
        </w:rPr>
        <w:t xml:space="preserve"> </w:t>
      </w:r>
      <w:r w:rsidR="00E72996" w:rsidRPr="00F505C6">
        <w:rPr>
          <w:lang w:val="en-US"/>
        </w:rPr>
        <w:t>(2013</w:t>
      </w:r>
      <w:r w:rsidRPr="00F505C6">
        <w:rPr>
          <w:lang w:val="en-US"/>
        </w:rPr>
        <w:t xml:space="preserve">), </w:t>
      </w:r>
      <w:r w:rsidR="004F5085" w:rsidRPr="00F505C6">
        <w:rPr>
          <w:lang w:val="en-US"/>
        </w:rPr>
        <w:t xml:space="preserve">the study explores the </w:t>
      </w:r>
      <w:r w:rsidR="006F3E0D" w:rsidRPr="00F505C6">
        <w:rPr>
          <w:lang w:val="en-US"/>
        </w:rPr>
        <w:t xml:space="preserve">complex interactions between the </w:t>
      </w:r>
      <w:r w:rsidR="004F5085" w:rsidRPr="00F505C6">
        <w:rPr>
          <w:lang w:val="en-US"/>
        </w:rPr>
        <w:t>micro-foundations and micro-processes</w:t>
      </w:r>
      <w:r w:rsidR="00857BFC">
        <w:rPr>
          <w:lang w:val="en-US"/>
        </w:rPr>
        <w:t xml:space="preserve"> (</w:t>
      </w:r>
      <w:r w:rsidR="00EF2970" w:rsidRPr="00EF2970">
        <w:rPr>
          <w:lang w:val="en-US"/>
        </w:rPr>
        <w:t>strategic conditions</w:t>
      </w:r>
      <w:r w:rsidR="00857BFC">
        <w:rPr>
          <w:lang w:val="en-US"/>
        </w:rPr>
        <w:t>)</w:t>
      </w:r>
      <w:r w:rsidR="004F5085" w:rsidRPr="00F505C6">
        <w:rPr>
          <w:lang w:val="en-US"/>
        </w:rPr>
        <w:t xml:space="preserve"> of social entrepreneurs </w:t>
      </w:r>
      <w:r w:rsidR="0048629F" w:rsidRPr="00F505C6">
        <w:rPr>
          <w:lang w:val="en-US"/>
        </w:rPr>
        <w:t>focusing</w:t>
      </w:r>
      <w:r w:rsidR="004F5085" w:rsidRPr="00F505C6">
        <w:rPr>
          <w:lang w:val="en-US"/>
        </w:rPr>
        <w:t xml:space="preserve"> on </w:t>
      </w:r>
      <w:r w:rsidR="00DD4DFF" w:rsidRPr="00F505C6">
        <w:rPr>
          <w:lang w:val="en-US"/>
        </w:rPr>
        <w:t>six</w:t>
      </w:r>
      <w:r w:rsidR="004F5085" w:rsidRPr="00F505C6">
        <w:rPr>
          <w:lang w:val="en-US"/>
        </w:rPr>
        <w:t xml:space="preserve"> conditions</w:t>
      </w:r>
      <w:r w:rsidR="0048629F" w:rsidRPr="00F505C6">
        <w:rPr>
          <w:lang w:val="en-US"/>
        </w:rPr>
        <w:t xml:space="preserve"> in this framework</w:t>
      </w:r>
      <w:r w:rsidR="004F5085" w:rsidRPr="00F505C6">
        <w:rPr>
          <w:lang w:val="en-US"/>
        </w:rPr>
        <w:t xml:space="preserve">: </w:t>
      </w:r>
      <w:r w:rsidR="000A5A45" w:rsidRPr="00F505C6">
        <w:rPr>
          <w:lang w:val="en-US"/>
        </w:rPr>
        <w:t xml:space="preserve">1. </w:t>
      </w:r>
      <w:r w:rsidR="0048629F" w:rsidRPr="00F505C6">
        <w:rPr>
          <w:lang w:val="en-US"/>
        </w:rPr>
        <w:t>S</w:t>
      </w:r>
      <w:r w:rsidR="004F5085" w:rsidRPr="00F505C6">
        <w:rPr>
          <w:lang w:val="en-US"/>
        </w:rPr>
        <w:t xml:space="preserve">ocial </w:t>
      </w:r>
      <w:r w:rsidR="0048629F" w:rsidRPr="00F505C6">
        <w:rPr>
          <w:lang w:val="en-US"/>
        </w:rPr>
        <w:t>O</w:t>
      </w:r>
      <w:r w:rsidR="004F5085" w:rsidRPr="00F505C6">
        <w:rPr>
          <w:lang w:val="en-US"/>
        </w:rPr>
        <w:t xml:space="preserve">rientation, </w:t>
      </w:r>
      <w:r w:rsidR="000A5A45" w:rsidRPr="00F505C6">
        <w:rPr>
          <w:lang w:val="en-US"/>
        </w:rPr>
        <w:t xml:space="preserve">2. </w:t>
      </w:r>
      <w:r w:rsidR="0048629F" w:rsidRPr="00F505C6">
        <w:rPr>
          <w:lang w:val="en-US"/>
        </w:rPr>
        <w:t>P</w:t>
      </w:r>
      <w:r w:rsidR="004F5085" w:rsidRPr="00F505C6">
        <w:rPr>
          <w:lang w:val="en-US"/>
        </w:rPr>
        <w:t xml:space="preserve">revious </w:t>
      </w:r>
      <w:r w:rsidR="0048629F" w:rsidRPr="00F505C6">
        <w:rPr>
          <w:lang w:val="en-US"/>
        </w:rPr>
        <w:t>E</w:t>
      </w:r>
      <w:r w:rsidR="004F5085" w:rsidRPr="00F505C6">
        <w:rPr>
          <w:lang w:val="en-US"/>
        </w:rPr>
        <w:t xml:space="preserve">xperience, </w:t>
      </w:r>
      <w:r w:rsidR="000A5A45" w:rsidRPr="00F505C6">
        <w:rPr>
          <w:lang w:val="en-US"/>
        </w:rPr>
        <w:t xml:space="preserve">3. </w:t>
      </w:r>
      <w:r w:rsidR="0048629F" w:rsidRPr="00F505C6">
        <w:rPr>
          <w:lang w:val="en-US"/>
        </w:rPr>
        <w:t>E</w:t>
      </w:r>
      <w:r w:rsidR="004F5085" w:rsidRPr="00F505C6">
        <w:rPr>
          <w:lang w:val="en-US"/>
        </w:rPr>
        <w:t xml:space="preserve">arly </w:t>
      </w:r>
      <w:r w:rsidR="0048629F" w:rsidRPr="00F505C6">
        <w:rPr>
          <w:lang w:val="en-US"/>
        </w:rPr>
        <w:t>I</w:t>
      </w:r>
      <w:r w:rsidR="004F5085" w:rsidRPr="00F505C6">
        <w:rPr>
          <w:lang w:val="en-US"/>
        </w:rPr>
        <w:t xml:space="preserve">nvestment, </w:t>
      </w:r>
      <w:r w:rsidR="000A5A45" w:rsidRPr="00F505C6">
        <w:rPr>
          <w:lang w:val="en-US"/>
        </w:rPr>
        <w:t xml:space="preserve">5. </w:t>
      </w:r>
      <w:r w:rsidR="0048629F" w:rsidRPr="00F505C6">
        <w:rPr>
          <w:lang w:val="en-US"/>
        </w:rPr>
        <w:t>P</w:t>
      </w:r>
      <w:r w:rsidR="004F5085" w:rsidRPr="00F505C6">
        <w:rPr>
          <w:lang w:val="en-US"/>
        </w:rPr>
        <w:t xml:space="preserve">rofit </w:t>
      </w:r>
      <w:r w:rsidR="0048629F" w:rsidRPr="00F505C6">
        <w:rPr>
          <w:lang w:val="en-US"/>
        </w:rPr>
        <w:t>O</w:t>
      </w:r>
      <w:r w:rsidR="004F5085" w:rsidRPr="00F505C6">
        <w:rPr>
          <w:lang w:val="en-US"/>
        </w:rPr>
        <w:t xml:space="preserve">rientation, </w:t>
      </w:r>
      <w:r w:rsidR="000A5A45" w:rsidRPr="00F505C6">
        <w:rPr>
          <w:lang w:val="en-US"/>
        </w:rPr>
        <w:t xml:space="preserve">5. </w:t>
      </w:r>
      <w:r w:rsidR="0048629F" w:rsidRPr="00F505C6">
        <w:rPr>
          <w:lang w:val="en-US"/>
        </w:rPr>
        <w:t>M</w:t>
      </w:r>
      <w:r w:rsidR="004F5085" w:rsidRPr="00F505C6">
        <w:rPr>
          <w:lang w:val="en-US"/>
        </w:rPr>
        <w:t xml:space="preserve">arket </w:t>
      </w:r>
      <w:r w:rsidR="0048629F" w:rsidRPr="00F505C6">
        <w:rPr>
          <w:lang w:val="en-US"/>
        </w:rPr>
        <w:t>C</w:t>
      </w:r>
      <w:r w:rsidR="004F5085" w:rsidRPr="00F505C6">
        <w:rPr>
          <w:lang w:val="en-US"/>
        </w:rPr>
        <w:t>ompetition</w:t>
      </w:r>
      <w:r w:rsidR="00DF7378">
        <w:rPr>
          <w:lang w:val="en-US"/>
        </w:rPr>
        <w:t>,</w:t>
      </w:r>
      <w:r w:rsidR="004F5085" w:rsidRPr="00F505C6">
        <w:rPr>
          <w:lang w:val="en-US"/>
        </w:rPr>
        <w:t xml:space="preserve"> and </w:t>
      </w:r>
      <w:r w:rsidR="000A5A45" w:rsidRPr="00F505C6">
        <w:rPr>
          <w:lang w:val="en-US"/>
        </w:rPr>
        <w:t xml:space="preserve">6. </w:t>
      </w:r>
      <w:r w:rsidR="0048629F" w:rsidRPr="00F505C6">
        <w:rPr>
          <w:lang w:val="en-US"/>
        </w:rPr>
        <w:t>Perceived F</w:t>
      </w:r>
      <w:r w:rsidR="004F5085" w:rsidRPr="00F505C6">
        <w:rPr>
          <w:lang w:val="en-US"/>
        </w:rPr>
        <w:t xml:space="preserve">inancial </w:t>
      </w:r>
      <w:r w:rsidR="0048629F" w:rsidRPr="00F505C6">
        <w:rPr>
          <w:lang w:val="en-US"/>
        </w:rPr>
        <w:t>V</w:t>
      </w:r>
      <w:r w:rsidR="004F5085" w:rsidRPr="00F505C6">
        <w:rPr>
          <w:lang w:val="en-US"/>
        </w:rPr>
        <w:t xml:space="preserve">alue of the </w:t>
      </w:r>
      <w:r w:rsidR="0048629F" w:rsidRPr="00F505C6">
        <w:rPr>
          <w:lang w:val="en-US"/>
        </w:rPr>
        <w:t>S</w:t>
      </w:r>
      <w:r w:rsidR="004F5085" w:rsidRPr="00F505C6">
        <w:rPr>
          <w:lang w:val="en-US"/>
        </w:rPr>
        <w:t xml:space="preserve">ocial </w:t>
      </w:r>
      <w:r w:rsidR="0048629F" w:rsidRPr="00F505C6">
        <w:rPr>
          <w:lang w:val="en-US"/>
        </w:rPr>
        <w:t>M</w:t>
      </w:r>
      <w:r w:rsidR="004F5085" w:rsidRPr="00F505C6">
        <w:rPr>
          <w:lang w:val="en-US"/>
        </w:rPr>
        <w:t>ission. The outcome condition pertains to whether the social mission</w:t>
      </w:r>
      <w:r w:rsidR="0048629F" w:rsidRPr="00F505C6">
        <w:rPr>
          <w:lang w:val="en-US"/>
        </w:rPr>
        <w:t xml:space="preserve"> is perceived as</w:t>
      </w:r>
      <w:r w:rsidR="004F5085" w:rsidRPr="00F505C6">
        <w:rPr>
          <w:lang w:val="en-US"/>
        </w:rPr>
        <w:t xml:space="preserve"> </w:t>
      </w:r>
      <w:r w:rsidR="00BF16AC" w:rsidRPr="00F505C6">
        <w:rPr>
          <w:lang w:val="en-US"/>
        </w:rPr>
        <w:t xml:space="preserve">being valuable for </w:t>
      </w:r>
      <w:r w:rsidR="00A66512">
        <w:rPr>
          <w:lang w:val="en-US"/>
        </w:rPr>
        <w:t>achieving</w:t>
      </w:r>
      <w:r w:rsidR="004F5085" w:rsidRPr="00F505C6">
        <w:rPr>
          <w:lang w:val="en-US"/>
        </w:rPr>
        <w:t xml:space="preserve"> </w:t>
      </w:r>
      <w:r w:rsidR="0048629F" w:rsidRPr="00F505C6">
        <w:rPr>
          <w:lang w:val="en-US"/>
        </w:rPr>
        <w:t>a</w:t>
      </w:r>
      <w:r w:rsidR="004F5085" w:rsidRPr="00F505C6">
        <w:rPr>
          <w:lang w:val="en-US"/>
        </w:rPr>
        <w:t xml:space="preserve"> competitive advantage. The configurationa</w:t>
      </w:r>
      <w:r w:rsidR="00F10170" w:rsidRPr="00F505C6">
        <w:rPr>
          <w:lang w:val="en-US"/>
        </w:rPr>
        <w:t xml:space="preserve">l approach is based on a </w:t>
      </w:r>
      <w:r w:rsidR="00295264" w:rsidRPr="00DC379F">
        <w:rPr>
          <w:rFonts w:eastAsia="Times New Roman" w:cs="Times New Roman"/>
        </w:rPr>
        <w:t>fuzzy-set qualitative comparative analysis (fsQCA) of Chilean social entrepreneurs</w:t>
      </w:r>
      <w:r w:rsidR="00295264">
        <w:rPr>
          <w:rFonts w:eastAsia="Times New Roman" w:cs="Times New Roman"/>
        </w:rPr>
        <w:t xml:space="preserve"> </w:t>
      </w:r>
      <w:r w:rsidR="00271B3F" w:rsidRPr="00F505C6">
        <w:rPr>
          <w:lang w:val="en-US"/>
        </w:rPr>
        <w:t>(n=111)</w:t>
      </w:r>
      <w:r w:rsidR="00622C30">
        <w:rPr>
          <w:lang w:val="en-US"/>
        </w:rPr>
        <w:t xml:space="preserve">. </w:t>
      </w:r>
      <w:r w:rsidR="002E5AF6" w:rsidRPr="00F505C6">
        <w:rPr>
          <w:lang w:val="en-US"/>
        </w:rPr>
        <w:t>The</w:t>
      </w:r>
      <w:r w:rsidR="00FE74B1" w:rsidRPr="00F505C6">
        <w:rPr>
          <w:lang w:val="en-US"/>
        </w:rPr>
        <w:t xml:space="preserve"> configurational analysis identified four distinct solutions comprising two solution terms and two supersets for understanding the causal complexity of social entrepreneurial strategies</w:t>
      </w:r>
      <w:r w:rsidR="00886E2F">
        <w:rPr>
          <w:lang w:val="en-US"/>
        </w:rPr>
        <w:t xml:space="preserve">. </w:t>
      </w:r>
      <w:r w:rsidR="00FE74B1" w:rsidRPr="00F505C6">
        <w:rPr>
          <w:lang w:val="en-US"/>
        </w:rPr>
        <w:t xml:space="preserve">The four solutions represent causally complex theoretical statements </w:t>
      </w:r>
      <w:r w:rsidR="00AB6AE7" w:rsidRPr="00F505C6">
        <w:rPr>
          <w:lang w:val="en-US"/>
        </w:rPr>
        <w:t>emphasizing</w:t>
      </w:r>
      <w:r w:rsidR="00FE74B1" w:rsidRPr="00F505C6">
        <w:rPr>
          <w:lang w:val="en-US"/>
        </w:rPr>
        <w:t xml:space="preserve"> how entrepreneurs strategically use their social mission. </w:t>
      </w:r>
    </w:p>
    <w:p w14:paraId="3FD67127" w14:textId="68AB6009" w:rsidR="00FE74B1" w:rsidRDefault="002E5AF6" w:rsidP="003A3740">
      <w:pPr>
        <w:rPr>
          <w:rFonts w:cs="Times New Roman"/>
          <w:lang w:val="en-US"/>
        </w:rPr>
      </w:pPr>
      <w:r w:rsidRPr="00F505C6">
        <w:rPr>
          <w:rFonts w:cs="Times New Roman"/>
          <w:lang w:val="en-US"/>
        </w:rPr>
        <w:t xml:space="preserve">The findings offer three main contributions to the literature. </w:t>
      </w:r>
      <w:r w:rsidR="005C059F">
        <w:rPr>
          <w:rFonts w:cs="Times New Roman"/>
          <w:lang w:val="en-US"/>
        </w:rPr>
        <w:t>First</w:t>
      </w:r>
      <w:r w:rsidRPr="00F505C6">
        <w:rPr>
          <w:rFonts w:cs="Times New Roman"/>
          <w:lang w:val="en-US"/>
        </w:rPr>
        <w:t xml:space="preserve">, </w:t>
      </w:r>
      <w:r w:rsidR="00736323">
        <w:rPr>
          <w:rFonts w:cs="Times New Roman"/>
          <w:lang w:val="en-US"/>
        </w:rPr>
        <w:t>the results</w:t>
      </w:r>
      <w:r w:rsidRPr="00F505C6">
        <w:rPr>
          <w:rFonts w:cs="Times New Roman"/>
          <w:lang w:val="en-US"/>
        </w:rPr>
        <w:t xml:space="preserve"> identify</w:t>
      </w:r>
      <w:r w:rsidR="00FE74B1" w:rsidRPr="00F505C6">
        <w:rPr>
          <w:rFonts w:cs="Times New Roman"/>
          <w:lang w:val="en-US"/>
        </w:rPr>
        <w:t xml:space="preserve"> a more complex understanding of the set of conditions involved in the balancing act between social and economic missions in social entrepreneurship. </w:t>
      </w:r>
      <w:r w:rsidR="00622C30" w:rsidRPr="00F505C6">
        <w:rPr>
          <w:rFonts w:cs="Times New Roman"/>
          <w:lang w:val="en-US"/>
        </w:rPr>
        <w:t xml:space="preserve">It is typically thought that </w:t>
      </w:r>
      <w:r w:rsidR="0095512C">
        <w:rPr>
          <w:rFonts w:cs="Times New Roman"/>
          <w:lang w:val="en-US"/>
        </w:rPr>
        <w:t>this</w:t>
      </w:r>
      <w:r w:rsidR="0095512C" w:rsidRPr="00F505C6">
        <w:rPr>
          <w:rFonts w:cs="Times New Roman"/>
          <w:lang w:val="en-US"/>
        </w:rPr>
        <w:t xml:space="preserve"> </w:t>
      </w:r>
      <w:r w:rsidR="00622C30" w:rsidRPr="00F505C6">
        <w:rPr>
          <w:rFonts w:cs="Times New Roman"/>
          <w:lang w:val="en-US"/>
        </w:rPr>
        <w:t xml:space="preserve">operates on a continuum from social to </w:t>
      </w:r>
      <w:r w:rsidR="009848FB" w:rsidRPr="00F505C6">
        <w:rPr>
          <w:rFonts w:cs="Times New Roman"/>
          <w:lang w:val="en-US"/>
        </w:rPr>
        <w:t>economic</w:t>
      </w:r>
      <w:r w:rsidR="009848FB">
        <w:rPr>
          <w:rFonts w:cs="Times New Roman"/>
          <w:lang w:val="en-US"/>
        </w:rPr>
        <w:t>; the</w:t>
      </w:r>
      <w:r w:rsidR="00DD4CB1">
        <w:rPr>
          <w:rFonts w:cs="Times New Roman"/>
          <w:lang w:val="en-US"/>
        </w:rPr>
        <w:t xml:space="preserve"> closer one edges toward</w:t>
      </w:r>
      <w:r w:rsidR="00622C30" w:rsidRPr="00F505C6">
        <w:rPr>
          <w:rFonts w:cs="Times New Roman"/>
          <w:lang w:val="en-US"/>
        </w:rPr>
        <w:t xml:space="preserve"> economic then mission drift is said to be in process (Florin </w:t>
      </w:r>
      <w:r w:rsidR="00451B4D">
        <w:rPr>
          <w:rFonts w:cs="Times New Roman"/>
          <w:lang w:val="en-US"/>
        </w:rPr>
        <w:t>&amp;</w:t>
      </w:r>
      <w:r w:rsidR="00451B4D" w:rsidRPr="00F505C6">
        <w:rPr>
          <w:rFonts w:cs="Times New Roman"/>
          <w:lang w:val="en-US"/>
        </w:rPr>
        <w:t xml:space="preserve"> </w:t>
      </w:r>
      <w:r w:rsidR="00622C30" w:rsidRPr="00F505C6">
        <w:rPr>
          <w:rFonts w:cs="Times New Roman"/>
          <w:lang w:val="en-US"/>
        </w:rPr>
        <w:t>Schmidt</w:t>
      </w:r>
      <w:r w:rsidR="00C57A4C">
        <w:rPr>
          <w:rFonts w:cs="Times New Roman"/>
          <w:lang w:val="en-US"/>
        </w:rPr>
        <w:t>,</w:t>
      </w:r>
      <w:r w:rsidR="00622C30" w:rsidRPr="00F505C6">
        <w:rPr>
          <w:rFonts w:cs="Times New Roman"/>
          <w:lang w:val="en-US"/>
        </w:rPr>
        <w:t xml:space="preserve"> 2011; Moss et al.</w:t>
      </w:r>
      <w:r w:rsidR="006F78E8">
        <w:rPr>
          <w:rFonts w:cs="Times New Roman"/>
          <w:lang w:val="en-US"/>
        </w:rPr>
        <w:t>,</w:t>
      </w:r>
      <w:r w:rsidR="00622C30" w:rsidRPr="00F505C6">
        <w:rPr>
          <w:rFonts w:cs="Times New Roman"/>
          <w:lang w:val="en-US"/>
        </w:rPr>
        <w:t xml:space="preserve"> 2011). </w:t>
      </w:r>
      <w:r w:rsidR="0095512C" w:rsidRPr="00F505C6">
        <w:rPr>
          <w:rFonts w:cs="Times New Roman"/>
          <w:lang w:val="en-US"/>
        </w:rPr>
        <w:t>Because</w:t>
      </w:r>
      <w:r w:rsidR="00FE74B1" w:rsidRPr="00F505C6">
        <w:rPr>
          <w:rFonts w:cs="Times New Roman"/>
          <w:lang w:val="en-US"/>
        </w:rPr>
        <w:t xml:space="preserve"> of </w:t>
      </w:r>
      <w:r w:rsidR="00FE74B1" w:rsidRPr="00F505C6">
        <w:rPr>
          <w:rFonts w:cs="Times New Roman"/>
          <w:lang w:val="en-US"/>
        </w:rPr>
        <w:lastRenderedPageBreak/>
        <w:t xml:space="preserve">configurational analysis, the study identifies that these dual objectives are much more closely </w:t>
      </w:r>
      <w:r w:rsidRPr="00F505C6">
        <w:rPr>
          <w:rFonts w:cs="Times New Roman"/>
          <w:lang w:val="en-US"/>
        </w:rPr>
        <w:t xml:space="preserve">intertwined than first thought. </w:t>
      </w:r>
      <w:r w:rsidR="005C059F">
        <w:rPr>
          <w:rFonts w:cs="Times New Roman"/>
          <w:lang w:val="en-US"/>
        </w:rPr>
        <w:t>Second</w:t>
      </w:r>
      <w:r w:rsidR="003A3740" w:rsidRPr="00F505C6">
        <w:rPr>
          <w:rFonts w:cs="Times New Roman"/>
          <w:lang w:val="en-US"/>
        </w:rPr>
        <w:t>, this conjunctural view</w:t>
      </w:r>
      <w:r w:rsidR="00622C30">
        <w:rPr>
          <w:rFonts w:cs="Times New Roman"/>
          <w:lang w:val="en-US"/>
        </w:rPr>
        <w:t>,</w:t>
      </w:r>
      <w:r w:rsidR="003A3740" w:rsidRPr="00F505C6">
        <w:rPr>
          <w:rFonts w:cs="Times New Roman"/>
          <w:lang w:val="en-US"/>
        </w:rPr>
        <w:t xml:space="preserve"> </w:t>
      </w:r>
      <w:r w:rsidR="00FE74B1" w:rsidRPr="00F505C6">
        <w:rPr>
          <w:rFonts w:cs="Times New Roman"/>
          <w:lang w:val="en-US"/>
        </w:rPr>
        <w:t>understood as</w:t>
      </w:r>
      <w:r w:rsidR="003A3740" w:rsidRPr="00F505C6">
        <w:rPr>
          <w:rFonts w:cs="Times New Roman"/>
          <w:lang w:val="en-US"/>
        </w:rPr>
        <w:t xml:space="preserve"> how</w:t>
      </w:r>
      <w:r w:rsidR="00FE74B1" w:rsidRPr="00F505C6">
        <w:rPr>
          <w:rFonts w:cs="Times New Roman"/>
          <w:lang w:val="en-US"/>
        </w:rPr>
        <w:t xml:space="preserve"> social entrepreneurs retain their competitive position across a range of pr</w:t>
      </w:r>
      <w:r w:rsidR="003A3740" w:rsidRPr="00F505C6">
        <w:rPr>
          <w:rFonts w:cs="Times New Roman"/>
          <w:lang w:val="en-US"/>
        </w:rPr>
        <w:t>ofit and not-for profit markets, offers a new view of how hybrid organizing works (Doherty et al.</w:t>
      </w:r>
      <w:r w:rsidR="006F78E8">
        <w:rPr>
          <w:rFonts w:cs="Times New Roman"/>
          <w:lang w:val="en-US"/>
        </w:rPr>
        <w:t>,</w:t>
      </w:r>
      <w:r w:rsidR="003A3740" w:rsidRPr="00F505C6">
        <w:rPr>
          <w:rFonts w:cs="Times New Roman"/>
          <w:lang w:val="en-US"/>
        </w:rPr>
        <w:t xml:space="preserve"> 2014). </w:t>
      </w:r>
      <w:r w:rsidR="00A80C2D" w:rsidRPr="002D1428">
        <w:rPr>
          <w:rFonts w:cs="Times New Roman"/>
          <w:lang w:val="en-US"/>
        </w:rPr>
        <w:t xml:space="preserve">In doing so, </w:t>
      </w:r>
      <w:r w:rsidR="005C059F" w:rsidRPr="00D501E5">
        <w:rPr>
          <w:rFonts w:cs="Times New Roman"/>
        </w:rPr>
        <w:t>the binary assumption underlying the commitment of social entrepreneurs to their social mission</w:t>
      </w:r>
      <w:r w:rsidR="00FE5389">
        <w:rPr>
          <w:rFonts w:cs="Times New Roman"/>
        </w:rPr>
        <w:t xml:space="preserve"> is challenged</w:t>
      </w:r>
      <w:r w:rsidR="005C059F" w:rsidRPr="00D501E5">
        <w:rPr>
          <w:rFonts w:cs="Times New Roman"/>
        </w:rPr>
        <w:t xml:space="preserve">. Under this assumption, </w:t>
      </w:r>
      <w:r w:rsidR="00FE5389">
        <w:rPr>
          <w:rFonts w:cs="Times New Roman"/>
        </w:rPr>
        <w:t>by</w:t>
      </w:r>
      <w:r w:rsidR="00F32390">
        <w:rPr>
          <w:rFonts w:cs="Times New Roman"/>
        </w:rPr>
        <w:t xml:space="preserve"> becoming</w:t>
      </w:r>
      <w:r w:rsidR="005C059F" w:rsidRPr="00D501E5">
        <w:rPr>
          <w:rFonts w:cs="Times New Roman"/>
        </w:rPr>
        <w:t xml:space="preserve"> more focused on the economic component of the organization, </w:t>
      </w:r>
      <w:r w:rsidR="00295264">
        <w:rPr>
          <w:rFonts w:cs="Times New Roman"/>
        </w:rPr>
        <w:t>social entrepreneur</w:t>
      </w:r>
      <w:r w:rsidR="00F32390">
        <w:rPr>
          <w:rFonts w:cs="Times New Roman"/>
        </w:rPr>
        <w:t>s</w:t>
      </w:r>
      <w:r w:rsidR="00FE5389">
        <w:rPr>
          <w:rFonts w:cs="Times New Roman"/>
        </w:rPr>
        <w:t xml:space="preserve"> drift</w:t>
      </w:r>
      <w:r w:rsidR="005C059F" w:rsidRPr="00D501E5">
        <w:rPr>
          <w:rFonts w:cs="Times New Roman"/>
        </w:rPr>
        <w:t xml:space="preserve"> away from fulfill</w:t>
      </w:r>
      <w:r w:rsidR="00F32390">
        <w:rPr>
          <w:rFonts w:cs="Times New Roman"/>
        </w:rPr>
        <w:t>ing</w:t>
      </w:r>
      <w:r w:rsidR="005C059F" w:rsidRPr="00D501E5">
        <w:rPr>
          <w:rFonts w:cs="Times New Roman"/>
        </w:rPr>
        <w:t xml:space="preserve"> social mission</w:t>
      </w:r>
      <w:r w:rsidR="00F32390">
        <w:rPr>
          <w:rFonts w:cs="Times New Roman"/>
        </w:rPr>
        <w:t>s</w:t>
      </w:r>
      <w:r w:rsidR="005C059F" w:rsidRPr="002D1428">
        <w:rPr>
          <w:rFonts w:cs="Times New Roman"/>
          <w:lang w:val="en-US"/>
        </w:rPr>
        <w:t xml:space="preserve"> </w:t>
      </w:r>
      <w:r w:rsidR="00A80C2D" w:rsidRPr="002D1428">
        <w:rPr>
          <w:rFonts w:cs="Times New Roman"/>
          <w:lang w:val="en-US"/>
        </w:rPr>
        <w:t>(Cornforth, 2014)</w:t>
      </w:r>
      <w:r w:rsidR="00A80C2D" w:rsidRPr="00F505C6">
        <w:rPr>
          <w:rFonts w:cs="Times New Roman"/>
          <w:lang w:val="en-US"/>
        </w:rPr>
        <w:t xml:space="preserve">. </w:t>
      </w:r>
      <w:r w:rsidR="00FE74B1" w:rsidRPr="00F505C6">
        <w:rPr>
          <w:rFonts w:cs="Times New Roman"/>
          <w:lang w:val="en-US"/>
        </w:rPr>
        <w:t xml:space="preserve">Mission drift seems not to be the only possible outcome for those social entrepreneurs </w:t>
      </w:r>
      <w:r w:rsidR="00AB6AE7" w:rsidRPr="00F505C6">
        <w:rPr>
          <w:rFonts w:cs="Times New Roman"/>
          <w:lang w:val="en-US"/>
        </w:rPr>
        <w:t>prioritizing</w:t>
      </w:r>
      <w:r w:rsidR="00FE74B1" w:rsidRPr="00F505C6">
        <w:rPr>
          <w:rFonts w:cs="Times New Roman"/>
          <w:lang w:val="en-US"/>
        </w:rPr>
        <w:t xml:space="preserve"> economic goals. Social entrepreneurs can indeed remain competitive without drifting away from their so</w:t>
      </w:r>
      <w:r w:rsidR="002B139B" w:rsidRPr="00F505C6">
        <w:rPr>
          <w:rFonts w:cs="Times New Roman"/>
          <w:lang w:val="en-US"/>
        </w:rPr>
        <w:t xml:space="preserve">cial orientation. </w:t>
      </w:r>
      <w:r w:rsidR="00FE5389">
        <w:rPr>
          <w:rFonts w:cs="Times New Roman"/>
          <w:lang w:val="en-US"/>
        </w:rPr>
        <w:t>Third</w:t>
      </w:r>
      <w:r w:rsidR="003A3740" w:rsidRPr="00F505C6">
        <w:rPr>
          <w:rFonts w:cs="Times New Roman"/>
          <w:lang w:val="en-US"/>
        </w:rPr>
        <w:t xml:space="preserve">, it offers an empirical contribution by focusing on the emerging context of Chile in a </w:t>
      </w:r>
      <w:r w:rsidR="009848FB" w:rsidRPr="00F505C6">
        <w:rPr>
          <w:rFonts w:cs="Times New Roman"/>
          <w:lang w:val="en-US"/>
        </w:rPr>
        <w:t>literature, which</w:t>
      </w:r>
      <w:r w:rsidR="003A3740" w:rsidRPr="00F505C6">
        <w:rPr>
          <w:rFonts w:cs="Times New Roman"/>
          <w:lang w:val="en-US"/>
        </w:rPr>
        <w:t xml:space="preserve"> has primarily focused on understanding social entrepreneurship in North America or Europe (Rey-Martí, Ribeiro-Soriano, &amp; Palacios-Marqués</w:t>
      </w:r>
      <w:r w:rsidR="00451B4D">
        <w:rPr>
          <w:rFonts w:cs="Times New Roman"/>
          <w:lang w:val="en-US"/>
        </w:rPr>
        <w:t>,</w:t>
      </w:r>
      <w:r w:rsidR="003A3740" w:rsidRPr="00F505C6">
        <w:rPr>
          <w:rFonts w:cs="Times New Roman"/>
          <w:lang w:val="en-US"/>
        </w:rPr>
        <w:t xml:space="preserve"> 2016).</w:t>
      </w:r>
    </w:p>
    <w:p w14:paraId="034DDA4F" w14:textId="77777777" w:rsidR="00857BFC" w:rsidRPr="00F505C6" w:rsidRDefault="00857BFC" w:rsidP="003A3740">
      <w:pPr>
        <w:rPr>
          <w:rFonts w:cs="Times New Roman"/>
          <w:b/>
          <w:lang w:val="en-US"/>
        </w:rPr>
      </w:pPr>
    </w:p>
    <w:p w14:paraId="2374744C" w14:textId="77777777" w:rsidR="00FE74B1" w:rsidRPr="00F505C6" w:rsidRDefault="00FE74B1" w:rsidP="00FE74B1">
      <w:pPr>
        <w:pStyle w:val="Heading1"/>
        <w:rPr>
          <w:lang w:val="en-US"/>
        </w:rPr>
      </w:pPr>
      <w:r w:rsidRPr="00F505C6">
        <w:rPr>
          <w:lang w:val="en-US"/>
        </w:rPr>
        <w:t>Background Literature</w:t>
      </w:r>
    </w:p>
    <w:p w14:paraId="6867FDF1" w14:textId="7A463D39" w:rsidR="00FE74B1" w:rsidRPr="001A4B75" w:rsidRDefault="001A4B75" w:rsidP="009819A7">
      <w:pPr>
        <w:ind w:firstLine="0"/>
        <w:rPr>
          <w:lang w:val="en-US"/>
        </w:rPr>
      </w:pPr>
      <w:r>
        <w:rPr>
          <w:lang w:val="en-US"/>
        </w:rPr>
        <w:t xml:space="preserve">Social entrepreneurship research </w:t>
      </w:r>
      <w:r w:rsidR="002C6852">
        <w:rPr>
          <w:lang w:val="en-US"/>
        </w:rPr>
        <w:t xml:space="preserve">has blossomed in recent years, emerging </w:t>
      </w:r>
      <w:r>
        <w:rPr>
          <w:lang w:val="en-US"/>
        </w:rPr>
        <w:t xml:space="preserve">as an area of practical and academic value </w:t>
      </w:r>
      <w:r w:rsidR="00866B00">
        <w:rPr>
          <w:lang w:val="en-US"/>
        </w:rPr>
        <w:t>with</w:t>
      </w:r>
      <w:r>
        <w:rPr>
          <w:lang w:val="en-US"/>
        </w:rPr>
        <w:t xml:space="preserve"> recent efforts </w:t>
      </w:r>
      <w:r w:rsidR="00866B00">
        <w:rPr>
          <w:lang w:val="en-US"/>
        </w:rPr>
        <w:t>focusing</w:t>
      </w:r>
      <w:r>
        <w:rPr>
          <w:lang w:val="en-US"/>
        </w:rPr>
        <w:t xml:space="preserve"> on its cultural determinants (Kedmenec &amp; Strašek, 2017), the nature of social problems (</w:t>
      </w:r>
      <w:r w:rsidRPr="001A4B75">
        <w:rPr>
          <w:lang w:val="en-US"/>
        </w:rPr>
        <w:t xml:space="preserve">Kimmitt </w:t>
      </w:r>
      <w:r w:rsidR="00451B4D">
        <w:rPr>
          <w:lang w:val="en-US"/>
        </w:rPr>
        <w:t>&amp;</w:t>
      </w:r>
      <w:r w:rsidRPr="001A4B75">
        <w:rPr>
          <w:lang w:val="en-US"/>
        </w:rPr>
        <w:t xml:space="preserve"> Muñoz, 2018</w:t>
      </w:r>
      <w:r w:rsidR="001E4BC3">
        <w:rPr>
          <w:lang w:val="en-US"/>
        </w:rPr>
        <w:t>),</w:t>
      </w:r>
      <w:r>
        <w:rPr>
          <w:lang w:val="en-US"/>
        </w:rPr>
        <w:t xml:space="preserve"> performanc</w:t>
      </w:r>
      <w:r w:rsidR="00C57A4C">
        <w:rPr>
          <w:lang w:val="en-US"/>
        </w:rPr>
        <w:t xml:space="preserve">e measurement (Beer &amp; Micheli, </w:t>
      </w:r>
      <w:r>
        <w:rPr>
          <w:lang w:val="en-US"/>
        </w:rPr>
        <w:t>2017)</w:t>
      </w:r>
      <w:r w:rsidR="00FE5389">
        <w:rPr>
          <w:lang w:val="en-US"/>
        </w:rPr>
        <w:t>,</w:t>
      </w:r>
      <w:r>
        <w:rPr>
          <w:lang w:val="en-US"/>
        </w:rPr>
        <w:t xml:space="preserve"> and cross national comparisons (</w:t>
      </w:r>
      <w:r w:rsidR="006F78E8" w:rsidRPr="006F78E8">
        <w:rPr>
          <w:lang w:val="en-US"/>
        </w:rPr>
        <w:t xml:space="preserve">Lepoutre, Justo, Terjesen, &amp; Bosma, </w:t>
      </w:r>
      <w:r>
        <w:rPr>
          <w:lang w:val="en-US"/>
        </w:rPr>
        <w:t>20</w:t>
      </w:r>
      <w:r w:rsidR="001E4BC3">
        <w:rPr>
          <w:lang w:val="en-US"/>
        </w:rPr>
        <w:t>13)</w:t>
      </w:r>
      <w:r>
        <w:rPr>
          <w:lang w:val="en-US"/>
        </w:rPr>
        <w:t xml:space="preserve"> </w:t>
      </w:r>
      <w:r w:rsidR="00DD4CB1">
        <w:rPr>
          <w:lang w:val="en-US"/>
        </w:rPr>
        <w:t>among</w:t>
      </w:r>
      <w:r>
        <w:rPr>
          <w:lang w:val="en-US"/>
        </w:rPr>
        <w:t xml:space="preserve"> many others. </w:t>
      </w:r>
      <w:r w:rsidR="009819A7" w:rsidRPr="00F505C6">
        <w:rPr>
          <w:lang w:val="en-US"/>
        </w:rPr>
        <w:t xml:space="preserve">As the literature has </w:t>
      </w:r>
      <w:r>
        <w:rPr>
          <w:lang w:val="en-US"/>
        </w:rPr>
        <w:t>grown</w:t>
      </w:r>
      <w:r w:rsidR="009819A7" w:rsidRPr="00F505C6">
        <w:rPr>
          <w:lang w:val="en-US"/>
        </w:rPr>
        <w:t>, one of the emerging themes in this domain concerns the ability of such organizations to balance their social and economic objectives. Indeed, definitions of social entrepreneurship have identified this simultaneous pursuit of dual objectives</w:t>
      </w:r>
      <w:r w:rsidR="00FF650C" w:rsidRPr="00F505C6">
        <w:rPr>
          <w:lang w:val="en-US"/>
        </w:rPr>
        <w:t xml:space="preserve"> and the tricky balancing act this involves</w:t>
      </w:r>
      <w:r w:rsidR="009819A7" w:rsidRPr="00F505C6">
        <w:rPr>
          <w:lang w:val="en-US"/>
        </w:rPr>
        <w:t xml:space="preserve"> </w:t>
      </w:r>
      <w:r w:rsidR="00E72996" w:rsidRPr="00F505C6">
        <w:rPr>
          <w:szCs w:val="24"/>
          <w:lang w:val="en-US"/>
        </w:rPr>
        <w:t>(</w:t>
      </w:r>
      <w:r w:rsidR="006A3255" w:rsidRPr="006A3255">
        <w:rPr>
          <w:szCs w:val="24"/>
          <w:lang w:val="en-US"/>
        </w:rPr>
        <w:t>Austin, Stevenson, &amp; Wei</w:t>
      </w:r>
      <w:r w:rsidR="006A3255" w:rsidRPr="006A3255">
        <w:rPr>
          <w:rFonts w:ascii="Cambria Math" w:hAnsi="Cambria Math" w:cs="Cambria Math"/>
          <w:szCs w:val="24"/>
          <w:lang w:val="en-US"/>
        </w:rPr>
        <w:t>‐</w:t>
      </w:r>
      <w:r w:rsidR="006A3255" w:rsidRPr="006A3255">
        <w:rPr>
          <w:szCs w:val="24"/>
          <w:lang w:val="en-US"/>
        </w:rPr>
        <w:t>Skillern,</w:t>
      </w:r>
      <w:r w:rsidR="006A3255">
        <w:rPr>
          <w:szCs w:val="24"/>
          <w:lang w:val="en-US"/>
        </w:rPr>
        <w:t xml:space="preserve"> 2006 </w:t>
      </w:r>
      <w:r w:rsidR="00E72996" w:rsidRPr="00F505C6">
        <w:rPr>
          <w:szCs w:val="24"/>
          <w:lang w:val="en-US"/>
        </w:rPr>
        <w:t xml:space="preserve">; </w:t>
      </w:r>
      <w:r w:rsidR="009819A7" w:rsidRPr="00F505C6">
        <w:rPr>
          <w:szCs w:val="24"/>
          <w:lang w:val="en-US"/>
        </w:rPr>
        <w:t>Battilana</w:t>
      </w:r>
      <w:r w:rsidR="00E72996" w:rsidRPr="00F505C6">
        <w:rPr>
          <w:szCs w:val="24"/>
          <w:lang w:val="en-US"/>
        </w:rPr>
        <w:t xml:space="preserve"> </w:t>
      </w:r>
      <w:r w:rsidR="00451B4D">
        <w:rPr>
          <w:szCs w:val="24"/>
          <w:lang w:val="en-US"/>
        </w:rPr>
        <w:t>&amp;</w:t>
      </w:r>
      <w:r w:rsidR="00451B4D" w:rsidRPr="00F505C6">
        <w:rPr>
          <w:szCs w:val="24"/>
          <w:lang w:val="en-US"/>
        </w:rPr>
        <w:t xml:space="preserve"> </w:t>
      </w:r>
      <w:r w:rsidR="00E72996" w:rsidRPr="00F505C6">
        <w:rPr>
          <w:szCs w:val="24"/>
          <w:lang w:val="en-US"/>
        </w:rPr>
        <w:t>Dorado</w:t>
      </w:r>
      <w:r w:rsidR="00C57A4C">
        <w:rPr>
          <w:szCs w:val="24"/>
          <w:lang w:val="en-US"/>
        </w:rPr>
        <w:t>,</w:t>
      </w:r>
      <w:r w:rsidR="009819A7" w:rsidRPr="00F505C6">
        <w:rPr>
          <w:szCs w:val="24"/>
          <w:lang w:val="en-US"/>
        </w:rPr>
        <w:t xml:space="preserve"> 2010). This is argued by Moss et al. </w:t>
      </w:r>
      <w:r w:rsidR="009819A7" w:rsidRPr="00F505C6">
        <w:rPr>
          <w:szCs w:val="24"/>
          <w:lang w:val="en-US"/>
        </w:rPr>
        <w:lastRenderedPageBreak/>
        <w:t xml:space="preserve">(2011) and </w:t>
      </w:r>
      <w:r w:rsidR="006A3255" w:rsidRPr="006A3255">
        <w:rPr>
          <w:szCs w:val="24"/>
          <w:lang w:val="en-US"/>
        </w:rPr>
        <w:t xml:space="preserve">Miller, Wesley, </w:t>
      </w:r>
      <w:r w:rsidR="006A3255">
        <w:rPr>
          <w:szCs w:val="24"/>
          <w:lang w:val="en-US"/>
        </w:rPr>
        <w:t>and</w:t>
      </w:r>
      <w:r w:rsidR="006A3255" w:rsidRPr="006A3255">
        <w:rPr>
          <w:szCs w:val="24"/>
          <w:lang w:val="en-US"/>
        </w:rPr>
        <w:t xml:space="preserve"> Curtis </w:t>
      </w:r>
      <w:r w:rsidR="009819A7" w:rsidRPr="00F505C6">
        <w:rPr>
          <w:szCs w:val="24"/>
          <w:lang w:val="en-US"/>
        </w:rPr>
        <w:t xml:space="preserve">(2010) to be an issue of organizational identity whereby social enterprise exhibit dual </w:t>
      </w:r>
      <w:r w:rsidR="003638F4" w:rsidRPr="00F505C6">
        <w:rPr>
          <w:szCs w:val="24"/>
          <w:lang w:val="en-US"/>
        </w:rPr>
        <w:t>objectives</w:t>
      </w:r>
      <w:r w:rsidR="009819A7" w:rsidRPr="00F505C6">
        <w:rPr>
          <w:szCs w:val="24"/>
          <w:lang w:val="en-US"/>
        </w:rPr>
        <w:t xml:space="preserve">. </w:t>
      </w:r>
    </w:p>
    <w:p w14:paraId="661C4541" w14:textId="215A9D47" w:rsidR="00881258" w:rsidRPr="00F505C6" w:rsidRDefault="00881258" w:rsidP="00C86965">
      <w:pPr>
        <w:ind w:firstLine="567"/>
        <w:rPr>
          <w:szCs w:val="24"/>
          <w:lang w:val="en-US"/>
        </w:rPr>
      </w:pPr>
      <w:r w:rsidRPr="00F505C6">
        <w:rPr>
          <w:szCs w:val="24"/>
          <w:lang w:val="en-US"/>
        </w:rPr>
        <w:t>The literature</w:t>
      </w:r>
      <w:r w:rsidR="00FF650C" w:rsidRPr="00F505C6">
        <w:rPr>
          <w:szCs w:val="24"/>
          <w:lang w:val="en-US"/>
        </w:rPr>
        <w:t xml:space="preserve"> generally</w:t>
      </w:r>
      <w:r w:rsidRPr="00F505C6">
        <w:rPr>
          <w:szCs w:val="24"/>
          <w:lang w:val="en-US"/>
        </w:rPr>
        <w:t xml:space="preserve"> describes these dual objectives or identities as existing on a continuum. On the one hand, the social objective of the social </w:t>
      </w:r>
      <w:r w:rsidR="00AB6AE7" w:rsidRPr="00F505C6">
        <w:rPr>
          <w:szCs w:val="24"/>
          <w:lang w:val="en-US"/>
        </w:rPr>
        <w:t>entrepreneur</w:t>
      </w:r>
      <w:r w:rsidRPr="00F505C6">
        <w:rPr>
          <w:szCs w:val="24"/>
          <w:lang w:val="en-US"/>
        </w:rPr>
        <w:t xml:space="preserve"> encapsulates their desire for social change and their definition of how to solve a parti</w:t>
      </w:r>
      <w:r w:rsidR="003F6F87" w:rsidRPr="00F505C6">
        <w:rPr>
          <w:szCs w:val="24"/>
          <w:lang w:val="en-US"/>
        </w:rPr>
        <w:t xml:space="preserve">cular social problem </w:t>
      </w:r>
      <w:r w:rsidR="00736323">
        <w:rPr>
          <w:szCs w:val="24"/>
          <w:lang w:val="en-US"/>
        </w:rPr>
        <w:t>such as</w:t>
      </w:r>
      <w:r w:rsidRPr="00F505C6">
        <w:rPr>
          <w:szCs w:val="24"/>
          <w:lang w:val="en-US"/>
        </w:rPr>
        <w:t xml:space="preserve"> reducing unemployment through skill</w:t>
      </w:r>
      <w:r w:rsidR="003638F4" w:rsidRPr="00F505C6">
        <w:rPr>
          <w:szCs w:val="24"/>
          <w:lang w:val="en-US"/>
        </w:rPr>
        <w:t>s</w:t>
      </w:r>
      <w:r w:rsidRPr="00F505C6">
        <w:rPr>
          <w:szCs w:val="24"/>
          <w:lang w:val="en-US"/>
        </w:rPr>
        <w:t xml:space="preserve"> train</w:t>
      </w:r>
      <w:r w:rsidR="003F6F87" w:rsidRPr="00F505C6">
        <w:rPr>
          <w:szCs w:val="24"/>
          <w:lang w:val="en-US"/>
        </w:rPr>
        <w:t>ing (Austin et al.</w:t>
      </w:r>
      <w:r w:rsidR="00D157FD">
        <w:rPr>
          <w:szCs w:val="24"/>
          <w:lang w:val="en-US"/>
        </w:rPr>
        <w:t>,</w:t>
      </w:r>
      <w:r w:rsidR="003F6F87" w:rsidRPr="00F505C6">
        <w:rPr>
          <w:szCs w:val="24"/>
          <w:lang w:val="en-US"/>
        </w:rPr>
        <w:t xml:space="preserve"> 2006)</w:t>
      </w:r>
      <w:r w:rsidRPr="00F505C6">
        <w:rPr>
          <w:szCs w:val="24"/>
          <w:lang w:val="en-US"/>
        </w:rPr>
        <w:t xml:space="preserve">. On the other hand, social </w:t>
      </w:r>
      <w:r w:rsidR="00AB6AE7" w:rsidRPr="00F505C6">
        <w:rPr>
          <w:szCs w:val="24"/>
          <w:lang w:val="en-US"/>
        </w:rPr>
        <w:t>entrepreneurs</w:t>
      </w:r>
      <w:r w:rsidRPr="00F505C6">
        <w:rPr>
          <w:szCs w:val="24"/>
          <w:lang w:val="en-US"/>
        </w:rPr>
        <w:t xml:space="preserve"> </w:t>
      </w:r>
      <w:r w:rsidR="003638F4" w:rsidRPr="00F505C6">
        <w:rPr>
          <w:szCs w:val="24"/>
          <w:lang w:val="en-US"/>
        </w:rPr>
        <w:t>have</w:t>
      </w:r>
      <w:r w:rsidRPr="00F505C6">
        <w:rPr>
          <w:szCs w:val="24"/>
          <w:lang w:val="en-US"/>
        </w:rPr>
        <w:t xml:space="preserve"> their e</w:t>
      </w:r>
      <w:r w:rsidR="00FF650C" w:rsidRPr="00F505C6">
        <w:rPr>
          <w:szCs w:val="24"/>
          <w:lang w:val="en-US"/>
        </w:rPr>
        <w:t xml:space="preserve">conomic objectives; </w:t>
      </w:r>
      <w:r w:rsidRPr="00F505C6">
        <w:rPr>
          <w:szCs w:val="24"/>
          <w:lang w:val="en-US"/>
        </w:rPr>
        <w:t xml:space="preserve">the </w:t>
      </w:r>
      <w:r w:rsidR="00E46764" w:rsidRPr="00F505C6">
        <w:rPr>
          <w:szCs w:val="24"/>
          <w:lang w:val="en-US"/>
        </w:rPr>
        <w:t xml:space="preserve">necessary financial </w:t>
      </w:r>
      <w:r w:rsidR="003638F4" w:rsidRPr="00F505C6">
        <w:rPr>
          <w:szCs w:val="24"/>
          <w:lang w:val="en-US"/>
        </w:rPr>
        <w:t>requirements</w:t>
      </w:r>
      <w:r w:rsidRPr="00F505C6">
        <w:rPr>
          <w:szCs w:val="24"/>
          <w:lang w:val="en-US"/>
        </w:rPr>
        <w:t xml:space="preserve"> to</w:t>
      </w:r>
      <w:r w:rsidR="003638F4" w:rsidRPr="00F505C6">
        <w:rPr>
          <w:szCs w:val="24"/>
          <w:lang w:val="en-US"/>
        </w:rPr>
        <w:t xml:space="preserve"> be able</w:t>
      </w:r>
      <w:r w:rsidRPr="00F505C6">
        <w:rPr>
          <w:szCs w:val="24"/>
          <w:lang w:val="en-US"/>
        </w:rPr>
        <w:t xml:space="preserve"> offer </w:t>
      </w:r>
      <w:r w:rsidR="00B661E5" w:rsidRPr="00F505C6">
        <w:rPr>
          <w:szCs w:val="24"/>
          <w:lang w:val="en-US"/>
        </w:rPr>
        <w:t>the</w:t>
      </w:r>
      <w:r w:rsidRPr="00F505C6">
        <w:rPr>
          <w:szCs w:val="24"/>
          <w:lang w:val="en-US"/>
        </w:rPr>
        <w:t xml:space="preserve"> product or </w:t>
      </w:r>
      <w:r w:rsidR="009848FB" w:rsidRPr="00F505C6">
        <w:rPr>
          <w:szCs w:val="24"/>
          <w:lang w:val="en-US"/>
        </w:rPr>
        <w:t>service, which</w:t>
      </w:r>
      <w:r w:rsidR="00B661E5" w:rsidRPr="00F505C6">
        <w:rPr>
          <w:szCs w:val="24"/>
          <w:lang w:val="en-US"/>
        </w:rPr>
        <w:t xml:space="preserve"> can ameliorate that particular social problem</w:t>
      </w:r>
      <w:r w:rsidR="00886E2F">
        <w:rPr>
          <w:szCs w:val="24"/>
          <w:lang w:val="en-US"/>
        </w:rPr>
        <w:t xml:space="preserve">. </w:t>
      </w:r>
      <w:r w:rsidRPr="00F505C6">
        <w:rPr>
          <w:szCs w:val="24"/>
          <w:lang w:val="en-US"/>
        </w:rPr>
        <w:t xml:space="preserve">Thus, social entrepreneurs need to generate revenue, consider costs and generally </w:t>
      </w:r>
      <w:r w:rsidR="00AB6AE7" w:rsidRPr="00F505C6">
        <w:rPr>
          <w:szCs w:val="24"/>
          <w:lang w:val="en-US"/>
        </w:rPr>
        <w:t>utilize</w:t>
      </w:r>
      <w:r w:rsidRPr="00F505C6">
        <w:rPr>
          <w:szCs w:val="24"/>
          <w:lang w:val="en-US"/>
        </w:rPr>
        <w:t xml:space="preserve"> business skills to be able to address the social problem (Nicholls, 2010; </w:t>
      </w:r>
      <w:r w:rsidR="006A3255" w:rsidRPr="006A3255">
        <w:rPr>
          <w:szCs w:val="24"/>
          <w:lang w:val="en-US"/>
        </w:rPr>
        <w:t xml:space="preserve">Zahra, Gedajlovic, Neubaum, &amp; Shulman, </w:t>
      </w:r>
      <w:r w:rsidRPr="00F505C6">
        <w:rPr>
          <w:szCs w:val="24"/>
          <w:lang w:val="en-US"/>
        </w:rPr>
        <w:t>2009).</w:t>
      </w:r>
    </w:p>
    <w:p w14:paraId="10AF5244" w14:textId="73147DC5" w:rsidR="0048159E" w:rsidRPr="00F505C6" w:rsidRDefault="003F6F87" w:rsidP="00A05287">
      <w:pPr>
        <w:ind w:firstLine="567"/>
        <w:rPr>
          <w:szCs w:val="24"/>
          <w:lang w:val="en-US"/>
        </w:rPr>
      </w:pPr>
      <w:r w:rsidRPr="00F505C6">
        <w:rPr>
          <w:szCs w:val="24"/>
          <w:lang w:val="en-US"/>
        </w:rPr>
        <w:t xml:space="preserve">The literature </w:t>
      </w:r>
      <w:r w:rsidR="00622C30">
        <w:rPr>
          <w:szCs w:val="24"/>
          <w:lang w:val="en-US"/>
        </w:rPr>
        <w:t>similarly</w:t>
      </w:r>
      <w:r w:rsidR="003638F4" w:rsidRPr="00F505C6">
        <w:rPr>
          <w:szCs w:val="24"/>
          <w:lang w:val="en-US"/>
        </w:rPr>
        <w:t xml:space="preserve"> uses the term</w:t>
      </w:r>
      <w:r w:rsidRPr="00F505C6">
        <w:rPr>
          <w:szCs w:val="24"/>
          <w:lang w:val="en-US"/>
        </w:rPr>
        <w:t xml:space="preserve"> </w:t>
      </w:r>
      <w:r w:rsidR="00DD4CB1">
        <w:rPr>
          <w:szCs w:val="24"/>
          <w:lang w:val="en-US"/>
        </w:rPr>
        <w:t>“</w:t>
      </w:r>
      <w:r w:rsidRPr="00F505C6">
        <w:rPr>
          <w:szCs w:val="24"/>
          <w:lang w:val="en-US"/>
        </w:rPr>
        <w:t>hybrid</w:t>
      </w:r>
      <w:r w:rsidR="00DD4CB1">
        <w:rPr>
          <w:szCs w:val="24"/>
          <w:lang w:val="en-US"/>
        </w:rPr>
        <w:t>”</w:t>
      </w:r>
      <w:r w:rsidRPr="00F505C6">
        <w:rPr>
          <w:szCs w:val="24"/>
          <w:lang w:val="en-US"/>
        </w:rPr>
        <w:t xml:space="preserve"> organizing</w:t>
      </w:r>
      <w:r w:rsidR="003638F4" w:rsidRPr="00F505C6">
        <w:rPr>
          <w:szCs w:val="24"/>
          <w:lang w:val="en-US"/>
        </w:rPr>
        <w:t xml:space="preserve"> to describe this</w:t>
      </w:r>
      <w:r w:rsidRPr="00F505C6">
        <w:rPr>
          <w:szCs w:val="24"/>
          <w:lang w:val="en-US"/>
        </w:rPr>
        <w:t xml:space="preserve">, whereby certain </w:t>
      </w:r>
      <w:r w:rsidR="00881AA8">
        <w:rPr>
          <w:szCs w:val="24"/>
          <w:lang w:val="en-US"/>
        </w:rPr>
        <w:t>social ventures</w:t>
      </w:r>
      <w:r w:rsidRPr="00F505C6">
        <w:rPr>
          <w:szCs w:val="24"/>
          <w:lang w:val="en-US"/>
        </w:rPr>
        <w:t xml:space="preserve"> combine institutional logics in new ways</w:t>
      </w:r>
      <w:r w:rsidR="003638F4" w:rsidRPr="00F505C6">
        <w:rPr>
          <w:szCs w:val="24"/>
          <w:lang w:val="en-US"/>
        </w:rPr>
        <w:t xml:space="preserve"> </w:t>
      </w:r>
      <w:r w:rsidRPr="00F505C6">
        <w:rPr>
          <w:szCs w:val="24"/>
          <w:lang w:val="en-US"/>
        </w:rPr>
        <w:t xml:space="preserve">(Battilana </w:t>
      </w:r>
      <w:r w:rsidR="00451B4D">
        <w:rPr>
          <w:szCs w:val="24"/>
          <w:lang w:val="en-US"/>
        </w:rPr>
        <w:t>&amp;</w:t>
      </w:r>
      <w:r w:rsidR="00451B4D" w:rsidRPr="00F505C6">
        <w:rPr>
          <w:szCs w:val="24"/>
          <w:lang w:val="en-US"/>
        </w:rPr>
        <w:t xml:space="preserve"> </w:t>
      </w:r>
      <w:r w:rsidRPr="00F505C6">
        <w:rPr>
          <w:szCs w:val="24"/>
          <w:lang w:val="en-US"/>
        </w:rPr>
        <w:t>Dorado</w:t>
      </w:r>
      <w:r w:rsidR="003C1C19">
        <w:rPr>
          <w:szCs w:val="24"/>
          <w:lang w:val="en-US"/>
        </w:rPr>
        <w:t>,</w:t>
      </w:r>
      <w:r w:rsidRPr="00F505C6">
        <w:rPr>
          <w:szCs w:val="24"/>
          <w:lang w:val="en-US"/>
        </w:rPr>
        <w:t xml:space="preserve"> 2010). </w:t>
      </w:r>
      <w:r w:rsidR="00585AF3" w:rsidRPr="00F505C6">
        <w:rPr>
          <w:szCs w:val="24"/>
          <w:lang w:val="en-US"/>
        </w:rPr>
        <w:t>These are encapsulated within their social mission through a logic of positive social change and through</w:t>
      </w:r>
      <w:r w:rsidR="00886E2F">
        <w:rPr>
          <w:szCs w:val="24"/>
          <w:lang w:val="en-US"/>
        </w:rPr>
        <w:t xml:space="preserve"> a</w:t>
      </w:r>
      <w:r w:rsidR="00585AF3" w:rsidRPr="00F505C6">
        <w:rPr>
          <w:szCs w:val="24"/>
          <w:lang w:val="en-US"/>
        </w:rPr>
        <w:t xml:space="preserve"> more </w:t>
      </w:r>
      <w:r w:rsidR="00AB6AE7" w:rsidRPr="00F505C6">
        <w:rPr>
          <w:szCs w:val="24"/>
          <w:lang w:val="en-US"/>
        </w:rPr>
        <w:t>rationalized</w:t>
      </w:r>
      <w:r w:rsidR="00585AF3" w:rsidRPr="00F505C6">
        <w:rPr>
          <w:szCs w:val="24"/>
          <w:lang w:val="en-US"/>
        </w:rPr>
        <w:t xml:space="preserve"> market </w:t>
      </w:r>
      <w:r w:rsidR="009848FB" w:rsidRPr="00F505C6">
        <w:rPr>
          <w:szCs w:val="24"/>
          <w:lang w:val="en-US"/>
        </w:rPr>
        <w:t>logic, which</w:t>
      </w:r>
      <w:r w:rsidR="00585AF3" w:rsidRPr="00F505C6">
        <w:rPr>
          <w:szCs w:val="24"/>
          <w:lang w:val="en-US"/>
        </w:rPr>
        <w:t xml:space="preserve"> </w:t>
      </w:r>
      <w:r w:rsidR="00AB6AE7" w:rsidRPr="00F505C6">
        <w:rPr>
          <w:szCs w:val="24"/>
          <w:lang w:val="en-US"/>
        </w:rPr>
        <w:t>prioritizes</w:t>
      </w:r>
      <w:r w:rsidR="00585AF3" w:rsidRPr="00F505C6">
        <w:rPr>
          <w:szCs w:val="24"/>
          <w:lang w:val="en-US"/>
        </w:rPr>
        <w:t xml:space="preserve"> the role of business</w:t>
      </w:r>
      <w:r w:rsidR="003638F4" w:rsidRPr="00F505C6">
        <w:rPr>
          <w:szCs w:val="24"/>
          <w:lang w:val="en-US"/>
        </w:rPr>
        <w:t xml:space="preserve"> to solve problems</w:t>
      </w:r>
      <w:r w:rsidR="00585AF3" w:rsidRPr="00F505C6">
        <w:rPr>
          <w:szCs w:val="24"/>
          <w:lang w:val="en-US"/>
        </w:rPr>
        <w:t xml:space="preserve"> (</w:t>
      </w:r>
      <w:r w:rsidR="006A3255" w:rsidRPr="006A3255">
        <w:rPr>
          <w:szCs w:val="24"/>
          <w:lang w:val="en-US"/>
        </w:rPr>
        <w:t xml:space="preserve">Khavul, Chavez, &amp; Bruton, </w:t>
      </w:r>
      <w:r w:rsidR="00886E2F">
        <w:rPr>
          <w:szCs w:val="24"/>
          <w:lang w:val="en-US"/>
        </w:rPr>
        <w:t xml:space="preserve">2013). </w:t>
      </w:r>
      <w:r w:rsidR="00E46764" w:rsidRPr="00F505C6">
        <w:rPr>
          <w:szCs w:val="24"/>
          <w:lang w:val="en-US"/>
        </w:rPr>
        <w:t xml:space="preserve">This institutional logic approach is apparent in the UK, for example, which is traditionally rooted in third sector non-profit </w:t>
      </w:r>
      <w:r w:rsidR="00AB6AE7" w:rsidRPr="00F505C6">
        <w:rPr>
          <w:szCs w:val="24"/>
          <w:lang w:val="en-US"/>
        </w:rPr>
        <w:t>organizations</w:t>
      </w:r>
      <w:r w:rsidR="00E46764" w:rsidRPr="00F505C6">
        <w:rPr>
          <w:szCs w:val="24"/>
          <w:lang w:val="en-US"/>
        </w:rPr>
        <w:t xml:space="preserve"> </w:t>
      </w:r>
      <w:r w:rsidR="00A05287" w:rsidRPr="00F505C6">
        <w:rPr>
          <w:szCs w:val="24"/>
          <w:lang w:val="en-US"/>
        </w:rPr>
        <w:t>but</w:t>
      </w:r>
      <w:r w:rsidR="00DD4CB1">
        <w:rPr>
          <w:szCs w:val="24"/>
          <w:lang w:val="en-US"/>
        </w:rPr>
        <w:t xml:space="preserve"> observed a recent shift toward</w:t>
      </w:r>
      <w:r w:rsidR="00A05287" w:rsidRPr="00F505C6">
        <w:rPr>
          <w:szCs w:val="24"/>
          <w:lang w:val="en-US"/>
        </w:rPr>
        <w:t xml:space="preserve"> market imperatives (Chell</w:t>
      </w:r>
      <w:r w:rsidR="003C1C19">
        <w:rPr>
          <w:szCs w:val="24"/>
          <w:lang w:val="en-US"/>
        </w:rPr>
        <w:t>,</w:t>
      </w:r>
      <w:r w:rsidR="00A05287" w:rsidRPr="00F505C6">
        <w:rPr>
          <w:szCs w:val="24"/>
          <w:lang w:val="en-US"/>
        </w:rPr>
        <w:t xml:space="preserve"> 2007). </w:t>
      </w:r>
      <w:r w:rsidR="006A3255" w:rsidRPr="006A3255">
        <w:rPr>
          <w:szCs w:val="24"/>
          <w:lang w:val="en-US"/>
        </w:rPr>
        <w:t xml:space="preserve">Bridgstock, Lettice, Özbilgin, </w:t>
      </w:r>
      <w:r w:rsidR="006A3255">
        <w:rPr>
          <w:szCs w:val="24"/>
          <w:lang w:val="en-US"/>
        </w:rPr>
        <w:t>and</w:t>
      </w:r>
      <w:r w:rsidR="006A3255" w:rsidRPr="006A3255">
        <w:rPr>
          <w:szCs w:val="24"/>
          <w:lang w:val="en-US"/>
        </w:rPr>
        <w:t xml:space="preserve"> Tatli </w:t>
      </w:r>
      <w:r w:rsidR="00801334" w:rsidRPr="00F505C6">
        <w:rPr>
          <w:szCs w:val="24"/>
          <w:lang w:val="en-US"/>
        </w:rPr>
        <w:t xml:space="preserve">(2010) </w:t>
      </w:r>
      <w:r w:rsidR="00AB6AE7" w:rsidRPr="00F505C6">
        <w:rPr>
          <w:szCs w:val="24"/>
          <w:lang w:val="en-US"/>
        </w:rPr>
        <w:t>emphasize</w:t>
      </w:r>
      <w:r w:rsidR="00801334" w:rsidRPr="00F505C6">
        <w:rPr>
          <w:szCs w:val="24"/>
          <w:lang w:val="en-US"/>
        </w:rPr>
        <w:t xml:space="preserve"> that such logics produce tensions </w:t>
      </w:r>
      <w:r w:rsidR="003638F4" w:rsidRPr="00F505C6">
        <w:rPr>
          <w:szCs w:val="24"/>
          <w:lang w:val="en-US"/>
        </w:rPr>
        <w:t xml:space="preserve">but that </w:t>
      </w:r>
      <w:r w:rsidR="00801334" w:rsidRPr="00F505C6">
        <w:rPr>
          <w:szCs w:val="24"/>
          <w:lang w:val="en-US"/>
        </w:rPr>
        <w:t>can be mitigated through a diverse workforce and their accompanying practices.</w:t>
      </w:r>
      <w:r w:rsidR="000D7333">
        <w:rPr>
          <w:szCs w:val="24"/>
          <w:lang w:val="en-US"/>
        </w:rPr>
        <w:t xml:space="preserve"> Similarly, </w:t>
      </w:r>
      <w:r w:rsidR="006A3255" w:rsidRPr="006A3255">
        <w:rPr>
          <w:szCs w:val="24"/>
          <w:lang w:val="en-US"/>
        </w:rPr>
        <w:t xml:space="preserve">Battilana, Sengul, Pache, </w:t>
      </w:r>
      <w:r w:rsidR="006A3255">
        <w:rPr>
          <w:szCs w:val="24"/>
          <w:lang w:val="en-US"/>
        </w:rPr>
        <w:t>and</w:t>
      </w:r>
      <w:r w:rsidR="006A3255" w:rsidRPr="006A3255">
        <w:rPr>
          <w:szCs w:val="24"/>
          <w:lang w:val="en-US"/>
        </w:rPr>
        <w:t xml:space="preserve"> Model</w:t>
      </w:r>
      <w:r w:rsidR="006A3255">
        <w:rPr>
          <w:szCs w:val="24"/>
          <w:lang w:val="en-US"/>
        </w:rPr>
        <w:t xml:space="preserve"> </w:t>
      </w:r>
      <w:r w:rsidR="000D7333">
        <w:rPr>
          <w:szCs w:val="24"/>
          <w:lang w:val="en-US"/>
        </w:rPr>
        <w:t xml:space="preserve">(2015) identify that such tensions can be mitigated and negotiated through particular workforce roles. </w:t>
      </w:r>
      <w:r w:rsidR="0048159E" w:rsidRPr="00F505C6">
        <w:rPr>
          <w:szCs w:val="24"/>
          <w:lang w:val="en-US"/>
        </w:rPr>
        <w:t xml:space="preserve">Thus, the challenges </w:t>
      </w:r>
      <w:r w:rsidR="003638F4" w:rsidRPr="00F505C6">
        <w:rPr>
          <w:szCs w:val="24"/>
          <w:lang w:val="en-US"/>
        </w:rPr>
        <w:t>for hybrid organizing emerge</w:t>
      </w:r>
      <w:r w:rsidR="0048159E" w:rsidRPr="00F505C6">
        <w:rPr>
          <w:szCs w:val="24"/>
          <w:lang w:val="en-US"/>
        </w:rPr>
        <w:t xml:space="preserve"> through these dual objectives but are actually practiced through interactions with multiple and diverse stakeholders across these different institutional fields (Doherty et al.</w:t>
      </w:r>
      <w:r w:rsidR="006A3255">
        <w:rPr>
          <w:szCs w:val="24"/>
          <w:lang w:val="en-US"/>
        </w:rPr>
        <w:t>,</w:t>
      </w:r>
      <w:r w:rsidR="0048159E" w:rsidRPr="00F505C6">
        <w:rPr>
          <w:szCs w:val="24"/>
          <w:lang w:val="en-US"/>
        </w:rPr>
        <w:t xml:space="preserve"> 2014). </w:t>
      </w:r>
    </w:p>
    <w:p w14:paraId="178419BA" w14:textId="5C820593" w:rsidR="003E6976" w:rsidRPr="00F505C6" w:rsidRDefault="00ED04F9" w:rsidP="00D01C12">
      <w:pPr>
        <w:ind w:firstLine="567"/>
        <w:rPr>
          <w:szCs w:val="24"/>
          <w:lang w:val="en-US"/>
        </w:rPr>
      </w:pPr>
      <w:r w:rsidRPr="00F505C6">
        <w:rPr>
          <w:szCs w:val="24"/>
          <w:lang w:val="en-US"/>
        </w:rPr>
        <w:lastRenderedPageBreak/>
        <w:t xml:space="preserve">From a more critical view, research has begun to identify </w:t>
      </w:r>
      <w:r w:rsidR="003638F4" w:rsidRPr="00F505C6">
        <w:rPr>
          <w:szCs w:val="24"/>
          <w:lang w:val="en-US"/>
        </w:rPr>
        <w:t>more closely the</w:t>
      </w:r>
      <w:r w:rsidRPr="00F505C6">
        <w:rPr>
          <w:szCs w:val="24"/>
          <w:lang w:val="en-US"/>
        </w:rPr>
        <w:t xml:space="preserve"> tensions that hybrid organizing produces</w:t>
      </w:r>
      <w:r w:rsidR="005345F1">
        <w:rPr>
          <w:szCs w:val="24"/>
          <w:lang w:val="en-US"/>
        </w:rPr>
        <w:t xml:space="preserve"> (</w:t>
      </w:r>
      <w:r w:rsidR="006A3255" w:rsidRPr="006A3255">
        <w:rPr>
          <w:szCs w:val="24"/>
          <w:lang w:val="en-US"/>
        </w:rPr>
        <w:t xml:space="preserve">Smith, Gonin, &amp; Besharov, </w:t>
      </w:r>
      <w:r w:rsidR="005345F1">
        <w:rPr>
          <w:szCs w:val="24"/>
          <w:lang w:val="en-US"/>
        </w:rPr>
        <w:t>2013)</w:t>
      </w:r>
      <w:r w:rsidRPr="00F505C6">
        <w:rPr>
          <w:szCs w:val="24"/>
          <w:lang w:val="en-US"/>
        </w:rPr>
        <w:t>. Pache and Santos (2010) describe how these tensions are produced by organizational poli</w:t>
      </w:r>
      <w:r w:rsidR="00DD4CB1">
        <w:rPr>
          <w:szCs w:val="24"/>
          <w:lang w:val="en-US"/>
        </w:rPr>
        <w:t>tics and eventually leading to mission drift</w:t>
      </w:r>
      <w:r w:rsidRPr="00F505C6">
        <w:rPr>
          <w:szCs w:val="24"/>
          <w:lang w:val="en-US"/>
        </w:rPr>
        <w:t xml:space="preserve"> </w:t>
      </w:r>
      <w:r w:rsidR="00D279A0" w:rsidRPr="00F505C6">
        <w:rPr>
          <w:szCs w:val="24"/>
          <w:lang w:val="en-US"/>
        </w:rPr>
        <w:t>whereby the economic component of the organization becomes more prominent and aspects of the</w:t>
      </w:r>
      <w:r w:rsidR="00D01C12" w:rsidRPr="00F505C6">
        <w:rPr>
          <w:szCs w:val="24"/>
          <w:lang w:val="en-US"/>
        </w:rPr>
        <w:t xml:space="preserve"> social mission are sacrificed (</w:t>
      </w:r>
      <w:r w:rsidR="00261765" w:rsidRPr="00F505C6">
        <w:rPr>
          <w:szCs w:val="24"/>
          <w:lang w:val="en-US"/>
        </w:rPr>
        <w:t>Cornforth</w:t>
      </w:r>
      <w:r w:rsidR="00C57A4C">
        <w:rPr>
          <w:szCs w:val="24"/>
          <w:lang w:val="en-US"/>
        </w:rPr>
        <w:t>,</w:t>
      </w:r>
      <w:r w:rsidR="00261765" w:rsidRPr="00F505C6">
        <w:rPr>
          <w:szCs w:val="24"/>
          <w:lang w:val="en-US"/>
        </w:rPr>
        <w:t xml:space="preserve"> 2014</w:t>
      </w:r>
      <w:r w:rsidR="00D01C12" w:rsidRPr="00F505C6">
        <w:rPr>
          <w:szCs w:val="24"/>
          <w:lang w:val="en-US"/>
        </w:rPr>
        <w:t>). This is quite widely discussed in the microfinance literature, for example, where such organizati</w:t>
      </w:r>
      <w:r w:rsidR="00DD4CB1">
        <w:rPr>
          <w:szCs w:val="24"/>
          <w:lang w:val="en-US"/>
        </w:rPr>
        <w:t>ons become more oriented toward</w:t>
      </w:r>
      <w:r w:rsidR="00D01C12" w:rsidRPr="00F505C6">
        <w:rPr>
          <w:szCs w:val="24"/>
          <w:lang w:val="en-US"/>
        </w:rPr>
        <w:t xml:space="preserve"> financial strength and streamline services to meet such financial concerns</w:t>
      </w:r>
      <w:r w:rsidR="00766FB0" w:rsidRPr="00F505C6">
        <w:rPr>
          <w:szCs w:val="24"/>
          <w:lang w:val="en-US"/>
        </w:rPr>
        <w:t xml:space="preserve"> in a competitive context</w:t>
      </w:r>
      <w:r w:rsidR="00D01C12" w:rsidRPr="00F505C6">
        <w:rPr>
          <w:szCs w:val="24"/>
          <w:lang w:val="en-US"/>
        </w:rPr>
        <w:t xml:space="preserve"> (Copestake</w:t>
      </w:r>
      <w:r w:rsidR="00C57A4C">
        <w:rPr>
          <w:szCs w:val="24"/>
          <w:lang w:val="en-US"/>
        </w:rPr>
        <w:t>,</w:t>
      </w:r>
      <w:r w:rsidR="00D01C12" w:rsidRPr="00F505C6">
        <w:rPr>
          <w:szCs w:val="24"/>
          <w:lang w:val="en-US"/>
        </w:rPr>
        <w:t xml:space="preserve"> 2007).</w:t>
      </w:r>
      <w:r w:rsidR="00766FB0" w:rsidRPr="00F505C6">
        <w:rPr>
          <w:szCs w:val="24"/>
          <w:lang w:val="en-US"/>
        </w:rPr>
        <w:t xml:space="preserve"> Therefore, as social entrepreneurs also often operate in highly competitive environm</w:t>
      </w:r>
      <w:r w:rsidR="00DD4CB1">
        <w:rPr>
          <w:szCs w:val="24"/>
          <w:lang w:val="en-US"/>
        </w:rPr>
        <w:t xml:space="preserve">ents, </w:t>
      </w:r>
      <w:r w:rsidR="00736323">
        <w:rPr>
          <w:szCs w:val="24"/>
          <w:lang w:val="en-US"/>
        </w:rPr>
        <w:t>such organizations</w:t>
      </w:r>
      <w:r w:rsidR="00DD4CB1">
        <w:rPr>
          <w:szCs w:val="24"/>
          <w:lang w:val="en-US"/>
        </w:rPr>
        <w:t xml:space="preserve"> can be pushed toward</w:t>
      </w:r>
      <w:r w:rsidR="00766FB0" w:rsidRPr="00F505C6">
        <w:rPr>
          <w:szCs w:val="24"/>
          <w:lang w:val="en-US"/>
        </w:rPr>
        <w:t xml:space="preserve"> focusing on the financial objectives of the venture (Khavul et al.</w:t>
      </w:r>
      <w:r w:rsidR="006A3255">
        <w:rPr>
          <w:szCs w:val="24"/>
          <w:lang w:val="en-US"/>
        </w:rPr>
        <w:t>,</w:t>
      </w:r>
      <w:r w:rsidR="00766FB0" w:rsidRPr="00F505C6">
        <w:rPr>
          <w:szCs w:val="24"/>
          <w:lang w:val="en-US"/>
        </w:rPr>
        <w:t xml:space="preserve"> 2013). </w:t>
      </w:r>
      <w:r w:rsidR="009848FB" w:rsidRPr="00F505C6">
        <w:rPr>
          <w:szCs w:val="24"/>
          <w:lang w:val="en-US"/>
        </w:rPr>
        <w:t>However,</w:t>
      </w:r>
      <w:r w:rsidR="00766FB0" w:rsidRPr="00F505C6">
        <w:rPr>
          <w:szCs w:val="24"/>
          <w:lang w:val="en-US"/>
        </w:rPr>
        <w:t xml:space="preserve"> as</w:t>
      </w:r>
      <w:r w:rsidR="00D279A0" w:rsidRPr="00F505C6">
        <w:rPr>
          <w:szCs w:val="24"/>
          <w:lang w:val="en-US"/>
        </w:rPr>
        <w:t xml:space="preserve"> </w:t>
      </w:r>
      <w:r w:rsidR="00736323">
        <w:rPr>
          <w:szCs w:val="24"/>
          <w:lang w:val="en-US"/>
        </w:rPr>
        <w:t>social entrepreneurs</w:t>
      </w:r>
      <w:r w:rsidR="00D279A0" w:rsidRPr="00F505C6">
        <w:rPr>
          <w:szCs w:val="24"/>
          <w:lang w:val="en-US"/>
        </w:rPr>
        <w:t xml:space="preserve"> shift from a focus on mission to more commercial objectives, this </w:t>
      </w:r>
      <w:r w:rsidR="00D01C12" w:rsidRPr="00F505C6">
        <w:rPr>
          <w:szCs w:val="24"/>
          <w:lang w:val="en-US"/>
        </w:rPr>
        <w:t>also</w:t>
      </w:r>
      <w:r w:rsidR="00D279A0" w:rsidRPr="00F505C6">
        <w:rPr>
          <w:szCs w:val="24"/>
          <w:lang w:val="en-US"/>
        </w:rPr>
        <w:t xml:space="preserve"> shapes the perception of releva</w:t>
      </w:r>
      <w:r w:rsidR="00B661E5" w:rsidRPr="00F505C6">
        <w:rPr>
          <w:szCs w:val="24"/>
          <w:lang w:val="en-US"/>
        </w:rPr>
        <w:t>nt stakeholders (Nicholls</w:t>
      </w:r>
      <w:r w:rsidR="00C57A4C">
        <w:rPr>
          <w:szCs w:val="24"/>
          <w:lang w:val="en-US"/>
        </w:rPr>
        <w:t>,</w:t>
      </w:r>
      <w:r w:rsidR="00B661E5" w:rsidRPr="00F505C6">
        <w:rPr>
          <w:szCs w:val="24"/>
          <w:lang w:val="en-US"/>
        </w:rPr>
        <w:t xml:space="preserve"> 2010), where </w:t>
      </w:r>
      <w:r w:rsidR="00766FB0" w:rsidRPr="00F505C6">
        <w:rPr>
          <w:szCs w:val="24"/>
          <w:lang w:val="en-US"/>
        </w:rPr>
        <w:t xml:space="preserve">a lack of engagement with external stakeholders may exacerbate mission drift (Rammus </w:t>
      </w:r>
      <w:r w:rsidR="00451B4D">
        <w:rPr>
          <w:szCs w:val="24"/>
          <w:lang w:val="en-US"/>
        </w:rPr>
        <w:t>&amp;</w:t>
      </w:r>
      <w:r w:rsidR="00451B4D" w:rsidRPr="00F505C6">
        <w:rPr>
          <w:szCs w:val="24"/>
          <w:lang w:val="en-US"/>
        </w:rPr>
        <w:t xml:space="preserve"> </w:t>
      </w:r>
      <w:r w:rsidR="00766FB0" w:rsidRPr="00F505C6">
        <w:rPr>
          <w:szCs w:val="24"/>
          <w:lang w:val="en-US"/>
        </w:rPr>
        <w:t>Vaccaro</w:t>
      </w:r>
      <w:r w:rsidR="00C57A4C">
        <w:rPr>
          <w:szCs w:val="24"/>
          <w:lang w:val="en-US"/>
        </w:rPr>
        <w:t>,</w:t>
      </w:r>
      <w:r w:rsidR="00766FB0" w:rsidRPr="00F505C6">
        <w:rPr>
          <w:szCs w:val="24"/>
          <w:lang w:val="en-US"/>
        </w:rPr>
        <w:t xml:space="preserve"> 2017).</w:t>
      </w:r>
      <w:r w:rsidR="00D279A0" w:rsidRPr="00F505C6">
        <w:rPr>
          <w:szCs w:val="24"/>
          <w:lang w:val="en-US"/>
        </w:rPr>
        <w:t xml:space="preserve"> </w:t>
      </w:r>
    </w:p>
    <w:p w14:paraId="1ECD35BA" w14:textId="181801C8" w:rsidR="00530D23" w:rsidRPr="00F505C6" w:rsidRDefault="00530D23" w:rsidP="00D01C12">
      <w:pPr>
        <w:ind w:firstLine="567"/>
        <w:rPr>
          <w:szCs w:val="24"/>
          <w:lang w:val="en-US"/>
        </w:rPr>
      </w:pPr>
      <w:r w:rsidRPr="00F505C6">
        <w:rPr>
          <w:szCs w:val="24"/>
          <w:lang w:val="en-US"/>
        </w:rPr>
        <w:t xml:space="preserve">These tensions can be particularly difficult for social entrepreneurs because of their individual commitment, values and passion to the social mission (Shaw </w:t>
      </w:r>
      <w:r w:rsidR="00451B4D">
        <w:rPr>
          <w:szCs w:val="24"/>
          <w:lang w:val="en-US"/>
        </w:rPr>
        <w:t>&amp;</w:t>
      </w:r>
      <w:r w:rsidR="00451B4D" w:rsidRPr="00F505C6">
        <w:rPr>
          <w:szCs w:val="24"/>
          <w:lang w:val="en-US"/>
        </w:rPr>
        <w:t xml:space="preserve"> </w:t>
      </w:r>
      <w:r w:rsidRPr="00F505C6">
        <w:rPr>
          <w:szCs w:val="24"/>
          <w:lang w:val="en-US"/>
        </w:rPr>
        <w:t xml:space="preserve">Carter 2007). This typically emerges through an individual’s </w:t>
      </w:r>
      <w:r w:rsidR="00DD4CB1">
        <w:rPr>
          <w:szCs w:val="24"/>
          <w:lang w:val="en-US"/>
        </w:rPr>
        <w:t>“</w:t>
      </w:r>
      <w:r w:rsidRPr="00F505C6">
        <w:rPr>
          <w:szCs w:val="24"/>
          <w:lang w:val="en-US"/>
        </w:rPr>
        <w:t>experience corridors</w:t>
      </w:r>
      <w:r w:rsidR="00DD4CB1">
        <w:rPr>
          <w:szCs w:val="24"/>
          <w:lang w:val="en-US"/>
        </w:rPr>
        <w:t>”</w:t>
      </w:r>
      <w:r w:rsidRPr="00F505C6">
        <w:rPr>
          <w:szCs w:val="24"/>
          <w:lang w:val="en-US"/>
        </w:rPr>
        <w:t xml:space="preserve"> </w:t>
      </w:r>
      <w:r w:rsidR="005C059F">
        <w:rPr>
          <w:szCs w:val="24"/>
          <w:lang w:val="en-US"/>
        </w:rPr>
        <w:t>where prior</w:t>
      </w:r>
      <w:r w:rsidRPr="00F505C6">
        <w:rPr>
          <w:szCs w:val="24"/>
          <w:lang w:val="en-US"/>
        </w:rPr>
        <w:t xml:space="preserve"> experience</w:t>
      </w:r>
      <w:r w:rsidR="00D16A24">
        <w:rPr>
          <w:szCs w:val="24"/>
          <w:lang w:val="en-US"/>
        </w:rPr>
        <w:t>, training</w:t>
      </w:r>
      <w:r w:rsidR="00B72E51">
        <w:rPr>
          <w:szCs w:val="24"/>
          <w:lang w:val="en-US"/>
        </w:rPr>
        <w:t>,</w:t>
      </w:r>
      <w:r w:rsidRPr="00F505C6">
        <w:rPr>
          <w:szCs w:val="24"/>
          <w:lang w:val="en-US"/>
        </w:rPr>
        <w:t xml:space="preserve"> and exposure to a particular problem that shapes opportunity development (Corner </w:t>
      </w:r>
      <w:r w:rsidR="00451B4D">
        <w:rPr>
          <w:szCs w:val="24"/>
          <w:lang w:val="en-US"/>
        </w:rPr>
        <w:t>&amp;</w:t>
      </w:r>
      <w:r w:rsidR="00451B4D" w:rsidRPr="00F505C6">
        <w:rPr>
          <w:szCs w:val="24"/>
          <w:lang w:val="en-US"/>
        </w:rPr>
        <w:t xml:space="preserve"> </w:t>
      </w:r>
      <w:r w:rsidRPr="00F505C6">
        <w:rPr>
          <w:szCs w:val="24"/>
          <w:lang w:val="en-US"/>
        </w:rPr>
        <w:t>Ho</w:t>
      </w:r>
      <w:r w:rsidR="00C57A4C">
        <w:rPr>
          <w:szCs w:val="24"/>
          <w:lang w:val="en-US"/>
        </w:rPr>
        <w:t>,</w:t>
      </w:r>
      <w:r w:rsidRPr="00F505C6">
        <w:rPr>
          <w:szCs w:val="24"/>
          <w:lang w:val="en-US"/>
        </w:rPr>
        <w:t xml:space="preserve"> 2010</w:t>
      </w:r>
      <w:r w:rsidR="00D16A24">
        <w:rPr>
          <w:szCs w:val="24"/>
          <w:lang w:val="en-US"/>
        </w:rPr>
        <w:t>;</w:t>
      </w:r>
      <w:r w:rsidR="008A6A6E">
        <w:rPr>
          <w:szCs w:val="24"/>
          <w:lang w:val="en-US"/>
        </w:rPr>
        <w:t xml:space="preserve"> </w:t>
      </w:r>
      <w:r w:rsidR="008A6A6E" w:rsidRPr="008A6A6E">
        <w:rPr>
          <w:szCs w:val="24"/>
        </w:rPr>
        <w:t>Hockerts,</w:t>
      </w:r>
      <w:r w:rsidR="008A6A6E">
        <w:rPr>
          <w:szCs w:val="24"/>
        </w:rPr>
        <w:t xml:space="preserve"> 2017;</w:t>
      </w:r>
      <w:r w:rsidR="00D16A24">
        <w:rPr>
          <w:szCs w:val="24"/>
          <w:lang w:val="en-US"/>
        </w:rPr>
        <w:t xml:space="preserve"> </w:t>
      </w:r>
      <w:r w:rsidR="00D16A24" w:rsidRPr="00D16A24">
        <w:rPr>
          <w:szCs w:val="24"/>
          <w:lang w:val="en-US"/>
        </w:rPr>
        <w:t>Olugbola</w:t>
      </w:r>
      <w:r w:rsidR="00D16A24">
        <w:rPr>
          <w:szCs w:val="24"/>
          <w:lang w:val="en-US"/>
        </w:rPr>
        <w:t>, 2017</w:t>
      </w:r>
      <w:r w:rsidRPr="00F505C6">
        <w:rPr>
          <w:szCs w:val="24"/>
          <w:lang w:val="en-US"/>
        </w:rPr>
        <w:t xml:space="preserve">). </w:t>
      </w:r>
      <w:r w:rsidR="006A3255" w:rsidRPr="006A3255">
        <w:rPr>
          <w:szCs w:val="24"/>
          <w:lang w:val="en-US"/>
        </w:rPr>
        <w:t xml:space="preserve">Miller, Grimes, McMullen, </w:t>
      </w:r>
      <w:r w:rsidR="006A3255">
        <w:rPr>
          <w:szCs w:val="24"/>
          <w:lang w:val="en-US"/>
        </w:rPr>
        <w:t>and</w:t>
      </w:r>
      <w:r w:rsidR="006A3255" w:rsidRPr="006A3255">
        <w:rPr>
          <w:szCs w:val="24"/>
          <w:lang w:val="en-US"/>
        </w:rPr>
        <w:t xml:space="preserve"> Vogus</w:t>
      </w:r>
      <w:r w:rsidR="006A3255">
        <w:rPr>
          <w:szCs w:val="24"/>
          <w:lang w:val="en-US"/>
        </w:rPr>
        <w:t xml:space="preserve"> </w:t>
      </w:r>
      <w:r w:rsidR="00FB5464" w:rsidRPr="00F505C6">
        <w:rPr>
          <w:szCs w:val="24"/>
          <w:lang w:val="en-US"/>
        </w:rPr>
        <w:t>(2012) discuss these experiences as producing compassion, pushing the purpose and intent of the entrepreneur.</w:t>
      </w:r>
      <w:r w:rsidR="006743E5" w:rsidRPr="00F505C6">
        <w:rPr>
          <w:szCs w:val="24"/>
          <w:lang w:val="en-US"/>
        </w:rPr>
        <w:t xml:space="preserve"> This kind of relevant experience has also been shown to enable job creation of social enterprises (</w:t>
      </w:r>
      <w:r w:rsidR="006743E5" w:rsidRPr="00F505C6">
        <w:rPr>
          <w:lang w:val="en-US"/>
        </w:rPr>
        <w:t>Rey-Martí et al.</w:t>
      </w:r>
      <w:r w:rsidR="006A3255">
        <w:rPr>
          <w:lang w:val="en-US"/>
        </w:rPr>
        <w:t>,</w:t>
      </w:r>
      <w:r w:rsidR="006743E5" w:rsidRPr="00F505C6">
        <w:rPr>
          <w:lang w:val="en-US"/>
        </w:rPr>
        <w:t xml:space="preserve"> 2016)</w:t>
      </w:r>
      <w:r w:rsidR="006743E5" w:rsidRPr="00F505C6">
        <w:rPr>
          <w:szCs w:val="24"/>
          <w:lang w:val="en-US"/>
        </w:rPr>
        <w:t xml:space="preserve">. </w:t>
      </w:r>
      <w:r w:rsidR="00FB5464" w:rsidRPr="00F505C6">
        <w:rPr>
          <w:szCs w:val="24"/>
          <w:lang w:val="en-US"/>
        </w:rPr>
        <w:t>As such, the previous experience of the individual prior to starting their social venture is formative in understanding their values</w:t>
      </w:r>
      <w:r w:rsidR="00F32390">
        <w:rPr>
          <w:szCs w:val="24"/>
          <w:lang w:val="en-US"/>
        </w:rPr>
        <w:t>,</w:t>
      </w:r>
      <w:r w:rsidR="00FB5464" w:rsidRPr="00F505C6">
        <w:rPr>
          <w:szCs w:val="24"/>
          <w:lang w:val="en-US"/>
        </w:rPr>
        <w:t xml:space="preserve"> which are closely tied to the desire for </w:t>
      </w:r>
      <w:r w:rsidR="009D40F3" w:rsidRPr="00F505C6">
        <w:rPr>
          <w:szCs w:val="24"/>
          <w:lang w:val="en-US"/>
        </w:rPr>
        <w:t xml:space="preserve">pro-social </w:t>
      </w:r>
      <w:r w:rsidR="00AB6AE7" w:rsidRPr="00F505C6">
        <w:rPr>
          <w:szCs w:val="24"/>
          <w:lang w:val="en-US"/>
        </w:rPr>
        <w:t>behavior</w:t>
      </w:r>
      <w:r w:rsidR="009D40F3" w:rsidRPr="00F505C6">
        <w:rPr>
          <w:szCs w:val="24"/>
          <w:lang w:val="en-US"/>
        </w:rPr>
        <w:t xml:space="preserve"> (</w:t>
      </w:r>
      <w:r w:rsidR="006A3255" w:rsidRPr="006A3255">
        <w:rPr>
          <w:szCs w:val="24"/>
          <w:lang w:val="en-US"/>
        </w:rPr>
        <w:t xml:space="preserve">Zahra, Rawhouser, Bhawe, Neubaum, &amp; Hayton, </w:t>
      </w:r>
      <w:r w:rsidR="009D40F3" w:rsidRPr="00F505C6">
        <w:rPr>
          <w:szCs w:val="24"/>
          <w:lang w:val="en-US"/>
        </w:rPr>
        <w:t>2008</w:t>
      </w:r>
      <w:r w:rsidR="00FB5464" w:rsidRPr="00F505C6">
        <w:rPr>
          <w:szCs w:val="24"/>
          <w:lang w:val="en-US"/>
        </w:rPr>
        <w:t xml:space="preserve">). Consequently, tensions can emerge when economic objectives </w:t>
      </w:r>
      <w:r w:rsidR="00F35917" w:rsidRPr="00F505C6">
        <w:rPr>
          <w:szCs w:val="24"/>
          <w:lang w:val="en-US"/>
        </w:rPr>
        <w:t xml:space="preserve">begin to alter </w:t>
      </w:r>
      <w:r w:rsidR="00F35917" w:rsidRPr="00F505C6">
        <w:rPr>
          <w:szCs w:val="24"/>
          <w:lang w:val="en-US"/>
        </w:rPr>
        <w:lastRenderedPageBreak/>
        <w:t>aspects of the social mission, running up against the values as informed by their prior experiences</w:t>
      </w:r>
      <w:r w:rsidR="00FB5464" w:rsidRPr="00F505C6">
        <w:rPr>
          <w:szCs w:val="24"/>
          <w:lang w:val="en-US"/>
        </w:rPr>
        <w:t xml:space="preserve"> (Zahra et al.</w:t>
      </w:r>
      <w:r w:rsidR="00D157FD">
        <w:rPr>
          <w:szCs w:val="24"/>
          <w:lang w:val="en-US"/>
        </w:rPr>
        <w:t>,</w:t>
      </w:r>
      <w:r w:rsidR="00FB5464" w:rsidRPr="00F505C6">
        <w:rPr>
          <w:szCs w:val="24"/>
          <w:lang w:val="en-US"/>
        </w:rPr>
        <w:t xml:space="preserve"> 2009).  </w:t>
      </w:r>
    </w:p>
    <w:p w14:paraId="34C6A5C9" w14:textId="0C33CB0D" w:rsidR="00881258" w:rsidRPr="00F505C6" w:rsidRDefault="009728C7" w:rsidP="00E46764">
      <w:pPr>
        <w:ind w:firstLine="567"/>
        <w:rPr>
          <w:szCs w:val="24"/>
          <w:lang w:val="en-US"/>
        </w:rPr>
      </w:pPr>
      <w:r w:rsidRPr="00F505C6">
        <w:rPr>
          <w:szCs w:val="24"/>
          <w:lang w:val="en-US"/>
        </w:rPr>
        <w:t xml:space="preserve">Thus, mission drift is thought to occur when economic </w:t>
      </w:r>
      <w:r w:rsidR="00D01C12" w:rsidRPr="00F505C6">
        <w:rPr>
          <w:szCs w:val="24"/>
          <w:lang w:val="en-US"/>
        </w:rPr>
        <w:t>objective</w:t>
      </w:r>
      <w:r w:rsidR="00766FB0" w:rsidRPr="00F505C6">
        <w:rPr>
          <w:szCs w:val="24"/>
          <w:lang w:val="en-US"/>
        </w:rPr>
        <w:t>s</w:t>
      </w:r>
      <w:r w:rsidR="00D01C12" w:rsidRPr="00F505C6">
        <w:rPr>
          <w:szCs w:val="24"/>
          <w:lang w:val="en-US"/>
        </w:rPr>
        <w:t xml:space="preserve"> become</w:t>
      </w:r>
      <w:r w:rsidRPr="00F505C6">
        <w:rPr>
          <w:szCs w:val="24"/>
          <w:lang w:val="en-US"/>
        </w:rPr>
        <w:t xml:space="preserve"> more prevalent than </w:t>
      </w:r>
      <w:r w:rsidR="00D01C12" w:rsidRPr="00F505C6">
        <w:rPr>
          <w:szCs w:val="24"/>
          <w:lang w:val="en-US"/>
        </w:rPr>
        <w:t xml:space="preserve">the </w:t>
      </w:r>
      <w:r w:rsidRPr="00F505C6">
        <w:rPr>
          <w:szCs w:val="24"/>
          <w:lang w:val="en-US"/>
        </w:rPr>
        <w:t xml:space="preserve">social </w:t>
      </w:r>
      <w:r w:rsidR="0095512C" w:rsidRPr="00F505C6">
        <w:rPr>
          <w:szCs w:val="24"/>
          <w:lang w:val="en-US"/>
        </w:rPr>
        <w:t>mission does</w:t>
      </w:r>
      <w:r w:rsidRPr="00F505C6">
        <w:rPr>
          <w:szCs w:val="24"/>
          <w:lang w:val="en-US"/>
        </w:rPr>
        <w:t xml:space="preserve">. Although social entrepreneurs develop earned income strategies to address social needs, the flow of other financial resources can be </w:t>
      </w:r>
      <w:r w:rsidR="00AB6AE7" w:rsidRPr="00F505C6">
        <w:rPr>
          <w:szCs w:val="24"/>
          <w:lang w:val="en-US"/>
        </w:rPr>
        <w:t>extremely</w:t>
      </w:r>
      <w:r w:rsidRPr="00F505C6">
        <w:rPr>
          <w:szCs w:val="24"/>
          <w:lang w:val="en-US"/>
        </w:rPr>
        <w:t xml:space="preserve"> challenging. </w:t>
      </w:r>
      <w:r w:rsidR="006B6BF3">
        <w:rPr>
          <w:szCs w:val="24"/>
          <w:lang w:val="en-US"/>
        </w:rPr>
        <w:t>S</w:t>
      </w:r>
      <w:r w:rsidRPr="00F505C6">
        <w:rPr>
          <w:szCs w:val="24"/>
          <w:lang w:val="en-US"/>
        </w:rPr>
        <w:t>ocial entrepreneurs are able to generate income because of their social purpose</w:t>
      </w:r>
      <w:r w:rsidR="00870BE7" w:rsidRPr="00F505C6">
        <w:rPr>
          <w:szCs w:val="24"/>
          <w:lang w:val="en-US"/>
        </w:rPr>
        <w:t xml:space="preserve"> (Austin et al.</w:t>
      </w:r>
      <w:r w:rsidR="006A3255">
        <w:rPr>
          <w:szCs w:val="24"/>
          <w:lang w:val="en-US"/>
        </w:rPr>
        <w:t>,</w:t>
      </w:r>
      <w:r w:rsidR="00870BE7" w:rsidRPr="00F505C6">
        <w:rPr>
          <w:szCs w:val="24"/>
          <w:lang w:val="en-US"/>
        </w:rPr>
        <w:t xml:space="preserve"> 2006)</w:t>
      </w:r>
      <w:r w:rsidRPr="00F505C6">
        <w:rPr>
          <w:szCs w:val="24"/>
          <w:lang w:val="en-US"/>
        </w:rPr>
        <w:t xml:space="preserve"> and </w:t>
      </w:r>
      <w:r w:rsidR="00D01C12" w:rsidRPr="00F505C6">
        <w:rPr>
          <w:szCs w:val="24"/>
          <w:lang w:val="en-US"/>
        </w:rPr>
        <w:t>through</w:t>
      </w:r>
      <w:r w:rsidRPr="00F505C6">
        <w:rPr>
          <w:szCs w:val="24"/>
          <w:lang w:val="en-US"/>
        </w:rPr>
        <w:t xml:space="preserve"> legitimacy </w:t>
      </w:r>
      <w:r w:rsidR="00D01C12" w:rsidRPr="00F505C6">
        <w:rPr>
          <w:szCs w:val="24"/>
          <w:lang w:val="en-US"/>
        </w:rPr>
        <w:t>with</w:t>
      </w:r>
      <w:r w:rsidRPr="00F505C6">
        <w:rPr>
          <w:szCs w:val="24"/>
          <w:lang w:val="en-US"/>
        </w:rPr>
        <w:t xml:space="preserve"> stakeholders (Teasdale</w:t>
      </w:r>
      <w:r w:rsidR="00C57A4C">
        <w:rPr>
          <w:szCs w:val="24"/>
          <w:lang w:val="en-US"/>
        </w:rPr>
        <w:t>,</w:t>
      </w:r>
      <w:r w:rsidRPr="00F505C6">
        <w:rPr>
          <w:szCs w:val="24"/>
          <w:lang w:val="en-US"/>
        </w:rPr>
        <w:t xml:space="preserve"> 2010). </w:t>
      </w:r>
      <w:r w:rsidR="0095512C">
        <w:rPr>
          <w:szCs w:val="24"/>
          <w:lang w:val="en-US"/>
        </w:rPr>
        <w:t>However,</w:t>
      </w:r>
      <w:r w:rsidR="006B6BF3">
        <w:rPr>
          <w:szCs w:val="24"/>
          <w:lang w:val="en-US"/>
        </w:rPr>
        <w:t xml:space="preserve"> </w:t>
      </w:r>
      <w:r w:rsidR="00736323">
        <w:rPr>
          <w:szCs w:val="24"/>
          <w:lang w:val="en-US"/>
        </w:rPr>
        <w:t>such firms</w:t>
      </w:r>
      <w:r w:rsidRPr="00F505C6">
        <w:rPr>
          <w:szCs w:val="24"/>
          <w:lang w:val="en-US"/>
        </w:rPr>
        <w:t xml:space="preserve"> also struggle to access conventional forms of </w:t>
      </w:r>
      <w:r w:rsidR="00870BE7" w:rsidRPr="00F505C6">
        <w:rPr>
          <w:szCs w:val="24"/>
          <w:lang w:val="en-US"/>
        </w:rPr>
        <w:t>finance from banks and the social i</w:t>
      </w:r>
      <w:r w:rsidR="00AB6AE7">
        <w:rPr>
          <w:szCs w:val="24"/>
          <w:lang w:val="en-US"/>
        </w:rPr>
        <w:t>nvestment market remains in its</w:t>
      </w:r>
      <w:r w:rsidR="00870BE7" w:rsidRPr="00F505C6">
        <w:rPr>
          <w:szCs w:val="24"/>
          <w:lang w:val="en-US"/>
        </w:rPr>
        <w:t xml:space="preserve"> infancy</w:t>
      </w:r>
      <w:r w:rsidR="00D01C12" w:rsidRPr="00F505C6">
        <w:rPr>
          <w:szCs w:val="24"/>
          <w:lang w:val="en-US"/>
        </w:rPr>
        <w:t xml:space="preserve"> in most contexts</w:t>
      </w:r>
      <w:r w:rsidR="00870BE7" w:rsidRPr="00F505C6">
        <w:rPr>
          <w:szCs w:val="24"/>
          <w:lang w:val="en-US"/>
        </w:rPr>
        <w:t xml:space="preserve"> (</w:t>
      </w:r>
      <w:r w:rsidR="006A3255" w:rsidRPr="006A3255">
        <w:rPr>
          <w:szCs w:val="24"/>
          <w:lang w:val="en-US"/>
        </w:rPr>
        <w:t xml:space="preserve">Scarlata, Walske, &amp; Zacharakis, </w:t>
      </w:r>
      <w:r w:rsidR="009629CB" w:rsidRPr="00F505C6">
        <w:rPr>
          <w:szCs w:val="24"/>
          <w:lang w:val="en-US"/>
        </w:rPr>
        <w:t>201</w:t>
      </w:r>
      <w:r w:rsidR="009629CB">
        <w:rPr>
          <w:szCs w:val="24"/>
          <w:lang w:val="en-US"/>
        </w:rPr>
        <w:t>7</w:t>
      </w:r>
      <w:r w:rsidR="00870BE7" w:rsidRPr="00F505C6">
        <w:rPr>
          <w:szCs w:val="24"/>
          <w:lang w:val="en-US"/>
        </w:rPr>
        <w:t xml:space="preserve">). </w:t>
      </w:r>
      <w:r w:rsidR="00E46764" w:rsidRPr="00F505C6">
        <w:rPr>
          <w:szCs w:val="24"/>
          <w:lang w:val="en-US"/>
        </w:rPr>
        <w:t xml:space="preserve">Thus, the notion of accomplishing social objectives through the market ensures that social outcomes are integral to financial performance and organizational survival (Peredo &amp; McLean, 2006). However, in reality, </w:t>
      </w:r>
      <w:r w:rsidR="00870BE7" w:rsidRPr="00F505C6">
        <w:rPr>
          <w:szCs w:val="24"/>
          <w:lang w:val="en-US"/>
        </w:rPr>
        <w:t>the push for financial sustainability in social enterprises means that the economic mission seems to become more pertinent and the social objectives are pushed aside or taken for granted (Zahra et al.</w:t>
      </w:r>
      <w:r w:rsidR="006A3255">
        <w:rPr>
          <w:szCs w:val="24"/>
          <w:lang w:val="en-US"/>
        </w:rPr>
        <w:t>,</w:t>
      </w:r>
      <w:r w:rsidR="00870BE7" w:rsidRPr="00F505C6">
        <w:rPr>
          <w:szCs w:val="24"/>
          <w:lang w:val="en-US"/>
        </w:rPr>
        <w:t xml:space="preserve"> 2009). </w:t>
      </w:r>
    </w:p>
    <w:p w14:paraId="64C8C363" w14:textId="612333DC" w:rsidR="009D40F3" w:rsidRDefault="00EF0147" w:rsidP="000D7333">
      <w:pPr>
        <w:ind w:firstLine="567"/>
        <w:rPr>
          <w:szCs w:val="24"/>
          <w:lang w:val="en-US"/>
        </w:rPr>
      </w:pPr>
      <w:r w:rsidRPr="00F505C6">
        <w:rPr>
          <w:szCs w:val="24"/>
          <w:lang w:val="en-US"/>
        </w:rPr>
        <w:t>In sum, literature has identified hybrid organizing and the dual objectives of social entrepreneurs as being a s</w:t>
      </w:r>
      <w:r w:rsidR="00DD4CB1">
        <w:rPr>
          <w:szCs w:val="24"/>
          <w:lang w:val="en-US"/>
        </w:rPr>
        <w:t>ource of tension and potential mission drift</w:t>
      </w:r>
      <w:r w:rsidRPr="00F505C6">
        <w:rPr>
          <w:szCs w:val="24"/>
          <w:lang w:val="en-US"/>
        </w:rPr>
        <w:t>. Indeed, Doherty et al. (</w:t>
      </w:r>
      <w:r w:rsidR="009629CB" w:rsidRPr="00F505C6">
        <w:rPr>
          <w:szCs w:val="24"/>
          <w:lang w:val="en-US"/>
        </w:rPr>
        <w:t>201</w:t>
      </w:r>
      <w:r w:rsidR="009629CB">
        <w:rPr>
          <w:szCs w:val="24"/>
          <w:lang w:val="en-US"/>
        </w:rPr>
        <w:t>4</w:t>
      </w:r>
      <w:r w:rsidRPr="00F505C6">
        <w:rPr>
          <w:szCs w:val="24"/>
          <w:lang w:val="en-US"/>
        </w:rPr>
        <w:t>) state</w:t>
      </w:r>
      <w:r w:rsidR="0095512C">
        <w:rPr>
          <w:szCs w:val="24"/>
          <w:lang w:val="en-US"/>
        </w:rPr>
        <w:t xml:space="preserve"> that</w:t>
      </w:r>
      <w:r w:rsidRPr="00F505C6">
        <w:rPr>
          <w:szCs w:val="24"/>
          <w:lang w:val="en-US"/>
        </w:rPr>
        <w:t xml:space="preserve"> “</w:t>
      </w:r>
      <w:r w:rsidR="009728C7" w:rsidRPr="00F505C6">
        <w:rPr>
          <w:szCs w:val="24"/>
          <w:lang w:val="en-US"/>
        </w:rPr>
        <w:t>hybrid organizations are, by definition, sites of contradiction, contestation and conflict” (</w:t>
      </w:r>
      <w:r w:rsidR="00665971">
        <w:rPr>
          <w:szCs w:val="24"/>
          <w:lang w:val="en-US"/>
        </w:rPr>
        <w:t>p. 425</w:t>
      </w:r>
      <w:r w:rsidR="009728C7" w:rsidRPr="00F505C6">
        <w:rPr>
          <w:szCs w:val="24"/>
          <w:lang w:val="en-US"/>
        </w:rPr>
        <w:t>)</w:t>
      </w:r>
      <w:r w:rsidRPr="00F505C6">
        <w:rPr>
          <w:szCs w:val="24"/>
          <w:lang w:val="en-US"/>
        </w:rPr>
        <w:t xml:space="preserve">. </w:t>
      </w:r>
      <w:r w:rsidR="00164CB7" w:rsidRPr="00F505C6">
        <w:rPr>
          <w:szCs w:val="24"/>
          <w:lang w:val="en-US"/>
        </w:rPr>
        <w:t xml:space="preserve">For social entrepreneurs, this is what Florin and Schmidt (2011) argue as a strategic paradox where social mission and economic objectives sit on a continuum </w:t>
      </w:r>
      <w:r w:rsidR="000D7333">
        <w:rPr>
          <w:szCs w:val="24"/>
          <w:lang w:val="en-US"/>
        </w:rPr>
        <w:t>and</w:t>
      </w:r>
      <w:r w:rsidR="000D7333" w:rsidRPr="00F505C6">
        <w:rPr>
          <w:szCs w:val="24"/>
          <w:lang w:val="en-US"/>
        </w:rPr>
        <w:t xml:space="preserve"> </w:t>
      </w:r>
      <w:r w:rsidR="00805F5C" w:rsidRPr="00F505C6">
        <w:rPr>
          <w:szCs w:val="24"/>
          <w:lang w:val="en-US"/>
        </w:rPr>
        <w:t xml:space="preserve">constant </w:t>
      </w:r>
      <w:r w:rsidR="00AB6AE7" w:rsidRPr="00F505C6">
        <w:rPr>
          <w:szCs w:val="24"/>
          <w:lang w:val="en-US"/>
        </w:rPr>
        <w:t>tradeoffs</w:t>
      </w:r>
      <w:r w:rsidR="00805F5C" w:rsidRPr="00F505C6">
        <w:rPr>
          <w:szCs w:val="24"/>
          <w:lang w:val="en-US"/>
        </w:rPr>
        <w:t xml:space="preserve"> seem to exist; it is the notion of this paradox, tension, conflict or contestation that this paper seeks to challenge</w:t>
      </w:r>
      <w:r w:rsidR="00B661E5" w:rsidRPr="00F505C6">
        <w:rPr>
          <w:szCs w:val="24"/>
          <w:lang w:val="en-US"/>
        </w:rPr>
        <w:t xml:space="preserve"> and develop further</w:t>
      </w:r>
      <w:r w:rsidR="00805F5C" w:rsidRPr="00F505C6">
        <w:rPr>
          <w:szCs w:val="24"/>
          <w:lang w:val="en-US"/>
        </w:rPr>
        <w:t xml:space="preserve">. The literature assumes that social and economic objectives exist at either end of a continuum with social entrepreneurs navigating away from their social mission when financial objectives become a strategic imperative, creating mission drift. </w:t>
      </w:r>
      <w:r w:rsidR="005E0AE2">
        <w:rPr>
          <w:szCs w:val="24"/>
          <w:lang w:val="en-US"/>
        </w:rPr>
        <w:t>Therefore, the literature underplays the strategic importance of a social mission to a firm’</w:t>
      </w:r>
      <w:r w:rsidR="00F32390">
        <w:rPr>
          <w:szCs w:val="24"/>
          <w:lang w:val="en-US"/>
        </w:rPr>
        <w:t>s competitive advantage;</w:t>
      </w:r>
      <w:r w:rsidR="005C059F">
        <w:rPr>
          <w:szCs w:val="24"/>
          <w:lang w:val="en-US"/>
        </w:rPr>
        <w:t xml:space="preserve"> </w:t>
      </w:r>
      <w:r w:rsidR="000D7333">
        <w:rPr>
          <w:szCs w:val="24"/>
          <w:lang w:val="en-US"/>
        </w:rPr>
        <w:t xml:space="preserve">social missions </w:t>
      </w:r>
      <w:r w:rsidR="00F37984">
        <w:rPr>
          <w:szCs w:val="24"/>
          <w:lang w:val="en-US"/>
        </w:rPr>
        <w:t xml:space="preserve">may </w:t>
      </w:r>
      <w:r w:rsidR="000D7333">
        <w:rPr>
          <w:szCs w:val="24"/>
          <w:lang w:val="en-US"/>
        </w:rPr>
        <w:t xml:space="preserve">actually improve financial </w:t>
      </w:r>
      <w:r w:rsidR="000D7333">
        <w:rPr>
          <w:szCs w:val="24"/>
          <w:lang w:val="en-US"/>
        </w:rPr>
        <w:lastRenderedPageBreak/>
        <w:t>performance</w:t>
      </w:r>
      <w:r w:rsidR="00A66512">
        <w:rPr>
          <w:szCs w:val="24"/>
          <w:lang w:val="en-US"/>
        </w:rPr>
        <w:t>,</w:t>
      </w:r>
      <w:r w:rsidR="000D7333">
        <w:rPr>
          <w:szCs w:val="24"/>
          <w:lang w:val="en-US"/>
        </w:rPr>
        <w:t xml:space="preserve"> and one does not necessarily compromise the other. This opens</w:t>
      </w:r>
      <w:r w:rsidR="005E0AE2">
        <w:rPr>
          <w:szCs w:val="24"/>
          <w:lang w:val="en-US"/>
        </w:rPr>
        <w:t xml:space="preserve"> up the prospect that social and economic objectives may be able to operate together simultaneously. </w:t>
      </w:r>
    </w:p>
    <w:p w14:paraId="72E8D421" w14:textId="376937E3" w:rsidR="00EF2970" w:rsidRPr="00295264" w:rsidRDefault="00EF2970" w:rsidP="00295264">
      <w:pPr>
        <w:rPr>
          <w:rFonts w:eastAsia="Times New Roman" w:cs="Times New Roman"/>
        </w:rPr>
      </w:pPr>
      <w:r>
        <w:rPr>
          <w:szCs w:val="24"/>
          <w:lang w:val="en-US"/>
        </w:rPr>
        <w:t xml:space="preserve">We draw from the emerging economy strategy framework of Bruton et al. (2013) to analyze how social entrepreneurs use their social missions to remain competitive in the marketplace. This framework adopts two perspectives relevant here: micro-foundations and micro-processes. In the former, prior knowledge and an entrepreneurs’ general orientation to certain challenges flow from the individual and are </w:t>
      </w:r>
      <w:r w:rsidR="00295264" w:rsidRPr="00DC379F">
        <w:rPr>
          <w:rFonts w:eastAsia="Times New Roman" w:cs="Times New Roman"/>
        </w:rPr>
        <w:t>relevant to understanding their strategic decisions such as their grasp of</w:t>
      </w:r>
      <w:r w:rsidR="00295264">
        <w:rPr>
          <w:rFonts w:eastAsia="Times New Roman" w:cs="Times New Roman"/>
        </w:rPr>
        <w:t xml:space="preserve"> </w:t>
      </w:r>
      <w:r>
        <w:rPr>
          <w:szCs w:val="24"/>
          <w:lang w:val="en-US"/>
        </w:rPr>
        <w:t>social problems (</w:t>
      </w:r>
      <w:r w:rsidRPr="008A6A6E">
        <w:rPr>
          <w:szCs w:val="24"/>
        </w:rPr>
        <w:t>Hockerts,</w:t>
      </w:r>
      <w:r>
        <w:rPr>
          <w:szCs w:val="24"/>
        </w:rPr>
        <w:t xml:space="preserve"> 2017; </w:t>
      </w:r>
      <w:r>
        <w:rPr>
          <w:szCs w:val="24"/>
          <w:lang w:val="en-US"/>
        </w:rPr>
        <w:t>K</w:t>
      </w:r>
      <w:r w:rsidRPr="003C1C19">
        <w:rPr>
          <w:szCs w:val="24"/>
          <w:lang w:val="en-US"/>
        </w:rPr>
        <w:t xml:space="preserve">immitt </w:t>
      </w:r>
      <w:r>
        <w:rPr>
          <w:szCs w:val="24"/>
          <w:lang w:val="en-US"/>
        </w:rPr>
        <w:t>&amp;</w:t>
      </w:r>
      <w:r w:rsidRPr="003C1C19">
        <w:rPr>
          <w:szCs w:val="24"/>
          <w:lang w:val="en-US"/>
        </w:rPr>
        <w:t xml:space="preserve"> Muñoz, 2018)</w:t>
      </w:r>
      <w:r>
        <w:rPr>
          <w:szCs w:val="24"/>
          <w:lang w:val="en-US"/>
        </w:rPr>
        <w:t xml:space="preserve"> and social orientation (</w:t>
      </w:r>
      <w:r w:rsidRPr="003C1C19">
        <w:rPr>
          <w:szCs w:val="24"/>
          <w:lang w:val="en-US"/>
        </w:rPr>
        <w:t>Muñoz</w:t>
      </w:r>
      <w:r>
        <w:rPr>
          <w:szCs w:val="24"/>
          <w:lang w:val="en-US"/>
        </w:rPr>
        <w:t xml:space="preserve"> &amp; Dimov, 2015). The latter micro-processes are more external in nature and encompass resource availability such as investment (Scarlata et al., 2017), the nature of the firm’s market </w:t>
      </w:r>
      <w:r w:rsidRPr="00F505C6">
        <w:rPr>
          <w:szCs w:val="24"/>
          <w:lang w:val="en-US"/>
        </w:rPr>
        <w:t>(Copestake</w:t>
      </w:r>
      <w:r>
        <w:rPr>
          <w:szCs w:val="24"/>
          <w:lang w:val="en-US"/>
        </w:rPr>
        <w:t>,</w:t>
      </w:r>
      <w:r w:rsidRPr="00F505C6">
        <w:rPr>
          <w:szCs w:val="24"/>
          <w:lang w:val="en-US"/>
        </w:rPr>
        <w:t xml:space="preserve"> 2007</w:t>
      </w:r>
      <w:r>
        <w:rPr>
          <w:szCs w:val="24"/>
          <w:lang w:val="en-US"/>
        </w:rPr>
        <w:t>)</w:t>
      </w:r>
      <w:r w:rsidR="00B72E51">
        <w:rPr>
          <w:szCs w:val="24"/>
          <w:lang w:val="en-US"/>
        </w:rPr>
        <w:t>,</w:t>
      </w:r>
      <w:r>
        <w:rPr>
          <w:szCs w:val="24"/>
          <w:lang w:val="en-US"/>
        </w:rPr>
        <w:t xml:space="preserve"> and the financial value of being a mission oriented firm (Teasdale, 2010). </w:t>
      </w:r>
    </w:p>
    <w:p w14:paraId="691EDCB6" w14:textId="6720824E" w:rsidR="00EF2970" w:rsidRDefault="00EF2970" w:rsidP="00EF2970">
      <w:pPr>
        <w:rPr>
          <w:lang w:val="en-US"/>
        </w:rPr>
      </w:pPr>
      <w:r w:rsidRPr="00F505C6">
        <w:rPr>
          <w:lang w:val="en-US"/>
        </w:rPr>
        <w:t xml:space="preserve">Building on the work of Teasdale (2010) and </w:t>
      </w:r>
      <w:r w:rsidRPr="00F505C6">
        <w:rPr>
          <w:rFonts w:cs="Times New Roman"/>
          <w:lang w:val="en-US"/>
        </w:rPr>
        <w:t xml:space="preserve">complexity thinking of business micro-processes (Muñoz </w:t>
      </w:r>
      <w:r>
        <w:rPr>
          <w:rFonts w:cs="Times New Roman"/>
          <w:lang w:val="en-US"/>
        </w:rPr>
        <w:t>&amp;</w:t>
      </w:r>
      <w:r w:rsidRPr="00F505C6">
        <w:rPr>
          <w:rFonts w:cs="Times New Roman"/>
          <w:lang w:val="en-US"/>
        </w:rPr>
        <w:t xml:space="preserve"> Dimov</w:t>
      </w:r>
      <w:r>
        <w:rPr>
          <w:rFonts w:cs="Times New Roman"/>
          <w:lang w:val="en-US"/>
        </w:rPr>
        <w:t>,</w:t>
      </w:r>
      <w:r w:rsidRPr="00F505C6">
        <w:rPr>
          <w:rFonts w:cs="Times New Roman"/>
          <w:lang w:val="en-US"/>
        </w:rPr>
        <w:t xml:space="preserve"> 2015)</w:t>
      </w:r>
      <w:r w:rsidRPr="00F505C6">
        <w:rPr>
          <w:lang w:val="en-US"/>
        </w:rPr>
        <w:t xml:space="preserve">, </w:t>
      </w:r>
      <w:r w:rsidR="00295264" w:rsidRPr="00DC379F">
        <w:rPr>
          <w:rFonts w:eastAsia="Times New Roman" w:cs="Times New Roman"/>
        </w:rPr>
        <w:t>this paper proposes that a more complex set of relationships is needed to understand</w:t>
      </w:r>
      <w:r w:rsidRPr="00F505C6">
        <w:rPr>
          <w:lang w:val="en-US"/>
        </w:rPr>
        <w:t xml:space="preserve"> the strategic relevance of an entrepreneur’s social mission to </w:t>
      </w:r>
      <w:r w:rsidR="00A66512">
        <w:rPr>
          <w:lang w:val="en-US"/>
        </w:rPr>
        <w:t>the entrepreneur’s</w:t>
      </w:r>
      <w:r w:rsidRPr="00F505C6">
        <w:rPr>
          <w:lang w:val="en-US"/>
        </w:rPr>
        <w:t xml:space="preserve"> economic objectives.</w:t>
      </w:r>
      <w:r>
        <w:rPr>
          <w:lang w:val="en-US"/>
        </w:rPr>
        <w:t xml:space="preserve"> Based on extant literature, one would expect to see that an en</w:t>
      </w:r>
      <w:r w:rsidR="00DD4CB1">
        <w:rPr>
          <w:lang w:val="en-US"/>
        </w:rPr>
        <w:t>trepreneur’s orientation toward</w:t>
      </w:r>
      <w:r>
        <w:rPr>
          <w:lang w:val="en-US"/>
        </w:rPr>
        <w:t xml:space="preserve"> a social mission to be incompatibl</w:t>
      </w:r>
      <w:r w:rsidR="00DD4CB1">
        <w:rPr>
          <w:lang w:val="en-US"/>
        </w:rPr>
        <w:t xml:space="preserve">e with </w:t>
      </w:r>
      <w:r w:rsidR="00A66512">
        <w:rPr>
          <w:lang w:val="en-US"/>
        </w:rPr>
        <w:t>an</w:t>
      </w:r>
      <w:r w:rsidR="00DD4CB1">
        <w:rPr>
          <w:lang w:val="en-US"/>
        </w:rPr>
        <w:t xml:space="preserve"> orientation toward</w:t>
      </w:r>
      <w:r>
        <w:rPr>
          <w:lang w:val="en-US"/>
        </w:rPr>
        <w:t xml:space="preserve"> an economic mission (micro-foundations) but this remains unknown when factoring in the potential strategic and competitive value of a social mission. </w:t>
      </w:r>
      <w:r w:rsidRPr="00F505C6">
        <w:rPr>
          <w:lang w:val="en-US"/>
        </w:rPr>
        <w:t>This indicates a new pathway for understanding how dual objectives operate together. Similarly, prior research identifi</w:t>
      </w:r>
      <w:r w:rsidR="000A60D5">
        <w:rPr>
          <w:lang w:val="en-US"/>
        </w:rPr>
        <w:t>es that their prior experiences</w:t>
      </w:r>
      <w:r w:rsidRPr="00F505C6">
        <w:rPr>
          <w:lang w:val="en-US"/>
        </w:rPr>
        <w:t xml:space="preserve"> a</w:t>
      </w:r>
      <w:r w:rsidR="00DD4CB1">
        <w:rPr>
          <w:lang w:val="en-US"/>
        </w:rPr>
        <w:t>s experience corridors</w:t>
      </w:r>
      <w:r w:rsidRPr="00F505C6">
        <w:rPr>
          <w:lang w:val="en-US"/>
        </w:rPr>
        <w:t xml:space="preserve"> are </w:t>
      </w:r>
      <w:r>
        <w:rPr>
          <w:lang w:val="en-US"/>
        </w:rPr>
        <w:t xml:space="preserve">crucial to </w:t>
      </w:r>
      <w:r w:rsidR="00295264" w:rsidRPr="00295264">
        <w:t>understand how entrepreneurs grasp social problems</w:t>
      </w:r>
      <w:r w:rsidRPr="00F505C6">
        <w:rPr>
          <w:lang w:val="en-US"/>
        </w:rPr>
        <w:t>. However, there are also financial imperatives, such as access to investment and the competitive position of the venture in the market</w:t>
      </w:r>
      <w:r>
        <w:rPr>
          <w:lang w:val="en-US"/>
        </w:rPr>
        <w:t xml:space="preserve"> (micro-processes)</w:t>
      </w:r>
      <w:r w:rsidRPr="00F505C6">
        <w:rPr>
          <w:lang w:val="en-US"/>
        </w:rPr>
        <w:t xml:space="preserve">. </w:t>
      </w:r>
      <w:r>
        <w:rPr>
          <w:lang w:val="en-US"/>
        </w:rPr>
        <w:t xml:space="preserve">Drawing from the emerging economy strategy framework of Bruton et al. (2013) and the outlined concepts from the social entrepreneurship literature, we propose Figure 1 as </w:t>
      </w:r>
      <w:r>
        <w:rPr>
          <w:lang w:val="en-US"/>
        </w:rPr>
        <w:lastRenderedPageBreak/>
        <w:t xml:space="preserve">an outline for understanding the set of strategic conditions that underpin how social entrepreneurs remain competitive through their social mission. </w:t>
      </w:r>
    </w:p>
    <w:p w14:paraId="0EDC337E" w14:textId="77777777" w:rsidR="00676509" w:rsidRDefault="00676509" w:rsidP="00EF2970">
      <w:pPr>
        <w:rPr>
          <w:lang w:val="en-US"/>
        </w:rPr>
      </w:pPr>
    </w:p>
    <w:p w14:paraId="4CEC934D" w14:textId="77777777" w:rsidR="00676509" w:rsidRPr="008A2D10" w:rsidRDefault="00676509" w:rsidP="00676509">
      <w:pPr>
        <w:ind w:firstLine="0"/>
        <w:jc w:val="center"/>
        <w:rPr>
          <w:rFonts w:cs="Times New Roman"/>
          <w:lang w:val="en-US"/>
        </w:rPr>
      </w:pPr>
      <w:r w:rsidRPr="00F505C6">
        <w:rPr>
          <w:rFonts w:cs="Times New Roman"/>
          <w:lang w:val="en-US"/>
        </w:rPr>
        <w:t xml:space="preserve">---Insert </w:t>
      </w:r>
      <w:r>
        <w:rPr>
          <w:rFonts w:cs="Times New Roman"/>
          <w:lang w:val="en-US"/>
        </w:rPr>
        <w:t>Figure</w:t>
      </w:r>
      <w:r w:rsidRPr="00F505C6">
        <w:rPr>
          <w:rFonts w:cs="Times New Roman"/>
          <w:lang w:val="en-US"/>
        </w:rPr>
        <w:t xml:space="preserve"> 1 about here---</w:t>
      </w:r>
    </w:p>
    <w:p w14:paraId="57124617" w14:textId="459E601A" w:rsidR="00FE74B1" w:rsidRPr="00F505C6" w:rsidRDefault="00FE74B1" w:rsidP="00FE74B1">
      <w:pPr>
        <w:pStyle w:val="Heading1"/>
        <w:rPr>
          <w:lang w:val="en-US"/>
        </w:rPr>
      </w:pPr>
      <w:r w:rsidRPr="00F505C6">
        <w:rPr>
          <w:lang w:val="en-US"/>
        </w:rPr>
        <w:t>Methods</w:t>
      </w:r>
    </w:p>
    <w:p w14:paraId="17AA3277" w14:textId="5E2F307E" w:rsidR="00FE74B1" w:rsidRDefault="00F505C6" w:rsidP="00886806">
      <w:pPr>
        <w:ind w:firstLine="0"/>
        <w:rPr>
          <w:lang w:val="en-US"/>
        </w:rPr>
      </w:pPr>
      <w:r w:rsidRPr="00F505C6">
        <w:rPr>
          <w:rFonts w:cs="Times New Roman"/>
          <w:lang w:val="en-US"/>
        </w:rPr>
        <w:t>This study uses fsQCA (Ragin</w:t>
      </w:r>
      <w:r w:rsidR="00045DA2">
        <w:rPr>
          <w:rFonts w:cs="Times New Roman"/>
          <w:lang w:val="en-US"/>
        </w:rPr>
        <w:t>,</w:t>
      </w:r>
      <w:r w:rsidRPr="00F505C6">
        <w:rPr>
          <w:rFonts w:cs="Times New Roman"/>
          <w:lang w:val="en-US"/>
        </w:rPr>
        <w:t xml:space="preserve"> 2008) to analyze and explain</w:t>
      </w:r>
      <w:r w:rsidR="00014DA6" w:rsidRPr="00F505C6">
        <w:rPr>
          <w:rFonts w:cs="Times New Roman"/>
          <w:lang w:val="en-US"/>
        </w:rPr>
        <w:t xml:space="preserve"> the complex </w:t>
      </w:r>
      <w:r w:rsidR="00EF2970" w:rsidRPr="00EF2970">
        <w:rPr>
          <w:rFonts w:cs="Times New Roman"/>
          <w:lang w:val="en-US"/>
        </w:rPr>
        <w:t>strategic conditions</w:t>
      </w:r>
      <w:r w:rsidR="00EF2970" w:rsidRPr="00EF2970" w:rsidDel="00EF2970">
        <w:rPr>
          <w:rFonts w:cs="Times New Roman"/>
          <w:lang w:val="en-US"/>
        </w:rPr>
        <w:t xml:space="preserve"> </w:t>
      </w:r>
      <w:r w:rsidR="00014DA6" w:rsidRPr="00F505C6">
        <w:rPr>
          <w:rFonts w:cs="Times New Roman"/>
          <w:lang w:val="en-US"/>
        </w:rPr>
        <w:t>of social entrepreneurship</w:t>
      </w:r>
      <w:r w:rsidRPr="00F505C6">
        <w:rPr>
          <w:rFonts w:cs="Times New Roman"/>
          <w:lang w:val="en-US"/>
        </w:rPr>
        <w:t xml:space="preserve">. </w:t>
      </w:r>
      <w:r w:rsidRPr="00F505C6">
        <w:t>FsQCA allows for observing complex causality</w:t>
      </w:r>
      <w:r w:rsidR="002C1B44">
        <w:t>,</w:t>
      </w:r>
      <w:r w:rsidRPr="00F505C6">
        <w:t xml:space="preserve"> </w:t>
      </w:r>
      <w:r w:rsidR="00885A4A">
        <w:t xml:space="preserve">and is </w:t>
      </w:r>
      <w:r w:rsidRPr="00F505C6">
        <w:t xml:space="preserve">therefore </w:t>
      </w:r>
      <w:r w:rsidR="002C1B44">
        <w:t xml:space="preserve">a </w:t>
      </w:r>
      <w:r w:rsidRPr="00F505C6">
        <w:t xml:space="preserve">suitable </w:t>
      </w:r>
      <w:r w:rsidR="002C1B44">
        <w:t>method for exploring</w:t>
      </w:r>
      <w:r w:rsidRPr="00F505C6">
        <w:t xml:space="preserve"> the complex interactions between the micro-foundations and micro-processes</w:t>
      </w:r>
      <w:r w:rsidR="00885A4A">
        <w:t xml:space="preserve"> (</w:t>
      </w:r>
      <w:r w:rsidR="00EF2970" w:rsidRPr="00EF2970">
        <w:rPr>
          <w:lang w:val="en-US"/>
        </w:rPr>
        <w:t>strategic conditions</w:t>
      </w:r>
      <w:r w:rsidR="00885A4A">
        <w:t>)</w:t>
      </w:r>
      <w:r w:rsidRPr="00F505C6">
        <w:t xml:space="preserve"> of social</w:t>
      </w:r>
      <w:r w:rsidRPr="00F505C6">
        <w:rPr>
          <w:lang w:val="en-US"/>
        </w:rPr>
        <w:t xml:space="preserve"> entrepreneurs </w:t>
      </w:r>
      <w:r w:rsidR="009629CB">
        <w:rPr>
          <w:lang w:val="en-US"/>
        </w:rPr>
        <w:t>(Fiss, 2011)</w:t>
      </w:r>
      <w:r w:rsidR="00AB6AE7">
        <w:rPr>
          <w:lang w:val="en-US"/>
        </w:rPr>
        <w:t>.</w:t>
      </w:r>
      <w:r w:rsidR="005345F1">
        <w:rPr>
          <w:lang w:val="en-US"/>
        </w:rPr>
        <w:t xml:space="preserve"> It </w:t>
      </w:r>
      <w:r w:rsidR="00CF78C0">
        <w:rPr>
          <w:lang w:val="en-US"/>
        </w:rPr>
        <w:t xml:space="preserve">is </w:t>
      </w:r>
      <w:r w:rsidR="005345F1">
        <w:rPr>
          <w:lang w:val="en-US"/>
        </w:rPr>
        <w:t xml:space="preserve">also a methodology </w:t>
      </w:r>
      <w:r w:rsidR="0095512C">
        <w:rPr>
          <w:lang w:val="en-US"/>
        </w:rPr>
        <w:t>allowing</w:t>
      </w:r>
      <w:r w:rsidR="005345F1">
        <w:rPr>
          <w:lang w:val="en-US"/>
        </w:rPr>
        <w:t xml:space="preserve"> us to identify potentially unusual sets of </w:t>
      </w:r>
      <w:r w:rsidR="0095512C">
        <w:rPr>
          <w:lang w:val="en-US"/>
        </w:rPr>
        <w:t>configurations, which</w:t>
      </w:r>
      <w:r w:rsidR="005345F1">
        <w:rPr>
          <w:lang w:val="en-US"/>
        </w:rPr>
        <w:t xml:space="preserve"> may usually be described as anomalies in standard statistical procedures (</w:t>
      </w:r>
      <w:r w:rsidR="005345F1" w:rsidRPr="00F505C6">
        <w:rPr>
          <w:rFonts w:cs="Times New Roman"/>
          <w:lang w:val="en-US"/>
        </w:rPr>
        <w:t xml:space="preserve">Muñoz </w:t>
      </w:r>
      <w:r w:rsidR="00045DA2">
        <w:rPr>
          <w:rFonts w:cs="Times New Roman"/>
          <w:lang w:val="en-US"/>
        </w:rPr>
        <w:t>&amp;</w:t>
      </w:r>
      <w:r w:rsidR="005345F1" w:rsidRPr="00F505C6">
        <w:rPr>
          <w:rFonts w:cs="Times New Roman"/>
          <w:lang w:val="en-US"/>
        </w:rPr>
        <w:t xml:space="preserve"> Dimov</w:t>
      </w:r>
      <w:r w:rsidR="00C57A4C">
        <w:rPr>
          <w:rFonts w:cs="Times New Roman"/>
          <w:lang w:val="en-US"/>
        </w:rPr>
        <w:t>,</w:t>
      </w:r>
      <w:r w:rsidR="005345F1" w:rsidRPr="00F505C6">
        <w:rPr>
          <w:rFonts w:cs="Times New Roman"/>
          <w:lang w:val="en-US"/>
        </w:rPr>
        <w:t xml:space="preserve"> 2015</w:t>
      </w:r>
      <w:r w:rsidR="005345F1">
        <w:rPr>
          <w:rFonts w:cs="Times New Roman"/>
          <w:lang w:val="en-US"/>
        </w:rPr>
        <w:t xml:space="preserve">; </w:t>
      </w:r>
      <w:r w:rsidR="00665971" w:rsidRPr="00665971">
        <w:rPr>
          <w:lang w:val="en-US"/>
        </w:rPr>
        <w:t xml:space="preserve">Woodside, Nagy, &amp; Megehee, </w:t>
      </w:r>
      <w:r w:rsidR="005345F1">
        <w:rPr>
          <w:lang w:val="en-US"/>
        </w:rPr>
        <w:t xml:space="preserve">2017). </w:t>
      </w:r>
      <w:r w:rsidR="001E4BC3">
        <w:rPr>
          <w:lang w:val="en-US"/>
        </w:rPr>
        <w:t>This method is increasingly popular with this type of configurational thinking becoming progressively more valid (</w:t>
      </w:r>
      <w:r w:rsidR="00665971" w:rsidRPr="00665971">
        <w:rPr>
          <w:lang w:val="en-US"/>
        </w:rPr>
        <w:t>Roig-Tierno, Gonzalez-Cruz, &amp; Llopis-Martinez,</w:t>
      </w:r>
      <w:r w:rsidR="001E4BC3">
        <w:rPr>
          <w:lang w:val="en-US"/>
        </w:rPr>
        <w:t xml:space="preserve"> 2017).   </w:t>
      </w:r>
    </w:p>
    <w:p w14:paraId="20D9BD5C" w14:textId="77777777" w:rsidR="00886806" w:rsidRPr="00886806" w:rsidRDefault="00886806" w:rsidP="00886806">
      <w:pPr>
        <w:ind w:firstLine="0"/>
        <w:rPr>
          <w:rFonts w:cs="Times New Roman"/>
          <w:lang w:val="en-US"/>
        </w:rPr>
      </w:pPr>
    </w:p>
    <w:p w14:paraId="6D280E34" w14:textId="39C31EC0" w:rsidR="00FE74B1" w:rsidRPr="00F505C6" w:rsidRDefault="00FE74B1" w:rsidP="00FE74B1">
      <w:pPr>
        <w:pStyle w:val="Heading2"/>
        <w:rPr>
          <w:lang w:val="en-US"/>
        </w:rPr>
      </w:pPr>
      <w:r w:rsidRPr="00F505C6">
        <w:rPr>
          <w:lang w:val="en-US"/>
        </w:rPr>
        <w:t>Sample and data</w:t>
      </w:r>
    </w:p>
    <w:p w14:paraId="020B28F8" w14:textId="62A4EA73" w:rsidR="00886806" w:rsidRPr="00EE34C9" w:rsidRDefault="00886806" w:rsidP="00065315">
      <w:pPr>
        <w:ind w:firstLine="0"/>
        <w:rPr>
          <w:rFonts w:cs="Times New Roman"/>
          <w:lang w:bidi="en-US"/>
        </w:rPr>
      </w:pPr>
      <w:r>
        <w:rPr>
          <w:rFonts w:cs="Times New Roman"/>
          <w:lang w:val="en-US"/>
        </w:rPr>
        <w:t xml:space="preserve">Data stem </w:t>
      </w:r>
      <w:r w:rsidRPr="00144A15">
        <w:rPr>
          <w:color w:val="000000" w:themeColor="text1"/>
        </w:rPr>
        <w:t>from a unique</w:t>
      </w:r>
      <w:r w:rsidR="007F67C9">
        <w:rPr>
          <w:color w:val="000000" w:themeColor="text1"/>
        </w:rPr>
        <w:t xml:space="preserve"> proprietary </w:t>
      </w:r>
      <w:r w:rsidRPr="00144A15">
        <w:rPr>
          <w:color w:val="000000" w:themeColor="text1"/>
        </w:rPr>
        <w:t xml:space="preserve">data set of </w:t>
      </w:r>
      <w:r>
        <w:rPr>
          <w:color w:val="000000" w:themeColor="text1"/>
        </w:rPr>
        <w:t xml:space="preserve">111 social entrepreneurs in Chile. </w:t>
      </w:r>
      <w:r w:rsidRPr="00144A15">
        <w:rPr>
          <w:color w:val="000000" w:themeColor="text1"/>
        </w:rPr>
        <w:t xml:space="preserve">Data </w:t>
      </w:r>
      <w:r w:rsidR="009A302E">
        <w:rPr>
          <w:color w:val="000000" w:themeColor="text1"/>
        </w:rPr>
        <w:t>were</w:t>
      </w:r>
      <w:r w:rsidRPr="00144A15">
        <w:rPr>
          <w:color w:val="000000" w:themeColor="text1"/>
        </w:rPr>
        <w:t xml:space="preserve"> collected in May-August 2016 as part of larger survey of the Chilean third sector’s structure and dynamics.</w:t>
      </w:r>
      <w:r>
        <w:rPr>
          <w:color w:val="000000" w:themeColor="text1"/>
        </w:rPr>
        <w:t xml:space="preserve"> </w:t>
      </w:r>
      <w:r w:rsidRPr="00144A15">
        <w:rPr>
          <w:color w:val="000000" w:themeColor="text1"/>
        </w:rPr>
        <w:t xml:space="preserve">2,500 potential social </w:t>
      </w:r>
      <w:r>
        <w:rPr>
          <w:color w:val="000000" w:themeColor="text1"/>
        </w:rPr>
        <w:t xml:space="preserve">entrepreneurs </w:t>
      </w:r>
      <w:r w:rsidRPr="00144A15">
        <w:rPr>
          <w:color w:val="000000" w:themeColor="text1"/>
        </w:rPr>
        <w:t>were invited to participate in the study</w:t>
      </w:r>
      <w:r>
        <w:rPr>
          <w:color w:val="000000" w:themeColor="text1"/>
        </w:rPr>
        <w:t xml:space="preserve"> and </w:t>
      </w:r>
      <w:r w:rsidRPr="00144A15">
        <w:rPr>
          <w:color w:val="000000" w:themeColor="text1"/>
        </w:rPr>
        <w:t xml:space="preserve">584 individuals responded </w:t>
      </w:r>
      <w:r>
        <w:rPr>
          <w:color w:val="000000" w:themeColor="text1"/>
        </w:rPr>
        <w:t xml:space="preserve">to </w:t>
      </w:r>
      <w:r w:rsidRPr="00144A15">
        <w:rPr>
          <w:color w:val="000000" w:themeColor="text1"/>
        </w:rPr>
        <w:t>the survey</w:t>
      </w:r>
      <w:r>
        <w:rPr>
          <w:color w:val="000000" w:themeColor="text1"/>
        </w:rPr>
        <w:t xml:space="preserve">. </w:t>
      </w:r>
      <w:r>
        <w:t>T</w:t>
      </w:r>
      <w:r w:rsidRPr="00144A15">
        <w:t xml:space="preserve">he </w:t>
      </w:r>
      <w:r w:rsidR="00CA3441">
        <w:t>study</w:t>
      </w:r>
      <w:r>
        <w:t xml:space="preserve"> draws on a sub</w:t>
      </w:r>
      <w:r w:rsidRPr="00144A15">
        <w:t xml:space="preserve">sample </w:t>
      </w:r>
      <w:r>
        <w:t>which was refined following three</w:t>
      </w:r>
      <w:r w:rsidRPr="00144A15">
        <w:t xml:space="preserve"> criteria</w:t>
      </w:r>
      <w:r>
        <w:t xml:space="preserve">. </w:t>
      </w:r>
      <w:r w:rsidR="005C059F">
        <w:t>First</w:t>
      </w:r>
      <w:r>
        <w:t xml:space="preserve">, </w:t>
      </w:r>
      <w:r w:rsidR="00CA3441">
        <w:t>the study</w:t>
      </w:r>
      <w:r>
        <w:t xml:space="preserve"> select</w:t>
      </w:r>
      <w:r w:rsidR="00CA3441">
        <w:t>ed</w:t>
      </w:r>
      <w:r>
        <w:t xml:space="preserve"> </w:t>
      </w:r>
      <w:r w:rsidR="00EE34C9">
        <w:t>those</w:t>
      </w:r>
      <w:r>
        <w:t xml:space="preserve"> respondents</w:t>
      </w:r>
      <w:r w:rsidR="00EE34C9">
        <w:t xml:space="preserve"> with </w:t>
      </w:r>
      <w:r w:rsidR="00EE34C9" w:rsidRPr="00144A15">
        <w:rPr>
          <w:iCs/>
        </w:rPr>
        <w:t xml:space="preserve">active involvement </w:t>
      </w:r>
      <w:r w:rsidR="00EE34C9" w:rsidRPr="00144A15">
        <w:t>in the management of the social business</w:t>
      </w:r>
      <w:r>
        <w:t xml:space="preserve"> </w:t>
      </w:r>
      <w:r w:rsidR="00EE34C9">
        <w:t xml:space="preserve">and </w:t>
      </w:r>
      <w:r>
        <w:t xml:space="preserve">agreeing with a specific definition </w:t>
      </w:r>
      <w:r w:rsidR="009A302E">
        <w:t>of social</w:t>
      </w:r>
      <w:r>
        <w:t xml:space="preserve"> entrepreneurship </w:t>
      </w:r>
      <w:r w:rsidR="00CA3441">
        <w:t>including</w:t>
      </w:r>
      <w:r>
        <w:t xml:space="preserve">: social mission, market mechanisms and reinvestment of profits in the social mission. </w:t>
      </w:r>
      <w:r w:rsidR="005C059F">
        <w:t>Second</w:t>
      </w:r>
      <w:r>
        <w:t xml:space="preserve">, </w:t>
      </w:r>
      <w:r w:rsidR="00CA3441">
        <w:rPr>
          <w:rFonts w:cs="Times New Roman"/>
          <w:lang w:bidi="en-US"/>
        </w:rPr>
        <w:t>it discarded</w:t>
      </w:r>
      <w:r>
        <w:rPr>
          <w:rFonts w:cs="Times New Roman"/>
          <w:lang w:bidi="en-US"/>
        </w:rPr>
        <w:t xml:space="preserve"> legal forms involving some type of collaborative enterprises, such as cooperatives, </w:t>
      </w:r>
      <w:r>
        <w:t>collective associations</w:t>
      </w:r>
      <w:r w:rsidRPr="00144A15">
        <w:t xml:space="preserve"> </w:t>
      </w:r>
      <w:r>
        <w:t>and</w:t>
      </w:r>
      <w:r w:rsidRPr="00144A15">
        <w:t xml:space="preserve"> communal organization</w:t>
      </w:r>
      <w:r>
        <w:t>s</w:t>
      </w:r>
      <w:r w:rsidR="00EE34C9">
        <w:t xml:space="preserve">. </w:t>
      </w:r>
      <w:r w:rsidR="000540DF">
        <w:t>Third</w:t>
      </w:r>
      <w:r w:rsidR="00EE34C9">
        <w:t xml:space="preserve">, </w:t>
      </w:r>
      <w:r w:rsidR="00EE34C9">
        <w:lastRenderedPageBreak/>
        <w:t xml:space="preserve">to capture strategic implementation at the venturing stage </w:t>
      </w:r>
      <w:r w:rsidR="00CA3441">
        <w:t>it</w:t>
      </w:r>
      <w:r>
        <w:rPr>
          <w:rFonts w:cs="Times New Roman"/>
          <w:lang w:bidi="en-US"/>
        </w:rPr>
        <w:t xml:space="preserve"> </w:t>
      </w:r>
      <w:r w:rsidR="00EE34C9">
        <w:rPr>
          <w:rFonts w:cs="Times New Roman"/>
          <w:lang w:bidi="en-US"/>
        </w:rPr>
        <w:t>selected</w:t>
      </w:r>
      <w:r w:rsidR="00CA3441">
        <w:rPr>
          <w:rFonts w:cs="Times New Roman"/>
          <w:lang w:bidi="en-US"/>
        </w:rPr>
        <w:t xml:space="preserve"> only</w:t>
      </w:r>
      <w:r>
        <w:rPr>
          <w:rFonts w:cs="Times New Roman"/>
          <w:lang w:bidi="en-US"/>
        </w:rPr>
        <w:t xml:space="preserve"> </w:t>
      </w:r>
      <w:r w:rsidR="00EE34C9">
        <w:rPr>
          <w:rFonts w:cs="Times New Roman"/>
          <w:lang w:bidi="en-US"/>
        </w:rPr>
        <w:t>those ventures with more than 1 year and less than 7 years</w:t>
      </w:r>
      <w:r w:rsidR="00CA3441">
        <w:rPr>
          <w:rFonts w:cs="Times New Roman"/>
          <w:lang w:bidi="en-US"/>
        </w:rPr>
        <w:t xml:space="preserve"> of trading</w:t>
      </w:r>
      <w:r w:rsidR="00EE34C9">
        <w:rPr>
          <w:rFonts w:cs="Times New Roman"/>
          <w:lang w:bidi="en-US"/>
        </w:rPr>
        <w:t xml:space="preserve">. </w:t>
      </w:r>
      <w:r w:rsidR="00CA3441">
        <w:rPr>
          <w:rFonts w:cs="Times New Roman"/>
          <w:lang w:bidi="en-US"/>
        </w:rPr>
        <w:t>Since fsQCA i</w:t>
      </w:r>
      <w:r w:rsidR="00EE34C9">
        <w:rPr>
          <w:rFonts w:cs="Times New Roman"/>
          <w:lang w:bidi="en-US"/>
        </w:rPr>
        <w:t xml:space="preserve">s </w:t>
      </w:r>
      <w:r w:rsidR="00885A4A">
        <w:rPr>
          <w:rFonts w:cs="Times New Roman"/>
          <w:lang w:bidi="en-US"/>
        </w:rPr>
        <w:t>sensitive</w:t>
      </w:r>
      <w:r w:rsidR="00EE34C9">
        <w:rPr>
          <w:rFonts w:cs="Times New Roman"/>
          <w:lang w:bidi="en-US"/>
        </w:rPr>
        <w:t xml:space="preserve"> to missing data, the final sample of 164 social entrepreneurs was reduced to 111 using data reliability criteria.</w:t>
      </w:r>
      <w:r w:rsidR="00033E8F">
        <w:rPr>
          <w:rFonts w:cs="Times New Roman"/>
          <w:lang w:bidi="en-US"/>
        </w:rPr>
        <w:t xml:space="preserve"> </w:t>
      </w:r>
      <w:r w:rsidR="00065315">
        <w:rPr>
          <w:rFonts w:cs="Times New Roman"/>
          <w:lang w:bidi="en-US"/>
        </w:rPr>
        <w:t>The final sample covers a wide range of socially-oriented enterprises. In terms of years of trading, 66% of the firms have been in operation for up to three years, 22% between four and six years</w:t>
      </w:r>
      <w:r w:rsidR="00357635">
        <w:rPr>
          <w:rFonts w:cs="Times New Roman"/>
          <w:lang w:bidi="en-US"/>
        </w:rPr>
        <w:t xml:space="preserve">, </w:t>
      </w:r>
      <w:r w:rsidR="00065315">
        <w:rPr>
          <w:rFonts w:cs="Times New Roman"/>
          <w:lang w:bidi="en-US"/>
        </w:rPr>
        <w:t xml:space="preserve">and 22% between seven and ten years. </w:t>
      </w:r>
      <w:r w:rsidR="00736323">
        <w:rPr>
          <w:rFonts w:cs="Times New Roman"/>
          <w:lang w:bidi="en-US"/>
        </w:rPr>
        <w:t>The sample</w:t>
      </w:r>
      <w:r w:rsidR="00065315">
        <w:rPr>
          <w:rFonts w:cs="Times New Roman"/>
          <w:lang w:bidi="en-US"/>
        </w:rPr>
        <w:t xml:space="preserve"> also represent a variety of legal statuses, operating in a wide range of social areas and industries. 53% of the sample is registered as a for-profit organizations, 26% are non-for-profit and 21% have yet to define their legal status. The main social areas represented in the sample include (overlaps considered): education (39.6%), employment (37%), health (22%), entrepreneurship support (20%), poverty (18.3%), and recycling (16%). Most of the organizations trade with education-related clients (30.5%)</w:t>
      </w:r>
      <w:r w:rsidR="00DF7378">
        <w:rPr>
          <w:rFonts w:cs="Times New Roman"/>
          <w:lang w:bidi="en-US"/>
        </w:rPr>
        <w:t>,</w:t>
      </w:r>
      <w:r w:rsidR="00065315">
        <w:rPr>
          <w:rFonts w:cs="Times New Roman"/>
          <w:lang w:bidi="en-US"/>
        </w:rPr>
        <w:t xml:space="preserve"> general consumers (36.6%)</w:t>
      </w:r>
      <w:r w:rsidR="00DF7378">
        <w:rPr>
          <w:rFonts w:cs="Times New Roman"/>
          <w:lang w:bidi="en-US"/>
        </w:rPr>
        <w:t>,</w:t>
      </w:r>
      <w:r w:rsidR="00065315">
        <w:rPr>
          <w:rFonts w:cs="Times New Roman"/>
          <w:lang w:bidi="en-US"/>
        </w:rPr>
        <w:t xml:space="preserve"> and small traders (13%).</w:t>
      </w:r>
    </w:p>
    <w:p w14:paraId="775EC702" w14:textId="77777777" w:rsidR="00FE74B1" w:rsidRPr="00F505C6" w:rsidRDefault="00FE74B1" w:rsidP="00FE74B1">
      <w:pPr>
        <w:pStyle w:val="Heading2"/>
        <w:rPr>
          <w:lang w:val="en-US"/>
        </w:rPr>
      </w:pPr>
    </w:p>
    <w:p w14:paraId="6E3339A7" w14:textId="77777777" w:rsidR="001755AD" w:rsidRPr="00F505C6" w:rsidRDefault="001755AD" w:rsidP="00886806">
      <w:pPr>
        <w:pStyle w:val="Heading2"/>
        <w:rPr>
          <w:rFonts w:cs="Times New Roman"/>
          <w:b/>
          <w:szCs w:val="20"/>
          <w:lang w:val="en-US" w:eastAsia="en-GB"/>
        </w:rPr>
      </w:pPr>
      <w:r w:rsidRPr="00886806">
        <w:rPr>
          <w:lang w:val="en-US"/>
        </w:rPr>
        <w:t>Outcome Condition</w:t>
      </w:r>
      <w:r w:rsidRPr="00F505C6">
        <w:rPr>
          <w:rFonts w:cs="Times New Roman"/>
          <w:b/>
          <w:szCs w:val="20"/>
          <w:lang w:val="en-US" w:eastAsia="en-GB"/>
        </w:rPr>
        <w:t xml:space="preserve"> </w:t>
      </w:r>
    </w:p>
    <w:p w14:paraId="22A47777" w14:textId="01BBB78D" w:rsidR="001755AD" w:rsidRDefault="00EE34C9" w:rsidP="00886806">
      <w:pPr>
        <w:ind w:firstLine="0"/>
        <w:rPr>
          <w:rFonts w:cs="Times New Roman"/>
          <w:lang w:bidi="en-US"/>
        </w:rPr>
      </w:pPr>
      <w:r w:rsidRPr="00F505C6">
        <w:rPr>
          <w:rFonts w:cs="Times New Roman"/>
          <w:lang w:val="en-US"/>
        </w:rPr>
        <w:t xml:space="preserve">The outcome condition pertains to whether the social mission is perceived as being valuable for </w:t>
      </w:r>
      <w:r w:rsidR="00A66512">
        <w:rPr>
          <w:rFonts w:cs="Times New Roman"/>
          <w:lang w:val="en-US"/>
        </w:rPr>
        <w:t>achieving</w:t>
      </w:r>
      <w:r w:rsidRPr="00F505C6">
        <w:rPr>
          <w:rFonts w:cs="Times New Roman"/>
          <w:lang w:val="en-US"/>
        </w:rPr>
        <w:t xml:space="preserve"> a competitive advantage. </w:t>
      </w:r>
      <w:r w:rsidR="008C7FF8">
        <w:rPr>
          <w:lang w:val="en-US"/>
        </w:rPr>
        <w:t xml:space="preserve">Drawing on </w:t>
      </w:r>
      <w:r w:rsidR="00665971" w:rsidRPr="00665971">
        <w:t xml:space="preserve">Stevens, Moray, </w:t>
      </w:r>
      <w:r w:rsidR="00DF7378">
        <w:t>and</w:t>
      </w:r>
      <w:r w:rsidR="00665971">
        <w:t xml:space="preserve"> Bruneel</w:t>
      </w:r>
      <w:r w:rsidR="00665971" w:rsidRPr="00665971">
        <w:t xml:space="preserve"> </w:t>
      </w:r>
      <w:r w:rsidR="008C7FF8">
        <w:rPr>
          <w:lang w:val="en-US"/>
        </w:rPr>
        <w:t>(2015)</w:t>
      </w:r>
      <w:r w:rsidR="00817BFE">
        <w:rPr>
          <w:lang w:val="en-US"/>
        </w:rPr>
        <w:t>,</w:t>
      </w:r>
      <w:r w:rsidR="008C7FF8">
        <w:rPr>
          <w:lang w:val="en-US"/>
        </w:rPr>
        <w:t xml:space="preserve"> the measure </w:t>
      </w:r>
      <w:r>
        <w:rPr>
          <w:lang w:val="en-US"/>
        </w:rPr>
        <w:t xml:space="preserve">thus </w:t>
      </w:r>
      <w:r w:rsidR="008C7FF8">
        <w:rPr>
          <w:lang w:val="en-US"/>
        </w:rPr>
        <w:t xml:space="preserve">captures relevance </w:t>
      </w:r>
      <w:r w:rsidR="008C7FF8" w:rsidRPr="00256A69">
        <w:rPr>
          <w:rFonts w:cs="Times New Roman"/>
          <w:lang w:bidi="en-US"/>
        </w:rPr>
        <w:t xml:space="preserve">of </w:t>
      </w:r>
      <w:r w:rsidR="008C7FF8">
        <w:rPr>
          <w:rFonts w:cs="Times New Roman"/>
          <w:lang w:bidi="en-US"/>
        </w:rPr>
        <w:t xml:space="preserve">the </w:t>
      </w:r>
      <w:r w:rsidR="008C7FF8" w:rsidRPr="00256A69">
        <w:rPr>
          <w:rFonts w:cs="Times New Roman"/>
          <w:lang w:bidi="en-US"/>
        </w:rPr>
        <w:t>social mission</w:t>
      </w:r>
      <w:r w:rsidR="008C7FF8">
        <w:rPr>
          <w:lang w:val="en-US"/>
        </w:rPr>
        <w:t xml:space="preserve"> by looking at </w:t>
      </w:r>
      <w:r w:rsidR="008C7FF8">
        <w:rPr>
          <w:rFonts w:cs="Times New Roman"/>
          <w:lang w:bidi="en-US"/>
        </w:rPr>
        <w:t>seven independent</w:t>
      </w:r>
      <w:r w:rsidR="008C7FF8" w:rsidRPr="00256A69">
        <w:rPr>
          <w:rFonts w:cs="Times New Roman"/>
          <w:lang w:bidi="en-US"/>
        </w:rPr>
        <w:t xml:space="preserve"> </w:t>
      </w:r>
      <w:r w:rsidR="008C7FF8">
        <w:rPr>
          <w:rFonts w:cs="Times New Roman"/>
          <w:lang w:bidi="en-US"/>
        </w:rPr>
        <w:t xml:space="preserve">competitive determinants; whether the social mission allows the venture </w:t>
      </w:r>
      <w:r w:rsidR="000540DF">
        <w:rPr>
          <w:rFonts w:cs="Times New Roman"/>
          <w:lang w:bidi="en-US"/>
        </w:rPr>
        <w:t>to</w:t>
      </w:r>
      <w:r w:rsidR="008C7FF8">
        <w:rPr>
          <w:rFonts w:cs="Times New Roman"/>
          <w:lang w:bidi="en-US"/>
        </w:rPr>
        <w:t xml:space="preserve"> i. improve its </w:t>
      </w:r>
      <w:r w:rsidR="008C7FF8" w:rsidRPr="00256A69">
        <w:rPr>
          <w:rFonts w:cs="Times New Roman"/>
          <w:lang w:bidi="en-US"/>
        </w:rPr>
        <w:t xml:space="preserve">competitive </w:t>
      </w:r>
      <w:r w:rsidR="008C7FF8">
        <w:rPr>
          <w:rFonts w:cs="Times New Roman"/>
          <w:lang w:bidi="en-US"/>
        </w:rPr>
        <w:t>position, ii. attract new</w:t>
      </w:r>
      <w:r w:rsidR="008C7FF8" w:rsidRPr="00256A69">
        <w:rPr>
          <w:rFonts w:cs="Times New Roman"/>
          <w:lang w:bidi="en-US"/>
        </w:rPr>
        <w:t xml:space="preserve"> clients, </w:t>
      </w:r>
      <w:r w:rsidR="008C7FF8">
        <w:rPr>
          <w:rFonts w:cs="Times New Roman"/>
          <w:lang w:bidi="en-US"/>
        </w:rPr>
        <w:t>iii. influence consumer decision-making, iv. hiring and retaining new employees, v. improve sales, vi. create strategic relationships with suppliers, and vi</w:t>
      </w:r>
      <w:r w:rsidR="00886806">
        <w:rPr>
          <w:rFonts w:cs="Times New Roman"/>
          <w:lang w:bidi="en-US"/>
        </w:rPr>
        <w:t xml:space="preserve">i. </w:t>
      </w:r>
      <w:r w:rsidR="008C7FF8">
        <w:rPr>
          <w:rFonts w:cs="Times New Roman"/>
          <w:lang w:bidi="en-US"/>
        </w:rPr>
        <w:t xml:space="preserve">develop strategic alliances with other organizations. </w:t>
      </w:r>
    </w:p>
    <w:p w14:paraId="5AF299E6" w14:textId="1EF20F20" w:rsidR="00A80C2D" w:rsidRPr="007F0749" w:rsidRDefault="00A80C2D" w:rsidP="00A80C2D">
      <w:pPr>
        <w:rPr>
          <w:lang w:eastAsia="en-GB"/>
        </w:rPr>
      </w:pPr>
      <w:r w:rsidRPr="007F0749">
        <w:rPr>
          <w:szCs w:val="20"/>
          <w:lang w:eastAsia="en-GB"/>
        </w:rPr>
        <w:t xml:space="preserve">Competitive advantage is a condition or circumstance that puts a company in a favourable or superior business position and is therefore inherently perceptual. Our measure here adopts the view that firms operate in “organizational fields” </w:t>
      </w:r>
      <w:r>
        <w:rPr>
          <w:szCs w:val="20"/>
          <w:lang w:eastAsia="en-GB"/>
        </w:rPr>
        <w:t>and infers</w:t>
      </w:r>
      <w:r w:rsidRPr="007F0749">
        <w:rPr>
          <w:szCs w:val="20"/>
          <w:lang w:eastAsia="en-GB"/>
        </w:rPr>
        <w:t xml:space="preserve"> “that firms watch one another, engage in strategic behavior vis-a-vis one another, and look to one another for clues as to what </w:t>
      </w:r>
      <w:r w:rsidRPr="007F0749">
        <w:rPr>
          <w:szCs w:val="20"/>
          <w:lang w:eastAsia="en-GB"/>
        </w:rPr>
        <w:lastRenderedPageBreak/>
        <w:t>constitutes successful behavior" (Fligstein &amp; Dauter, 2007, pg. 111). Thus, drawing from the perspective of the entrepreneur regarding the organization’s competitive advantage provides a reliable indicator of success and advantage in that context. This follows similar perceptual measures adopted within the literature to capture firm advantage (e.g.</w:t>
      </w:r>
      <w:r w:rsidR="00736323">
        <w:rPr>
          <w:szCs w:val="20"/>
          <w:lang w:eastAsia="en-GB"/>
        </w:rPr>
        <w:t>,</w:t>
      </w:r>
      <w:r w:rsidRPr="007F0749">
        <w:rPr>
          <w:szCs w:val="20"/>
          <w:lang w:eastAsia="en-GB"/>
        </w:rPr>
        <w:t xml:space="preserve"> </w:t>
      </w:r>
      <w:r w:rsidRPr="007F0749">
        <w:rPr>
          <w:szCs w:val="20"/>
          <w:lang w:val="en-US" w:eastAsia="en-GB"/>
        </w:rPr>
        <w:t xml:space="preserve">Bradley, McMullen, Artz, &amp; Simiyu, </w:t>
      </w:r>
      <w:r w:rsidRPr="007F0749">
        <w:rPr>
          <w:szCs w:val="20"/>
          <w:lang w:eastAsia="en-GB"/>
        </w:rPr>
        <w:t>2012).</w:t>
      </w:r>
    </w:p>
    <w:p w14:paraId="4910DA25" w14:textId="77777777" w:rsidR="00227151" w:rsidRPr="00227151" w:rsidRDefault="00227151">
      <w:pPr>
        <w:rPr>
          <w:lang w:eastAsia="en-GB"/>
        </w:rPr>
      </w:pPr>
    </w:p>
    <w:p w14:paraId="78FBC51A" w14:textId="188F47AC" w:rsidR="001755AD" w:rsidRPr="00F505C6" w:rsidRDefault="001755AD" w:rsidP="001755AD">
      <w:pPr>
        <w:pStyle w:val="Heading2"/>
        <w:rPr>
          <w:lang w:val="en-US"/>
        </w:rPr>
      </w:pPr>
      <w:r w:rsidRPr="00F505C6">
        <w:rPr>
          <w:lang w:val="en-US"/>
        </w:rPr>
        <w:t>Causal conditions</w:t>
      </w:r>
    </w:p>
    <w:p w14:paraId="14117A2D" w14:textId="4F0F6186" w:rsidR="00FE74B1" w:rsidRDefault="00FE74B1" w:rsidP="00014DA6">
      <w:pPr>
        <w:ind w:firstLine="0"/>
        <w:rPr>
          <w:rFonts w:cs="Times New Roman"/>
          <w:lang w:val="en-US"/>
        </w:rPr>
      </w:pPr>
      <w:r w:rsidRPr="00F505C6">
        <w:rPr>
          <w:rFonts w:cs="Times New Roman"/>
          <w:lang w:val="en-US"/>
        </w:rPr>
        <w:t>Building on the entrepreneurial strategy framework for emerging markets outlined by Bruton et al. (201</w:t>
      </w:r>
      <w:r w:rsidR="00B07790" w:rsidRPr="00F505C6">
        <w:rPr>
          <w:rFonts w:cs="Times New Roman"/>
          <w:lang w:val="en-US"/>
        </w:rPr>
        <w:t>3</w:t>
      </w:r>
      <w:r w:rsidRPr="00F505C6">
        <w:rPr>
          <w:rFonts w:cs="Times New Roman"/>
          <w:lang w:val="en-US"/>
        </w:rPr>
        <w:t>), the study explores the complex interactions between the micro-foundations and micro-processes</w:t>
      </w:r>
      <w:r w:rsidR="00857BFC">
        <w:rPr>
          <w:rFonts w:cs="Times New Roman"/>
          <w:lang w:val="en-US"/>
        </w:rPr>
        <w:t xml:space="preserve"> (</w:t>
      </w:r>
      <w:r w:rsidR="00EF2970" w:rsidRPr="00EF2970">
        <w:rPr>
          <w:rFonts w:cs="Times New Roman"/>
          <w:lang w:val="en-US"/>
        </w:rPr>
        <w:t>strategic conditions</w:t>
      </w:r>
      <w:r w:rsidR="00857BFC">
        <w:rPr>
          <w:rFonts w:cs="Times New Roman"/>
          <w:lang w:val="en-US"/>
        </w:rPr>
        <w:t>)</w:t>
      </w:r>
      <w:r w:rsidRPr="00F505C6">
        <w:rPr>
          <w:rFonts w:cs="Times New Roman"/>
          <w:lang w:val="en-US"/>
        </w:rPr>
        <w:t xml:space="preserve"> of social entrepreneurs focusing on six </w:t>
      </w:r>
      <w:r w:rsidR="00EE34C9">
        <w:rPr>
          <w:rFonts w:cs="Times New Roman"/>
          <w:lang w:val="en-US"/>
        </w:rPr>
        <w:t xml:space="preserve">causal </w:t>
      </w:r>
      <w:r w:rsidRPr="00F505C6">
        <w:rPr>
          <w:rFonts w:cs="Times New Roman"/>
          <w:lang w:val="en-US"/>
        </w:rPr>
        <w:t>conditions in this framework</w:t>
      </w:r>
      <w:r w:rsidR="0095512C">
        <w:rPr>
          <w:rFonts w:cs="Times New Roman"/>
          <w:lang w:val="en-US"/>
        </w:rPr>
        <w:t xml:space="preserve"> and outlined in Figure 1</w:t>
      </w:r>
      <w:r w:rsidRPr="00F505C6">
        <w:rPr>
          <w:rFonts w:cs="Times New Roman"/>
          <w:lang w:val="en-US"/>
        </w:rPr>
        <w:t>: 1. Social Orientation, 2. Previous Experience, 3. Early Investment, 5. Profit Orientation, 5. Market Competition</w:t>
      </w:r>
      <w:r w:rsidR="00DF7378">
        <w:rPr>
          <w:rFonts w:cs="Times New Roman"/>
          <w:lang w:val="en-US"/>
        </w:rPr>
        <w:t>,</w:t>
      </w:r>
      <w:r w:rsidRPr="00F505C6">
        <w:rPr>
          <w:rFonts w:cs="Times New Roman"/>
          <w:lang w:val="en-US"/>
        </w:rPr>
        <w:t xml:space="preserve"> and 6. Perceived Financial Value of the Social Mission. </w:t>
      </w:r>
    </w:p>
    <w:p w14:paraId="264D2927" w14:textId="43AD3FF8" w:rsidR="00276C04" w:rsidRDefault="00EE34C9" w:rsidP="00276C04">
      <w:pPr>
        <w:rPr>
          <w:rFonts w:cs="Times New Roman"/>
          <w:lang w:val="en-US"/>
        </w:rPr>
      </w:pPr>
      <w:r>
        <w:rPr>
          <w:lang w:val="en-US"/>
        </w:rPr>
        <w:t>Drawing on previous research (</w:t>
      </w:r>
      <w:r w:rsidRPr="00EE34C9">
        <w:rPr>
          <w:rFonts w:cs="Times New Roman"/>
        </w:rPr>
        <w:t>Kuckertz</w:t>
      </w:r>
      <w:r>
        <w:rPr>
          <w:rFonts w:cs="Times New Roman"/>
        </w:rPr>
        <w:t xml:space="preserve"> &amp; Wagner</w:t>
      </w:r>
      <w:r w:rsidR="00C57A4C">
        <w:rPr>
          <w:rFonts w:cs="Times New Roman"/>
        </w:rPr>
        <w:t>,</w:t>
      </w:r>
      <w:r>
        <w:rPr>
          <w:rFonts w:cs="Times New Roman"/>
        </w:rPr>
        <w:t xml:space="preserve"> </w:t>
      </w:r>
      <w:r w:rsidRPr="00EE34C9">
        <w:rPr>
          <w:rFonts w:cs="Times New Roman"/>
        </w:rPr>
        <w:t>2010</w:t>
      </w:r>
      <w:r>
        <w:rPr>
          <w:rFonts w:cs="Times New Roman"/>
        </w:rPr>
        <w:t xml:space="preserve">; </w:t>
      </w:r>
      <w:r w:rsidRPr="00CE3EA9">
        <w:rPr>
          <w:rFonts w:cs="Times New Roman"/>
        </w:rPr>
        <w:t>M</w:t>
      </w:r>
      <w:r>
        <w:rPr>
          <w:rFonts w:cs="Times New Roman"/>
        </w:rPr>
        <w:t>uñoz</w:t>
      </w:r>
      <w:r w:rsidRPr="00CE3EA9">
        <w:rPr>
          <w:rFonts w:cs="Times New Roman"/>
        </w:rPr>
        <w:t xml:space="preserve"> </w:t>
      </w:r>
      <w:r w:rsidR="00045DA2">
        <w:rPr>
          <w:rFonts w:cs="Times New Roman"/>
        </w:rPr>
        <w:t xml:space="preserve">&amp; </w:t>
      </w:r>
      <w:r>
        <w:rPr>
          <w:rFonts w:cs="Times New Roman"/>
        </w:rPr>
        <w:t>Dimov</w:t>
      </w:r>
      <w:r w:rsidR="00C57A4C">
        <w:rPr>
          <w:rFonts w:cs="Times New Roman"/>
        </w:rPr>
        <w:t>,</w:t>
      </w:r>
      <w:r>
        <w:rPr>
          <w:rFonts w:cs="Times New Roman"/>
        </w:rPr>
        <w:t xml:space="preserve"> </w:t>
      </w:r>
      <w:r w:rsidRPr="00CE3EA9">
        <w:rPr>
          <w:rFonts w:cs="Times New Roman"/>
        </w:rPr>
        <w:t>2015</w:t>
      </w:r>
      <w:r>
        <w:rPr>
          <w:rFonts w:cs="Times New Roman"/>
        </w:rPr>
        <w:t xml:space="preserve">; </w:t>
      </w:r>
      <w:r w:rsidRPr="00CE3EA9">
        <w:rPr>
          <w:rFonts w:cs="Times New Roman"/>
        </w:rPr>
        <w:t>M</w:t>
      </w:r>
      <w:r>
        <w:rPr>
          <w:rFonts w:cs="Times New Roman"/>
        </w:rPr>
        <w:t>uñoz 2018)</w:t>
      </w:r>
      <w:r>
        <w:rPr>
          <w:lang w:val="en-US"/>
        </w:rPr>
        <w:t xml:space="preserve">, the measure for </w:t>
      </w:r>
      <w:r w:rsidRPr="00EE34C9">
        <w:rPr>
          <w:i/>
          <w:lang w:val="en-US"/>
        </w:rPr>
        <w:t>Social Orientation</w:t>
      </w:r>
      <w:r>
        <w:rPr>
          <w:i/>
          <w:lang w:val="en-US"/>
        </w:rPr>
        <w:t xml:space="preserve"> </w:t>
      </w:r>
      <w:r>
        <w:rPr>
          <w:lang w:val="en-US"/>
        </w:rPr>
        <w:t>uses a 4-item scale</w:t>
      </w:r>
      <w:r w:rsidR="00511472">
        <w:rPr>
          <w:lang w:val="en-US"/>
        </w:rPr>
        <w:t xml:space="preserve"> (5 points)</w:t>
      </w:r>
      <w:r>
        <w:rPr>
          <w:lang w:val="en-US"/>
        </w:rPr>
        <w:t xml:space="preserve"> to </w:t>
      </w:r>
      <w:r>
        <w:rPr>
          <w:rFonts w:cs="Times New Roman"/>
        </w:rPr>
        <w:t>capture</w:t>
      </w:r>
      <w:r w:rsidR="00410E67">
        <w:rPr>
          <w:rFonts w:cs="Times New Roman"/>
        </w:rPr>
        <w:t xml:space="preserve"> </w:t>
      </w:r>
      <w:r w:rsidR="00410E67">
        <w:rPr>
          <w:rFonts w:ascii="Times" w:hAnsi="Times" w:cs="Times"/>
          <w:color w:val="000000"/>
          <w:szCs w:val="24"/>
        </w:rPr>
        <w:t>underlying values and beliefs regarding the role of the social entrepreneur in society.</w:t>
      </w:r>
      <w:r w:rsidR="00D72B7F">
        <w:rPr>
          <w:rFonts w:ascii="Times" w:hAnsi="Times" w:cs="Times"/>
          <w:color w:val="000000"/>
          <w:szCs w:val="24"/>
        </w:rPr>
        <w:t xml:space="preserve"> Drawing on </w:t>
      </w:r>
      <w:r w:rsidR="00665971" w:rsidRPr="00665971">
        <w:rPr>
          <w:rFonts w:ascii="Times" w:hAnsi="Times" w:cs="Times"/>
          <w:color w:val="000000"/>
          <w:szCs w:val="24"/>
        </w:rPr>
        <w:t xml:space="preserve">Estrin, Mickiewicz, </w:t>
      </w:r>
      <w:r w:rsidR="00665971">
        <w:rPr>
          <w:rFonts w:ascii="Times" w:hAnsi="Times" w:cs="Times"/>
          <w:color w:val="000000"/>
          <w:szCs w:val="24"/>
        </w:rPr>
        <w:t>and Stephan</w:t>
      </w:r>
      <w:r w:rsidR="00665971" w:rsidRPr="00665971">
        <w:rPr>
          <w:rFonts w:ascii="Times" w:hAnsi="Times" w:cs="Times"/>
          <w:color w:val="000000"/>
          <w:szCs w:val="24"/>
        </w:rPr>
        <w:t xml:space="preserve"> </w:t>
      </w:r>
      <w:r w:rsidR="00D72B7F">
        <w:rPr>
          <w:rFonts w:ascii="Times" w:hAnsi="Times" w:cs="Times"/>
          <w:color w:val="000000"/>
          <w:szCs w:val="24"/>
        </w:rPr>
        <w:t>(2016),</w:t>
      </w:r>
      <w:r w:rsidR="00410E67">
        <w:rPr>
          <w:rFonts w:ascii="Times" w:hAnsi="Times" w:cs="Times"/>
          <w:color w:val="000000"/>
          <w:szCs w:val="24"/>
        </w:rPr>
        <w:t xml:space="preserve"> </w:t>
      </w:r>
      <w:r w:rsidR="00A974D3" w:rsidRPr="00A974D3">
        <w:rPr>
          <w:rFonts w:cs="Times New Roman"/>
          <w:i/>
          <w:lang w:val="en-US"/>
        </w:rPr>
        <w:t>Previous Experience</w:t>
      </w:r>
      <w:r w:rsidR="00A974D3">
        <w:rPr>
          <w:rFonts w:cs="Times New Roman"/>
          <w:i/>
          <w:lang w:val="en-US"/>
        </w:rPr>
        <w:t xml:space="preserve"> </w:t>
      </w:r>
      <w:r w:rsidR="00A974D3">
        <w:rPr>
          <w:rFonts w:cs="Times New Roman"/>
          <w:lang w:val="en-US"/>
        </w:rPr>
        <w:t xml:space="preserve">is captured by looking at work experience of the social entrepreneur across </w:t>
      </w:r>
      <w:r w:rsidR="00F224B1">
        <w:rPr>
          <w:rFonts w:cs="Times New Roman"/>
          <w:lang w:val="en-US"/>
        </w:rPr>
        <w:t>nine</w:t>
      </w:r>
      <w:r w:rsidR="00A974D3">
        <w:rPr>
          <w:rFonts w:cs="Times New Roman"/>
          <w:lang w:val="en-US"/>
        </w:rPr>
        <w:t xml:space="preserve"> </w:t>
      </w:r>
      <w:r w:rsidR="00A974D3" w:rsidRPr="00A974D3">
        <w:rPr>
          <w:rFonts w:cs="Times New Roman"/>
        </w:rPr>
        <w:t xml:space="preserve">relevant </w:t>
      </w:r>
      <w:r w:rsidR="00A974D3">
        <w:rPr>
          <w:rFonts w:cs="Times New Roman"/>
        </w:rPr>
        <w:t>domains: triple bottom-line accounting, social enterprise management, social entrepreneurship (founded another social venture in the past), corporate social responsibility, environmental management, clean technologies, development or poverty, social public policy, and social/environmental  value assessment</w:t>
      </w:r>
      <w:r w:rsidR="008A6A6E">
        <w:rPr>
          <w:rFonts w:cs="Times New Roman"/>
        </w:rPr>
        <w:t xml:space="preserve"> (</w:t>
      </w:r>
      <w:r w:rsidR="008A6A6E" w:rsidRPr="008A6A6E">
        <w:rPr>
          <w:szCs w:val="24"/>
        </w:rPr>
        <w:t>Hockerts,</w:t>
      </w:r>
      <w:r w:rsidR="008A6A6E">
        <w:rPr>
          <w:szCs w:val="24"/>
        </w:rPr>
        <w:t xml:space="preserve"> 2017)</w:t>
      </w:r>
      <w:r w:rsidR="00A974D3">
        <w:rPr>
          <w:rFonts w:cs="Times New Roman"/>
        </w:rPr>
        <w:t>.</w:t>
      </w:r>
      <w:r w:rsidR="00F224B1">
        <w:rPr>
          <w:rFonts w:cs="Times New Roman"/>
        </w:rPr>
        <w:t xml:space="preserve"> </w:t>
      </w:r>
      <w:r w:rsidR="00A974D3">
        <w:rPr>
          <w:rFonts w:cs="Times New Roman"/>
        </w:rPr>
        <w:t xml:space="preserve"> </w:t>
      </w:r>
      <w:r w:rsidR="00F224B1" w:rsidRPr="00F224B1">
        <w:rPr>
          <w:rFonts w:cs="Times New Roman"/>
          <w:i/>
          <w:lang w:val="en-US"/>
        </w:rPr>
        <w:t>Early Investment</w:t>
      </w:r>
      <w:r w:rsidR="00F224B1">
        <w:rPr>
          <w:rFonts w:cs="Times New Roman"/>
          <w:i/>
          <w:lang w:val="en-US"/>
        </w:rPr>
        <w:t xml:space="preserve"> </w:t>
      </w:r>
      <w:r w:rsidR="00F224B1">
        <w:rPr>
          <w:rFonts w:cs="Times New Roman"/>
          <w:lang w:val="en-US"/>
        </w:rPr>
        <w:t xml:space="preserve">focuses on the number of investment rounds received by the social venture during the first year of operation across </w:t>
      </w:r>
      <w:r w:rsidR="00B2386B">
        <w:rPr>
          <w:rFonts w:cs="Times New Roman"/>
          <w:lang w:val="en-US"/>
        </w:rPr>
        <w:t>eight</w:t>
      </w:r>
      <w:r w:rsidR="00F224B1">
        <w:rPr>
          <w:rFonts w:cs="Times New Roman"/>
          <w:lang w:val="en-US"/>
        </w:rPr>
        <w:t xml:space="preserve"> potential sources of investment: venture capital, friends and family, equity-based crowdfunding, seed funding, loan from a financial institution, informal lending, bootstrapping, </w:t>
      </w:r>
      <w:r w:rsidR="00B2386B">
        <w:rPr>
          <w:rFonts w:cs="Times New Roman"/>
          <w:lang w:val="en-US"/>
        </w:rPr>
        <w:t xml:space="preserve">and </w:t>
      </w:r>
      <w:r w:rsidR="00F224B1">
        <w:rPr>
          <w:rFonts w:cs="Times New Roman"/>
          <w:lang w:val="en-US"/>
        </w:rPr>
        <w:t xml:space="preserve">industry </w:t>
      </w:r>
      <w:r w:rsidR="003C0214">
        <w:rPr>
          <w:rFonts w:cs="Times New Roman"/>
          <w:lang w:val="en-US"/>
        </w:rPr>
        <w:t>awards.</w:t>
      </w:r>
      <w:r w:rsidR="00F224B1">
        <w:rPr>
          <w:rFonts w:cs="Times New Roman"/>
          <w:lang w:val="en-US"/>
        </w:rPr>
        <w:t xml:space="preserve"> </w:t>
      </w:r>
      <w:r w:rsidR="00B2386B" w:rsidRPr="00B2386B">
        <w:rPr>
          <w:rFonts w:cs="Times New Roman"/>
          <w:i/>
          <w:lang w:val="en-US"/>
        </w:rPr>
        <w:t xml:space="preserve">Profit </w:t>
      </w:r>
      <w:r w:rsidR="00B2386B" w:rsidRPr="00B2386B">
        <w:rPr>
          <w:rFonts w:cs="Times New Roman"/>
          <w:i/>
          <w:lang w:val="en-US"/>
        </w:rPr>
        <w:lastRenderedPageBreak/>
        <w:t>Orientation</w:t>
      </w:r>
      <w:r w:rsidR="00B2386B">
        <w:rPr>
          <w:rFonts w:cs="Times New Roman"/>
          <w:i/>
          <w:lang w:val="en-US"/>
        </w:rPr>
        <w:t xml:space="preserve"> </w:t>
      </w:r>
      <w:r w:rsidR="00D72B7F">
        <w:rPr>
          <w:rFonts w:cs="Times New Roman"/>
          <w:lang w:val="en-US"/>
        </w:rPr>
        <w:t>focuses on</w:t>
      </w:r>
      <w:r w:rsidR="00B2386B">
        <w:rPr>
          <w:rFonts w:cs="Times New Roman"/>
          <w:lang w:val="en-US"/>
        </w:rPr>
        <w:t xml:space="preserve"> whether the ve</w:t>
      </w:r>
      <w:r w:rsidR="00D72B7F">
        <w:rPr>
          <w:rFonts w:cs="Times New Roman"/>
          <w:lang w:val="en-US"/>
        </w:rPr>
        <w:t xml:space="preserve">nture is legally registered as a for-profit (1) or non-for-profit (0) enterprise. </w:t>
      </w:r>
      <w:r w:rsidR="00D72B7F" w:rsidRPr="00FB1D5F">
        <w:rPr>
          <w:rFonts w:cs="Times New Roman"/>
          <w:i/>
          <w:lang w:val="en-US"/>
        </w:rPr>
        <w:t>Market Competition</w:t>
      </w:r>
      <w:r w:rsidR="00FB1D5F">
        <w:rPr>
          <w:rFonts w:cs="Times New Roman"/>
          <w:i/>
          <w:lang w:val="en-US"/>
        </w:rPr>
        <w:t xml:space="preserve"> </w:t>
      </w:r>
      <w:r w:rsidR="00FB1D5F">
        <w:rPr>
          <w:rFonts w:cs="Times New Roman"/>
          <w:lang w:val="en-US"/>
        </w:rPr>
        <w:t xml:space="preserve">seeks to capture the social enterprise’s competitive environment by looking at the venture’s main competitor across four types: traditional for-profit enterprises, NGOs, social enterprises and government. These were coded as for-profit competitors (1) or non-for-profit competitors (0) under the assumption that traditional for-profit enterprises create a more competitive environment than non-for-profit, requiring the social venture to deploy </w:t>
      </w:r>
      <w:r w:rsidR="009848FB">
        <w:rPr>
          <w:rFonts w:cs="Times New Roman"/>
          <w:lang w:val="en-US"/>
        </w:rPr>
        <w:t>strategies that are more aggressive</w:t>
      </w:r>
      <w:r w:rsidR="00FB1D5F">
        <w:rPr>
          <w:rFonts w:cs="Times New Roman"/>
          <w:lang w:val="en-US"/>
        </w:rPr>
        <w:t xml:space="preserve"> </w:t>
      </w:r>
      <w:r w:rsidR="009848FB">
        <w:rPr>
          <w:rFonts w:cs="Times New Roman"/>
          <w:lang w:val="en-US"/>
        </w:rPr>
        <w:t xml:space="preserve">and leverage </w:t>
      </w:r>
      <w:r w:rsidR="00FB1D5F">
        <w:rPr>
          <w:rFonts w:cs="Times New Roman"/>
          <w:lang w:val="en-US"/>
        </w:rPr>
        <w:t>its social mission as</w:t>
      </w:r>
      <w:r w:rsidR="009848FB">
        <w:rPr>
          <w:rFonts w:cs="Times New Roman"/>
          <w:lang w:val="en-US"/>
        </w:rPr>
        <w:t xml:space="preserve"> a</w:t>
      </w:r>
      <w:r w:rsidR="00FB1D5F">
        <w:rPr>
          <w:rFonts w:cs="Times New Roman"/>
          <w:lang w:val="en-US"/>
        </w:rPr>
        <w:t xml:space="preserve"> main differentiator. </w:t>
      </w:r>
      <w:r w:rsidR="00A66512">
        <w:rPr>
          <w:rFonts w:cs="Times New Roman"/>
          <w:lang w:val="en-US"/>
        </w:rPr>
        <w:t xml:space="preserve">Some </w:t>
      </w:r>
      <w:r w:rsidR="00FB1D5F">
        <w:rPr>
          <w:rFonts w:cs="Times New Roman"/>
          <w:lang w:val="en-US"/>
        </w:rPr>
        <w:t xml:space="preserve">77% of the sample declare traditional for-profit enterprises to be their main competitor. </w:t>
      </w:r>
      <w:r w:rsidR="000540DF">
        <w:rPr>
          <w:rFonts w:cs="Times New Roman"/>
          <w:lang w:val="en-US"/>
        </w:rPr>
        <w:t>Last</w:t>
      </w:r>
      <w:r w:rsidR="00FB1D5F">
        <w:rPr>
          <w:rFonts w:cs="Times New Roman"/>
          <w:lang w:val="en-US"/>
        </w:rPr>
        <w:t xml:space="preserve">, </w:t>
      </w:r>
      <w:r w:rsidR="00FB1D5F" w:rsidRPr="00FB1D5F">
        <w:rPr>
          <w:rFonts w:cs="Times New Roman"/>
          <w:i/>
          <w:lang w:val="en-US"/>
        </w:rPr>
        <w:t>Perceived Financial Value of the Social Mission</w:t>
      </w:r>
      <w:r w:rsidR="00FB1D5F">
        <w:rPr>
          <w:rFonts w:cs="Times New Roman"/>
          <w:i/>
          <w:lang w:val="en-US"/>
        </w:rPr>
        <w:t xml:space="preserve"> </w:t>
      </w:r>
      <w:r w:rsidR="00FB1D5F">
        <w:rPr>
          <w:rFonts w:cs="Times New Roman"/>
          <w:lang w:val="en-US"/>
        </w:rPr>
        <w:t xml:space="preserve">explores the perceived relationship between the social impact of the venture and its financial results. We coded </w:t>
      </w:r>
      <w:r w:rsidR="00276C04">
        <w:rPr>
          <w:rFonts w:cs="Times New Roman"/>
          <w:lang w:val="en-US"/>
        </w:rPr>
        <w:t>those answers</w:t>
      </w:r>
      <w:r w:rsidR="00817BFE">
        <w:rPr>
          <w:rFonts w:cs="Times New Roman"/>
          <w:lang w:val="en-US"/>
        </w:rPr>
        <w:t xml:space="preserve"> as 1</w:t>
      </w:r>
      <w:r w:rsidR="00276C04">
        <w:rPr>
          <w:rFonts w:cs="Times New Roman"/>
          <w:lang w:val="en-US"/>
        </w:rPr>
        <w:t xml:space="preserve"> where the social entrepreneur believes the </w:t>
      </w:r>
      <w:r w:rsidR="00276C04" w:rsidRPr="00276C04">
        <w:rPr>
          <w:rFonts w:cs="Times New Roman"/>
          <w:lang w:val="en-US"/>
        </w:rPr>
        <w:t xml:space="preserve">social </w:t>
      </w:r>
      <w:r w:rsidR="00276C04">
        <w:rPr>
          <w:rFonts w:cs="Times New Roman"/>
          <w:lang w:val="en-US"/>
        </w:rPr>
        <w:t xml:space="preserve">mission </w:t>
      </w:r>
      <w:r w:rsidR="00276C04" w:rsidRPr="00276C04">
        <w:rPr>
          <w:rFonts w:cs="Times New Roman"/>
          <w:lang w:val="en-US"/>
        </w:rPr>
        <w:t xml:space="preserve">leads to </w:t>
      </w:r>
      <w:r w:rsidR="00817BFE">
        <w:rPr>
          <w:rFonts w:cs="Times New Roman"/>
          <w:lang w:val="en-US"/>
        </w:rPr>
        <w:t>better financial outcomes, and</w:t>
      </w:r>
      <w:r w:rsidR="00276C04">
        <w:rPr>
          <w:rFonts w:cs="Times New Roman"/>
          <w:lang w:val="en-US"/>
        </w:rPr>
        <w:t xml:space="preserve"> those answers </w:t>
      </w:r>
      <w:r w:rsidR="00817BFE">
        <w:rPr>
          <w:rFonts w:cs="Times New Roman"/>
          <w:lang w:val="en-US"/>
        </w:rPr>
        <w:t xml:space="preserve">as 0 </w:t>
      </w:r>
      <w:r w:rsidR="00276C04">
        <w:rPr>
          <w:rFonts w:cs="Times New Roman"/>
          <w:lang w:val="en-US"/>
        </w:rPr>
        <w:t xml:space="preserve">where the entrepreneur declares that there is no perceived relationship, there is a negative relationship (social does not lead to finance) or </w:t>
      </w:r>
      <w:r w:rsidR="00CC15F7">
        <w:rPr>
          <w:rFonts w:cs="Times New Roman"/>
          <w:lang w:val="en-US"/>
        </w:rPr>
        <w:t xml:space="preserve">an </w:t>
      </w:r>
      <w:r w:rsidR="00276C04">
        <w:rPr>
          <w:rFonts w:cs="Times New Roman"/>
          <w:lang w:val="en-US"/>
        </w:rPr>
        <w:t xml:space="preserve">inversed relationship (financial leads to social).  </w:t>
      </w:r>
    </w:p>
    <w:p w14:paraId="409CF5E7" w14:textId="77777777" w:rsidR="00FB1D5F" w:rsidRPr="00FB1D5F" w:rsidRDefault="00FB1D5F" w:rsidP="00A974D3">
      <w:pPr>
        <w:rPr>
          <w:rFonts w:cs="Times New Roman"/>
          <w:lang w:val="en-US"/>
        </w:rPr>
      </w:pPr>
    </w:p>
    <w:p w14:paraId="59A02D3E" w14:textId="7B382A36" w:rsidR="00CC15F7" w:rsidRPr="00C9369A" w:rsidRDefault="00FE74B1" w:rsidP="00C9369A">
      <w:pPr>
        <w:pStyle w:val="Heading2"/>
      </w:pPr>
      <w:r w:rsidRPr="00C9369A">
        <w:t>Calibration</w:t>
      </w:r>
      <w:r w:rsidR="00CC15F7" w:rsidRPr="00C9369A">
        <w:t xml:space="preserve"> and data analysis</w:t>
      </w:r>
    </w:p>
    <w:p w14:paraId="1C112C07" w14:textId="7978200D" w:rsidR="00511472" w:rsidRPr="007F0749" w:rsidRDefault="00C9369A" w:rsidP="00511472">
      <w:pPr>
        <w:ind w:firstLine="0"/>
      </w:pPr>
      <w:r>
        <w:rPr>
          <w:lang w:val="en-US"/>
        </w:rPr>
        <w:t>In order to facilitate comparability across measures, the calibration procedure (Ragin</w:t>
      </w:r>
      <w:r w:rsidR="00045DA2">
        <w:rPr>
          <w:lang w:val="en-US"/>
        </w:rPr>
        <w:t>,</w:t>
      </w:r>
      <w:r>
        <w:rPr>
          <w:lang w:val="en-US"/>
        </w:rPr>
        <w:t xml:space="preserve"> 2008) uses an </w:t>
      </w:r>
      <w:r>
        <w:t>estimation technique to transform variable raw scores into set measures, rescaling the original measures into 0.0 to 1.0 scores</w:t>
      </w:r>
      <w:r w:rsidR="00AD52B7">
        <w:t xml:space="preserve">. </w:t>
      </w:r>
      <w:r w:rsidR="00EF2970">
        <w:t>The analysis</w:t>
      </w:r>
      <w:r w:rsidR="00EF2970" w:rsidRPr="00EA450C">
        <w:t xml:space="preserve"> use</w:t>
      </w:r>
      <w:r w:rsidR="00EF2970">
        <w:t>s</w:t>
      </w:r>
      <w:r w:rsidR="00EF2970" w:rsidRPr="007F0749">
        <w:t xml:space="preserve"> the direct method for calibration, which is based on three qualitative anchors: </w:t>
      </w:r>
      <w:r w:rsidR="00EF2970" w:rsidRPr="009F2E10">
        <w:t xml:space="preserve">threshold for </w:t>
      </w:r>
      <w:r w:rsidR="00EF2970" w:rsidRPr="00EA450C">
        <w:t>full membership calibrated as 0.95</w:t>
      </w:r>
      <w:r w:rsidR="00EF2970" w:rsidRPr="007F0749">
        <w:t xml:space="preserve">, </w:t>
      </w:r>
      <w:r w:rsidR="00EF2970" w:rsidRPr="00EA450C">
        <w:t>full non-membership calibrated as 0.05</w:t>
      </w:r>
      <w:r w:rsidR="00295264">
        <w:t>, and a cross</w:t>
      </w:r>
      <w:r w:rsidR="00EF2970">
        <w:t>over point c</w:t>
      </w:r>
      <w:r w:rsidR="00EF2970" w:rsidRPr="007F0749">
        <w:t>alibrated as 0.5</w:t>
      </w:r>
      <w:r w:rsidR="00EF2970">
        <w:t xml:space="preserve">. </w:t>
      </w:r>
      <w:r w:rsidR="00511472">
        <w:rPr>
          <w:rFonts w:cs="Times New Roman"/>
          <w:lang w:val="en-US"/>
        </w:rPr>
        <w:t xml:space="preserve">Drawing on the scale and observed score distribution, calibration for </w:t>
      </w:r>
      <w:r w:rsidR="00511472" w:rsidRPr="00511472">
        <w:rPr>
          <w:rFonts w:cs="Times New Roman"/>
          <w:i/>
          <w:lang w:val="en-US"/>
        </w:rPr>
        <w:t>Social Orientation</w:t>
      </w:r>
      <w:r w:rsidR="00511472">
        <w:rPr>
          <w:rFonts w:cs="Times New Roman"/>
          <w:lang w:val="en-US"/>
        </w:rPr>
        <w:t xml:space="preserve"> uses </w:t>
      </w:r>
      <w:r w:rsidR="00511472" w:rsidRPr="00F505C6">
        <w:rPr>
          <w:rFonts w:cs="Times New Roman"/>
          <w:lang w:val="en-US" w:eastAsia="en-GB"/>
        </w:rPr>
        <w:t>5</w:t>
      </w:r>
      <w:r w:rsidR="00817BFE" w:rsidRPr="00F505C6">
        <w:rPr>
          <w:rFonts w:cs="Times New Roman"/>
          <w:lang w:val="en-US" w:eastAsia="en-GB"/>
        </w:rPr>
        <w:t>, 4,</w:t>
      </w:r>
      <w:r w:rsidR="00817BFE">
        <w:rPr>
          <w:rFonts w:cs="Times New Roman"/>
          <w:lang w:val="en-US" w:eastAsia="en-GB"/>
        </w:rPr>
        <w:t xml:space="preserve"> </w:t>
      </w:r>
      <w:r w:rsidR="00817BFE" w:rsidRPr="00F505C6">
        <w:rPr>
          <w:rFonts w:cs="Times New Roman"/>
          <w:lang w:val="en-US" w:eastAsia="en-GB"/>
        </w:rPr>
        <w:t>and 3</w:t>
      </w:r>
      <w:r w:rsidR="00511472">
        <w:rPr>
          <w:rFonts w:cs="Times New Roman"/>
          <w:lang w:val="en-US" w:eastAsia="en-GB"/>
        </w:rPr>
        <w:t xml:space="preserve"> as thresholds for full inclusion, </w:t>
      </w:r>
      <w:r w:rsidR="009848FB">
        <w:rPr>
          <w:rFonts w:cs="Times New Roman"/>
          <w:lang w:val="en-US" w:eastAsia="en-GB"/>
        </w:rPr>
        <w:t>crossover</w:t>
      </w:r>
      <w:r w:rsidR="00295264">
        <w:rPr>
          <w:rFonts w:cs="Times New Roman"/>
          <w:lang w:val="en-US" w:eastAsia="en-GB"/>
        </w:rPr>
        <w:t>,</w:t>
      </w:r>
      <w:r w:rsidR="00511472">
        <w:rPr>
          <w:rFonts w:cs="Times New Roman"/>
          <w:lang w:val="en-US" w:eastAsia="en-GB"/>
        </w:rPr>
        <w:t xml:space="preserve"> and full exclusion. </w:t>
      </w:r>
      <w:r w:rsidR="0095512C">
        <w:rPr>
          <w:rFonts w:cs="Times New Roman"/>
          <w:lang w:val="en-US" w:eastAsia="en-GB"/>
        </w:rPr>
        <w:t>The c</w:t>
      </w:r>
      <w:r w:rsidR="00511472">
        <w:rPr>
          <w:rFonts w:cs="Times New Roman"/>
          <w:lang w:val="en-US" w:eastAsia="en-GB"/>
        </w:rPr>
        <w:t>alibration</w:t>
      </w:r>
      <w:r w:rsidR="0095512C">
        <w:rPr>
          <w:rFonts w:cs="Times New Roman"/>
          <w:lang w:val="en-US" w:eastAsia="en-GB"/>
        </w:rPr>
        <w:t xml:space="preserve"> procedure</w:t>
      </w:r>
      <w:r w:rsidR="00511472">
        <w:rPr>
          <w:rFonts w:cs="Times New Roman"/>
          <w:lang w:val="en-US" w:eastAsia="en-GB"/>
        </w:rPr>
        <w:t xml:space="preserve"> for </w:t>
      </w:r>
      <w:r w:rsidR="00511472" w:rsidRPr="00511472">
        <w:rPr>
          <w:rFonts w:cs="Times New Roman"/>
          <w:i/>
          <w:lang w:val="en-US"/>
        </w:rPr>
        <w:t>Previous Experience</w:t>
      </w:r>
      <w:r w:rsidR="00511472">
        <w:rPr>
          <w:rFonts w:cs="Times New Roman"/>
          <w:lang w:val="en-US"/>
        </w:rPr>
        <w:t xml:space="preserve"> and </w:t>
      </w:r>
      <w:r w:rsidR="00511472" w:rsidRPr="00511472">
        <w:rPr>
          <w:rFonts w:cs="Times New Roman"/>
          <w:i/>
          <w:lang w:val="en-US"/>
        </w:rPr>
        <w:t>Early Investment</w:t>
      </w:r>
      <w:r w:rsidR="00511472">
        <w:rPr>
          <w:rFonts w:cs="Times New Roman"/>
          <w:lang w:val="en-US"/>
        </w:rPr>
        <w:t xml:space="preserve"> </w:t>
      </w:r>
      <w:r w:rsidR="0095512C">
        <w:rPr>
          <w:rFonts w:cs="Times New Roman"/>
          <w:lang w:val="en-US"/>
        </w:rPr>
        <w:t xml:space="preserve">is </w:t>
      </w:r>
      <w:r w:rsidR="00511472">
        <w:rPr>
          <w:rFonts w:cs="Times New Roman"/>
          <w:lang w:val="en-US"/>
        </w:rPr>
        <w:t xml:space="preserve">based on substantive knowledge and use the observed distribution of scores across the sample. Both are calibrated using </w:t>
      </w:r>
      <w:r w:rsidR="00511472" w:rsidRPr="00F505C6">
        <w:rPr>
          <w:rFonts w:cs="Times New Roman"/>
          <w:lang w:val="en-US" w:eastAsia="en-GB"/>
        </w:rPr>
        <w:t>5</w:t>
      </w:r>
      <w:r w:rsidR="00817BFE" w:rsidRPr="00F505C6">
        <w:rPr>
          <w:rFonts w:cs="Times New Roman"/>
          <w:lang w:val="en-US" w:eastAsia="en-GB"/>
        </w:rPr>
        <w:t>, 3, and 1</w:t>
      </w:r>
      <w:r w:rsidR="00511472">
        <w:rPr>
          <w:rFonts w:cs="Times New Roman"/>
          <w:lang w:val="en-US" w:eastAsia="en-GB"/>
        </w:rPr>
        <w:t xml:space="preserve"> as </w:t>
      </w:r>
      <w:r w:rsidR="00511472">
        <w:rPr>
          <w:rFonts w:cs="Times New Roman"/>
          <w:lang w:val="en-US" w:eastAsia="en-GB"/>
        </w:rPr>
        <w:lastRenderedPageBreak/>
        <w:t xml:space="preserve">thresholds. </w:t>
      </w:r>
      <w:r w:rsidR="00767B90">
        <w:t>Given their binary nature,</w:t>
      </w:r>
      <w:r w:rsidR="00767B90">
        <w:rPr>
          <w:rFonts w:cs="Times New Roman"/>
          <w:lang w:val="en-US"/>
        </w:rPr>
        <w:t xml:space="preserve"> </w:t>
      </w:r>
      <w:r w:rsidR="00767B90" w:rsidRPr="00817BFE">
        <w:rPr>
          <w:rFonts w:cs="Times New Roman"/>
          <w:i/>
          <w:lang w:val="en-US"/>
        </w:rPr>
        <w:t>Profit</w:t>
      </w:r>
      <w:r w:rsidR="00767B90" w:rsidRPr="00B2386B">
        <w:rPr>
          <w:rFonts w:cs="Times New Roman"/>
          <w:i/>
          <w:lang w:val="en-US"/>
        </w:rPr>
        <w:t xml:space="preserve"> Orientation</w:t>
      </w:r>
      <w:r w:rsidR="00767B90">
        <w:rPr>
          <w:rFonts w:cs="Times New Roman"/>
          <w:i/>
          <w:lang w:val="en-US"/>
        </w:rPr>
        <w:t xml:space="preserve">, </w:t>
      </w:r>
      <w:r w:rsidR="00767B90" w:rsidRPr="00FB1D5F">
        <w:rPr>
          <w:rFonts w:cs="Times New Roman"/>
          <w:i/>
          <w:lang w:val="en-US"/>
        </w:rPr>
        <w:t>Market Competition</w:t>
      </w:r>
      <w:r w:rsidR="00DF7378">
        <w:rPr>
          <w:rFonts w:cs="Times New Roman"/>
          <w:i/>
          <w:lang w:val="en-US"/>
        </w:rPr>
        <w:t>,</w:t>
      </w:r>
      <w:r w:rsidR="00767B90">
        <w:rPr>
          <w:rFonts w:cs="Times New Roman"/>
          <w:i/>
          <w:lang w:val="en-US"/>
        </w:rPr>
        <w:t xml:space="preserve"> </w:t>
      </w:r>
      <w:r w:rsidR="00767B90" w:rsidRPr="00C9369A">
        <w:rPr>
          <w:rFonts w:cs="Times New Roman"/>
          <w:lang w:val="en-US"/>
        </w:rPr>
        <w:t>and</w:t>
      </w:r>
      <w:r w:rsidR="00767B90">
        <w:rPr>
          <w:rFonts w:cs="Times New Roman"/>
          <w:i/>
          <w:lang w:val="en-US"/>
        </w:rPr>
        <w:t xml:space="preserve"> </w:t>
      </w:r>
      <w:r w:rsidR="00767B90" w:rsidRPr="00FB1D5F">
        <w:rPr>
          <w:rFonts w:cs="Times New Roman"/>
          <w:i/>
          <w:lang w:val="en-US"/>
        </w:rPr>
        <w:t>Perceived Financial Value of the Social Mission</w:t>
      </w:r>
      <w:r w:rsidR="00767B90">
        <w:rPr>
          <w:rFonts w:cs="Times New Roman"/>
          <w:i/>
          <w:lang w:val="en-US"/>
        </w:rPr>
        <w:t xml:space="preserve"> </w:t>
      </w:r>
      <w:r w:rsidR="00767B90">
        <w:rPr>
          <w:rFonts w:cs="Times New Roman"/>
          <w:lang w:val="en-US"/>
        </w:rPr>
        <w:t xml:space="preserve">do not require calibration. </w:t>
      </w:r>
      <w:r w:rsidR="007F67C9">
        <w:rPr>
          <w:rFonts w:cs="Times New Roman"/>
          <w:lang w:val="en-US"/>
        </w:rPr>
        <w:t xml:space="preserve">The calibration computation is automated in fsQCA 3.0 (Ragin &amp; </w:t>
      </w:r>
      <w:r w:rsidR="007F67C9" w:rsidRPr="009F2E10">
        <w:rPr>
          <w:rFonts w:eastAsia="Times New Roman" w:cs="Times New Roman"/>
          <w:color w:val="000000"/>
          <w:szCs w:val="24"/>
        </w:rPr>
        <w:t>Davey</w:t>
      </w:r>
      <w:r w:rsidR="007F67C9">
        <w:rPr>
          <w:rFonts w:eastAsia="Times New Roman" w:cs="Times New Roman"/>
          <w:color w:val="000000"/>
          <w:szCs w:val="24"/>
        </w:rPr>
        <w:t>, 2016</w:t>
      </w:r>
      <w:r w:rsidR="007F67C9">
        <w:rPr>
          <w:rFonts w:cs="Times New Roman"/>
          <w:lang w:val="en-US"/>
        </w:rPr>
        <w:t xml:space="preserve">). </w:t>
      </w:r>
      <w:r w:rsidR="0095512C">
        <w:rPr>
          <w:rFonts w:cs="Times New Roman"/>
          <w:lang w:val="en-US"/>
        </w:rPr>
        <w:t>The c</w:t>
      </w:r>
      <w:r w:rsidR="00511472">
        <w:rPr>
          <w:rFonts w:cs="Times New Roman"/>
          <w:lang w:val="en-US" w:eastAsia="en-GB"/>
        </w:rPr>
        <w:t xml:space="preserve">alibration table is available from the authors upon request. </w:t>
      </w:r>
    </w:p>
    <w:p w14:paraId="0BF4DE7A" w14:textId="71A0CACB" w:rsidR="00EF2970" w:rsidRPr="009E223B" w:rsidRDefault="00EF2970" w:rsidP="00EF2970">
      <w:pPr>
        <w:rPr>
          <w:rFonts w:eastAsia="Times New Roman"/>
        </w:rPr>
      </w:pPr>
      <w:r w:rsidRPr="00357635">
        <w:rPr>
          <w:rFonts w:cs="Times New Roman"/>
        </w:rPr>
        <w:t>Once the data are calibrated, the next step in configurational analysis is the construction of a truth table listing the different possible combinations of causal conditions along with the cases conforming to each combination.</w:t>
      </w:r>
      <w:r>
        <w:t xml:space="preserve"> To simplify the combinations for analysis, truth table procedures require the definition of </w:t>
      </w:r>
      <w:r w:rsidRPr="00767B90">
        <w:t xml:space="preserve">two </w:t>
      </w:r>
      <w:r>
        <w:t xml:space="preserve">thresholds: frequency, the </w:t>
      </w:r>
      <w:r w:rsidRPr="006A7ABA">
        <w:t>minimum number of cases</w:t>
      </w:r>
      <w:r>
        <w:t xml:space="preserve"> to be included in the analysis</w:t>
      </w:r>
      <w:r w:rsidRPr="006A7ABA">
        <w:t xml:space="preserve"> and consistency</w:t>
      </w:r>
      <w:r>
        <w:t xml:space="preserve">, the </w:t>
      </w:r>
      <w:r w:rsidRPr="007F0749">
        <w:t>minimum acceptable level to which a combination of causal conditions is considered reliably associated with each of the outcomes</w:t>
      </w:r>
      <w:r>
        <w:t>.</w:t>
      </w:r>
      <w:r>
        <w:rPr>
          <w:rFonts w:eastAsia="Times New Roman"/>
        </w:rPr>
        <w:t xml:space="preserve"> </w:t>
      </w:r>
      <w:r>
        <w:t xml:space="preserve">To retain the most relevant solution terms, the present analysis uses a frequency threshold of three and a consistency threshold of 0.79. The resulting truth table (Table 1) consists of 19 rows and 84 cases relevant for the outcome, with 79% of the cases above the minimum consistency threshold set at </w:t>
      </w:r>
      <w:r w:rsidRPr="00AB777A">
        <w:t>0.796</w:t>
      </w:r>
      <w:r>
        <w:t xml:space="preserve">, which is in line with current practice (Kimmitt &amp; Muñoz, 2017). The remaining 27 cases were dropped from the analysis as per frequency threshold specification.  </w:t>
      </w:r>
    </w:p>
    <w:p w14:paraId="498A09B1" w14:textId="648903ED" w:rsidR="00FE74B1" w:rsidRDefault="00FE74B1" w:rsidP="00CA3441">
      <w:pPr>
        <w:ind w:firstLine="0"/>
        <w:jc w:val="center"/>
        <w:rPr>
          <w:rFonts w:cs="Times New Roman"/>
          <w:lang w:val="en-US"/>
        </w:rPr>
      </w:pPr>
      <w:r w:rsidRPr="00F505C6">
        <w:rPr>
          <w:rFonts w:cs="Times New Roman"/>
          <w:lang w:val="en-US"/>
        </w:rPr>
        <w:t>---Insert Table 1 about here---</w:t>
      </w:r>
    </w:p>
    <w:p w14:paraId="776887E4" w14:textId="77777777" w:rsidR="00CA3441" w:rsidRPr="00CA3441" w:rsidRDefault="00CA3441" w:rsidP="00CA3441">
      <w:pPr>
        <w:ind w:firstLine="0"/>
        <w:jc w:val="center"/>
        <w:rPr>
          <w:rFonts w:cs="Times New Roman"/>
          <w:lang w:val="en-US"/>
        </w:rPr>
      </w:pPr>
    </w:p>
    <w:p w14:paraId="1C2AA653" w14:textId="67D98CC6" w:rsidR="00FE74B1" w:rsidRPr="00F505C6" w:rsidRDefault="00FE74B1" w:rsidP="00FE74B1">
      <w:pPr>
        <w:pStyle w:val="Heading1"/>
        <w:rPr>
          <w:lang w:val="en-US"/>
        </w:rPr>
      </w:pPr>
      <w:r w:rsidRPr="00F505C6">
        <w:rPr>
          <w:lang w:val="en-US"/>
        </w:rPr>
        <w:t>Results</w:t>
      </w:r>
    </w:p>
    <w:p w14:paraId="335B9878" w14:textId="0FD8BBA4" w:rsidR="000573BE" w:rsidRPr="00F42EFE" w:rsidRDefault="00EE3345" w:rsidP="00EE3345">
      <w:pPr>
        <w:ind w:firstLine="0"/>
      </w:pPr>
      <w:r>
        <w:t xml:space="preserve">Based on the above thresholds, fsQCA uses a Boolean algorithm </w:t>
      </w:r>
      <w:r w:rsidR="00A66512">
        <w:t>combined</w:t>
      </w:r>
      <w:r w:rsidR="00EF573D">
        <w:t xml:space="preserve"> with </w:t>
      </w:r>
      <w:r>
        <w:t>counterfactual analysis and logical minimization to reduce the truth table rows to a solution table comprising simpli</w:t>
      </w:r>
      <w:r>
        <w:rPr>
          <w:rFonts w:ascii="AdvTT5235d5a9+fb" w:hAnsi="AdvTT5235d5a9+fb"/>
        </w:rPr>
        <w:t>fi</w:t>
      </w:r>
      <w:r>
        <w:t>ed combinations of conditions</w:t>
      </w:r>
      <w:r>
        <w:rPr>
          <w:rFonts w:cs="Times New Roman"/>
          <w:lang w:val="en-US"/>
        </w:rPr>
        <w:t xml:space="preserve">. </w:t>
      </w:r>
      <w:r w:rsidR="00EF573D">
        <w:rPr>
          <w:rFonts w:cs="Times New Roman"/>
          <w:lang w:val="en-US"/>
        </w:rPr>
        <w:t xml:space="preserve">The </w:t>
      </w:r>
      <w:r w:rsidR="00AD52B7">
        <w:rPr>
          <w:rFonts w:cs="Times New Roman"/>
          <w:lang w:val="en-US"/>
        </w:rPr>
        <w:t>analysis</w:t>
      </w:r>
      <w:r w:rsidR="000F2DFD">
        <w:rPr>
          <w:rFonts w:cs="Times New Roman"/>
          <w:lang w:val="en-US"/>
        </w:rPr>
        <w:t xml:space="preserve"> </w:t>
      </w:r>
      <w:r w:rsidR="00AD52B7">
        <w:rPr>
          <w:rFonts w:cs="Times New Roman"/>
          <w:lang w:val="en-US"/>
        </w:rPr>
        <w:t>identifies</w:t>
      </w:r>
      <w:r w:rsidR="006F3E0D" w:rsidRPr="00F505C6">
        <w:rPr>
          <w:rFonts w:cs="Times New Roman"/>
          <w:lang w:val="en-US"/>
        </w:rPr>
        <w:t xml:space="preserve"> four</w:t>
      </w:r>
      <w:r w:rsidR="0048629F" w:rsidRPr="00F505C6">
        <w:rPr>
          <w:rFonts w:cs="Times New Roman"/>
          <w:lang w:val="en-US"/>
        </w:rPr>
        <w:t xml:space="preserve"> distinct</w:t>
      </w:r>
      <w:r w:rsidR="006F3E0D" w:rsidRPr="00F505C6">
        <w:rPr>
          <w:rFonts w:cs="Times New Roman"/>
          <w:lang w:val="en-US"/>
        </w:rPr>
        <w:t xml:space="preserve"> solutions </w:t>
      </w:r>
      <w:r w:rsidR="00C9295D" w:rsidRPr="00F505C6">
        <w:rPr>
          <w:rFonts w:cs="Times New Roman"/>
          <w:lang w:val="en-US"/>
        </w:rPr>
        <w:t>(</w:t>
      </w:r>
      <w:r w:rsidR="000A5A45" w:rsidRPr="00F505C6">
        <w:rPr>
          <w:rFonts w:cs="Times New Roman"/>
          <w:lang w:val="en-US"/>
        </w:rPr>
        <w:t xml:space="preserve">Table </w:t>
      </w:r>
      <w:r w:rsidR="00014DA6" w:rsidRPr="00F505C6">
        <w:rPr>
          <w:rFonts w:cs="Times New Roman"/>
          <w:lang w:val="en-US"/>
        </w:rPr>
        <w:t>2</w:t>
      </w:r>
      <w:r w:rsidR="000A5A45" w:rsidRPr="00F505C6">
        <w:rPr>
          <w:rFonts w:cs="Times New Roman"/>
          <w:lang w:val="en-US"/>
        </w:rPr>
        <w:t xml:space="preserve">) comprising </w:t>
      </w:r>
      <w:r w:rsidR="003B1373" w:rsidRPr="00F505C6">
        <w:rPr>
          <w:rFonts w:cs="Times New Roman"/>
          <w:lang w:val="en-US"/>
        </w:rPr>
        <w:t>two</w:t>
      </w:r>
      <w:r w:rsidR="000A5A45" w:rsidRPr="00F505C6">
        <w:rPr>
          <w:rFonts w:cs="Times New Roman"/>
          <w:lang w:val="en-US"/>
        </w:rPr>
        <w:t xml:space="preserve"> solution terms and </w:t>
      </w:r>
      <w:r w:rsidR="003B1373" w:rsidRPr="00F505C6">
        <w:rPr>
          <w:rFonts w:cs="Times New Roman"/>
          <w:lang w:val="en-US"/>
        </w:rPr>
        <w:t>two</w:t>
      </w:r>
      <w:r w:rsidR="000A5A45" w:rsidRPr="00F505C6">
        <w:rPr>
          <w:rFonts w:cs="Times New Roman"/>
          <w:lang w:val="en-US"/>
        </w:rPr>
        <w:t xml:space="preserve"> supersets</w:t>
      </w:r>
      <w:r w:rsidR="00C9295D" w:rsidRPr="00F505C6">
        <w:rPr>
          <w:rFonts w:cs="Times New Roman"/>
          <w:lang w:val="en-US"/>
        </w:rPr>
        <w:t xml:space="preserve"> </w:t>
      </w:r>
      <w:r w:rsidR="006F3E0D" w:rsidRPr="00F505C6">
        <w:rPr>
          <w:rFonts w:cs="Times New Roman"/>
          <w:lang w:val="en-US"/>
        </w:rPr>
        <w:t xml:space="preserve">for understanding the causal complexity of </w:t>
      </w:r>
      <w:r w:rsidR="003A1883" w:rsidRPr="00F505C6">
        <w:rPr>
          <w:rFonts w:cs="Times New Roman"/>
          <w:lang w:val="en-US"/>
        </w:rPr>
        <w:t xml:space="preserve">social entrepreneurial </w:t>
      </w:r>
      <w:r w:rsidR="00A66512" w:rsidRPr="00DC379F">
        <w:rPr>
          <w:rFonts w:eastAsia="Times New Roman" w:cs="Times New Roman"/>
        </w:rPr>
        <w:t>strategies and observing how a social mission is perceived</w:t>
      </w:r>
      <w:r w:rsidR="00A66512">
        <w:rPr>
          <w:rFonts w:cs="Times New Roman"/>
          <w:lang w:val="en-US"/>
        </w:rPr>
        <w:t xml:space="preserve"> </w:t>
      </w:r>
      <w:r w:rsidR="00455AC6">
        <w:rPr>
          <w:rFonts w:cs="Times New Roman"/>
          <w:lang w:val="en-US"/>
        </w:rPr>
        <w:t xml:space="preserve">as being </w:t>
      </w:r>
      <w:r w:rsidR="00BF16AC" w:rsidRPr="00F505C6">
        <w:rPr>
          <w:rFonts w:cs="Times New Roman"/>
          <w:lang w:val="en-US"/>
        </w:rPr>
        <w:t xml:space="preserve">valuable for </w:t>
      </w:r>
      <w:r w:rsidR="00A66512">
        <w:rPr>
          <w:rFonts w:cs="Times New Roman"/>
          <w:lang w:val="en-US"/>
        </w:rPr>
        <w:t>achieving</w:t>
      </w:r>
      <w:r w:rsidR="00BF16AC" w:rsidRPr="00F505C6">
        <w:rPr>
          <w:rFonts w:cs="Times New Roman"/>
          <w:lang w:val="en-US"/>
        </w:rPr>
        <w:t xml:space="preserve"> a competitive advantage</w:t>
      </w:r>
      <w:r w:rsidR="006F3E0D" w:rsidRPr="00F505C6">
        <w:rPr>
          <w:rFonts w:cs="Times New Roman"/>
          <w:lang w:val="en-US"/>
        </w:rPr>
        <w:t xml:space="preserve">. </w:t>
      </w:r>
      <w:r w:rsidR="00A66512" w:rsidRPr="00DC379F">
        <w:rPr>
          <w:rFonts w:eastAsia="Times New Roman" w:cs="Times New Roman"/>
        </w:rPr>
        <w:t xml:space="preserve">As Table 2 shows, the overall solution is </w:t>
      </w:r>
      <w:r w:rsidR="00A66512" w:rsidRPr="00DC379F">
        <w:rPr>
          <w:rFonts w:eastAsia="Times New Roman" w:cs="Times New Roman"/>
        </w:rPr>
        <w:lastRenderedPageBreak/>
        <w:t>robust, showing high consistency (0.876) and coverage (0.651), with the solution terms exhibiting consi</w:t>
      </w:r>
      <w:r w:rsidR="00A66512">
        <w:rPr>
          <w:rFonts w:eastAsia="Times New Roman" w:cs="Times New Roman"/>
        </w:rPr>
        <w:t>stency scores greater than 0.84</w:t>
      </w:r>
      <w:r w:rsidR="00B03DAE">
        <w:rPr>
          <w:rFonts w:cs="Times New Roman"/>
          <w:lang w:val="en-US"/>
        </w:rPr>
        <w:t>.</w:t>
      </w:r>
      <w:r w:rsidR="00B05DA6" w:rsidRPr="00F505C6">
        <w:rPr>
          <w:lang w:val="en-US"/>
        </w:rPr>
        <w:t xml:space="preserve"> </w:t>
      </w:r>
      <w:r w:rsidR="00EA08A4">
        <w:rPr>
          <w:lang w:val="en-US"/>
        </w:rPr>
        <w:t>L</w:t>
      </w:r>
      <w:r w:rsidR="00B05DA6" w:rsidRPr="00F505C6">
        <w:rPr>
          <w:lang w:val="en-US"/>
        </w:rPr>
        <w:t xml:space="preserve">arge circles </w:t>
      </w:r>
      <w:r w:rsidR="000573BE" w:rsidRPr="00F505C6">
        <w:rPr>
          <w:lang w:val="en-US"/>
        </w:rPr>
        <w:t>show</w:t>
      </w:r>
      <w:r w:rsidR="00B05DA6" w:rsidRPr="00F505C6">
        <w:rPr>
          <w:lang w:val="en-US"/>
        </w:rPr>
        <w:t xml:space="preserve"> core conditions for explaining </w:t>
      </w:r>
      <w:r w:rsidR="000573BE" w:rsidRPr="00F505C6">
        <w:rPr>
          <w:lang w:val="en-US"/>
        </w:rPr>
        <w:t>the value of the social mission</w:t>
      </w:r>
      <w:r w:rsidR="00B05DA6" w:rsidRPr="00F505C6">
        <w:rPr>
          <w:lang w:val="en-US"/>
        </w:rPr>
        <w:t xml:space="preserve"> whereas small circles indicate a peripheral condition. </w:t>
      </w:r>
      <w:r w:rsidR="00A66512" w:rsidRPr="00DC379F">
        <w:rPr>
          <w:rFonts w:eastAsia="Times New Roman" w:cs="Times New Roman"/>
        </w:rPr>
        <w:t>When the circle is black, it highlights the presence of that condition, but where circles are white with an X, it shows the absence of that condition</w:t>
      </w:r>
      <w:r w:rsidR="00B05DA6" w:rsidRPr="00F505C6">
        <w:rPr>
          <w:lang w:val="en-US"/>
        </w:rPr>
        <w:t xml:space="preserve">. </w:t>
      </w:r>
      <w:r w:rsidR="000573BE" w:rsidRPr="00F505C6">
        <w:rPr>
          <w:lang w:val="en-US"/>
        </w:rPr>
        <w:t xml:space="preserve">When a circle is entirely absent, it </w:t>
      </w:r>
      <w:r w:rsidR="00AB6AE7" w:rsidRPr="00F505C6">
        <w:rPr>
          <w:lang w:val="en-US"/>
        </w:rPr>
        <w:t>emphasizes</w:t>
      </w:r>
      <w:r w:rsidR="000573BE" w:rsidRPr="00F505C6">
        <w:rPr>
          <w:lang w:val="en-US"/>
        </w:rPr>
        <w:t xml:space="preserve"> the irrelevance of the condition for explaining the outcome. </w:t>
      </w:r>
    </w:p>
    <w:p w14:paraId="2A9128B1" w14:textId="5CCDF6FC" w:rsidR="00D47FE3" w:rsidRDefault="00CA3441" w:rsidP="00CA3441">
      <w:pPr>
        <w:ind w:firstLine="0"/>
        <w:jc w:val="center"/>
        <w:rPr>
          <w:lang w:val="en-US"/>
        </w:rPr>
      </w:pPr>
      <w:r>
        <w:rPr>
          <w:lang w:val="en-US"/>
        </w:rPr>
        <w:t>-</w:t>
      </w:r>
      <w:r w:rsidR="00FE74B1" w:rsidRPr="00F505C6">
        <w:rPr>
          <w:lang w:val="en-US"/>
        </w:rPr>
        <w:t>--Insert Table 2 about</w:t>
      </w:r>
      <w:r w:rsidR="003F3FC5" w:rsidRPr="00F505C6">
        <w:rPr>
          <w:lang w:val="en-US"/>
        </w:rPr>
        <w:t xml:space="preserve"> here---</w:t>
      </w:r>
    </w:p>
    <w:p w14:paraId="0BCA6D59" w14:textId="77777777" w:rsidR="001B1E46" w:rsidRPr="00F505C6" w:rsidRDefault="001B1E46" w:rsidP="00CA3441">
      <w:pPr>
        <w:ind w:firstLine="0"/>
        <w:jc w:val="center"/>
        <w:rPr>
          <w:lang w:val="en-US"/>
        </w:rPr>
      </w:pPr>
    </w:p>
    <w:p w14:paraId="1DD2CF6A" w14:textId="1BA155CD" w:rsidR="00D47FE3" w:rsidRPr="00F505C6" w:rsidRDefault="00D47FE3" w:rsidP="000573BE">
      <w:pPr>
        <w:spacing w:line="240" w:lineRule="auto"/>
        <w:ind w:firstLine="0"/>
        <w:rPr>
          <w:rFonts w:cs="Times New Roman"/>
          <w:i/>
          <w:lang w:val="en-US"/>
        </w:rPr>
      </w:pPr>
      <w:r w:rsidRPr="00F505C6">
        <w:rPr>
          <w:rFonts w:cs="Times New Roman"/>
          <w:i/>
          <w:lang w:val="en-US"/>
        </w:rPr>
        <w:t xml:space="preserve">Solution 1: </w:t>
      </w:r>
      <w:r w:rsidR="000573BE" w:rsidRPr="00F505C6">
        <w:rPr>
          <w:rFonts w:cs="Times New Roman"/>
          <w:i/>
          <w:lang w:val="en-US"/>
        </w:rPr>
        <w:t>Financial value of social, social orientation, previous experience, early investment</w:t>
      </w:r>
    </w:p>
    <w:p w14:paraId="33CC323B" w14:textId="77777777" w:rsidR="00151FD5" w:rsidRPr="00F505C6" w:rsidRDefault="00151FD5" w:rsidP="000573BE">
      <w:pPr>
        <w:spacing w:line="240" w:lineRule="auto"/>
        <w:ind w:firstLine="0"/>
        <w:rPr>
          <w:rFonts w:cs="Times New Roman"/>
          <w:lang w:val="en-US"/>
        </w:rPr>
      </w:pPr>
    </w:p>
    <w:p w14:paraId="73F54A44" w14:textId="4090D1C5" w:rsidR="00F07DE4" w:rsidRPr="00F505C6" w:rsidRDefault="00F07DE4" w:rsidP="00F07DE4">
      <w:pPr>
        <w:ind w:firstLine="0"/>
        <w:rPr>
          <w:rFonts w:cs="Times New Roman"/>
          <w:lang w:val="en-US"/>
        </w:rPr>
      </w:pPr>
      <w:r w:rsidRPr="00F505C6">
        <w:rPr>
          <w:rFonts w:cs="Times New Roman"/>
          <w:lang w:val="en-US"/>
        </w:rPr>
        <w:t xml:space="preserve">In </w:t>
      </w:r>
      <w:r w:rsidR="008F2FBB" w:rsidRPr="00F505C6">
        <w:rPr>
          <w:rFonts w:cs="Times New Roman"/>
          <w:lang w:val="en-US"/>
        </w:rPr>
        <w:t>S</w:t>
      </w:r>
      <w:r w:rsidRPr="00F505C6">
        <w:rPr>
          <w:rFonts w:cs="Times New Roman"/>
          <w:lang w:val="en-US"/>
        </w:rPr>
        <w:t xml:space="preserve">olution 1, the perceived financial value of the social mission to the entrepreneur is a core condition </w:t>
      </w:r>
      <w:r w:rsidR="00881AA8">
        <w:rPr>
          <w:rFonts w:cs="Times New Roman"/>
          <w:lang w:val="en-US"/>
        </w:rPr>
        <w:t>although</w:t>
      </w:r>
      <w:r w:rsidR="00881AA8" w:rsidRPr="00F505C6">
        <w:rPr>
          <w:rFonts w:cs="Times New Roman"/>
          <w:lang w:val="en-US"/>
        </w:rPr>
        <w:t xml:space="preserve"> </w:t>
      </w:r>
      <w:r w:rsidRPr="00F505C6">
        <w:rPr>
          <w:rFonts w:cs="Times New Roman"/>
          <w:lang w:val="en-US"/>
        </w:rPr>
        <w:t>social orientation, previous experience</w:t>
      </w:r>
      <w:r w:rsidR="00357635">
        <w:rPr>
          <w:rFonts w:cs="Times New Roman"/>
          <w:lang w:val="en-US"/>
        </w:rPr>
        <w:t>,</w:t>
      </w:r>
      <w:r w:rsidRPr="00F505C6">
        <w:rPr>
          <w:rFonts w:cs="Times New Roman"/>
          <w:lang w:val="en-US"/>
        </w:rPr>
        <w:t xml:space="preserve"> and early investment complement this as peripheral conditions. This solution indicates that when entrepreneurs have a notable social orientation (i.e.</w:t>
      </w:r>
      <w:r w:rsidR="00736323">
        <w:rPr>
          <w:rFonts w:cs="Times New Roman"/>
          <w:lang w:val="en-US"/>
        </w:rPr>
        <w:t>,</w:t>
      </w:r>
      <w:r w:rsidRPr="00F505C6">
        <w:rPr>
          <w:rFonts w:cs="Times New Roman"/>
          <w:lang w:val="en-US"/>
        </w:rPr>
        <w:t xml:space="preserve"> are committed to their social mission) </w:t>
      </w:r>
      <w:r w:rsidR="00736323">
        <w:rPr>
          <w:rFonts w:cs="Times New Roman"/>
          <w:lang w:val="en-US"/>
        </w:rPr>
        <w:t>there is</w:t>
      </w:r>
      <w:r w:rsidRPr="00F505C6">
        <w:rPr>
          <w:rFonts w:cs="Times New Roman"/>
          <w:lang w:val="en-US"/>
        </w:rPr>
        <w:t xml:space="preserve"> also prior experience across multiple areas </w:t>
      </w:r>
      <w:r w:rsidR="008F2FBB" w:rsidRPr="00F505C6">
        <w:rPr>
          <w:rFonts w:cs="Times New Roman"/>
          <w:lang w:val="en-US"/>
        </w:rPr>
        <w:t>pertaining to social issues</w:t>
      </w:r>
      <w:r w:rsidR="0070287D" w:rsidRPr="00F505C6">
        <w:rPr>
          <w:rFonts w:cs="Times New Roman"/>
          <w:lang w:val="en-US"/>
        </w:rPr>
        <w:t xml:space="preserve"> and challenges</w:t>
      </w:r>
      <w:r w:rsidR="00DD4CB1">
        <w:rPr>
          <w:rFonts w:cs="Times New Roman"/>
          <w:lang w:val="en-US"/>
        </w:rPr>
        <w:t>. Thus, the link between the experience corridors</w:t>
      </w:r>
      <w:r w:rsidR="008F2FBB" w:rsidRPr="00F505C6">
        <w:rPr>
          <w:rFonts w:cs="Times New Roman"/>
          <w:lang w:val="en-US"/>
        </w:rPr>
        <w:t xml:space="preserve"> and an entrepreneur’s commitment to solving the social problem seems consistent with prior finding</w:t>
      </w:r>
      <w:r w:rsidR="009B3E61">
        <w:rPr>
          <w:rFonts w:cs="Times New Roman"/>
          <w:lang w:val="en-US"/>
        </w:rPr>
        <w:t>s</w:t>
      </w:r>
      <w:r w:rsidR="008F2FBB" w:rsidRPr="00F505C6">
        <w:rPr>
          <w:rFonts w:cs="Times New Roman"/>
          <w:lang w:val="en-US"/>
        </w:rPr>
        <w:t xml:space="preserve"> as identified by Corner and Ho (2010). </w:t>
      </w:r>
    </w:p>
    <w:p w14:paraId="28899491" w14:textId="22A4097E" w:rsidR="00151FD5" w:rsidRDefault="008F2FBB" w:rsidP="00B1765B">
      <w:pPr>
        <w:rPr>
          <w:lang w:val="en-US"/>
        </w:rPr>
      </w:pPr>
      <w:r w:rsidRPr="00F505C6">
        <w:rPr>
          <w:lang w:val="en-US"/>
        </w:rPr>
        <w:t>Of particular interest in Solution 1 is the link between early investment and the perceived financial value of the soci</w:t>
      </w:r>
      <w:r w:rsidR="003728AF" w:rsidRPr="00F505C6">
        <w:rPr>
          <w:lang w:val="en-US"/>
        </w:rPr>
        <w:t xml:space="preserve">al </w:t>
      </w:r>
      <w:r w:rsidR="009848FB" w:rsidRPr="00F505C6">
        <w:rPr>
          <w:lang w:val="en-US"/>
        </w:rPr>
        <w:t>mission, which</w:t>
      </w:r>
      <w:r w:rsidR="003728AF" w:rsidRPr="00F505C6">
        <w:rPr>
          <w:lang w:val="en-US"/>
        </w:rPr>
        <w:t xml:space="preserve"> only appears in this combination. This suggests that in the presence of investment there are greater financial benefits </w:t>
      </w:r>
      <w:r w:rsidR="0070287D" w:rsidRPr="00F505C6">
        <w:rPr>
          <w:lang w:val="en-US"/>
        </w:rPr>
        <w:t>to</w:t>
      </w:r>
      <w:r w:rsidR="003728AF" w:rsidRPr="00F505C6">
        <w:rPr>
          <w:lang w:val="en-US"/>
        </w:rPr>
        <w:t xml:space="preserve"> the social orientation of the entrepreneur. As receiving investment represents a commitment from an external financier, this pushes the entrepreneur to draw more financial value from their social mission </w:t>
      </w:r>
      <w:r w:rsidR="00B7662B" w:rsidRPr="00F505C6">
        <w:rPr>
          <w:lang w:val="en-US"/>
        </w:rPr>
        <w:t>by using it strategically to attract more commercial revenue and other sources of funding (Teasdale, 2010). This combination of conditions, particularly investment and the financial value of the social mission, provide one pathway through which a social mission can produce competitive advantage</w:t>
      </w:r>
      <w:r w:rsidR="00455AC6">
        <w:rPr>
          <w:lang w:val="en-US"/>
        </w:rPr>
        <w:t xml:space="preserve"> perceptions</w:t>
      </w:r>
      <w:r w:rsidR="00B7662B" w:rsidRPr="00F505C6">
        <w:rPr>
          <w:lang w:val="en-US"/>
        </w:rPr>
        <w:t xml:space="preserve">. </w:t>
      </w:r>
    </w:p>
    <w:p w14:paraId="3F1DD083" w14:textId="72C6B5CC" w:rsidR="00D47FE3" w:rsidRPr="00F505C6" w:rsidRDefault="00D47FE3" w:rsidP="00B1765B">
      <w:pPr>
        <w:pStyle w:val="Heading2"/>
        <w:rPr>
          <w:lang w:val="en-US"/>
        </w:rPr>
      </w:pPr>
      <w:r w:rsidRPr="00F505C6">
        <w:rPr>
          <w:lang w:val="en-US"/>
        </w:rPr>
        <w:lastRenderedPageBreak/>
        <w:t>Solution 2:</w:t>
      </w:r>
      <w:r w:rsidR="000573BE" w:rsidRPr="00F505C6">
        <w:rPr>
          <w:lang w:val="en-US"/>
        </w:rPr>
        <w:t xml:space="preserve"> Social orientation, previous experience, market competition, ~ early investment</w:t>
      </w:r>
    </w:p>
    <w:p w14:paraId="0F7AE69B" w14:textId="1FA625CF" w:rsidR="002C4C30" w:rsidRPr="00F505C6" w:rsidRDefault="0041124B" w:rsidP="002107BE">
      <w:pPr>
        <w:ind w:firstLine="0"/>
        <w:rPr>
          <w:lang w:val="en-US"/>
        </w:rPr>
      </w:pPr>
      <w:r w:rsidRPr="00F505C6">
        <w:rPr>
          <w:lang w:val="en-US"/>
        </w:rPr>
        <w:t>In Solution 2, social orientation and previous exp</w:t>
      </w:r>
      <w:r w:rsidR="002107BE" w:rsidRPr="00F505C6">
        <w:rPr>
          <w:lang w:val="en-US"/>
        </w:rPr>
        <w:t xml:space="preserve">erience are present as peripheral conditions, once again </w:t>
      </w:r>
      <w:r w:rsidR="00AB6AE7" w:rsidRPr="00F505C6">
        <w:rPr>
          <w:lang w:val="en-US"/>
        </w:rPr>
        <w:t>emphasizing</w:t>
      </w:r>
      <w:r w:rsidR="002107BE" w:rsidRPr="00F505C6">
        <w:rPr>
          <w:lang w:val="en-US"/>
        </w:rPr>
        <w:t xml:space="preserve"> the relationship between the experience corridors of entrepreneurs and their social purpose. In contrast to Solution 1, however, is the absence of early investment as a condition but also the irrelevance of the financial value of the social mission. However, the social entrepreneur is operating in the presence of for-profit market competition. Given that profit orientation is also an irrelevant condition here, this indicates a particularly unique approach to being competitively advantageous. </w:t>
      </w:r>
    </w:p>
    <w:p w14:paraId="18F23BBC" w14:textId="7D957525" w:rsidR="000573BE" w:rsidRDefault="002C4C30" w:rsidP="00B1765B">
      <w:pPr>
        <w:rPr>
          <w:lang w:val="en-US"/>
        </w:rPr>
      </w:pPr>
      <w:r w:rsidRPr="00F505C6">
        <w:rPr>
          <w:lang w:val="en-US"/>
        </w:rPr>
        <w:t xml:space="preserve">As early investment is absent in this combination of conditions, this suggests that the social venture is less concerned in gaining the legitimacy of investors and therefore susceptible to the isomorphic pressures and investor expectations that this can produce. Instead, such ventures retain their unique </w:t>
      </w:r>
      <w:r w:rsidR="009848FB" w:rsidRPr="00F505C6">
        <w:rPr>
          <w:lang w:val="en-US"/>
        </w:rPr>
        <w:t>features, which</w:t>
      </w:r>
      <w:r w:rsidRPr="00F505C6">
        <w:rPr>
          <w:lang w:val="en-US"/>
        </w:rPr>
        <w:t xml:space="preserve"> are needed to differentiate themselves from a competitive for-profit marketplace. This combination of conditions seemingly demonstrate </w:t>
      </w:r>
      <w:r w:rsidR="009848FB" w:rsidRPr="00F505C6">
        <w:rPr>
          <w:lang w:val="en-US"/>
        </w:rPr>
        <w:t>an</w:t>
      </w:r>
      <w:r w:rsidRPr="00F505C6">
        <w:rPr>
          <w:lang w:val="en-US"/>
        </w:rPr>
        <w:t xml:space="preserve"> </w:t>
      </w:r>
      <w:r w:rsidR="009848FB" w:rsidRPr="00F505C6">
        <w:rPr>
          <w:lang w:val="en-US"/>
        </w:rPr>
        <w:t>extreme</w:t>
      </w:r>
      <w:r w:rsidRPr="00F505C6">
        <w:rPr>
          <w:lang w:val="en-US"/>
        </w:rPr>
        <w:t xml:space="preserve"> example where the entrepreneurs are less concerned about the economic objectives of the venture.  </w:t>
      </w:r>
    </w:p>
    <w:p w14:paraId="72A5FEB0" w14:textId="77777777" w:rsidR="00CA3441" w:rsidRPr="00F505C6" w:rsidRDefault="00CA3441" w:rsidP="00B1765B">
      <w:pPr>
        <w:rPr>
          <w:lang w:val="en-US"/>
        </w:rPr>
      </w:pPr>
    </w:p>
    <w:p w14:paraId="299A0243" w14:textId="1FC710B2" w:rsidR="00D47FE3" w:rsidRPr="00F505C6" w:rsidRDefault="00D47FE3" w:rsidP="000573BE">
      <w:pPr>
        <w:spacing w:line="240" w:lineRule="auto"/>
        <w:ind w:firstLine="0"/>
        <w:rPr>
          <w:i/>
          <w:lang w:val="en-US"/>
        </w:rPr>
      </w:pPr>
      <w:r w:rsidRPr="00F505C6">
        <w:rPr>
          <w:rFonts w:cs="Times New Roman"/>
          <w:i/>
          <w:lang w:val="en-US"/>
        </w:rPr>
        <w:t>Solution 3a and 3b:</w:t>
      </w:r>
      <w:r w:rsidR="000573BE" w:rsidRPr="00F505C6">
        <w:rPr>
          <w:rFonts w:cs="Times New Roman"/>
          <w:i/>
          <w:lang w:val="en-US"/>
        </w:rPr>
        <w:t xml:space="preserve"> Profit orientation, social orientation, market competition, </w:t>
      </w:r>
      <w:r w:rsidR="000573BE" w:rsidRPr="00F505C6">
        <w:rPr>
          <w:i/>
          <w:lang w:val="en-US"/>
        </w:rPr>
        <w:t>~ previous experience</w:t>
      </w:r>
    </w:p>
    <w:p w14:paraId="4B4F8456" w14:textId="77777777" w:rsidR="00151FD5" w:rsidRPr="00F505C6" w:rsidRDefault="00151FD5" w:rsidP="000573BE">
      <w:pPr>
        <w:spacing w:line="240" w:lineRule="auto"/>
        <w:ind w:firstLine="0"/>
        <w:rPr>
          <w:i/>
          <w:lang w:val="en-US"/>
        </w:rPr>
      </w:pPr>
    </w:p>
    <w:p w14:paraId="78989ECF" w14:textId="3A554E8C" w:rsidR="00434DA5" w:rsidRPr="00F505C6" w:rsidRDefault="00761412" w:rsidP="00761412">
      <w:pPr>
        <w:ind w:firstLine="0"/>
        <w:rPr>
          <w:rFonts w:cs="Times New Roman"/>
          <w:lang w:val="en-US"/>
        </w:rPr>
      </w:pPr>
      <w:r w:rsidRPr="00F505C6">
        <w:rPr>
          <w:rFonts w:cs="Times New Roman"/>
          <w:lang w:val="en-US"/>
        </w:rPr>
        <w:t xml:space="preserve">In Solution 3a/3b, profit orientation is a core condition </w:t>
      </w:r>
      <w:r w:rsidR="00DD4CB1">
        <w:rPr>
          <w:rFonts w:cs="Times New Roman"/>
          <w:lang w:val="en-US"/>
        </w:rPr>
        <w:t>while</w:t>
      </w:r>
      <w:r w:rsidRPr="00F505C6">
        <w:rPr>
          <w:rFonts w:cs="Times New Roman"/>
          <w:lang w:val="en-US"/>
        </w:rPr>
        <w:t xml:space="preserve"> previous experience is absent but also a core condition. Social orientation remains present as a peripheral condition and in 3a, market competition is a peripheral condition </w:t>
      </w:r>
      <w:r w:rsidR="00DD4CB1">
        <w:rPr>
          <w:rFonts w:cs="Times New Roman"/>
          <w:lang w:val="en-US"/>
        </w:rPr>
        <w:t>while</w:t>
      </w:r>
      <w:r w:rsidRPr="00F505C6">
        <w:rPr>
          <w:rFonts w:cs="Times New Roman"/>
          <w:lang w:val="en-US"/>
        </w:rPr>
        <w:t xml:space="preserve"> in 3b, early investment is absent. As 3b has no unique coverage, 3a is focused on here as it shares core conditions. </w:t>
      </w:r>
      <w:r w:rsidR="005C059F">
        <w:rPr>
          <w:rFonts w:cs="Times New Roman"/>
          <w:lang w:val="en-US"/>
        </w:rPr>
        <w:t>First</w:t>
      </w:r>
      <w:r w:rsidRPr="00F505C6">
        <w:rPr>
          <w:rFonts w:cs="Times New Roman"/>
          <w:lang w:val="en-US"/>
        </w:rPr>
        <w:t xml:space="preserve">, this combination identifies a new pathway through which social entrepreneurs are simultaneously committed to their social and economic objectives. </w:t>
      </w:r>
      <w:r w:rsidR="00434DA5" w:rsidRPr="00F505C6">
        <w:rPr>
          <w:rFonts w:cs="Times New Roman"/>
          <w:lang w:val="en-US"/>
        </w:rPr>
        <w:t>This challenges the notion of mission drift where economic imperatives become more critical than social objectives and that this exists on a continuum from one extreme to another (Florin &amp; Schmidt</w:t>
      </w:r>
      <w:r w:rsidR="00C57A4C">
        <w:rPr>
          <w:rFonts w:cs="Times New Roman"/>
          <w:lang w:val="en-US"/>
        </w:rPr>
        <w:t>,</w:t>
      </w:r>
      <w:r w:rsidR="00434DA5" w:rsidRPr="00F505C6">
        <w:rPr>
          <w:rFonts w:cs="Times New Roman"/>
          <w:lang w:val="en-US"/>
        </w:rPr>
        <w:t xml:space="preserve"> 2011). </w:t>
      </w:r>
    </w:p>
    <w:p w14:paraId="4494A5FE" w14:textId="27EDB4B4" w:rsidR="00151FD5" w:rsidRDefault="005C059F" w:rsidP="00B1765B">
      <w:pPr>
        <w:rPr>
          <w:lang w:val="en-US"/>
        </w:rPr>
      </w:pPr>
      <w:r>
        <w:rPr>
          <w:lang w:val="en-US"/>
        </w:rPr>
        <w:lastRenderedPageBreak/>
        <w:t>Second</w:t>
      </w:r>
      <w:r w:rsidR="00434DA5" w:rsidRPr="00F505C6">
        <w:rPr>
          <w:lang w:val="en-US"/>
        </w:rPr>
        <w:t xml:space="preserve">, of further interest is that this combination of social and economic objectives needs to occur in the absence of previous experience. </w:t>
      </w:r>
      <w:r w:rsidR="00B70D8B" w:rsidRPr="00F505C6">
        <w:rPr>
          <w:lang w:val="en-US"/>
        </w:rPr>
        <w:t xml:space="preserve">This combination suggests that these social entrepreneurs actually focused on the business element of their new ventures first before incorporating the social component. </w:t>
      </w:r>
      <w:r w:rsidR="000A60D5">
        <w:rPr>
          <w:lang w:val="en-US"/>
        </w:rPr>
        <w:t>Such organizations</w:t>
      </w:r>
      <w:r w:rsidR="00B70D8B" w:rsidRPr="00F505C6">
        <w:rPr>
          <w:lang w:val="en-US"/>
        </w:rPr>
        <w:t xml:space="preserve"> were focused on building a viable and financially resilient business model before investing in the social objective; gradually learning about the nature of the social problem and how to incorporate it into their venture. As such, Solution 3 indicates that social and economic objectives can be present together and this unique pathway follows the logic of initially </w:t>
      </w:r>
      <w:r w:rsidR="00AB6AE7" w:rsidRPr="00F505C6">
        <w:rPr>
          <w:lang w:val="en-US"/>
        </w:rPr>
        <w:t>prioritizing</w:t>
      </w:r>
      <w:r w:rsidR="00B70D8B" w:rsidRPr="00F505C6">
        <w:rPr>
          <w:lang w:val="en-US"/>
        </w:rPr>
        <w:t xml:space="preserve"> financial sustainability. The social orientation is always present but there is a recognition that it requires a viable financial model first. </w:t>
      </w:r>
    </w:p>
    <w:p w14:paraId="5CB3A3F6" w14:textId="77777777" w:rsidR="00CA3441" w:rsidRPr="00F505C6" w:rsidRDefault="00CA3441" w:rsidP="00B1765B">
      <w:pPr>
        <w:rPr>
          <w:lang w:val="en-US"/>
        </w:rPr>
      </w:pPr>
    </w:p>
    <w:p w14:paraId="14557BF1" w14:textId="3173006F" w:rsidR="00D47FE3" w:rsidRPr="00F505C6" w:rsidRDefault="00D47FE3" w:rsidP="000573BE">
      <w:pPr>
        <w:spacing w:line="240" w:lineRule="auto"/>
        <w:ind w:firstLine="0"/>
        <w:rPr>
          <w:i/>
          <w:lang w:val="en-US"/>
        </w:rPr>
      </w:pPr>
      <w:r w:rsidRPr="00F505C6">
        <w:rPr>
          <w:rFonts w:cs="Times New Roman"/>
          <w:i/>
          <w:lang w:val="en-US"/>
        </w:rPr>
        <w:t xml:space="preserve">Solution 4a and 4b: </w:t>
      </w:r>
      <w:r w:rsidR="00151FD5" w:rsidRPr="00F505C6">
        <w:rPr>
          <w:rFonts w:cs="Times New Roman"/>
          <w:i/>
          <w:lang w:val="en-US"/>
        </w:rPr>
        <w:t xml:space="preserve">Previous experience/social orientation, </w:t>
      </w:r>
      <w:r w:rsidR="00151FD5" w:rsidRPr="00F505C6">
        <w:rPr>
          <w:i/>
          <w:lang w:val="en-US"/>
        </w:rPr>
        <w:t xml:space="preserve">~ early investment, ~ market competition </w:t>
      </w:r>
    </w:p>
    <w:p w14:paraId="0DC39FAB" w14:textId="77777777" w:rsidR="00B70D8B" w:rsidRPr="00F505C6" w:rsidRDefault="00B70D8B" w:rsidP="000573BE">
      <w:pPr>
        <w:spacing w:line="240" w:lineRule="auto"/>
        <w:ind w:firstLine="0"/>
        <w:rPr>
          <w:i/>
          <w:lang w:val="en-US"/>
        </w:rPr>
      </w:pPr>
    </w:p>
    <w:p w14:paraId="24D12596" w14:textId="6F8F85B4" w:rsidR="00B70D8B" w:rsidRPr="00F505C6" w:rsidRDefault="00B70D8B" w:rsidP="00C1298E">
      <w:pPr>
        <w:ind w:firstLine="0"/>
        <w:rPr>
          <w:lang w:val="en-US"/>
        </w:rPr>
      </w:pPr>
      <w:r w:rsidRPr="00F505C6">
        <w:rPr>
          <w:lang w:val="en-US"/>
        </w:rPr>
        <w:t xml:space="preserve">In Solution 4a/4b, </w:t>
      </w:r>
      <w:r w:rsidR="00C1298E" w:rsidRPr="00F505C6">
        <w:rPr>
          <w:lang w:val="en-US"/>
        </w:rPr>
        <w:t>the results identify a furthermore complicated set of conditions for competitive advantage. In Solution 4a, previous experience is a core condition</w:t>
      </w:r>
      <w:r w:rsidR="00EA61D3">
        <w:rPr>
          <w:lang w:val="en-US"/>
        </w:rPr>
        <w:t xml:space="preserve"> with social orientation absent. P</w:t>
      </w:r>
      <w:r w:rsidR="00C1298E" w:rsidRPr="00F505C6">
        <w:rPr>
          <w:lang w:val="en-US"/>
        </w:rPr>
        <w:t>revious experience</w:t>
      </w:r>
      <w:r w:rsidR="00EA61D3">
        <w:rPr>
          <w:lang w:val="en-US"/>
        </w:rPr>
        <w:t xml:space="preserve"> is </w:t>
      </w:r>
      <w:r w:rsidR="00C1298E" w:rsidRPr="00F505C6">
        <w:rPr>
          <w:lang w:val="en-US"/>
        </w:rPr>
        <w:t xml:space="preserve">absent in 4b yet social orientation </w:t>
      </w:r>
      <w:r w:rsidR="00EA61D3">
        <w:rPr>
          <w:lang w:val="en-US"/>
        </w:rPr>
        <w:t xml:space="preserve">is </w:t>
      </w:r>
      <w:r w:rsidR="00C1298E" w:rsidRPr="00F505C6">
        <w:rPr>
          <w:lang w:val="en-US"/>
        </w:rPr>
        <w:t xml:space="preserve">present as a peripheral condition. This further emphasizes the link between experience and social orientation to the extent that </w:t>
      </w:r>
      <w:r w:rsidR="000A60D5">
        <w:rPr>
          <w:lang w:val="en-US"/>
        </w:rPr>
        <w:t>social entrepreneurs</w:t>
      </w:r>
      <w:r w:rsidR="00C1298E" w:rsidRPr="00F505C6">
        <w:rPr>
          <w:lang w:val="en-US"/>
        </w:rPr>
        <w:t xml:space="preserve"> may substitute for one another in some cases. Of particular interest in 4a, is the absence of early investment and market competition as core conditions and complemented by the further absence of the financial value of the social mission. </w:t>
      </w:r>
    </w:p>
    <w:p w14:paraId="1EB95AC4" w14:textId="0FE656F2" w:rsidR="005E4C09" w:rsidRDefault="00C1298E" w:rsidP="00B1765B">
      <w:pPr>
        <w:rPr>
          <w:rFonts w:cs="Times New Roman"/>
          <w:lang w:val="en-US"/>
        </w:rPr>
      </w:pPr>
      <w:r w:rsidRPr="00F505C6">
        <w:rPr>
          <w:lang w:val="en-US"/>
        </w:rPr>
        <w:t xml:space="preserve">Solution 4a/4b point to an interesting feature of the empirical context in Chile. </w:t>
      </w:r>
      <w:r w:rsidR="005C059F">
        <w:rPr>
          <w:lang w:val="en-US"/>
        </w:rPr>
        <w:t>The absence of for-</w:t>
      </w:r>
      <w:r w:rsidR="005E4C09" w:rsidRPr="00F505C6">
        <w:rPr>
          <w:lang w:val="en-US"/>
        </w:rPr>
        <w:t xml:space="preserve">profit competition indicates that non-profit competition is relevant. In this particular set of cases, this pertains to the local government whom </w:t>
      </w:r>
      <w:r w:rsidR="000A60D5">
        <w:rPr>
          <w:lang w:val="en-US"/>
        </w:rPr>
        <w:t>social entrepreneurs</w:t>
      </w:r>
      <w:r w:rsidR="00F67DA2">
        <w:rPr>
          <w:lang w:val="en-US"/>
        </w:rPr>
        <w:t xml:space="preserve"> view as their main competitors where</w:t>
      </w:r>
      <w:r w:rsidR="00736323">
        <w:rPr>
          <w:lang w:val="en-US"/>
        </w:rPr>
        <w:t xml:space="preserve"> </w:t>
      </w:r>
      <w:r w:rsidR="005E4C09" w:rsidRPr="00F505C6">
        <w:rPr>
          <w:lang w:val="en-US"/>
        </w:rPr>
        <w:t>locally</w:t>
      </w:r>
      <w:r w:rsidR="00736323">
        <w:rPr>
          <w:lang w:val="en-US"/>
        </w:rPr>
        <w:t>,</w:t>
      </w:r>
      <w:r w:rsidR="005E4C09" w:rsidRPr="00F505C6">
        <w:rPr>
          <w:lang w:val="en-US"/>
        </w:rPr>
        <w:t xml:space="preserve"> </w:t>
      </w:r>
      <w:r w:rsidR="00736323">
        <w:rPr>
          <w:lang w:val="en-US"/>
        </w:rPr>
        <w:t>authorities</w:t>
      </w:r>
      <w:r w:rsidR="005E4C09" w:rsidRPr="00F505C6">
        <w:rPr>
          <w:lang w:val="en-US"/>
        </w:rPr>
        <w:t xml:space="preserve"> are attempting to provide similar service</w:t>
      </w:r>
      <w:r w:rsidR="009B3E61">
        <w:rPr>
          <w:lang w:val="en-US"/>
        </w:rPr>
        <w:t xml:space="preserve">s and solve similar problems. </w:t>
      </w:r>
      <w:r w:rsidR="005E4C09" w:rsidRPr="00F505C6">
        <w:rPr>
          <w:rFonts w:cs="Times New Roman"/>
          <w:lang w:val="en-US"/>
        </w:rPr>
        <w:t xml:space="preserve">This represents a feature of the context where relationships between the public and private sector are distinct and thus little collaboration exists. This helps to explain </w:t>
      </w:r>
      <w:r w:rsidR="005E4C09" w:rsidRPr="00F505C6">
        <w:rPr>
          <w:rFonts w:cs="Times New Roman"/>
          <w:lang w:val="en-US"/>
        </w:rPr>
        <w:lastRenderedPageBreak/>
        <w:t>why the social mission has limited financial value here because their competitors are actually local governments who are often resource providers to social entrepreneurs. However, this does not prevent these social ventures from being profit oriented and achieving competitive advantage</w:t>
      </w:r>
      <w:r w:rsidR="00455AC6">
        <w:rPr>
          <w:rFonts w:cs="Times New Roman"/>
          <w:lang w:val="en-US"/>
        </w:rPr>
        <w:t xml:space="preserve"> </w:t>
      </w:r>
      <w:r w:rsidR="005E4C09" w:rsidRPr="00F505C6">
        <w:rPr>
          <w:rFonts w:cs="Times New Roman"/>
          <w:lang w:val="en-US"/>
        </w:rPr>
        <w:t>through their social mission.</w:t>
      </w:r>
    </w:p>
    <w:p w14:paraId="1A0191B4" w14:textId="77777777" w:rsidR="007B2AC2" w:rsidRPr="00F505C6" w:rsidRDefault="007B2AC2" w:rsidP="00B1765B">
      <w:pPr>
        <w:rPr>
          <w:rFonts w:cs="Times New Roman"/>
          <w:lang w:val="en-US"/>
        </w:rPr>
      </w:pPr>
    </w:p>
    <w:p w14:paraId="46813A49" w14:textId="617C2E46" w:rsidR="00AD52B7" w:rsidRPr="00F505C6" w:rsidRDefault="00AD52B7" w:rsidP="00AD52B7">
      <w:pPr>
        <w:pStyle w:val="Heading2"/>
        <w:rPr>
          <w:lang w:val="en-US"/>
        </w:rPr>
      </w:pPr>
      <w:r w:rsidRPr="00F505C6">
        <w:rPr>
          <w:lang w:val="en-US"/>
        </w:rPr>
        <w:t xml:space="preserve">Sensitivity and </w:t>
      </w:r>
      <w:r w:rsidR="00EA08A4">
        <w:rPr>
          <w:lang w:val="en-US"/>
        </w:rPr>
        <w:t>robustness</w:t>
      </w:r>
      <w:r w:rsidR="00EA08A4" w:rsidRPr="00F505C6">
        <w:rPr>
          <w:lang w:val="en-US"/>
        </w:rPr>
        <w:t xml:space="preserve"> </w:t>
      </w:r>
      <w:r w:rsidRPr="00F505C6">
        <w:rPr>
          <w:lang w:val="en-US"/>
        </w:rPr>
        <w:t>tests</w:t>
      </w:r>
    </w:p>
    <w:p w14:paraId="66A5CAE6" w14:textId="49B97032" w:rsidR="00AD52B7" w:rsidRPr="00AD52B7" w:rsidRDefault="00AD52B7" w:rsidP="00AD52B7">
      <w:pPr>
        <w:ind w:firstLine="0"/>
        <w:rPr>
          <w:lang w:val="en-US"/>
        </w:rPr>
      </w:pPr>
      <w:r>
        <w:rPr>
          <w:lang w:val="en-US"/>
        </w:rPr>
        <w:t>To co</w:t>
      </w:r>
      <w:r w:rsidRPr="00F505C6">
        <w:rPr>
          <w:lang w:val="en-US"/>
        </w:rPr>
        <w:t>nfirm the stability</w:t>
      </w:r>
      <w:r>
        <w:rPr>
          <w:lang w:val="en-US"/>
        </w:rPr>
        <w:t xml:space="preserve"> and robustness of the results, the analysis includes a confirmatory necessity test and t</w:t>
      </w:r>
      <w:r w:rsidRPr="00F505C6">
        <w:rPr>
          <w:lang w:val="en-US"/>
        </w:rPr>
        <w:t>wo alternative sensitivity tests</w:t>
      </w:r>
      <w:r>
        <w:rPr>
          <w:lang w:val="en-US"/>
        </w:rPr>
        <w:t>, comprising an analysis with a frequency cutoff of</w:t>
      </w:r>
      <w:r w:rsidRPr="00F505C6">
        <w:rPr>
          <w:lang w:val="en-US"/>
        </w:rPr>
        <w:t xml:space="preserve"> 4</w:t>
      </w:r>
      <w:r>
        <w:rPr>
          <w:lang w:val="en-US"/>
        </w:rPr>
        <w:t xml:space="preserve"> and an alternative set of fsQCA using alternative calibration scores. The former shows that no condition is necessary by itself to produce the outcome. Only </w:t>
      </w:r>
      <w:r w:rsidRPr="0013172A">
        <w:rPr>
          <w:i/>
          <w:lang w:val="en-US"/>
        </w:rPr>
        <w:t>Social Orientation</w:t>
      </w:r>
      <w:r>
        <w:rPr>
          <w:lang w:val="en-US"/>
        </w:rPr>
        <w:t xml:space="preserve"> shows strong consistency (</w:t>
      </w:r>
      <w:r w:rsidRPr="00F505C6">
        <w:rPr>
          <w:lang w:val="en-US"/>
        </w:rPr>
        <w:t>0.779</w:t>
      </w:r>
      <w:r>
        <w:rPr>
          <w:lang w:val="en-US"/>
        </w:rPr>
        <w:t>) and coverage (</w:t>
      </w:r>
      <w:r w:rsidRPr="00F505C6">
        <w:rPr>
          <w:lang w:val="en-US"/>
        </w:rPr>
        <w:t>0.747</w:t>
      </w:r>
      <w:r>
        <w:rPr>
          <w:lang w:val="en-US"/>
        </w:rPr>
        <w:t>) scores, however</w:t>
      </w:r>
      <w:r w:rsidR="0095512C">
        <w:rPr>
          <w:lang w:val="en-US"/>
        </w:rPr>
        <w:t xml:space="preserve"> it is</w:t>
      </w:r>
      <w:r>
        <w:rPr>
          <w:lang w:val="en-US"/>
        </w:rPr>
        <w:t xml:space="preserve"> insufficient to claim necessity</w:t>
      </w:r>
      <w:r w:rsidRPr="00AD52B7">
        <w:t xml:space="preserve">. </w:t>
      </w:r>
      <w:r>
        <w:t xml:space="preserve">As per the </w:t>
      </w:r>
      <w:r w:rsidRPr="00AD52B7">
        <w:t>latter</w:t>
      </w:r>
      <w:r>
        <w:t>, the</w:t>
      </w:r>
      <w:r w:rsidRPr="00AD52B7">
        <w:t xml:space="preserve"> tests </w:t>
      </w:r>
      <w:r>
        <w:t>retain the four solution terms with higher unique coverage as well as the c</w:t>
      </w:r>
      <w:r w:rsidR="000540DF">
        <w:t>ore conditions shown in Table 2</w:t>
      </w:r>
      <w:r>
        <w:t xml:space="preserve"> thus corroborating</w:t>
      </w:r>
      <w:r w:rsidRPr="00AD52B7">
        <w:t xml:space="preserve"> the robustness of the results.</w:t>
      </w:r>
      <w:r>
        <w:rPr>
          <w:rFonts w:ascii="Times" w:hAnsi="Times" w:cs="Times"/>
          <w:color w:val="000000"/>
          <w:sz w:val="21"/>
          <w:szCs w:val="21"/>
        </w:rPr>
        <w:t xml:space="preserve"> </w:t>
      </w:r>
    </w:p>
    <w:p w14:paraId="198B144B" w14:textId="77777777" w:rsidR="00B1765B" w:rsidRPr="00F505C6" w:rsidRDefault="00B1765B" w:rsidP="00B1765B">
      <w:pPr>
        <w:rPr>
          <w:lang w:val="en-US"/>
        </w:rPr>
      </w:pPr>
    </w:p>
    <w:p w14:paraId="7626C2E0" w14:textId="6AE7928A" w:rsidR="00FE74B1" w:rsidRPr="00F505C6" w:rsidRDefault="00FE74B1" w:rsidP="00FE74B1">
      <w:pPr>
        <w:pStyle w:val="Heading1"/>
        <w:rPr>
          <w:lang w:val="en-US"/>
        </w:rPr>
      </w:pPr>
      <w:r w:rsidRPr="00F505C6">
        <w:rPr>
          <w:lang w:val="en-US"/>
        </w:rPr>
        <w:t>Discussion</w:t>
      </w:r>
    </w:p>
    <w:p w14:paraId="30C27AF0" w14:textId="6A12103E" w:rsidR="00491078" w:rsidRDefault="00491078" w:rsidP="002145DC">
      <w:pPr>
        <w:ind w:firstLine="0"/>
        <w:rPr>
          <w:rFonts w:cs="Times New Roman"/>
          <w:lang w:val="en-US"/>
        </w:rPr>
      </w:pPr>
      <w:r w:rsidRPr="00F505C6">
        <w:rPr>
          <w:rFonts w:cs="Times New Roman"/>
          <w:lang w:val="en-US"/>
        </w:rPr>
        <w:t xml:space="preserve">This paper asks: </w:t>
      </w:r>
      <w:r w:rsidR="002D53F6" w:rsidRPr="002D53F6">
        <w:rPr>
          <w:i/>
          <w:szCs w:val="24"/>
        </w:rPr>
        <w:t>how do strategic conditions combine</w:t>
      </w:r>
      <w:r w:rsidR="002D53F6" w:rsidRPr="002D53F6">
        <w:rPr>
          <w:i/>
          <w:szCs w:val="24"/>
          <w:lang w:val="en-US"/>
        </w:rPr>
        <w:t xml:space="preserve"> for social entrepreneurs to improve their competitive advantage through their social mission?</w:t>
      </w:r>
      <w:r w:rsidR="005E1E3E">
        <w:rPr>
          <w:i/>
          <w:szCs w:val="24"/>
          <w:lang w:val="en-US"/>
        </w:rPr>
        <w:t xml:space="preserve"> </w:t>
      </w:r>
      <w:r w:rsidR="002145DC" w:rsidRPr="00F505C6">
        <w:rPr>
          <w:szCs w:val="24"/>
          <w:lang w:val="en-US"/>
        </w:rPr>
        <w:t xml:space="preserve">Drawing from the logic of complexity and conjunctural </w:t>
      </w:r>
      <w:r w:rsidR="007B2AC2">
        <w:rPr>
          <w:szCs w:val="24"/>
          <w:lang w:val="en-US"/>
        </w:rPr>
        <w:t>reasoning</w:t>
      </w:r>
      <w:r w:rsidR="002145DC" w:rsidRPr="00F505C6">
        <w:rPr>
          <w:szCs w:val="24"/>
          <w:lang w:val="en-US"/>
        </w:rPr>
        <w:t xml:space="preserve">, </w:t>
      </w:r>
      <w:r w:rsidRPr="00F505C6">
        <w:rPr>
          <w:szCs w:val="24"/>
          <w:lang w:val="en-US"/>
        </w:rPr>
        <w:t>this study focused on 111 social entrepreneurs in the emerging market context</w:t>
      </w:r>
      <w:r w:rsidR="002145DC" w:rsidRPr="00F505C6">
        <w:rPr>
          <w:szCs w:val="24"/>
          <w:lang w:val="en-US"/>
        </w:rPr>
        <w:t xml:space="preserve"> of Chile. In particular, this paper sought to challenge the literature discussing dual objectives and notions tha</w:t>
      </w:r>
      <w:r w:rsidR="00DD4CB1">
        <w:rPr>
          <w:szCs w:val="24"/>
          <w:lang w:val="en-US"/>
        </w:rPr>
        <w:t>t an orientation toward</w:t>
      </w:r>
      <w:r w:rsidR="002145DC" w:rsidRPr="00F505C6">
        <w:rPr>
          <w:szCs w:val="24"/>
          <w:lang w:val="en-US"/>
        </w:rPr>
        <w:t xml:space="preserve"> an economic objective is somehow </w:t>
      </w:r>
      <w:r w:rsidR="00AB6AE7" w:rsidRPr="00F505C6">
        <w:rPr>
          <w:szCs w:val="24"/>
          <w:lang w:val="en-US"/>
        </w:rPr>
        <w:t>incompatible</w:t>
      </w:r>
      <w:r w:rsidR="002145DC" w:rsidRPr="00F505C6">
        <w:rPr>
          <w:szCs w:val="24"/>
          <w:lang w:val="en-US"/>
        </w:rPr>
        <w:t xml:space="preserve"> with the social purpose of this type of organizing. Thus, t</w:t>
      </w:r>
      <w:r w:rsidR="003A1883" w:rsidRPr="00F505C6">
        <w:rPr>
          <w:rFonts w:cs="Times New Roman"/>
          <w:lang w:val="en-US"/>
        </w:rPr>
        <w:t xml:space="preserve">he four solutions represent causally complex theoretical statements </w:t>
      </w:r>
      <w:r w:rsidR="002145DC" w:rsidRPr="00F505C6">
        <w:rPr>
          <w:rFonts w:cs="Times New Roman"/>
          <w:lang w:val="en-US"/>
        </w:rPr>
        <w:t xml:space="preserve">that provide a detailed insight into this pathway </w:t>
      </w:r>
      <w:r w:rsidR="00AB6AE7" w:rsidRPr="00F505C6">
        <w:rPr>
          <w:rFonts w:cs="Times New Roman"/>
          <w:lang w:val="en-US"/>
        </w:rPr>
        <w:t>emphasizing</w:t>
      </w:r>
      <w:r w:rsidR="003A1883" w:rsidRPr="00F505C6">
        <w:rPr>
          <w:rFonts w:cs="Times New Roman"/>
          <w:lang w:val="en-US"/>
        </w:rPr>
        <w:t xml:space="preserve"> how entrepreneurs strategically use </w:t>
      </w:r>
      <w:r w:rsidRPr="00F505C6">
        <w:rPr>
          <w:rFonts w:cs="Times New Roman"/>
          <w:lang w:val="en-US"/>
        </w:rPr>
        <w:t xml:space="preserve">their social mission to compete; these are </w:t>
      </w:r>
      <w:r w:rsidR="00AB6AE7" w:rsidRPr="00F505C6">
        <w:rPr>
          <w:rFonts w:cs="Times New Roman"/>
          <w:lang w:val="en-US"/>
        </w:rPr>
        <w:t>summarized</w:t>
      </w:r>
      <w:r w:rsidRPr="00F505C6">
        <w:rPr>
          <w:rFonts w:cs="Times New Roman"/>
          <w:lang w:val="en-US"/>
        </w:rPr>
        <w:t xml:space="preserve"> in Table 3.</w:t>
      </w:r>
    </w:p>
    <w:p w14:paraId="44F90868" w14:textId="6FD1A8E0" w:rsidR="002C3880" w:rsidRDefault="002C3880" w:rsidP="001B1E46">
      <w:pPr>
        <w:ind w:firstLine="0"/>
        <w:jc w:val="center"/>
        <w:rPr>
          <w:rFonts w:cs="Times New Roman"/>
          <w:lang w:val="en-US"/>
        </w:rPr>
      </w:pPr>
      <w:r w:rsidRPr="00F505C6">
        <w:rPr>
          <w:rFonts w:cs="Times New Roman"/>
          <w:lang w:val="en-US"/>
        </w:rPr>
        <w:lastRenderedPageBreak/>
        <w:t xml:space="preserve">---Insert Table </w:t>
      </w:r>
      <w:r>
        <w:rPr>
          <w:rFonts w:cs="Times New Roman"/>
          <w:lang w:val="en-US"/>
        </w:rPr>
        <w:t>3</w:t>
      </w:r>
      <w:r w:rsidRPr="00F505C6">
        <w:rPr>
          <w:rFonts w:cs="Times New Roman"/>
          <w:lang w:val="en-US"/>
        </w:rPr>
        <w:t xml:space="preserve"> about here---</w:t>
      </w:r>
    </w:p>
    <w:p w14:paraId="59488665" w14:textId="77777777" w:rsidR="001B1E46" w:rsidRPr="00F505C6" w:rsidRDefault="001B1E46" w:rsidP="00F42EFE">
      <w:pPr>
        <w:spacing w:line="240" w:lineRule="auto"/>
        <w:ind w:firstLine="0"/>
        <w:jc w:val="center"/>
        <w:rPr>
          <w:rFonts w:cs="Times New Roman"/>
          <w:lang w:val="en-US"/>
        </w:rPr>
      </w:pPr>
    </w:p>
    <w:p w14:paraId="5459EDA2" w14:textId="27043484" w:rsidR="00EF2970" w:rsidRDefault="003A1883" w:rsidP="00EF2970">
      <w:pPr>
        <w:rPr>
          <w:rFonts w:cs="Times New Roman"/>
          <w:lang w:val="en-US"/>
        </w:rPr>
      </w:pPr>
      <w:r w:rsidRPr="00F505C6">
        <w:rPr>
          <w:rFonts w:cs="Times New Roman"/>
          <w:lang w:val="en-US"/>
        </w:rPr>
        <w:t xml:space="preserve"> </w:t>
      </w:r>
      <w:r w:rsidR="002145DC" w:rsidRPr="00F505C6">
        <w:rPr>
          <w:rFonts w:cs="Times New Roman"/>
          <w:lang w:val="en-US"/>
        </w:rPr>
        <w:t xml:space="preserve">The findings provide three key contributions to the literature. </w:t>
      </w:r>
      <w:r w:rsidR="005C059F">
        <w:rPr>
          <w:rFonts w:cs="Times New Roman"/>
          <w:lang w:val="en-US"/>
        </w:rPr>
        <w:t>First</w:t>
      </w:r>
      <w:r w:rsidR="00FA093E" w:rsidRPr="00F505C6">
        <w:rPr>
          <w:rFonts w:cs="Times New Roman"/>
          <w:lang w:val="en-US"/>
        </w:rPr>
        <w:t xml:space="preserve">, </w:t>
      </w:r>
      <w:r w:rsidR="000A60D5">
        <w:rPr>
          <w:rFonts w:cs="Times New Roman"/>
          <w:lang w:val="en-US"/>
        </w:rPr>
        <w:t>the results</w:t>
      </w:r>
      <w:r w:rsidR="00FA093E" w:rsidRPr="00F505C6">
        <w:rPr>
          <w:rFonts w:cs="Times New Roman"/>
          <w:lang w:val="en-US"/>
        </w:rPr>
        <w:t xml:space="preserve"> </w:t>
      </w:r>
      <w:r w:rsidR="00504DD3" w:rsidRPr="00F505C6">
        <w:rPr>
          <w:rFonts w:cs="Times New Roman"/>
          <w:lang w:val="en-US"/>
        </w:rPr>
        <w:t xml:space="preserve">contribute </w:t>
      </w:r>
      <w:r w:rsidR="00FA093E" w:rsidRPr="00F505C6">
        <w:rPr>
          <w:rFonts w:cs="Times New Roman"/>
          <w:lang w:val="en-US"/>
        </w:rPr>
        <w:t xml:space="preserve">to a </w:t>
      </w:r>
      <w:r w:rsidR="00504DD3" w:rsidRPr="00F505C6">
        <w:rPr>
          <w:rFonts w:cs="Times New Roman"/>
          <w:lang w:val="en-US"/>
        </w:rPr>
        <w:t>more complex understanding of the set of conditions involved in the balancing act between social and economic missions in social entrepreneurship</w:t>
      </w:r>
      <w:r w:rsidR="00B73D5A" w:rsidRPr="00F505C6">
        <w:rPr>
          <w:rFonts w:cs="Times New Roman"/>
          <w:lang w:val="en-US"/>
        </w:rPr>
        <w:t xml:space="preserve"> (Moss et al.</w:t>
      </w:r>
      <w:r w:rsidR="00665971">
        <w:rPr>
          <w:rFonts w:cs="Times New Roman"/>
          <w:lang w:val="en-US"/>
        </w:rPr>
        <w:t>,</w:t>
      </w:r>
      <w:r w:rsidR="00B73D5A" w:rsidRPr="00F505C6">
        <w:rPr>
          <w:rFonts w:cs="Times New Roman"/>
          <w:lang w:val="en-US"/>
        </w:rPr>
        <w:t xml:space="preserve"> 2011)</w:t>
      </w:r>
      <w:r w:rsidR="00504DD3" w:rsidRPr="00F505C6">
        <w:rPr>
          <w:rFonts w:cs="Times New Roman"/>
          <w:lang w:val="en-US"/>
        </w:rPr>
        <w:t xml:space="preserve">. </w:t>
      </w:r>
      <w:r w:rsidR="00D65285" w:rsidRPr="00F505C6">
        <w:rPr>
          <w:rFonts w:cs="Times New Roman"/>
          <w:lang w:val="en-US"/>
        </w:rPr>
        <w:t xml:space="preserve">It is typically thought that mission operates on a continuum from social to economic and the closer </w:t>
      </w:r>
      <w:r w:rsidR="00DD4CB1">
        <w:rPr>
          <w:rFonts w:cs="Times New Roman"/>
          <w:lang w:val="en-US"/>
        </w:rPr>
        <w:t>one edges toward</w:t>
      </w:r>
      <w:r w:rsidR="00D65285" w:rsidRPr="00F505C6">
        <w:rPr>
          <w:rFonts w:cs="Times New Roman"/>
          <w:lang w:val="en-US"/>
        </w:rPr>
        <w:t xml:space="preserve"> economic then mission drift is said to </w:t>
      </w:r>
      <w:r w:rsidR="00FA093E" w:rsidRPr="00F505C6">
        <w:rPr>
          <w:rFonts w:cs="Times New Roman"/>
          <w:lang w:val="en-US"/>
        </w:rPr>
        <w:t xml:space="preserve">be </w:t>
      </w:r>
      <w:r w:rsidR="00E44EC9" w:rsidRPr="00F505C6">
        <w:rPr>
          <w:rFonts w:cs="Times New Roman"/>
          <w:lang w:val="en-US"/>
        </w:rPr>
        <w:t>occurring</w:t>
      </w:r>
      <w:r w:rsidR="00D65285" w:rsidRPr="00F505C6">
        <w:rPr>
          <w:rFonts w:cs="Times New Roman"/>
          <w:lang w:val="en-US"/>
        </w:rPr>
        <w:t xml:space="preserve">. </w:t>
      </w:r>
      <w:r w:rsidR="00EF2970" w:rsidRPr="00F505C6">
        <w:rPr>
          <w:rFonts w:cs="Times New Roman"/>
          <w:lang w:val="en-US"/>
        </w:rPr>
        <w:t>However, it is argued</w:t>
      </w:r>
      <w:r w:rsidR="00EF2970">
        <w:rPr>
          <w:rFonts w:cs="Times New Roman"/>
          <w:lang w:val="en-US"/>
        </w:rPr>
        <w:t>,</w:t>
      </w:r>
      <w:r w:rsidR="00EF2970" w:rsidRPr="00F505C6">
        <w:rPr>
          <w:rFonts w:cs="Times New Roman"/>
          <w:lang w:val="en-US"/>
        </w:rPr>
        <w:t xml:space="preserve"> and this study highlights, that this ignores the strategic value of a social mission. </w:t>
      </w:r>
      <w:r w:rsidR="00EF2970">
        <w:rPr>
          <w:rFonts w:cs="Times New Roman"/>
          <w:lang w:val="en-US"/>
        </w:rPr>
        <w:t>In particular, this notion is challenged through Solutions 1, 2</w:t>
      </w:r>
      <w:r w:rsidR="00DF7378">
        <w:rPr>
          <w:rFonts w:cs="Times New Roman"/>
          <w:lang w:val="en-US"/>
        </w:rPr>
        <w:t>,</w:t>
      </w:r>
      <w:r w:rsidR="00EF2970">
        <w:rPr>
          <w:rFonts w:cs="Times New Roman"/>
          <w:lang w:val="en-US"/>
        </w:rPr>
        <w:t xml:space="preserve"> and 3 in our findings. In Solution 1 and 2, social enterprises are competitive without being profit oriented (economic mission)</w:t>
      </w:r>
      <w:r w:rsidR="00FB2632">
        <w:rPr>
          <w:rFonts w:cs="Times New Roman"/>
          <w:lang w:val="en-US"/>
        </w:rPr>
        <w:t>,</w:t>
      </w:r>
      <w:r w:rsidR="00EF2970">
        <w:rPr>
          <w:rFonts w:cs="Times New Roman"/>
          <w:lang w:val="en-US"/>
        </w:rPr>
        <w:t xml:space="preserve"> which may be enabled by the presence or absence of early investment (solution 1)</w:t>
      </w:r>
      <w:r w:rsidR="00F67DA2">
        <w:rPr>
          <w:rFonts w:cs="Times New Roman"/>
          <w:lang w:val="en-US"/>
        </w:rPr>
        <w:t>,</w:t>
      </w:r>
      <w:r w:rsidR="00EF2970">
        <w:rPr>
          <w:rFonts w:cs="Times New Roman"/>
          <w:lang w:val="en-US"/>
        </w:rPr>
        <w:t xml:space="preserve"> or market competition (solution 2). In contrast with the literature, this indicates how social entrepreneurs can be financially competitive through their social mission even when profiteering is not relevant. </w:t>
      </w:r>
    </w:p>
    <w:p w14:paraId="7AC9B052" w14:textId="3EB4EAB2" w:rsidR="001B1AB8" w:rsidRPr="00EF2970" w:rsidRDefault="00EF2970" w:rsidP="00EF2970">
      <w:pPr>
        <w:rPr>
          <w:rFonts w:cs="Times New Roman"/>
          <w:lang w:val="en-US"/>
        </w:rPr>
      </w:pPr>
      <w:r>
        <w:rPr>
          <w:rFonts w:cs="Times New Roman"/>
          <w:lang w:val="en-US"/>
        </w:rPr>
        <w:t xml:space="preserve">Solution 3 paints a further complex picture where both profit (economic mission) and social orientation (social mission) go hand-in-hand in engendering competitive advantage. </w:t>
      </w:r>
      <w:r w:rsidR="00554430">
        <w:rPr>
          <w:rFonts w:cs="Times New Roman"/>
          <w:lang w:val="en-US"/>
        </w:rPr>
        <w:t xml:space="preserve">In the classic argument, one would expect the presence of profit orientation to see social orientation disappear yet our findings show it is possible. Indeed, </w:t>
      </w:r>
      <w:r w:rsidR="000A60D5">
        <w:rPr>
          <w:rFonts w:cs="Times New Roman"/>
          <w:lang w:val="en-US"/>
        </w:rPr>
        <w:t xml:space="preserve">it </w:t>
      </w:r>
      <w:r w:rsidR="00554430">
        <w:rPr>
          <w:rFonts w:cs="Times New Roman"/>
          <w:lang w:val="en-US"/>
        </w:rPr>
        <w:t>highlight</w:t>
      </w:r>
      <w:r w:rsidR="000A60D5">
        <w:rPr>
          <w:rFonts w:cs="Times New Roman"/>
          <w:lang w:val="en-US"/>
        </w:rPr>
        <w:t>s</w:t>
      </w:r>
      <w:r w:rsidR="00554430">
        <w:rPr>
          <w:rFonts w:cs="Times New Roman"/>
          <w:lang w:val="en-US"/>
        </w:rPr>
        <w:t xml:space="preserve"> that this is most pertinent when the entrepreneur has no prior experience of the</w:t>
      </w:r>
      <w:r w:rsidR="000A60D5">
        <w:rPr>
          <w:rFonts w:cs="Times New Roman"/>
          <w:lang w:val="en-US"/>
        </w:rPr>
        <w:t xml:space="preserve"> targeted</w:t>
      </w:r>
      <w:r w:rsidR="00554430">
        <w:rPr>
          <w:rFonts w:cs="Times New Roman"/>
          <w:lang w:val="en-US"/>
        </w:rPr>
        <w:t xml:space="preserve"> social problem </w:t>
      </w:r>
      <w:r w:rsidR="008A6A6E">
        <w:rPr>
          <w:rFonts w:cs="Times New Roman"/>
          <w:lang w:val="en-US"/>
        </w:rPr>
        <w:t>(</w:t>
      </w:r>
      <w:r w:rsidR="008A6A6E" w:rsidRPr="008A6A6E">
        <w:rPr>
          <w:szCs w:val="24"/>
        </w:rPr>
        <w:t>Hockerts,</w:t>
      </w:r>
      <w:r w:rsidR="008A6A6E">
        <w:rPr>
          <w:szCs w:val="24"/>
        </w:rPr>
        <w:t xml:space="preserve"> 2017)</w:t>
      </w:r>
      <w:r w:rsidR="00554430">
        <w:rPr>
          <w:rFonts w:cs="Times New Roman"/>
          <w:lang w:val="en-US"/>
        </w:rPr>
        <w:t xml:space="preserve">. This indicates that the social entrepreneur requires a viable business idea (economic mission) to be able to sustain the organization financially and iteratively learn about the </w:t>
      </w:r>
      <w:r w:rsidR="000A60D5">
        <w:rPr>
          <w:rFonts w:cs="Times New Roman"/>
          <w:lang w:val="en-US"/>
        </w:rPr>
        <w:t xml:space="preserve">targeted </w:t>
      </w:r>
      <w:r w:rsidR="00554430">
        <w:rPr>
          <w:rFonts w:cs="Times New Roman"/>
          <w:lang w:val="en-US"/>
        </w:rPr>
        <w:t>social problem</w:t>
      </w:r>
      <w:r w:rsidR="00554430">
        <w:t>.</w:t>
      </w:r>
      <w:r w:rsidR="00CF78C0">
        <w:t xml:space="preserve"> </w:t>
      </w:r>
      <w:r w:rsidR="006F78E8">
        <w:t xml:space="preserve">Thus, social missions do appear to improve competitive advantage once the organization is financially stable. </w:t>
      </w:r>
      <w:r w:rsidR="00554430">
        <w:t xml:space="preserve">This builds on a similar finding from Mersland and Strøm </w:t>
      </w:r>
      <w:r w:rsidR="00554430" w:rsidRPr="00554430">
        <w:t>(2010</w:t>
      </w:r>
      <w:r w:rsidR="00554430">
        <w:t xml:space="preserve">) in the social industry context which identified the importance of cost efficiency rather than mission orientation or </w:t>
      </w:r>
      <w:r w:rsidR="00DD4CB1">
        <w:t>drift</w:t>
      </w:r>
      <w:r w:rsidR="00554430">
        <w:t xml:space="preserve">. </w:t>
      </w:r>
    </w:p>
    <w:p w14:paraId="3DC3DA60" w14:textId="3EA247A7" w:rsidR="001B1AB8" w:rsidRPr="00F505C6" w:rsidRDefault="00FD1F5B" w:rsidP="00FD1F5B">
      <w:pPr>
        <w:rPr>
          <w:rFonts w:cs="Times New Roman"/>
          <w:lang w:val="en-US"/>
        </w:rPr>
      </w:pPr>
      <w:r>
        <w:rPr>
          <w:rFonts w:cs="Times New Roman"/>
          <w:lang w:val="en-US"/>
        </w:rPr>
        <w:t>Thus, s</w:t>
      </w:r>
      <w:r w:rsidR="00E44EC9" w:rsidRPr="00F505C6">
        <w:rPr>
          <w:rFonts w:cs="Times New Roman"/>
          <w:lang w:val="en-US"/>
        </w:rPr>
        <w:t xml:space="preserve">ocial and economic objectives </w:t>
      </w:r>
      <w:r w:rsidR="00504DD3" w:rsidRPr="00F505C6">
        <w:rPr>
          <w:rFonts w:cs="Times New Roman"/>
          <w:lang w:val="en-US"/>
        </w:rPr>
        <w:t xml:space="preserve">can be </w:t>
      </w:r>
      <w:r w:rsidR="00D65285" w:rsidRPr="00F505C6">
        <w:rPr>
          <w:rFonts w:cs="Times New Roman"/>
          <w:lang w:val="en-US"/>
        </w:rPr>
        <w:t>seen in conjunction with one another</w:t>
      </w:r>
      <w:r w:rsidR="00F67DA2">
        <w:rPr>
          <w:rFonts w:cs="Times New Roman"/>
          <w:lang w:val="en-US"/>
        </w:rPr>
        <w:t>. This is</w:t>
      </w:r>
      <w:r w:rsidR="00D65285" w:rsidRPr="00F505C6">
        <w:rPr>
          <w:rFonts w:cs="Times New Roman"/>
          <w:lang w:val="en-US"/>
        </w:rPr>
        <w:t xml:space="preserve"> </w:t>
      </w:r>
      <w:r w:rsidR="00504DD3" w:rsidRPr="00F505C6">
        <w:rPr>
          <w:rFonts w:cs="Times New Roman"/>
          <w:lang w:val="en-US"/>
        </w:rPr>
        <w:t xml:space="preserve">understood as helping social entrepreneurs to retain their competitive position across a range </w:t>
      </w:r>
      <w:r w:rsidR="00504DD3" w:rsidRPr="00F505C6">
        <w:rPr>
          <w:rFonts w:cs="Times New Roman"/>
          <w:lang w:val="en-US"/>
        </w:rPr>
        <w:lastRenderedPageBreak/>
        <w:t>of profit and not-for profit markets</w:t>
      </w:r>
      <w:r w:rsidR="00FB2632">
        <w:rPr>
          <w:rFonts w:cs="Times New Roman"/>
          <w:lang w:val="en-US"/>
        </w:rPr>
        <w:t>;</w:t>
      </w:r>
      <w:r w:rsidR="00736323">
        <w:rPr>
          <w:rFonts w:cs="Times New Roman"/>
          <w:lang w:val="en-US"/>
        </w:rPr>
        <w:t xml:space="preserve"> </w:t>
      </w:r>
      <w:r w:rsidR="006F78E8">
        <w:rPr>
          <w:szCs w:val="24"/>
          <w:lang w:val="en-US"/>
        </w:rPr>
        <w:t>social missions improve competitive advantage and business does not necessarily compromise a social objective.</w:t>
      </w:r>
      <w:r w:rsidR="004604E8" w:rsidRPr="00F505C6">
        <w:rPr>
          <w:rFonts w:cs="Times New Roman"/>
          <w:lang w:val="en-US"/>
        </w:rPr>
        <w:t xml:space="preserve"> In doing so, </w:t>
      </w:r>
      <w:r w:rsidR="00E44EC9" w:rsidRPr="00F505C6">
        <w:rPr>
          <w:rFonts w:cs="Times New Roman"/>
          <w:lang w:val="en-US"/>
        </w:rPr>
        <w:t>this</w:t>
      </w:r>
      <w:r w:rsidR="004604E8" w:rsidRPr="00F505C6">
        <w:rPr>
          <w:rFonts w:cs="Times New Roman"/>
          <w:lang w:val="en-US"/>
        </w:rPr>
        <w:t xml:space="preserve"> calls into question the binary assumption underlying the commitment of social entrepreneurs to their social mission</w:t>
      </w:r>
      <w:r w:rsidR="00E44EC9" w:rsidRPr="00F505C6">
        <w:rPr>
          <w:rFonts w:cs="Times New Roman"/>
          <w:lang w:val="en-US"/>
        </w:rPr>
        <w:t xml:space="preserve"> (</w:t>
      </w:r>
      <w:r w:rsidR="00B73D5A" w:rsidRPr="00F505C6">
        <w:rPr>
          <w:rFonts w:cs="Times New Roman"/>
          <w:lang w:val="en-US"/>
        </w:rPr>
        <w:t xml:space="preserve">Florin </w:t>
      </w:r>
      <w:r w:rsidR="00045DA2">
        <w:rPr>
          <w:rFonts w:cs="Times New Roman"/>
          <w:lang w:val="en-US"/>
        </w:rPr>
        <w:t>&amp;</w:t>
      </w:r>
      <w:r w:rsidR="00045DA2" w:rsidRPr="00F505C6">
        <w:rPr>
          <w:rFonts w:cs="Times New Roman"/>
          <w:lang w:val="en-US"/>
        </w:rPr>
        <w:t xml:space="preserve"> </w:t>
      </w:r>
      <w:r w:rsidR="00B73D5A" w:rsidRPr="00F505C6">
        <w:rPr>
          <w:rFonts w:cs="Times New Roman"/>
          <w:lang w:val="en-US"/>
        </w:rPr>
        <w:t>Schmidt</w:t>
      </w:r>
      <w:r w:rsidR="00665971">
        <w:rPr>
          <w:rFonts w:cs="Times New Roman"/>
          <w:lang w:val="en-US"/>
        </w:rPr>
        <w:t>,</w:t>
      </w:r>
      <w:r w:rsidR="00B73D5A" w:rsidRPr="00F505C6">
        <w:rPr>
          <w:rFonts w:cs="Times New Roman"/>
          <w:lang w:val="en-US"/>
        </w:rPr>
        <w:t xml:space="preserve"> 2011</w:t>
      </w:r>
      <w:r w:rsidR="00E44EC9" w:rsidRPr="00F505C6">
        <w:rPr>
          <w:rFonts w:cs="Times New Roman"/>
          <w:lang w:val="en-US"/>
        </w:rPr>
        <w:t>)</w:t>
      </w:r>
      <w:r w:rsidR="004604E8" w:rsidRPr="00F505C6">
        <w:rPr>
          <w:rFonts w:cs="Times New Roman"/>
          <w:lang w:val="en-US"/>
        </w:rPr>
        <w:t xml:space="preserve">. Mission drift seems not to be the only possible outcome for those social entrepreneurs </w:t>
      </w:r>
      <w:r w:rsidR="00AB6AE7" w:rsidRPr="00F505C6">
        <w:rPr>
          <w:rFonts w:cs="Times New Roman"/>
          <w:lang w:val="en-US"/>
        </w:rPr>
        <w:t>prioritizing</w:t>
      </w:r>
      <w:r w:rsidR="004604E8" w:rsidRPr="00F505C6">
        <w:rPr>
          <w:rFonts w:cs="Times New Roman"/>
          <w:lang w:val="en-US"/>
        </w:rPr>
        <w:t xml:space="preserve"> economic goals. Social entrepreneurs can indeed remain competitive without drifting away from their social orientation. In this study</w:t>
      </w:r>
      <w:r w:rsidR="0095512C">
        <w:rPr>
          <w:rFonts w:cs="Times New Roman"/>
          <w:lang w:val="en-US"/>
        </w:rPr>
        <w:t>,</w:t>
      </w:r>
      <w:r w:rsidR="004604E8" w:rsidRPr="00F505C6">
        <w:rPr>
          <w:rFonts w:cs="Times New Roman"/>
          <w:lang w:val="en-US"/>
        </w:rPr>
        <w:t xml:space="preserve"> the alternative ways in which this happens</w:t>
      </w:r>
      <w:r w:rsidR="0022630A" w:rsidRPr="00F505C6">
        <w:rPr>
          <w:rFonts w:cs="Times New Roman"/>
          <w:lang w:val="en-US"/>
        </w:rPr>
        <w:t xml:space="preserve"> are demonstrated</w:t>
      </w:r>
      <w:r w:rsidR="004604E8" w:rsidRPr="00F505C6">
        <w:rPr>
          <w:rFonts w:cs="Times New Roman"/>
          <w:lang w:val="en-US"/>
        </w:rPr>
        <w:t>.</w:t>
      </w:r>
    </w:p>
    <w:p w14:paraId="4E7558BB" w14:textId="2C1CA365" w:rsidR="00715BED" w:rsidRDefault="00E44EC9" w:rsidP="00963F49">
      <w:pPr>
        <w:rPr>
          <w:rFonts w:cs="Times New Roman"/>
          <w:lang w:val="en-US"/>
        </w:rPr>
      </w:pPr>
      <w:r w:rsidRPr="00F505C6">
        <w:rPr>
          <w:rFonts w:cs="Times New Roman"/>
          <w:lang w:val="en-US"/>
        </w:rPr>
        <w:t xml:space="preserve">These alternative methods </w:t>
      </w:r>
      <w:r w:rsidR="0022630A" w:rsidRPr="00F505C6">
        <w:rPr>
          <w:rFonts w:cs="Times New Roman"/>
          <w:lang w:val="en-US"/>
        </w:rPr>
        <w:t>help to understand the s</w:t>
      </w:r>
      <w:r w:rsidR="009B3E61">
        <w:rPr>
          <w:rFonts w:cs="Times New Roman"/>
          <w:lang w:val="en-US"/>
        </w:rPr>
        <w:t>econd contribution of the paper</w:t>
      </w:r>
      <w:r w:rsidR="00FB2632">
        <w:rPr>
          <w:rFonts w:cs="Times New Roman"/>
          <w:lang w:val="en-US"/>
        </w:rPr>
        <w:t xml:space="preserve"> by </w:t>
      </w:r>
      <w:r w:rsidR="0022630A" w:rsidRPr="00F505C6">
        <w:rPr>
          <w:rFonts w:cs="Times New Roman"/>
          <w:lang w:val="en-US"/>
        </w:rPr>
        <w:t xml:space="preserve">informing </w:t>
      </w:r>
      <w:r w:rsidR="00B73D5A" w:rsidRPr="00F505C6">
        <w:rPr>
          <w:rFonts w:cs="Times New Roman"/>
          <w:lang w:val="en-US"/>
        </w:rPr>
        <w:t>theory</w:t>
      </w:r>
      <w:r w:rsidR="0022630A" w:rsidRPr="00F505C6">
        <w:rPr>
          <w:rFonts w:cs="Times New Roman"/>
          <w:lang w:val="en-US"/>
        </w:rPr>
        <w:t xml:space="preserve"> on hybrid organizing. </w:t>
      </w:r>
      <w:r w:rsidR="00963F49">
        <w:rPr>
          <w:rFonts w:cs="Times New Roman"/>
          <w:lang w:val="en-US"/>
        </w:rPr>
        <w:t>Social entrepreneurship literature so far presents the idea of hybrids as irreconcilable trade-offs between social and commercial goals (</w:t>
      </w:r>
      <w:r w:rsidR="00665971" w:rsidRPr="00665971">
        <w:rPr>
          <w:rFonts w:cs="Times New Roman"/>
          <w:szCs w:val="24"/>
        </w:rPr>
        <w:t xml:space="preserve">Haigh, Walker, Bacq, &amp; Kickul, </w:t>
      </w:r>
      <w:r w:rsidR="00665971">
        <w:rPr>
          <w:rFonts w:cs="Times New Roman"/>
          <w:szCs w:val="24"/>
        </w:rPr>
        <w:t>2015</w:t>
      </w:r>
      <w:r w:rsidR="00963F49">
        <w:rPr>
          <w:rFonts w:cs="Times New Roman"/>
          <w:lang w:val="en-US"/>
        </w:rPr>
        <w:t xml:space="preserve">), indeed some delineate the boundaries of the field </w:t>
      </w:r>
      <w:r w:rsidR="00963F49" w:rsidRPr="00963F49">
        <w:t>within that notion (e.g.</w:t>
      </w:r>
      <w:r w:rsidR="00295264">
        <w:t>,</w:t>
      </w:r>
      <w:r w:rsidR="00963F49" w:rsidRPr="00963F49">
        <w:t xml:space="preserve"> Battilana &amp; Lee, 2014). This study calls into question that</w:t>
      </w:r>
      <w:r w:rsidR="00963F49">
        <w:rPr>
          <w:rFonts w:cs="Times New Roman"/>
          <w:lang w:val="en-US"/>
        </w:rPr>
        <w:t xml:space="preserve"> assumption given the evidence of complex co-existence. </w:t>
      </w:r>
      <w:r w:rsidR="0022630A" w:rsidRPr="00F505C6">
        <w:rPr>
          <w:rFonts w:cs="Times New Roman"/>
          <w:lang w:val="en-US"/>
        </w:rPr>
        <w:t xml:space="preserve">Doherty et al. (2014), following the work of </w:t>
      </w:r>
      <w:r w:rsidR="00665971" w:rsidRPr="00665971">
        <w:rPr>
          <w:rFonts w:cs="Times New Roman"/>
          <w:lang w:val="en-US"/>
        </w:rPr>
        <w:t xml:space="preserve">Dacin, Dacin, </w:t>
      </w:r>
      <w:r w:rsidR="00665971">
        <w:rPr>
          <w:rFonts w:cs="Times New Roman"/>
          <w:lang w:val="en-US"/>
        </w:rPr>
        <w:t>and Matear</w:t>
      </w:r>
      <w:r w:rsidR="00665971" w:rsidRPr="00665971">
        <w:rPr>
          <w:rFonts w:cs="Times New Roman"/>
          <w:lang w:val="en-US"/>
        </w:rPr>
        <w:t xml:space="preserve"> </w:t>
      </w:r>
      <w:r w:rsidR="0022630A" w:rsidRPr="00F505C6">
        <w:rPr>
          <w:rFonts w:cs="Times New Roman"/>
          <w:lang w:val="en-US"/>
        </w:rPr>
        <w:t>(2010), offer a similar criticism of the social and economic dichotomy in hybrid ventures and how this relates to competitive advantage, calling for further theoretical development and empirical insights. This paper offers a direct response to this call by highlighting the configurational conditions under which hybrid ventures</w:t>
      </w:r>
      <w:r w:rsidR="00455AC6">
        <w:rPr>
          <w:rFonts w:cs="Times New Roman"/>
          <w:lang w:val="en-US"/>
        </w:rPr>
        <w:t xml:space="preserve"> are perceived to</w:t>
      </w:r>
      <w:r w:rsidR="0022630A" w:rsidRPr="00F505C6">
        <w:rPr>
          <w:rFonts w:cs="Times New Roman"/>
          <w:lang w:val="en-US"/>
        </w:rPr>
        <w:t xml:space="preserve"> achieve competitive advantage. </w:t>
      </w:r>
    </w:p>
    <w:p w14:paraId="662D5C4C" w14:textId="5C9FD938" w:rsidR="001B1AB8" w:rsidRDefault="00C8609A" w:rsidP="00EF2970">
      <w:r w:rsidRPr="00F505C6">
        <w:rPr>
          <w:rFonts w:cs="Times New Roman"/>
          <w:lang w:val="en-US"/>
        </w:rPr>
        <w:t>The theoretical argument proposed in this paper is that the relationship between social and economic mission is complex</w:t>
      </w:r>
      <w:r w:rsidR="00C31E8C" w:rsidRPr="00F505C6">
        <w:rPr>
          <w:rFonts w:cs="Times New Roman"/>
          <w:lang w:val="en-US"/>
        </w:rPr>
        <w:t xml:space="preserve"> and thus requires an</w:t>
      </w:r>
      <w:r w:rsidRPr="00F505C6">
        <w:rPr>
          <w:rFonts w:cs="Times New Roman"/>
          <w:lang w:val="en-US"/>
        </w:rPr>
        <w:t xml:space="preserve"> account</w:t>
      </w:r>
      <w:r w:rsidR="00C31E8C" w:rsidRPr="00F505C6">
        <w:rPr>
          <w:rFonts w:cs="Times New Roman"/>
          <w:lang w:val="en-US"/>
        </w:rPr>
        <w:t xml:space="preserve"> of</w:t>
      </w:r>
      <w:r w:rsidRPr="00F505C6">
        <w:rPr>
          <w:rFonts w:cs="Times New Roman"/>
          <w:lang w:val="en-US"/>
        </w:rPr>
        <w:t xml:space="preserve"> other </w:t>
      </w:r>
      <w:r w:rsidR="00EF2970" w:rsidRPr="00EF2970">
        <w:rPr>
          <w:rFonts w:cs="Times New Roman"/>
          <w:lang w:val="en-US"/>
        </w:rPr>
        <w:t>strategic conditions</w:t>
      </w:r>
      <w:r w:rsidRPr="00F505C6">
        <w:rPr>
          <w:rFonts w:cs="Times New Roman"/>
          <w:lang w:val="en-US"/>
        </w:rPr>
        <w:t>.</w:t>
      </w:r>
      <w:r w:rsidR="00D74C31">
        <w:rPr>
          <w:rFonts w:cs="Times New Roman"/>
          <w:lang w:val="en-US"/>
        </w:rPr>
        <w:t xml:space="preserve"> In drawing from the framework by Bruton et al. (2013), we are able to identify the relevant micro-foundations and micro-processes</w:t>
      </w:r>
      <w:r w:rsidR="006F78E8">
        <w:rPr>
          <w:rFonts w:cs="Times New Roman"/>
          <w:lang w:val="en-US"/>
        </w:rPr>
        <w:t xml:space="preserve"> (</w:t>
      </w:r>
      <w:r w:rsidR="00EF2970" w:rsidRPr="00EF2970">
        <w:rPr>
          <w:rFonts w:cs="Times New Roman"/>
          <w:lang w:val="en-US"/>
        </w:rPr>
        <w:t>strategic conditions</w:t>
      </w:r>
      <w:r w:rsidR="006F78E8">
        <w:rPr>
          <w:rFonts w:cs="Times New Roman"/>
          <w:lang w:val="en-US"/>
        </w:rPr>
        <w:t>)</w:t>
      </w:r>
      <w:r w:rsidR="00D74C31">
        <w:rPr>
          <w:rFonts w:cs="Times New Roman"/>
          <w:lang w:val="en-US"/>
        </w:rPr>
        <w:t xml:space="preserve"> of social and economic goals </w:t>
      </w:r>
      <w:r w:rsidR="006F78E8">
        <w:rPr>
          <w:rFonts w:cs="Times New Roman"/>
          <w:lang w:val="en-US"/>
        </w:rPr>
        <w:t>in</w:t>
      </w:r>
      <w:r w:rsidR="00D74C31">
        <w:rPr>
          <w:rFonts w:cs="Times New Roman"/>
          <w:lang w:val="en-US"/>
        </w:rPr>
        <w:t xml:space="preserve"> hybrid organizing.</w:t>
      </w:r>
      <w:r w:rsidRPr="00F505C6">
        <w:rPr>
          <w:rFonts w:cs="Times New Roman"/>
          <w:lang w:val="en-US"/>
        </w:rPr>
        <w:t xml:space="preserve"> </w:t>
      </w:r>
      <w:r w:rsidR="00EF2970" w:rsidRPr="00F505C6">
        <w:rPr>
          <w:rFonts w:cs="Times New Roman"/>
          <w:lang w:val="en-US"/>
        </w:rPr>
        <w:t>The social mission of a hybrid venture may produce competitive advantage in both the presence (Solution 3) and absence (Solution 1 and 2) of economic priorities; competitive advantage can even occur under seemingly odd sets of conditions (Solution 4).</w:t>
      </w:r>
      <w:r w:rsidR="00EF2970">
        <w:rPr>
          <w:rFonts w:cs="Times New Roman"/>
          <w:lang w:val="en-US"/>
        </w:rPr>
        <w:t xml:space="preserve"> Importantly, </w:t>
      </w:r>
      <w:r w:rsidR="00EF2970">
        <w:rPr>
          <w:rFonts w:cs="Times New Roman"/>
          <w:lang w:val="en-US"/>
        </w:rPr>
        <w:lastRenderedPageBreak/>
        <w:t xml:space="preserve">previous experience of a social problem is vital to understanding hybrid organizing (Kimmitt &amp; </w:t>
      </w:r>
      <w:r w:rsidR="00EF2970" w:rsidRPr="00554430">
        <w:t>Muñoz</w:t>
      </w:r>
      <w:r w:rsidR="00EF2970">
        <w:t>, 2018)</w:t>
      </w:r>
      <w:r w:rsidR="00FB2632">
        <w:t>,</w:t>
      </w:r>
      <w:r w:rsidR="00EF2970">
        <w:t xml:space="preserve"> where presence (absence) of economic goals seems particularly relevant when previous experience is also absent (present). In addition, investment seems to play a limited role in creating competitive advantage but when investment is involved (solution 1) it does reap more financial benefits. Overall, our research points to a need to think more about the creative strategic approaches associated with hybrid ventures, reorienting the notion that trade-offs are inevitably associated with such organizing. </w:t>
      </w:r>
    </w:p>
    <w:p w14:paraId="736503DD" w14:textId="4DE03E21" w:rsidR="00EF2970" w:rsidRPr="00EF2970" w:rsidRDefault="00CC6969" w:rsidP="00EF2970">
      <w:pPr>
        <w:rPr>
          <w:rFonts w:cs="Times New Roman"/>
          <w:lang w:val="en-US"/>
        </w:rPr>
      </w:pPr>
      <w:r>
        <w:rPr>
          <w:rFonts w:cs="Times New Roman"/>
          <w:lang w:val="en-US"/>
        </w:rPr>
        <w:t>Third</w:t>
      </w:r>
      <w:r w:rsidR="00EF2970" w:rsidRPr="00F505C6">
        <w:rPr>
          <w:rFonts w:cs="Times New Roman"/>
          <w:lang w:val="en-US"/>
        </w:rPr>
        <w:t xml:space="preserve">, this paper offer an empirical contribution through the focus on social entrepreneurship in the emerging market of Chile to a literature which has mainly had a Western focus (Rey-Martí, </w:t>
      </w:r>
      <w:r w:rsidR="00EF2970">
        <w:rPr>
          <w:rFonts w:cs="Times New Roman"/>
          <w:lang w:val="en-US"/>
        </w:rPr>
        <w:t>et al.,</w:t>
      </w:r>
      <w:r w:rsidR="00EF2970" w:rsidRPr="00F505C6">
        <w:rPr>
          <w:rFonts w:cs="Times New Roman"/>
          <w:lang w:val="en-US"/>
        </w:rPr>
        <w:t xml:space="preserve"> 2016). </w:t>
      </w:r>
      <w:r w:rsidR="00EF2970">
        <w:rPr>
          <w:rFonts w:cs="Times New Roman"/>
          <w:lang w:val="en-US"/>
        </w:rPr>
        <w:t xml:space="preserve">This is particularly apparent through solution 4 in our findings, which indicated perceived competitive </w:t>
      </w:r>
      <w:r>
        <w:rPr>
          <w:rFonts w:cs="Times New Roman"/>
          <w:lang w:val="en-US"/>
        </w:rPr>
        <w:t>advantage in non-profit markets</w:t>
      </w:r>
      <w:r w:rsidR="00EF2970">
        <w:rPr>
          <w:rFonts w:cs="Times New Roman"/>
          <w:lang w:val="en-US"/>
        </w:rPr>
        <w:t xml:space="preserve"> with the cases in these solutions being indicative of offerings where the local government is in fact the main competitor. By shifting the research context to Chile, we see the relationship between strategic social entrepreneurship in this under-researched institutional context. In o</w:t>
      </w:r>
      <w:r w:rsidR="00FB2632">
        <w:rPr>
          <w:rFonts w:cs="Times New Roman"/>
          <w:lang w:val="en-US"/>
        </w:rPr>
        <w:t>ther social enterprise contexts such as the UK,</w:t>
      </w:r>
      <w:r w:rsidR="00EF2970">
        <w:rPr>
          <w:rFonts w:cs="Times New Roman"/>
          <w:lang w:val="en-US"/>
        </w:rPr>
        <w:t xml:space="preserve"> we see a much closer collaborative relationship between the public and private sector (</w:t>
      </w:r>
      <w:r w:rsidR="00EF2970" w:rsidRPr="00C25CB6">
        <w:rPr>
          <w:rFonts w:cs="Times New Roman"/>
        </w:rPr>
        <w:t>Social Enterprise UK</w:t>
      </w:r>
      <w:r w:rsidR="00EF2970">
        <w:rPr>
          <w:rFonts w:cs="Times New Roman"/>
        </w:rPr>
        <w:t xml:space="preserve">, </w:t>
      </w:r>
      <w:r w:rsidR="00EF2970" w:rsidRPr="00C25CB6">
        <w:rPr>
          <w:rFonts w:cs="Times New Roman"/>
        </w:rPr>
        <w:t>2017).</w:t>
      </w:r>
      <w:r w:rsidR="00EF2970">
        <w:rPr>
          <w:rFonts w:cs="Times New Roman"/>
        </w:rPr>
        <w:t xml:space="preserve"> </w:t>
      </w:r>
      <w:r w:rsidR="00FB2632">
        <w:rPr>
          <w:rFonts w:cs="Times New Roman"/>
        </w:rPr>
        <w:t>Yet in the context of our study</w:t>
      </w:r>
      <w:r w:rsidR="00EF2970">
        <w:rPr>
          <w:rFonts w:cs="Times New Roman"/>
        </w:rPr>
        <w:t xml:space="preserve"> Chile, this appears to be a competitive relationship with oftentimes limited interaction between the two players which resonates with Kimmitt and </w:t>
      </w:r>
      <w:r w:rsidR="00EF2970" w:rsidRPr="009629CB">
        <w:t>Muñoz</w:t>
      </w:r>
      <w:r w:rsidR="00EF2970">
        <w:t xml:space="preserve">’s (2018) findings from the same context. </w:t>
      </w:r>
    </w:p>
    <w:p w14:paraId="52F819C5" w14:textId="01365E69" w:rsidR="00C31E8C" w:rsidRDefault="00C25CB6" w:rsidP="00E44EC9">
      <w:pPr>
        <w:rPr>
          <w:rFonts w:cs="Times New Roman"/>
          <w:lang w:val="en-US"/>
        </w:rPr>
      </w:pPr>
      <w:r>
        <w:rPr>
          <w:rFonts w:cs="Times New Roman"/>
          <w:lang w:val="en-US"/>
        </w:rPr>
        <w:t>Thus, we</w:t>
      </w:r>
      <w:r w:rsidR="00C31E8C" w:rsidRPr="00F505C6">
        <w:rPr>
          <w:rFonts w:cs="Times New Roman"/>
          <w:lang w:val="en-US"/>
        </w:rPr>
        <w:t xml:space="preserve"> build on and empirically </w:t>
      </w:r>
      <w:r w:rsidRPr="00F505C6">
        <w:rPr>
          <w:rFonts w:cs="Times New Roman"/>
          <w:lang w:val="en-US"/>
        </w:rPr>
        <w:t>appl</w:t>
      </w:r>
      <w:r>
        <w:rPr>
          <w:rFonts w:cs="Times New Roman"/>
          <w:lang w:val="en-US"/>
        </w:rPr>
        <w:t>y</w:t>
      </w:r>
      <w:r w:rsidR="00C31E8C" w:rsidRPr="00F505C6">
        <w:rPr>
          <w:rFonts w:cs="Times New Roman"/>
          <w:lang w:val="en-US"/>
        </w:rPr>
        <w:t>, in the context of social entrepreneurship, the emerging market strategy framework developed by Bruton et al. (2013). This empirical contribution is not only valuable to the social entrepreneurship literature but more broadly to ent</w:t>
      </w:r>
      <w:r w:rsidR="001C6E65" w:rsidRPr="00F505C6">
        <w:rPr>
          <w:rFonts w:cs="Times New Roman"/>
          <w:lang w:val="en-US"/>
        </w:rPr>
        <w:t xml:space="preserve">repreneurship </w:t>
      </w:r>
      <w:r w:rsidR="0095512C" w:rsidRPr="00F505C6">
        <w:rPr>
          <w:rFonts w:cs="Times New Roman"/>
          <w:lang w:val="en-US"/>
        </w:rPr>
        <w:t>research, which</w:t>
      </w:r>
      <w:r w:rsidR="001C6E65" w:rsidRPr="00F505C6">
        <w:rPr>
          <w:rFonts w:cs="Times New Roman"/>
          <w:lang w:val="en-US"/>
        </w:rPr>
        <w:t xml:space="preserve"> typically lacks empirical data from emerging and developing economies (</w:t>
      </w:r>
      <w:r w:rsidR="00665971" w:rsidRPr="00665971">
        <w:rPr>
          <w:rFonts w:cs="Times New Roman"/>
          <w:lang w:val="en-US"/>
        </w:rPr>
        <w:t>Bruton, Ahlstrom, &amp; Obloj</w:t>
      </w:r>
      <w:r w:rsidR="00665971">
        <w:rPr>
          <w:rFonts w:cs="Times New Roman"/>
          <w:lang w:val="en-US"/>
        </w:rPr>
        <w:t>,</w:t>
      </w:r>
      <w:r w:rsidR="001C6E65" w:rsidRPr="00F505C6">
        <w:rPr>
          <w:rFonts w:cs="Times New Roman"/>
          <w:lang w:val="en-US"/>
        </w:rPr>
        <w:t xml:space="preserve"> 2008). </w:t>
      </w:r>
      <w:r>
        <w:rPr>
          <w:rFonts w:cs="Times New Roman"/>
          <w:lang w:val="en-US"/>
        </w:rPr>
        <w:t>When observing even micro-level process</w:t>
      </w:r>
      <w:r w:rsidR="00F42EFE">
        <w:rPr>
          <w:rFonts w:cs="Times New Roman"/>
          <w:lang w:val="en-US"/>
        </w:rPr>
        <w:t>es</w:t>
      </w:r>
      <w:r>
        <w:rPr>
          <w:rFonts w:cs="Times New Roman"/>
          <w:lang w:val="en-US"/>
        </w:rPr>
        <w:t xml:space="preserve"> and conditions for strategic social entrepreneurship, it is likely that we see a variety of approaches across national contexts </w:t>
      </w:r>
      <w:r w:rsidR="0095512C">
        <w:rPr>
          <w:rFonts w:cs="Times New Roman"/>
          <w:lang w:val="en-US"/>
        </w:rPr>
        <w:t>because</w:t>
      </w:r>
      <w:r>
        <w:rPr>
          <w:rFonts w:cs="Times New Roman"/>
          <w:lang w:val="en-US"/>
        </w:rPr>
        <w:t xml:space="preserve"> of socio-cultural and historical institutional </w:t>
      </w:r>
      <w:r w:rsidR="0027740B">
        <w:rPr>
          <w:rFonts w:cs="Times New Roman"/>
          <w:lang w:val="en-US"/>
        </w:rPr>
        <w:lastRenderedPageBreak/>
        <w:t>dynamics, which</w:t>
      </w:r>
      <w:r>
        <w:rPr>
          <w:rFonts w:cs="Times New Roman"/>
          <w:lang w:val="en-US"/>
        </w:rPr>
        <w:t xml:space="preserve"> shape public and private interpretations of how to solve complex social problems. </w:t>
      </w:r>
      <w:r w:rsidR="001C6E65" w:rsidRPr="00F505C6">
        <w:rPr>
          <w:rFonts w:cs="Times New Roman"/>
          <w:lang w:val="en-US"/>
        </w:rPr>
        <w:t xml:space="preserve"> </w:t>
      </w:r>
    </w:p>
    <w:p w14:paraId="18C93BC3" w14:textId="42DD0CA2" w:rsidR="00EF2970" w:rsidRDefault="00EF2970" w:rsidP="00EF2970">
      <w:pPr>
        <w:rPr>
          <w:rFonts w:cs="Times New Roman"/>
          <w:lang w:val="en-US"/>
        </w:rPr>
      </w:pPr>
      <w:r>
        <w:rPr>
          <w:rFonts w:cs="Times New Roman"/>
          <w:lang w:val="en-US"/>
        </w:rPr>
        <w:t xml:space="preserve">There are inevitably limitations to our </w:t>
      </w:r>
      <w:r w:rsidR="0027740B">
        <w:rPr>
          <w:rFonts w:cs="Times New Roman"/>
          <w:lang w:val="en-US"/>
        </w:rPr>
        <w:t>work, which</w:t>
      </w:r>
      <w:r>
        <w:rPr>
          <w:rFonts w:cs="Times New Roman"/>
          <w:lang w:val="en-US"/>
        </w:rPr>
        <w:t xml:space="preserve"> must be considered when reflecting on our findings. </w:t>
      </w:r>
      <w:r w:rsidR="005C059F">
        <w:rPr>
          <w:rFonts w:cs="Times New Roman"/>
          <w:lang w:val="en-US"/>
        </w:rPr>
        <w:t>First</w:t>
      </w:r>
      <w:r>
        <w:rPr>
          <w:rFonts w:cs="Times New Roman"/>
          <w:lang w:val="en-US"/>
        </w:rPr>
        <w:t xml:space="preserve">, our research is static and cross-sectional in nature which means we cannot capture the points in which social/profit orientation becomes relevant thus our theoretical propositions (Table 3) make logical inferences but require further empirical testing; an opportunity for further research both in and outside of the Chilean context. </w:t>
      </w:r>
      <w:r w:rsidR="005C059F">
        <w:rPr>
          <w:rFonts w:cs="Times New Roman"/>
          <w:lang w:val="en-US"/>
        </w:rPr>
        <w:t>Second</w:t>
      </w:r>
      <w:r>
        <w:rPr>
          <w:rFonts w:cs="Times New Roman"/>
          <w:lang w:val="en-US"/>
        </w:rPr>
        <w:t>, we selected strategic conditions in line with the framework developed by Bruton et al. (2013). However, there are other such conditions, which should be acknowledged such as the role of employees, leadership style, strategic</w:t>
      </w:r>
      <w:r w:rsidR="00FB2632">
        <w:rPr>
          <w:rFonts w:cs="Times New Roman"/>
          <w:lang w:val="en-US"/>
        </w:rPr>
        <w:t>,</w:t>
      </w:r>
      <w:r>
        <w:rPr>
          <w:rFonts w:cs="Times New Roman"/>
          <w:lang w:val="en-US"/>
        </w:rPr>
        <w:t xml:space="preserve"> and innovation orientation (</w:t>
      </w:r>
      <w:r w:rsidRPr="00CF5FA6">
        <w:rPr>
          <w:rFonts w:cs="Times New Roman"/>
        </w:rPr>
        <w:t xml:space="preserve">Crossman </w:t>
      </w:r>
      <w:r>
        <w:rPr>
          <w:rFonts w:cs="Times New Roman"/>
        </w:rPr>
        <w:t>&amp;</w:t>
      </w:r>
      <w:r w:rsidRPr="00CF5FA6">
        <w:rPr>
          <w:rFonts w:cs="Times New Roman"/>
        </w:rPr>
        <w:t xml:space="preserve"> </w:t>
      </w:r>
      <w:r>
        <w:rPr>
          <w:rFonts w:cs="Times New Roman"/>
          <w:bCs/>
        </w:rPr>
        <w:t xml:space="preserve">Apaydin, </w:t>
      </w:r>
      <w:r w:rsidRPr="00CF5FA6">
        <w:rPr>
          <w:rFonts w:cs="Times New Roman"/>
          <w:bCs/>
        </w:rPr>
        <w:t>2010)</w:t>
      </w:r>
      <w:r w:rsidR="00722F36">
        <w:rPr>
          <w:rFonts w:cs="Times New Roman"/>
          <w:lang w:val="en-US"/>
        </w:rPr>
        <w:t xml:space="preserve"> which, among others</w:t>
      </w:r>
      <w:r>
        <w:rPr>
          <w:rFonts w:cs="Times New Roman"/>
          <w:lang w:val="en-US"/>
        </w:rPr>
        <w:t xml:space="preserve"> are likely relevant for explaining competitive advantage of hybrid ventures. </w:t>
      </w:r>
    </w:p>
    <w:p w14:paraId="49E15C38" w14:textId="77777777" w:rsidR="00F42EFE" w:rsidRDefault="00F42EFE" w:rsidP="00A72EFD">
      <w:pPr>
        <w:ind w:firstLine="0"/>
        <w:rPr>
          <w:rFonts w:cs="Times New Roman"/>
          <w:b/>
          <w:lang w:val="en-US"/>
        </w:rPr>
      </w:pPr>
    </w:p>
    <w:p w14:paraId="299762A4" w14:textId="0C1CC7F2" w:rsidR="00A72EFD" w:rsidRPr="00A72EFD" w:rsidRDefault="00A72EFD" w:rsidP="00A72EFD">
      <w:pPr>
        <w:ind w:firstLine="0"/>
        <w:rPr>
          <w:rFonts w:cs="Times New Roman"/>
          <w:b/>
          <w:lang w:val="en-US"/>
        </w:rPr>
      </w:pPr>
      <w:r>
        <w:rPr>
          <w:rFonts w:cs="Times New Roman"/>
          <w:b/>
          <w:lang w:val="en-US"/>
        </w:rPr>
        <w:t>Conclusion</w:t>
      </w:r>
    </w:p>
    <w:p w14:paraId="3586ADE7" w14:textId="0ED73510" w:rsidR="00963F49" w:rsidRPr="00963F49" w:rsidRDefault="00963F49" w:rsidP="00CF5FA6">
      <w:pPr>
        <w:ind w:firstLine="0"/>
        <w:rPr>
          <w:rFonts w:cs="Times New Roman"/>
          <w:lang w:val="en-US"/>
        </w:rPr>
      </w:pPr>
      <w:r>
        <w:rPr>
          <w:rFonts w:cs="Times New Roman"/>
          <w:lang w:val="en-US"/>
        </w:rPr>
        <w:t>In conclusion,</w:t>
      </w:r>
      <w:r w:rsidR="00CF5FA6">
        <w:rPr>
          <w:rFonts w:cs="Times New Roman"/>
          <w:lang w:val="en-US"/>
        </w:rPr>
        <w:t xml:space="preserve"> in this paper, we asked:</w:t>
      </w:r>
      <w:r w:rsidR="00CF5FA6" w:rsidRPr="00CF5FA6">
        <w:rPr>
          <w:szCs w:val="24"/>
          <w:lang w:val="en-US"/>
        </w:rPr>
        <w:t xml:space="preserve"> </w:t>
      </w:r>
      <w:r w:rsidR="002D53F6" w:rsidRPr="002D53F6">
        <w:rPr>
          <w:i/>
          <w:szCs w:val="24"/>
        </w:rPr>
        <w:t>how do strategic conditions combine</w:t>
      </w:r>
      <w:r w:rsidR="002D53F6" w:rsidRPr="002D53F6">
        <w:rPr>
          <w:i/>
          <w:szCs w:val="24"/>
          <w:lang w:val="en-US"/>
        </w:rPr>
        <w:t xml:space="preserve"> for social entrepreneurs to improve their competitive advantage through their social mission?</w:t>
      </w:r>
      <w:r w:rsidR="005E1E3E">
        <w:rPr>
          <w:i/>
          <w:szCs w:val="24"/>
          <w:lang w:val="en-US"/>
        </w:rPr>
        <w:t xml:space="preserve"> </w:t>
      </w:r>
      <w:r w:rsidR="00CF5FA6">
        <w:rPr>
          <w:rFonts w:cs="Times New Roman"/>
          <w:lang w:val="en-US"/>
        </w:rPr>
        <w:t xml:space="preserve">The </w:t>
      </w:r>
      <w:r w:rsidR="00D0188D">
        <w:rPr>
          <w:rFonts w:cs="Times New Roman"/>
          <w:lang w:val="en-US"/>
        </w:rPr>
        <w:t xml:space="preserve">results of the study shed new light into the (so far) </w:t>
      </w:r>
      <w:r w:rsidR="00D0188D" w:rsidRPr="00F505C6">
        <w:rPr>
          <w:rFonts w:cs="Times New Roman"/>
          <w:lang w:val="en-US"/>
        </w:rPr>
        <w:t>binary assumption underlying the commitment of social entrepreneurs to their social mission</w:t>
      </w:r>
      <w:r w:rsidR="00D0188D">
        <w:rPr>
          <w:rFonts w:cs="Times New Roman"/>
          <w:lang w:val="en-US"/>
        </w:rPr>
        <w:t>. By</w:t>
      </w:r>
      <w:r>
        <w:rPr>
          <w:rFonts w:cs="Times New Roman"/>
          <w:lang w:val="en-US"/>
        </w:rPr>
        <w:t xml:space="preserve"> showing how s</w:t>
      </w:r>
      <w:r w:rsidRPr="00F505C6">
        <w:rPr>
          <w:rFonts w:cs="Times New Roman"/>
          <w:lang w:val="en-US"/>
        </w:rPr>
        <w:t>ocial mission</w:t>
      </w:r>
      <w:r w:rsidR="00CF49EC">
        <w:rPr>
          <w:rFonts w:cs="Times New Roman"/>
          <w:lang w:val="en-US"/>
        </w:rPr>
        <w:t>s</w:t>
      </w:r>
      <w:r w:rsidRPr="00F505C6">
        <w:rPr>
          <w:rFonts w:cs="Times New Roman"/>
          <w:lang w:val="en-US"/>
        </w:rPr>
        <w:t xml:space="preserve"> </w:t>
      </w:r>
      <w:r>
        <w:rPr>
          <w:rFonts w:cs="Times New Roman"/>
          <w:lang w:val="en-US"/>
        </w:rPr>
        <w:t>can have a</w:t>
      </w:r>
      <w:r w:rsidRPr="00F505C6">
        <w:rPr>
          <w:rFonts w:cs="Times New Roman"/>
          <w:lang w:val="en-US"/>
        </w:rPr>
        <w:t xml:space="preserve"> clear strategic imperative for making the economic business component work</w:t>
      </w:r>
      <w:r>
        <w:rPr>
          <w:rFonts w:cs="Times New Roman"/>
          <w:lang w:val="en-US"/>
        </w:rPr>
        <w:t xml:space="preserve">, this study hopes to </w:t>
      </w:r>
      <w:r w:rsidR="00D0188D">
        <w:rPr>
          <w:rFonts w:cs="Times New Roman"/>
          <w:lang w:val="en-US"/>
        </w:rPr>
        <w:t xml:space="preserve">inspire </w:t>
      </w:r>
      <w:r>
        <w:rPr>
          <w:rFonts w:cs="Times New Roman"/>
          <w:lang w:val="en-US"/>
        </w:rPr>
        <w:t>ne</w:t>
      </w:r>
      <w:r w:rsidRPr="00D0188D">
        <w:rPr>
          <w:rFonts w:cs="Times New Roman"/>
          <w:lang w:val="en-US"/>
        </w:rPr>
        <w:t xml:space="preserve">w </w:t>
      </w:r>
      <w:r w:rsidR="00D0188D" w:rsidRPr="00D0188D">
        <w:rPr>
          <w:rFonts w:cs="Times New Roman"/>
          <w:lang w:val="en-US"/>
        </w:rPr>
        <w:t xml:space="preserve">thinking and research around the </w:t>
      </w:r>
      <w:r w:rsidR="00006D2A">
        <w:rPr>
          <w:rFonts w:cs="Times New Roman"/>
          <w:lang w:val="en-US"/>
        </w:rPr>
        <w:t xml:space="preserve">strategic </w:t>
      </w:r>
      <w:r w:rsidR="00CF49EC">
        <w:rPr>
          <w:rFonts w:cs="Times New Roman"/>
          <w:lang w:val="en-US"/>
        </w:rPr>
        <w:t>activity</w:t>
      </w:r>
      <w:r w:rsidR="00D0188D" w:rsidRPr="00D0188D">
        <w:rPr>
          <w:rFonts w:cs="Times New Roman"/>
          <w:lang w:val="en-US"/>
        </w:rPr>
        <w:t xml:space="preserve"> of social entrepreneurship</w:t>
      </w:r>
      <w:r w:rsidR="00CF49EC">
        <w:rPr>
          <w:rFonts w:cs="Times New Roman"/>
          <w:lang w:val="en-US"/>
        </w:rPr>
        <w:t xml:space="preserve">. </w:t>
      </w:r>
    </w:p>
    <w:p w14:paraId="6896FB1D" w14:textId="2F26E981" w:rsidR="00E72996" w:rsidRPr="0041041E" w:rsidRDefault="00C6517E" w:rsidP="0041041E">
      <w:pPr>
        <w:pStyle w:val="Heading1"/>
      </w:pPr>
      <w:r>
        <w:br w:type="column"/>
      </w:r>
      <w:r w:rsidR="00E72996" w:rsidRPr="00F505C6">
        <w:lastRenderedPageBreak/>
        <w:t>References</w:t>
      </w:r>
    </w:p>
    <w:p w14:paraId="2BE6F50E" w14:textId="5282DEFB"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Austin, J., Stevenson, H., &amp; Wei‐Skillern, J. (2006). Social and commercial entrepreneurship: same, different, or both?. </w:t>
      </w:r>
      <w:r w:rsidRPr="00F42EFE">
        <w:rPr>
          <w:i/>
          <w:lang w:val="en-US"/>
        </w:rPr>
        <w:t xml:space="preserve">Entrepreneurship </w:t>
      </w:r>
      <w:r w:rsidR="00A7113C">
        <w:rPr>
          <w:i/>
          <w:lang w:val="en-US"/>
        </w:rPr>
        <w:t>T</w:t>
      </w:r>
      <w:r w:rsidRPr="00F42EFE">
        <w:rPr>
          <w:i/>
          <w:lang w:val="en-US"/>
        </w:rPr>
        <w:t xml:space="preserve">heory and </w:t>
      </w:r>
      <w:r w:rsidR="00A7113C">
        <w:rPr>
          <w:i/>
          <w:lang w:val="en-US"/>
        </w:rPr>
        <w:t>P</w:t>
      </w:r>
      <w:r w:rsidRPr="00F42EFE">
        <w:rPr>
          <w:i/>
          <w:lang w:val="en-US"/>
        </w:rPr>
        <w:t>ractice</w:t>
      </w:r>
      <w:r w:rsidRPr="00F505C6">
        <w:rPr>
          <w:lang w:val="en-US"/>
        </w:rPr>
        <w:t>, 30(1), 1-22.</w:t>
      </w:r>
    </w:p>
    <w:p w14:paraId="5241A302" w14:textId="0487CBC6" w:rsidR="00963F49" w:rsidRDefault="00D47FE3" w:rsidP="0096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Battilana, J., &amp; Dorado, S. (2010). Building sustainable hybrid organizations: The case of commercial microfinance organizations. </w:t>
      </w:r>
      <w:r w:rsidRPr="00F42EFE">
        <w:rPr>
          <w:i/>
          <w:lang w:val="en-US"/>
        </w:rPr>
        <w:t xml:space="preserve">Academy of </w:t>
      </w:r>
      <w:r w:rsidR="00A7113C">
        <w:rPr>
          <w:i/>
          <w:lang w:val="en-US"/>
        </w:rPr>
        <w:t>M</w:t>
      </w:r>
      <w:r w:rsidRPr="00F42EFE">
        <w:rPr>
          <w:i/>
          <w:lang w:val="en-US"/>
        </w:rPr>
        <w:t>anagement Journal</w:t>
      </w:r>
      <w:r w:rsidRPr="00F505C6">
        <w:rPr>
          <w:lang w:val="en-US"/>
        </w:rPr>
        <w:t>, 53(6), 1419-1440.</w:t>
      </w:r>
    </w:p>
    <w:p w14:paraId="3629905D" w14:textId="097BF08F" w:rsidR="00963F49" w:rsidRDefault="00A7113C" w:rsidP="0096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t>Battilana, J. &amp; Lee, M.</w:t>
      </w:r>
      <w:r w:rsidR="00963F49">
        <w:t xml:space="preserve"> </w:t>
      </w:r>
      <w:r>
        <w:t>(</w:t>
      </w:r>
      <w:r w:rsidR="00963F49">
        <w:t>2014</w:t>
      </w:r>
      <w:r>
        <w:t>)</w:t>
      </w:r>
      <w:r w:rsidR="00963F49">
        <w:t xml:space="preserve">. Advancing Research on Hybrid Organizing – Insights from the Study of Social Enterprises. </w:t>
      </w:r>
      <w:r w:rsidR="00963F49">
        <w:rPr>
          <w:i/>
          <w:iCs/>
        </w:rPr>
        <w:t>The Academy of Management Annals</w:t>
      </w:r>
      <w:r w:rsidR="00963F49">
        <w:t>, 8(1), 397–441.</w:t>
      </w:r>
      <w:r w:rsidR="00963F49" w:rsidRPr="00F505C6">
        <w:rPr>
          <w:lang w:val="en-US"/>
        </w:rPr>
        <w:t xml:space="preserve"> </w:t>
      </w:r>
    </w:p>
    <w:p w14:paraId="2F6C619B" w14:textId="77777777" w:rsidR="00EF2970" w:rsidRDefault="00EF2970" w:rsidP="00E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EF0C96">
        <w:rPr>
          <w:lang w:val="en-US"/>
        </w:rPr>
        <w:t xml:space="preserve">Battilana, J., Sengul, M., Pache, A. C., &amp; Model, J. (2015). Harnessing productive tensions in hybrid organizations: The case of work integration social enterprises. </w:t>
      </w:r>
      <w:r w:rsidRPr="00F42EFE">
        <w:rPr>
          <w:i/>
          <w:lang w:val="en-US"/>
        </w:rPr>
        <w:t>Academy of Management Journal,</w:t>
      </w:r>
      <w:r w:rsidRPr="00EF0C96">
        <w:rPr>
          <w:lang w:val="en-US"/>
        </w:rPr>
        <w:t xml:space="preserve"> 58(6), 1658-1685.</w:t>
      </w:r>
    </w:p>
    <w:p w14:paraId="63EC8E97" w14:textId="685C4AD7" w:rsidR="001A4B75" w:rsidRDefault="001A4B75" w:rsidP="0096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1A4B75">
        <w:rPr>
          <w:lang w:val="en-US"/>
        </w:rPr>
        <w:t xml:space="preserve">Beer, H. A., &amp; Micheli, P. (2017). How performance measurement influences stakeholders in not-for-profit organizations. </w:t>
      </w:r>
      <w:r w:rsidRPr="00F42EFE">
        <w:rPr>
          <w:i/>
          <w:lang w:val="en-US"/>
        </w:rPr>
        <w:t>International Journal of Operations &amp; Production Management</w:t>
      </w:r>
      <w:r w:rsidRPr="001A4B75">
        <w:rPr>
          <w:lang w:val="en-US"/>
        </w:rPr>
        <w:t>, 37(9), 1164-1184.</w:t>
      </w:r>
    </w:p>
    <w:p w14:paraId="50F6C695" w14:textId="70F37466" w:rsidR="007726D2" w:rsidRDefault="007726D2" w:rsidP="0096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7726D2">
        <w:rPr>
          <w:lang w:val="en-US"/>
        </w:rPr>
        <w:t xml:space="preserve">Bradley, S. W., McMullen, J. S., Artz, K., &amp; Simiyu, E. M. (2012). Capital is not enough: Innovation in developing economies. </w:t>
      </w:r>
      <w:r w:rsidRPr="007726D2">
        <w:rPr>
          <w:i/>
          <w:lang w:val="en-US"/>
        </w:rPr>
        <w:t>Journal of Management Studies</w:t>
      </w:r>
      <w:r w:rsidRPr="007726D2">
        <w:rPr>
          <w:lang w:val="en-US"/>
        </w:rPr>
        <w:t>, 49(4), 684-717.</w:t>
      </w:r>
    </w:p>
    <w:p w14:paraId="6E54362C" w14:textId="739421F0"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Bridgstock, R., Lettice, F., Özbilgin, M. F., &amp; Tatli, A. (2010). Diversity management for innovation in social enterprises in the UK. </w:t>
      </w:r>
      <w:r w:rsidRPr="00F42EFE">
        <w:rPr>
          <w:i/>
          <w:lang w:val="en-US"/>
        </w:rPr>
        <w:t xml:space="preserve">Entrepreneurship and Regional Development, </w:t>
      </w:r>
      <w:r w:rsidRPr="00F505C6">
        <w:rPr>
          <w:lang w:val="en-US"/>
        </w:rPr>
        <w:t>22(6), 557-574.</w:t>
      </w:r>
    </w:p>
    <w:p w14:paraId="4647E999" w14:textId="28E98026" w:rsidR="001C6E65" w:rsidRPr="00F505C6" w:rsidRDefault="001C6E65"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Bruton, G. D., Ahlstrom, D., &amp; Obloj, K. (2008). Entrepreneurship in emerging economies: Where are we today and where should the research go in the future. </w:t>
      </w:r>
      <w:r w:rsidRPr="00F505C6">
        <w:rPr>
          <w:i/>
          <w:iCs/>
          <w:lang w:val="en-US"/>
        </w:rPr>
        <w:t xml:space="preserve">Entrepreneurship </w:t>
      </w:r>
      <w:r w:rsidR="00A7113C">
        <w:rPr>
          <w:i/>
          <w:iCs/>
          <w:lang w:val="en-US"/>
        </w:rPr>
        <w:t>T</w:t>
      </w:r>
      <w:r w:rsidRPr="00F505C6">
        <w:rPr>
          <w:i/>
          <w:iCs/>
          <w:lang w:val="en-US"/>
        </w:rPr>
        <w:t xml:space="preserve">heory and </w:t>
      </w:r>
      <w:r w:rsidR="00A7113C">
        <w:rPr>
          <w:i/>
          <w:iCs/>
          <w:lang w:val="en-US"/>
        </w:rPr>
        <w:t>P</w:t>
      </w:r>
      <w:r w:rsidRPr="00F505C6">
        <w:rPr>
          <w:i/>
          <w:iCs/>
          <w:lang w:val="en-US"/>
        </w:rPr>
        <w:t>ractice</w:t>
      </w:r>
      <w:r w:rsidRPr="00F505C6">
        <w:rPr>
          <w:lang w:val="en-US"/>
        </w:rPr>
        <w:t>, </w:t>
      </w:r>
      <w:r w:rsidRPr="00F505C6">
        <w:rPr>
          <w:i/>
          <w:iCs/>
          <w:lang w:val="en-US"/>
        </w:rPr>
        <w:t>32</w:t>
      </w:r>
      <w:r w:rsidRPr="00F505C6">
        <w:rPr>
          <w:lang w:val="en-US"/>
        </w:rPr>
        <w:t>(1), 1-14.</w:t>
      </w:r>
    </w:p>
    <w:p w14:paraId="2FAF2362"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Bruton, G. D., Filatotchev, I., Si, S., &amp; Wright, M. (2013). Entrepreneurship and strategy in emerging economies. </w:t>
      </w:r>
      <w:r w:rsidRPr="00F42EFE">
        <w:rPr>
          <w:i/>
          <w:lang w:val="en-US"/>
        </w:rPr>
        <w:t>Strategic Entrepreneurship Journal</w:t>
      </w:r>
      <w:r w:rsidRPr="00F505C6">
        <w:rPr>
          <w:lang w:val="en-US"/>
        </w:rPr>
        <w:t>, 7(3), 169-180.</w:t>
      </w:r>
    </w:p>
    <w:p w14:paraId="602DB601"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Chell, E. (2007). Social enterprise and entrepreneurship: towards a convergent theory of the entrepreneurial process. </w:t>
      </w:r>
      <w:r w:rsidRPr="00F42EFE">
        <w:rPr>
          <w:i/>
          <w:lang w:val="en-US"/>
        </w:rPr>
        <w:t>International Small Business Journal</w:t>
      </w:r>
      <w:r w:rsidRPr="00F505C6">
        <w:rPr>
          <w:lang w:val="en-US"/>
        </w:rPr>
        <w:t>, 25(1), 5-26.</w:t>
      </w:r>
    </w:p>
    <w:p w14:paraId="54AC27CB"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Copestake, J. (2007). Mainstreaming microfinance: Social performance management or mission drift? </w:t>
      </w:r>
      <w:r w:rsidRPr="00F42EFE">
        <w:rPr>
          <w:i/>
          <w:lang w:val="en-US"/>
        </w:rPr>
        <w:t>World Development</w:t>
      </w:r>
      <w:r w:rsidRPr="00F505C6">
        <w:rPr>
          <w:lang w:val="en-US"/>
        </w:rPr>
        <w:t>, 35(10), 1721-1738.</w:t>
      </w:r>
    </w:p>
    <w:p w14:paraId="11FF0064" w14:textId="02DF860F" w:rsidR="00530D23" w:rsidRPr="00F505C6" w:rsidRDefault="00530D23" w:rsidP="00530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Corner, P. D., &amp; Ho, M. (2010). How opportunities develop in social entrepreneurship. </w:t>
      </w:r>
      <w:r w:rsidRPr="00F505C6">
        <w:rPr>
          <w:i/>
          <w:iCs/>
          <w:lang w:val="en-US"/>
        </w:rPr>
        <w:t xml:space="preserve">Entrepreneurship </w:t>
      </w:r>
      <w:r w:rsidR="00A7113C">
        <w:rPr>
          <w:i/>
          <w:iCs/>
          <w:lang w:val="en-US"/>
        </w:rPr>
        <w:t>T</w:t>
      </w:r>
      <w:r w:rsidRPr="00F505C6">
        <w:rPr>
          <w:i/>
          <w:iCs/>
          <w:lang w:val="en-US"/>
        </w:rPr>
        <w:t xml:space="preserve">heory and </w:t>
      </w:r>
      <w:r w:rsidR="00A7113C">
        <w:rPr>
          <w:i/>
          <w:iCs/>
          <w:lang w:val="en-US"/>
        </w:rPr>
        <w:t>P</w:t>
      </w:r>
      <w:r w:rsidRPr="00F505C6">
        <w:rPr>
          <w:i/>
          <w:iCs/>
          <w:lang w:val="en-US"/>
        </w:rPr>
        <w:t>ractice</w:t>
      </w:r>
      <w:r w:rsidRPr="00F505C6">
        <w:rPr>
          <w:lang w:val="en-US"/>
        </w:rPr>
        <w:t>, </w:t>
      </w:r>
      <w:r w:rsidRPr="00F505C6">
        <w:rPr>
          <w:i/>
          <w:iCs/>
          <w:lang w:val="en-US"/>
        </w:rPr>
        <w:t>34</w:t>
      </w:r>
      <w:r w:rsidRPr="00F505C6">
        <w:rPr>
          <w:lang w:val="en-US"/>
        </w:rPr>
        <w:t>(4), 635-659.</w:t>
      </w:r>
    </w:p>
    <w:p w14:paraId="6B7F7202"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Cornforth, C. (2014). Understanding and combating mission drift in social enterprises. </w:t>
      </w:r>
      <w:r w:rsidRPr="00F42EFE">
        <w:rPr>
          <w:i/>
          <w:lang w:val="en-US"/>
        </w:rPr>
        <w:t>Social Enterprise Journal</w:t>
      </w:r>
      <w:r w:rsidRPr="00F505C6">
        <w:rPr>
          <w:lang w:val="en-US"/>
        </w:rPr>
        <w:t>, 10(1), 3-20.</w:t>
      </w:r>
    </w:p>
    <w:p w14:paraId="2D694B9D" w14:textId="51070FC9" w:rsidR="00B73D5A" w:rsidRPr="00F505C6" w:rsidRDefault="00B73D5A"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Dacin, P.A., Dacin, M.T. and Matear, M. (2010). Social entrepreneurship: why we don’t need </w:t>
      </w:r>
      <w:r w:rsidRPr="00F505C6">
        <w:rPr>
          <w:lang w:val="en-US"/>
        </w:rPr>
        <w:lastRenderedPageBreak/>
        <w:t xml:space="preserve">a new theory and how we move forward from here. </w:t>
      </w:r>
      <w:r w:rsidRPr="00F42EFE">
        <w:rPr>
          <w:i/>
          <w:lang w:val="en-US"/>
        </w:rPr>
        <w:t>Academy of Management Perspectives,</w:t>
      </w:r>
      <w:r w:rsidRPr="00F505C6">
        <w:rPr>
          <w:lang w:val="en-US"/>
        </w:rPr>
        <w:t xml:space="preserve"> 24, pp. 37–57.</w:t>
      </w:r>
    </w:p>
    <w:p w14:paraId="70268CA4"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Doherty, B., Haugh, H., &amp; Lyon, F. (2014). Social enterprises as hybrid organizations: A review and research agenda. </w:t>
      </w:r>
      <w:r w:rsidRPr="00F42EFE">
        <w:rPr>
          <w:i/>
          <w:lang w:val="en-US"/>
        </w:rPr>
        <w:t>International Journal of Management Reviews</w:t>
      </w:r>
      <w:r w:rsidRPr="00F505C6">
        <w:rPr>
          <w:lang w:val="en-US"/>
        </w:rPr>
        <w:t>, 16(4), 417-436.</w:t>
      </w:r>
    </w:p>
    <w:p w14:paraId="46214331" w14:textId="77777777" w:rsidR="00D72B7F" w:rsidRDefault="00D47FE3" w:rsidP="00D7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Ebrahim, A., Battilana, J., &amp; Mair, J. (2014). The governance of social enterprises: Mission drift and accountability challenges in hybrid organizations. </w:t>
      </w:r>
      <w:r w:rsidRPr="00F42EFE">
        <w:rPr>
          <w:i/>
          <w:lang w:val="en-US"/>
        </w:rPr>
        <w:t>Research in Organizational Behavior</w:t>
      </w:r>
      <w:r w:rsidRPr="00F505C6">
        <w:rPr>
          <w:lang w:val="en-US"/>
        </w:rPr>
        <w:t>, 34, 81-100.</w:t>
      </w:r>
    </w:p>
    <w:p w14:paraId="433044C3" w14:textId="2D0EEAC2" w:rsidR="00D72B7F" w:rsidRPr="00D72B7F" w:rsidRDefault="00D72B7F" w:rsidP="00D72B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D72B7F">
        <w:rPr>
          <w:rFonts w:cs="Times New Roman"/>
        </w:rPr>
        <w:t xml:space="preserve">Estrin, S., Mickiewicz, T. &amp; Stephan, U., </w:t>
      </w:r>
      <w:r w:rsidR="00A7113C">
        <w:rPr>
          <w:rFonts w:cs="Times New Roman"/>
        </w:rPr>
        <w:t>(</w:t>
      </w:r>
      <w:r w:rsidRPr="00D72B7F">
        <w:rPr>
          <w:rFonts w:cs="Times New Roman"/>
        </w:rPr>
        <w:t>2016</w:t>
      </w:r>
      <w:r w:rsidR="00A7113C">
        <w:rPr>
          <w:rFonts w:cs="Times New Roman"/>
        </w:rPr>
        <w:t>)</w:t>
      </w:r>
      <w:r w:rsidRPr="00D72B7F">
        <w:rPr>
          <w:rFonts w:cs="Times New Roman"/>
        </w:rPr>
        <w:t xml:space="preserve">. Human capital in social and commercial entrepreneurship. </w:t>
      </w:r>
      <w:r w:rsidRPr="00D72B7F">
        <w:rPr>
          <w:rFonts w:cs="Times New Roman"/>
          <w:i/>
          <w:iCs/>
        </w:rPr>
        <w:t>Journal of Business Venturing</w:t>
      </w:r>
      <w:r>
        <w:rPr>
          <w:rFonts w:cs="Times New Roman"/>
        </w:rPr>
        <w:t xml:space="preserve">, 31(4), </w:t>
      </w:r>
      <w:r w:rsidRPr="00D72B7F">
        <w:rPr>
          <w:rFonts w:cs="Times New Roman"/>
        </w:rPr>
        <w:t>449–467.</w:t>
      </w:r>
    </w:p>
    <w:p w14:paraId="33E9976C" w14:textId="4533F1C3" w:rsidR="008B53D7" w:rsidRDefault="008B53D7"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Fiss, P. C. (2011). Building better causal theories: A fuzzy set approach to typologies in organization research. </w:t>
      </w:r>
      <w:r w:rsidRPr="00F505C6">
        <w:rPr>
          <w:i/>
          <w:iCs/>
          <w:lang w:val="en-US"/>
        </w:rPr>
        <w:t>Academy of Management Journal</w:t>
      </w:r>
      <w:r w:rsidRPr="00F505C6">
        <w:rPr>
          <w:lang w:val="en-US"/>
        </w:rPr>
        <w:t>, </w:t>
      </w:r>
      <w:r w:rsidRPr="00F505C6">
        <w:rPr>
          <w:i/>
          <w:iCs/>
          <w:lang w:val="en-US"/>
        </w:rPr>
        <w:t>54</w:t>
      </w:r>
      <w:r w:rsidRPr="00F505C6">
        <w:rPr>
          <w:lang w:val="en-US"/>
        </w:rPr>
        <w:t>(2), 393-420.</w:t>
      </w:r>
    </w:p>
    <w:p w14:paraId="071B2F12" w14:textId="3A26783F" w:rsidR="00170986" w:rsidRPr="00F505C6" w:rsidRDefault="00170986"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170986">
        <w:t>Fligstein, N., &amp; Dauter, L. (2007). The sociology of markets. </w:t>
      </w:r>
      <w:r w:rsidRPr="00170986">
        <w:rPr>
          <w:i/>
          <w:iCs/>
        </w:rPr>
        <w:t>Annu. Rev. Sociol.</w:t>
      </w:r>
      <w:r w:rsidRPr="00170986">
        <w:t>, </w:t>
      </w:r>
      <w:r w:rsidRPr="00170986">
        <w:rPr>
          <w:i/>
          <w:iCs/>
        </w:rPr>
        <w:t>33</w:t>
      </w:r>
      <w:r w:rsidRPr="00170986">
        <w:t>, 105-128.</w:t>
      </w:r>
    </w:p>
    <w:p w14:paraId="36BAC3E6" w14:textId="77777777" w:rsidR="00963F49" w:rsidRDefault="00D47FE3" w:rsidP="0096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Florin, J., &amp; Schmidt, E. (2011). Creating shared value in the hybrid venture arena: A business model innovation perspective. </w:t>
      </w:r>
      <w:r w:rsidRPr="00F42EFE">
        <w:rPr>
          <w:i/>
          <w:lang w:val="en-US"/>
        </w:rPr>
        <w:t>Journal of Social Entrepreneurship</w:t>
      </w:r>
      <w:r w:rsidRPr="00F505C6">
        <w:rPr>
          <w:lang w:val="en-US"/>
        </w:rPr>
        <w:t>, 2(2), 165-197.</w:t>
      </w:r>
    </w:p>
    <w:p w14:paraId="3AC181F1" w14:textId="77777777" w:rsidR="00665971" w:rsidRDefault="00665971" w:rsidP="00EF0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szCs w:val="24"/>
        </w:rPr>
      </w:pPr>
      <w:r w:rsidRPr="00665971">
        <w:rPr>
          <w:rFonts w:cs="Times New Roman"/>
          <w:szCs w:val="24"/>
        </w:rPr>
        <w:t>Haigh, N., Walker, J., Bacq, S., &amp; Kickul, J. (2015). Hybrid organizations: origins, strategies, impacts, and implications. </w:t>
      </w:r>
      <w:r w:rsidRPr="00665971">
        <w:rPr>
          <w:rFonts w:cs="Times New Roman"/>
          <w:i/>
          <w:iCs/>
          <w:szCs w:val="24"/>
        </w:rPr>
        <w:t>California Management Review</w:t>
      </w:r>
      <w:r w:rsidRPr="00665971">
        <w:rPr>
          <w:rFonts w:cs="Times New Roman"/>
          <w:szCs w:val="24"/>
        </w:rPr>
        <w:t>, </w:t>
      </w:r>
      <w:r w:rsidRPr="00665971">
        <w:rPr>
          <w:rFonts w:cs="Times New Roman"/>
          <w:i/>
          <w:iCs/>
          <w:szCs w:val="24"/>
        </w:rPr>
        <w:t>57</w:t>
      </w:r>
      <w:r w:rsidRPr="00665971">
        <w:rPr>
          <w:rFonts w:cs="Times New Roman"/>
          <w:szCs w:val="24"/>
        </w:rPr>
        <w:t>(3), 5-12.</w:t>
      </w:r>
    </w:p>
    <w:p w14:paraId="3F8CE827" w14:textId="479F00E1" w:rsidR="008A6A6E" w:rsidRDefault="008A6A6E" w:rsidP="00EF0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szCs w:val="24"/>
        </w:rPr>
      </w:pPr>
      <w:r w:rsidRPr="008A6A6E">
        <w:rPr>
          <w:rFonts w:cs="Times New Roman"/>
          <w:szCs w:val="24"/>
        </w:rPr>
        <w:t>Hockerts, K. (2017). Determinants of social entrepreneurial intentions. </w:t>
      </w:r>
      <w:r w:rsidRPr="008A6A6E">
        <w:rPr>
          <w:rFonts w:cs="Times New Roman"/>
          <w:i/>
          <w:iCs/>
          <w:szCs w:val="24"/>
        </w:rPr>
        <w:t>Entrepreneurship Theory and Practice</w:t>
      </w:r>
      <w:r w:rsidRPr="008A6A6E">
        <w:rPr>
          <w:rFonts w:cs="Times New Roman"/>
          <w:szCs w:val="24"/>
        </w:rPr>
        <w:t>, </w:t>
      </w:r>
      <w:r w:rsidRPr="008A6A6E">
        <w:rPr>
          <w:rFonts w:cs="Times New Roman"/>
          <w:i/>
          <w:iCs/>
          <w:szCs w:val="24"/>
        </w:rPr>
        <w:t>41</w:t>
      </w:r>
      <w:r w:rsidRPr="008A6A6E">
        <w:rPr>
          <w:rFonts w:cs="Times New Roman"/>
          <w:szCs w:val="24"/>
        </w:rPr>
        <w:t>(1), 105-130.</w:t>
      </w:r>
    </w:p>
    <w:p w14:paraId="01BB7803" w14:textId="77777777" w:rsidR="0027740B" w:rsidRPr="00963F49"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lang w:val="en-US"/>
        </w:rPr>
      </w:pPr>
      <w:r w:rsidRPr="00EF0C96">
        <w:rPr>
          <w:rFonts w:cs="Times New Roman"/>
          <w:lang w:val="en-US"/>
        </w:rPr>
        <w:t xml:space="preserve">Kedmenec, I., &amp; Strašek, S. (2017). Are some cultures more favourable for social entrepreneurship than others?. </w:t>
      </w:r>
      <w:r w:rsidRPr="00EF0C96">
        <w:rPr>
          <w:rFonts w:cs="Times New Roman"/>
          <w:i/>
          <w:lang w:val="en-US"/>
        </w:rPr>
        <w:t>Economic Research</w:t>
      </w:r>
      <w:r w:rsidRPr="00EF0C96">
        <w:rPr>
          <w:rFonts w:cs="Times New Roman"/>
          <w:lang w:val="en-US"/>
        </w:rPr>
        <w:t>, 30(1), 1461-1476.</w:t>
      </w:r>
    </w:p>
    <w:p w14:paraId="0EA48ADC" w14:textId="653D8AF7" w:rsidR="00EE34C9" w:rsidRDefault="00D47FE3" w:rsidP="00EE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Khavul, S., Chavez, H., &amp; Bruton, G. D. (2013). When institutional change outruns the change agent: The contested terrain of entrepreneurial microfinance for those in poverty. </w:t>
      </w:r>
      <w:r w:rsidRPr="00F42EFE">
        <w:rPr>
          <w:i/>
          <w:lang w:val="en-US"/>
        </w:rPr>
        <w:t>Journal of Business Venturing</w:t>
      </w:r>
      <w:r w:rsidRPr="00F505C6">
        <w:rPr>
          <w:lang w:val="en-US"/>
        </w:rPr>
        <w:t>, 28(1), 30-50.</w:t>
      </w:r>
    </w:p>
    <w:p w14:paraId="76E2064D" w14:textId="77777777" w:rsidR="0027740B"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554430">
        <w:t>Kimmitt, J., &amp; Muñoz, P.</w:t>
      </w:r>
      <w:r>
        <w:t xml:space="preserve"> (2018)</w:t>
      </w:r>
      <w:r w:rsidRPr="00554430">
        <w:t xml:space="preserve"> Sensemaking the ‘social’ in social entrepreneurship. </w:t>
      </w:r>
      <w:r w:rsidRPr="00554430">
        <w:rPr>
          <w:i/>
          <w:iCs/>
        </w:rPr>
        <w:t xml:space="preserve">International Small Business Journal, </w:t>
      </w:r>
      <w:r w:rsidRPr="00554430">
        <w:t>doi:10.1177/0266242618789230</w:t>
      </w:r>
    </w:p>
    <w:p w14:paraId="0246ACBA" w14:textId="441CA068" w:rsidR="007F67C9" w:rsidRDefault="007F67C9" w:rsidP="007F6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Pr>
          <w:lang w:val="en-US"/>
        </w:rPr>
        <w:t xml:space="preserve">Kimmitt, J. &amp; Muñoz, P. (2017). Entrepreneurship and financial inclusion through the lens of instrumental freedoms. </w:t>
      </w:r>
      <w:r>
        <w:rPr>
          <w:i/>
          <w:iCs/>
          <w:lang w:val="en-US"/>
        </w:rPr>
        <w:t>International Small Business Journal</w:t>
      </w:r>
      <w:r>
        <w:rPr>
          <w:lang w:val="en-US"/>
        </w:rPr>
        <w:t>, 35(7), 803–828.</w:t>
      </w:r>
    </w:p>
    <w:p w14:paraId="02EA024B" w14:textId="6DE55E4C" w:rsidR="00EE34C9" w:rsidRDefault="00A7113C" w:rsidP="00EE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rPr>
      </w:pPr>
      <w:r>
        <w:rPr>
          <w:rFonts w:cs="Times New Roman"/>
        </w:rPr>
        <w:t>Kuckertz, A. &amp; Wagner, M.</w:t>
      </w:r>
      <w:r w:rsidR="00EE34C9" w:rsidRPr="00EE34C9">
        <w:rPr>
          <w:rFonts w:cs="Times New Roman"/>
        </w:rPr>
        <w:t xml:space="preserve"> </w:t>
      </w:r>
      <w:r w:rsidR="00EE34C9">
        <w:rPr>
          <w:rFonts w:cs="Times New Roman"/>
        </w:rPr>
        <w:t>(</w:t>
      </w:r>
      <w:r w:rsidR="00EE34C9" w:rsidRPr="00EE34C9">
        <w:rPr>
          <w:rFonts w:cs="Times New Roman"/>
        </w:rPr>
        <w:t>2010</w:t>
      </w:r>
      <w:r w:rsidR="00EE34C9">
        <w:rPr>
          <w:rFonts w:cs="Times New Roman"/>
        </w:rPr>
        <w:t>)</w:t>
      </w:r>
      <w:r w:rsidR="00EE34C9" w:rsidRPr="00EE34C9">
        <w:rPr>
          <w:rFonts w:cs="Times New Roman"/>
        </w:rPr>
        <w:t xml:space="preserve">. The influence of sustainability orientation on entrepreneurial intentions — Investigating the role of business experience. </w:t>
      </w:r>
      <w:r w:rsidR="00EE34C9" w:rsidRPr="00EE34C9">
        <w:rPr>
          <w:rFonts w:cs="Times New Roman"/>
          <w:i/>
          <w:iCs/>
        </w:rPr>
        <w:t>Journal of Business Venturing</w:t>
      </w:r>
      <w:r w:rsidR="00EE34C9">
        <w:rPr>
          <w:rFonts w:cs="Times New Roman"/>
        </w:rPr>
        <w:t xml:space="preserve">, 25(5), </w:t>
      </w:r>
      <w:r w:rsidR="00EE34C9" w:rsidRPr="00EE34C9">
        <w:rPr>
          <w:rFonts w:cs="Times New Roman"/>
        </w:rPr>
        <w:t>524–539.</w:t>
      </w:r>
    </w:p>
    <w:p w14:paraId="4BA36A6B" w14:textId="77777777" w:rsidR="0027740B" w:rsidRPr="0027740B"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lang w:val="en-US"/>
        </w:rPr>
      </w:pPr>
      <w:r w:rsidRPr="0027740B">
        <w:rPr>
          <w:rFonts w:cs="Times New Roman"/>
          <w:lang w:val="en-US"/>
        </w:rPr>
        <w:t xml:space="preserve">Lepoutre, J., Justo, R., Terjesen, S., &amp; Bosma, N. (2013). Designing a global standardized methodology for measuring social entrepreneurship activity: the Global Entrepreneurship Monitor social entrepreneurship study. </w:t>
      </w:r>
      <w:r w:rsidRPr="0027740B">
        <w:rPr>
          <w:rFonts w:cs="Times New Roman"/>
          <w:i/>
          <w:lang w:val="en-US"/>
        </w:rPr>
        <w:t>Small Business Economics</w:t>
      </w:r>
      <w:r w:rsidRPr="0027740B">
        <w:rPr>
          <w:rFonts w:cs="Times New Roman"/>
          <w:lang w:val="en-US"/>
        </w:rPr>
        <w:t>, 40(3), 693-714.</w:t>
      </w:r>
    </w:p>
    <w:p w14:paraId="135F8924" w14:textId="77777777" w:rsidR="0027740B" w:rsidRDefault="0027740B" w:rsidP="00EE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rPr>
      </w:pPr>
    </w:p>
    <w:p w14:paraId="49278EE5" w14:textId="2C0EA874" w:rsidR="00554430" w:rsidRPr="00EE34C9" w:rsidRDefault="00554430" w:rsidP="00EE3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554430">
        <w:t>Mersland, R., &amp; Strøm, R. Ø. (2010). Microfinance mission drift?. </w:t>
      </w:r>
      <w:r w:rsidRPr="00554430">
        <w:rPr>
          <w:i/>
          <w:iCs/>
        </w:rPr>
        <w:t>World Development</w:t>
      </w:r>
      <w:r w:rsidRPr="00554430">
        <w:t>, </w:t>
      </w:r>
      <w:r w:rsidRPr="00554430">
        <w:rPr>
          <w:i/>
          <w:iCs/>
        </w:rPr>
        <w:t>38</w:t>
      </w:r>
      <w:r w:rsidRPr="00554430">
        <w:t>(1), 28-36.</w:t>
      </w:r>
    </w:p>
    <w:p w14:paraId="65D80132"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Miller, T. L., Wesley, I. I., &amp; Curtis, L. (2010). Assessing mission and resources for social change: An organizational identity perspective on social venture capitalists' decision criteria. </w:t>
      </w:r>
      <w:r w:rsidRPr="00F42EFE">
        <w:rPr>
          <w:i/>
          <w:lang w:val="en-US"/>
        </w:rPr>
        <w:t>Entrepreneurship Theory and Practice,</w:t>
      </w:r>
      <w:r w:rsidRPr="00F505C6">
        <w:rPr>
          <w:lang w:val="en-US"/>
        </w:rPr>
        <w:t xml:space="preserve"> 34(4), 705-733.</w:t>
      </w:r>
    </w:p>
    <w:p w14:paraId="3658A0E8" w14:textId="6E2D54D7" w:rsidR="00FB5464" w:rsidRPr="00F505C6" w:rsidRDefault="00FB5464"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Miller, T. L., Grimes, M. G., McMullen, J. S., &amp; Vogus, T. J. (2012). Venturing for others with heart and head: How compassion encourages social entrepreneurship. </w:t>
      </w:r>
      <w:r w:rsidRPr="00F505C6">
        <w:rPr>
          <w:i/>
          <w:iCs/>
          <w:lang w:val="en-US"/>
        </w:rPr>
        <w:t xml:space="preserve">Academy of </w:t>
      </w:r>
      <w:r w:rsidR="00A7113C">
        <w:rPr>
          <w:i/>
          <w:iCs/>
          <w:lang w:val="en-US"/>
        </w:rPr>
        <w:t>Management R</w:t>
      </w:r>
      <w:r w:rsidRPr="00F505C6">
        <w:rPr>
          <w:i/>
          <w:iCs/>
          <w:lang w:val="en-US"/>
        </w:rPr>
        <w:t>eview</w:t>
      </w:r>
      <w:r w:rsidRPr="00F505C6">
        <w:rPr>
          <w:lang w:val="en-US"/>
        </w:rPr>
        <w:t>, </w:t>
      </w:r>
      <w:r w:rsidRPr="00F505C6">
        <w:rPr>
          <w:i/>
          <w:iCs/>
          <w:lang w:val="en-US"/>
        </w:rPr>
        <w:t>37</w:t>
      </w:r>
      <w:r w:rsidRPr="00F505C6">
        <w:rPr>
          <w:lang w:val="en-US"/>
        </w:rPr>
        <w:t>(4), 616-640.</w:t>
      </w:r>
    </w:p>
    <w:p w14:paraId="2AB2CC3C" w14:textId="792EDC07" w:rsidR="00D47FE3"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Moss, T. W., Short, J. C., Payne, G. T., &amp; Lumpkin, G. T. (2011). Dual identities in social ventures: An exploratory study. </w:t>
      </w:r>
      <w:r w:rsidRPr="00F42EFE">
        <w:rPr>
          <w:i/>
          <w:lang w:val="en-US"/>
        </w:rPr>
        <w:t xml:space="preserve">Entrepreneurship </w:t>
      </w:r>
      <w:r w:rsidR="00A7113C">
        <w:rPr>
          <w:i/>
          <w:lang w:val="en-US"/>
        </w:rPr>
        <w:t>T</w:t>
      </w:r>
      <w:r w:rsidRPr="00F42EFE">
        <w:rPr>
          <w:i/>
          <w:lang w:val="en-US"/>
        </w:rPr>
        <w:t xml:space="preserve">heory and </w:t>
      </w:r>
      <w:r w:rsidR="00A7113C">
        <w:rPr>
          <w:i/>
          <w:lang w:val="en-US"/>
        </w:rPr>
        <w:t>P</w:t>
      </w:r>
      <w:r w:rsidRPr="00F42EFE">
        <w:rPr>
          <w:i/>
          <w:lang w:val="en-US"/>
        </w:rPr>
        <w:t>ractice,</w:t>
      </w:r>
      <w:r w:rsidRPr="00F505C6">
        <w:rPr>
          <w:lang w:val="en-US"/>
        </w:rPr>
        <w:t xml:space="preserve"> 35(4), 805-830.</w:t>
      </w:r>
    </w:p>
    <w:p w14:paraId="32A54158" w14:textId="30709BB2" w:rsidR="009629CB" w:rsidRPr="00F505C6" w:rsidRDefault="009629CB"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9629CB">
        <w:t>Muñoz, P. (2018). A cognitive map of sustainable decision-making in entrepreneurship: A configurational approach. </w:t>
      </w:r>
      <w:r w:rsidRPr="009629CB">
        <w:rPr>
          <w:i/>
          <w:iCs/>
        </w:rPr>
        <w:t>International Journal of Entrepreneurial Behavior &amp; Research</w:t>
      </w:r>
      <w:r w:rsidRPr="009629CB">
        <w:t>, </w:t>
      </w:r>
      <w:r w:rsidRPr="009629CB">
        <w:rPr>
          <w:i/>
          <w:iCs/>
        </w:rPr>
        <w:t>24</w:t>
      </w:r>
      <w:r w:rsidRPr="009629CB">
        <w:t>(3), 787-813.</w:t>
      </w:r>
    </w:p>
    <w:p w14:paraId="37129966" w14:textId="63DF99C1" w:rsidR="008B53D7" w:rsidRPr="00F505C6" w:rsidRDefault="008B53D7"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Muñoz, P., &amp; Dimov, D. (2015). The call of the whole in understanding the development of sustainable ventures. </w:t>
      </w:r>
      <w:r w:rsidRPr="00F505C6">
        <w:rPr>
          <w:i/>
          <w:iCs/>
          <w:lang w:val="en-US"/>
        </w:rPr>
        <w:t>Journal of Business Venturing</w:t>
      </w:r>
      <w:r w:rsidRPr="00F505C6">
        <w:rPr>
          <w:lang w:val="en-US"/>
        </w:rPr>
        <w:t>, </w:t>
      </w:r>
      <w:r w:rsidRPr="00F505C6">
        <w:rPr>
          <w:i/>
          <w:iCs/>
          <w:lang w:val="en-US"/>
        </w:rPr>
        <w:t>30</w:t>
      </w:r>
      <w:r w:rsidRPr="00F505C6">
        <w:rPr>
          <w:lang w:val="en-US"/>
        </w:rPr>
        <w:t>(4), 632-654.</w:t>
      </w:r>
    </w:p>
    <w:p w14:paraId="5D3B9E53" w14:textId="2209E672" w:rsidR="00B1765B" w:rsidRPr="00F505C6" w:rsidRDefault="00B1765B"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szCs w:val="24"/>
          <w:lang w:val="en-US"/>
        </w:rPr>
      </w:pPr>
      <w:r w:rsidRPr="00F505C6">
        <w:rPr>
          <w:rFonts w:cs="Times New Roman"/>
          <w:szCs w:val="24"/>
          <w:lang w:val="en-US"/>
        </w:rPr>
        <w:t xml:space="preserve">Muñoz, P. &amp; Kibler, E. (2016). Institutional complexity and social entrepreneurship: A fuzzy-set approach. </w:t>
      </w:r>
      <w:r w:rsidRPr="00F505C6">
        <w:rPr>
          <w:rFonts w:cs="Times New Roman"/>
          <w:i/>
          <w:iCs/>
          <w:szCs w:val="24"/>
          <w:lang w:val="en-US"/>
        </w:rPr>
        <w:t>Journal of Business Research</w:t>
      </w:r>
      <w:r w:rsidRPr="00F505C6">
        <w:rPr>
          <w:rFonts w:cs="Times New Roman"/>
          <w:szCs w:val="24"/>
          <w:lang w:val="en-US"/>
        </w:rPr>
        <w:t>, 69(4), 1314–1318.</w:t>
      </w:r>
    </w:p>
    <w:p w14:paraId="2851D0F2" w14:textId="3A019883" w:rsidR="00D47FE3"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Nicholls, A. (2010). The legitimacy of social entrepreneurship: reflexive isomorphism in a pre‐paradigmatic field. </w:t>
      </w:r>
      <w:r w:rsidRPr="00F42EFE">
        <w:rPr>
          <w:i/>
          <w:lang w:val="en-US"/>
        </w:rPr>
        <w:t xml:space="preserve">Entrepreneurship </w:t>
      </w:r>
      <w:r w:rsidR="00A7113C">
        <w:rPr>
          <w:i/>
          <w:lang w:val="en-US"/>
        </w:rPr>
        <w:t>T</w:t>
      </w:r>
      <w:r w:rsidRPr="00F42EFE">
        <w:rPr>
          <w:i/>
          <w:lang w:val="en-US"/>
        </w:rPr>
        <w:t xml:space="preserve">heory and </w:t>
      </w:r>
      <w:r w:rsidR="00A7113C">
        <w:rPr>
          <w:i/>
          <w:lang w:val="en-US"/>
        </w:rPr>
        <w:t>P</w:t>
      </w:r>
      <w:r w:rsidRPr="00F42EFE">
        <w:rPr>
          <w:i/>
          <w:lang w:val="en-US"/>
        </w:rPr>
        <w:t>ractice</w:t>
      </w:r>
      <w:r w:rsidRPr="00F505C6">
        <w:rPr>
          <w:lang w:val="en-US"/>
        </w:rPr>
        <w:t>, 34(4), 611-633.</w:t>
      </w:r>
    </w:p>
    <w:p w14:paraId="68B58EF4" w14:textId="77777777" w:rsidR="00EF2970" w:rsidRPr="00F505C6" w:rsidRDefault="00EF2970" w:rsidP="00EF2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EF0C96">
        <w:rPr>
          <w:lang w:val="en-US"/>
        </w:rPr>
        <w:t>Olugbola, S.A</w:t>
      </w:r>
      <w:r>
        <w:rPr>
          <w:lang w:val="en-US"/>
        </w:rPr>
        <w:t>.</w:t>
      </w:r>
      <w:r w:rsidRPr="00EF0C96">
        <w:rPr>
          <w:lang w:val="en-US"/>
        </w:rPr>
        <w:t xml:space="preserve"> (2017). Exploring entrepreneurial readiness of youth and startup success components: Entrepreneurship training as a moderator. </w:t>
      </w:r>
      <w:r w:rsidRPr="00F42EFE">
        <w:rPr>
          <w:i/>
          <w:lang w:val="en-US"/>
        </w:rPr>
        <w:t>Journal of Innovation and Knowledge</w:t>
      </w:r>
      <w:r w:rsidRPr="00EF0C96">
        <w:rPr>
          <w:lang w:val="en-US"/>
        </w:rPr>
        <w:t>, 2(3), 155-171.</w:t>
      </w:r>
    </w:p>
    <w:p w14:paraId="65C9A1C3" w14:textId="5C6639D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Pache, A. C., &amp; Santos, F. (2010). When worlds collide: The internal dynamics of organizational responses to conflicting institutional demands. </w:t>
      </w:r>
      <w:r w:rsidRPr="00F42EFE">
        <w:rPr>
          <w:i/>
          <w:lang w:val="en-US"/>
        </w:rPr>
        <w:t xml:space="preserve">Academy of </w:t>
      </w:r>
      <w:r w:rsidR="00A7113C">
        <w:rPr>
          <w:i/>
          <w:lang w:val="en-US"/>
        </w:rPr>
        <w:t>M</w:t>
      </w:r>
      <w:r w:rsidRPr="00F42EFE">
        <w:rPr>
          <w:i/>
          <w:lang w:val="en-US"/>
        </w:rPr>
        <w:t xml:space="preserve">anagement </w:t>
      </w:r>
      <w:r w:rsidR="00A7113C">
        <w:rPr>
          <w:i/>
          <w:lang w:val="en-US"/>
        </w:rPr>
        <w:t>R</w:t>
      </w:r>
      <w:r w:rsidRPr="00F42EFE">
        <w:rPr>
          <w:i/>
          <w:lang w:val="en-US"/>
        </w:rPr>
        <w:t>eview</w:t>
      </w:r>
      <w:r w:rsidRPr="00F505C6">
        <w:rPr>
          <w:lang w:val="en-US"/>
        </w:rPr>
        <w:t>, 35(3), 455-476.</w:t>
      </w:r>
    </w:p>
    <w:p w14:paraId="1D63F6E5" w14:textId="03C6B172" w:rsidR="007F67C9"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Peredo, A. M., &amp; McLean, M. (2006). Social entrepreneurship: A critical review of the concept. </w:t>
      </w:r>
      <w:r w:rsidRPr="00F42EFE">
        <w:rPr>
          <w:i/>
          <w:lang w:val="en-US"/>
        </w:rPr>
        <w:t xml:space="preserve">Journal of </w:t>
      </w:r>
      <w:r w:rsidR="00A7113C">
        <w:rPr>
          <w:i/>
          <w:lang w:val="en-US"/>
        </w:rPr>
        <w:t>W</w:t>
      </w:r>
      <w:r w:rsidRPr="00F42EFE">
        <w:rPr>
          <w:i/>
          <w:lang w:val="en-US"/>
        </w:rPr>
        <w:t xml:space="preserve">orld </w:t>
      </w:r>
      <w:r w:rsidR="00A7113C">
        <w:rPr>
          <w:i/>
          <w:lang w:val="en-US"/>
        </w:rPr>
        <w:t>B</w:t>
      </w:r>
      <w:r w:rsidRPr="00F42EFE">
        <w:rPr>
          <w:i/>
          <w:lang w:val="en-US"/>
        </w:rPr>
        <w:t>usiness,</w:t>
      </w:r>
      <w:r w:rsidRPr="00F505C6">
        <w:rPr>
          <w:lang w:val="en-US"/>
        </w:rPr>
        <w:t xml:space="preserve"> 41(1), 56-65.</w:t>
      </w:r>
    </w:p>
    <w:p w14:paraId="6BB86E14" w14:textId="04C1CCE7" w:rsidR="007F67C9" w:rsidRPr="007F67C9" w:rsidRDefault="007F67C9" w:rsidP="00F42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eastAsia="Times New Roman" w:cs="Times New Roman"/>
          <w:szCs w:val="24"/>
        </w:rPr>
      </w:pPr>
      <w:r w:rsidRPr="00F42EFE">
        <w:rPr>
          <w:rFonts w:eastAsia="Times New Roman" w:cs="Times New Roman"/>
          <w:color w:val="000000"/>
          <w:szCs w:val="24"/>
        </w:rPr>
        <w:t xml:space="preserve">Ragin, C. </w:t>
      </w:r>
      <w:r>
        <w:rPr>
          <w:rFonts w:eastAsia="Times New Roman" w:cs="Times New Roman"/>
          <w:color w:val="000000"/>
          <w:szCs w:val="24"/>
        </w:rPr>
        <w:t>&amp;</w:t>
      </w:r>
      <w:r w:rsidRPr="00F42EFE">
        <w:rPr>
          <w:rFonts w:eastAsia="Times New Roman" w:cs="Times New Roman"/>
          <w:color w:val="000000"/>
          <w:szCs w:val="24"/>
        </w:rPr>
        <w:t xml:space="preserve"> Davey</w:t>
      </w:r>
      <w:r>
        <w:rPr>
          <w:rFonts w:eastAsia="Times New Roman" w:cs="Times New Roman"/>
          <w:color w:val="000000"/>
          <w:szCs w:val="24"/>
        </w:rPr>
        <w:t>, S.</w:t>
      </w:r>
      <w:r w:rsidRPr="00F42EFE">
        <w:rPr>
          <w:rFonts w:eastAsia="Times New Roman" w:cs="Times New Roman"/>
          <w:color w:val="000000"/>
          <w:szCs w:val="24"/>
        </w:rPr>
        <w:t xml:space="preserve"> </w:t>
      </w:r>
      <w:r>
        <w:rPr>
          <w:rFonts w:eastAsia="Times New Roman" w:cs="Times New Roman"/>
          <w:color w:val="000000"/>
          <w:szCs w:val="24"/>
        </w:rPr>
        <w:t>(</w:t>
      </w:r>
      <w:r w:rsidRPr="00F42EFE">
        <w:rPr>
          <w:rFonts w:eastAsia="Times New Roman" w:cs="Times New Roman"/>
          <w:color w:val="000000"/>
          <w:szCs w:val="24"/>
        </w:rPr>
        <w:t>2016</w:t>
      </w:r>
      <w:r>
        <w:rPr>
          <w:rFonts w:eastAsia="Times New Roman" w:cs="Times New Roman"/>
          <w:color w:val="000000"/>
          <w:szCs w:val="24"/>
        </w:rPr>
        <w:t>)</w:t>
      </w:r>
      <w:r w:rsidRPr="00F42EFE">
        <w:rPr>
          <w:rFonts w:eastAsia="Times New Roman" w:cs="Times New Roman"/>
          <w:color w:val="000000"/>
          <w:szCs w:val="24"/>
        </w:rPr>
        <w:t>.</w:t>
      </w:r>
      <w:r w:rsidRPr="00F42EFE">
        <w:rPr>
          <w:rFonts w:eastAsia="Times New Roman" w:cs="Times New Roman" w:hint="eastAsia"/>
          <w:color w:val="000000"/>
          <w:szCs w:val="24"/>
        </w:rPr>
        <w:t> </w:t>
      </w:r>
      <w:r w:rsidRPr="00F42EFE">
        <w:rPr>
          <w:rFonts w:eastAsia="Times New Roman" w:cs="Times New Roman"/>
          <w:i/>
          <w:iCs/>
          <w:color w:val="000000"/>
          <w:szCs w:val="24"/>
        </w:rPr>
        <w:t>Fuzzy-Set/Qualitative Comparative Analysis 3.0</w:t>
      </w:r>
      <w:r w:rsidRPr="00F42EFE">
        <w:rPr>
          <w:rFonts w:eastAsia="Times New Roman" w:cs="Times New Roman"/>
          <w:color w:val="000000"/>
          <w:szCs w:val="24"/>
        </w:rPr>
        <w:t>. Irvine, California: Department of Sociology, University of California</w:t>
      </w:r>
    </w:p>
    <w:p w14:paraId="0AC2F670" w14:textId="0D96ACF2" w:rsidR="00F07DE4" w:rsidRPr="00F505C6" w:rsidRDefault="00F07DE4"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Ragin, C. (2008). Redesigning social inquiry: Fuzzy sets and beyond. Chicago/London: University of Chicago Press.</w:t>
      </w:r>
    </w:p>
    <w:p w14:paraId="227247E8"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Ramus, T., &amp; Vaccaro, A. (2017). Stakeholders matter: How social enterprises address mission drift. </w:t>
      </w:r>
      <w:r w:rsidRPr="00F42EFE">
        <w:rPr>
          <w:i/>
          <w:lang w:val="en-US"/>
        </w:rPr>
        <w:t>Journal of Business Ethics,</w:t>
      </w:r>
      <w:r w:rsidRPr="00F505C6">
        <w:rPr>
          <w:lang w:val="en-US"/>
        </w:rPr>
        <w:t xml:space="preserve"> 143(2), 307-322.</w:t>
      </w:r>
    </w:p>
    <w:p w14:paraId="2314411E" w14:textId="4ADD7E71" w:rsidR="006743E5" w:rsidRPr="00F505C6" w:rsidRDefault="006743E5"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lastRenderedPageBreak/>
        <w:t>Rey-Martí, A., Ribeiro-Soriano, D., &amp; Palacios-Marqués, D. (2016). A bibliometric analysis of social entrepreneurship. </w:t>
      </w:r>
      <w:r w:rsidRPr="00F505C6">
        <w:rPr>
          <w:i/>
          <w:iCs/>
          <w:lang w:val="en-US"/>
        </w:rPr>
        <w:t>Journal of Business Research</w:t>
      </w:r>
      <w:r w:rsidRPr="00F505C6">
        <w:rPr>
          <w:lang w:val="en-US"/>
        </w:rPr>
        <w:t>, </w:t>
      </w:r>
      <w:r w:rsidRPr="00F505C6">
        <w:rPr>
          <w:i/>
          <w:iCs/>
          <w:lang w:val="en-US"/>
        </w:rPr>
        <w:t>69</w:t>
      </w:r>
      <w:r w:rsidRPr="00F505C6">
        <w:rPr>
          <w:lang w:val="en-US"/>
        </w:rPr>
        <w:t>(5), 1651-1655.</w:t>
      </w:r>
    </w:p>
    <w:p w14:paraId="29E7317E" w14:textId="0EEBD9D1" w:rsidR="006743E5" w:rsidRDefault="006743E5"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42EFE">
        <w:rPr>
          <w:lang w:val="es-ES"/>
        </w:rPr>
        <w:t xml:space="preserve">Rey-Martí, A., Ribeiro-Soriano, D., &amp; Sánchez-García, J. L. (2016). </w:t>
      </w:r>
      <w:r w:rsidRPr="00F505C6">
        <w:rPr>
          <w:lang w:val="en-US"/>
        </w:rPr>
        <w:t>Giving back to society: Job creation through social entrepreneurship. </w:t>
      </w:r>
      <w:r w:rsidRPr="00F505C6">
        <w:rPr>
          <w:i/>
          <w:iCs/>
          <w:lang w:val="en-US"/>
        </w:rPr>
        <w:t>Journal of Business Research</w:t>
      </w:r>
      <w:r w:rsidRPr="00F505C6">
        <w:rPr>
          <w:lang w:val="en-US"/>
        </w:rPr>
        <w:t>, </w:t>
      </w:r>
      <w:r w:rsidRPr="00F505C6">
        <w:rPr>
          <w:i/>
          <w:iCs/>
          <w:lang w:val="en-US"/>
        </w:rPr>
        <w:t>69</w:t>
      </w:r>
      <w:r w:rsidRPr="00F505C6">
        <w:rPr>
          <w:lang w:val="en-US"/>
        </w:rPr>
        <w:t>(6), 2067-2072.</w:t>
      </w:r>
    </w:p>
    <w:p w14:paraId="5EF1FEED" w14:textId="77777777" w:rsidR="0027740B" w:rsidRPr="00F505C6"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42EFE">
        <w:rPr>
          <w:lang w:val="es-ES"/>
        </w:rPr>
        <w:t xml:space="preserve">Roig-Tierno, N., Gonzalez-Cruz, T.F., &amp; Llopis-Martinez, J. (2017). </w:t>
      </w:r>
      <w:r w:rsidRPr="00EF0C96">
        <w:rPr>
          <w:lang w:val="en-US"/>
        </w:rPr>
        <w:t xml:space="preserve">An overview of qualitative comparative analysis: A bibliometric analysis. </w:t>
      </w:r>
      <w:r w:rsidRPr="00F42EFE">
        <w:rPr>
          <w:i/>
          <w:lang w:val="en-US"/>
        </w:rPr>
        <w:t>Journal of Innovation and Knowledge</w:t>
      </w:r>
      <w:r w:rsidRPr="00EF0C96">
        <w:rPr>
          <w:lang w:val="en-US"/>
        </w:rPr>
        <w:t>, 2(1), 15-23.</w:t>
      </w:r>
    </w:p>
    <w:p w14:paraId="153D47EF" w14:textId="77777777" w:rsidR="00D47FE3" w:rsidRPr="00F505C6"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Scarlata, M., Walske, J., &amp; Zacharakis, A. (2017). Ingredients matter: how the human capital of philanthropic and traditional venture capital differs. </w:t>
      </w:r>
      <w:r w:rsidRPr="00F42EFE">
        <w:rPr>
          <w:i/>
          <w:lang w:val="en-US"/>
        </w:rPr>
        <w:t>Journal of Business Ethics,</w:t>
      </w:r>
      <w:r w:rsidRPr="00F505C6">
        <w:rPr>
          <w:lang w:val="en-US"/>
        </w:rPr>
        <w:t xml:space="preserve"> 145(3), 623-635.</w:t>
      </w:r>
    </w:p>
    <w:p w14:paraId="1311BC1E" w14:textId="0217A79B" w:rsidR="008C7FF8" w:rsidRDefault="00530D23" w:rsidP="008C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Shaw, E., &amp; Carter, S. (2007). Social entrepreneurship: Theoretical antecedents and empirical analysis of entrepreneurial processes and outcomes. </w:t>
      </w:r>
      <w:r w:rsidRPr="00F505C6">
        <w:rPr>
          <w:i/>
          <w:iCs/>
          <w:lang w:val="en-US"/>
        </w:rPr>
        <w:t xml:space="preserve">Journal of </w:t>
      </w:r>
      <w:r w:rsidR="00A7113C">
        <w:rPr>
          <w:i/>
          <w:iCs/>
          <w:lang w:val="en-US"/>
        </w:rPr>
        <w:t>S</w:t>
      </w:r>
      <w:r w:rsidRPr="00F505C6">
        <w:rPr>
          <w:i/>
          <w:iCs/>
          <w:lang w:val="en-US"/>
        </w:rPr>
        <w:t xml:space="preserve">mall </w:t>
      </w:r>
      <w:r w:rsidR="00A7113C">
        <w:rPr>
          <w:i/>
          <w:iCs/>
          <w:lang w:val="en-US"/>
        </w:rPr>
        <w:t>B</w:t>
      </w:r>
      <w:r w:rsidRPr="00F505C6">
        <w:rPr>
          <w:i/>
          <w:iCs/>
          <w:lang w:val="en-US"/>
        </w:rPr>
        <w:t xml:space="preserve">usiness and </w:t>
      </w:r>
      <w:r w:rsidR="00A7113C">
        <w:rPr>
          <w:i/>
          <w:iCs/>
          <w:lang w:val="en-US"/>
        </w:rPr>
        <w:t>E</w:t>
      </w:r>
      <w:r w:rsidRPr="00F505C6">
        <w:rPr>
          <w:i/>
          <w:iCs/>
          <w:lang w:val="en-US"/>
        </w:rPr>
        <w:t xml:space="preserve">nterprise </w:t>
      </w:r>
      <w:r w:rsidR="00A7113C">
        <w:rPr>
          <w:i/>
          <w:iCs/>
          <w:lang w:val="en-US"/>
        </w:rPr>
        <w:t>D</w:t>
      </w:r>
      <w:r w:rsidRPr="00F505C6">
        <w:rPr>
          <w:i/>
          <w:iCs/>
          <w:lang w:val="en-US"/>
        </w:rPr>
        <w:t>evelopment</w:t>
      </w:r>
      <w:r w:rsidRPr="00F505C6">
        <w:rPr>
          <w:lang w:val="en-US"/>
        </w:rPr>
        <w:t>, </w:t>
      </w:r>
      <w:r w:rsidRPr="00F505C6">
        <w:rPr>
          <w:i/>
          <w:iCs/>
          <w:lang w:val="en-US"/>
        </w:rPr>
        <w:t>14</w:t>
      </w:r>
      <w:r w:rsidRPr="00F505C6">
        <w:rPr>
          <w:lang w:val="en-US"/>
        </w:rPr>
        <w:t>(3), 418-434.</w:t>
      </w:r>
    </w:p>
    <w:p w14:paraId="28F85AE5" w14:textId="77777777" w:rsidR="0027740B" w:rsidRPr="0027740B"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27740B">
        <w:rPr>
          <w:lang w:val="en-US"/>
        </w:rPr>
        <w:t xml:space="preserve">Smith, W. K., Gonin, M., &amp; Besharov, M. L. (2013). Managing social-business tensions: A review and research agenda for social enterprise. </w:t>
      </w:r>
      <w:r w:rsidRPr="0027740B">
        <w:rPr>
          <w:i/>
          <w:lang w:val="en-US"/>
        </w:rPr>
        <w:t>Business Ethics Quarterly</w:t>
      </w:r>
      <w:r w:rsidRPr="0027740B">
        <w:rPr>
          <w:lang w:val="en-US"/>
        </w:rPr>
        <w:t>, 23(3), 407-442.</w:t>
      </w:r>
    </w:p>
    <w:p w14:paraId="6948CF94" w14:textId="2BF1DBBE" w:rsidR="0027740B"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rFonts w:cs="Times New Roman"/>
        </w:rPr>
      </w:pPr>
      <w:r w:rsidRPr="0027740B">
        <w:rPr>
          <w:rFonts w:cs="Times New Roman"/>
        </w:rPr>
        <w:t>Social Enterprise UK. (2017). The Future of Business, State of Social Enterprise Survey 2017.</w:t>
      </w:r>
    </w:p>
    <w:p w14:paraId="7C3A7DD1" w14:textId="034781BD" w:rsidR="008C7FF8" w:rsidRPr="008C7FF8" w:rsidRDefault="008C7FF8" w:rsidP="008C7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8C7FF8">
        <w:rPr>
          <w:rFonts w:cs="Times New Roman"/>
        </w:rPr>
        <w:t xml:space="preserve">Stevens, R., Moray, N. &amp; Bruneel, J., </w:t>
      </w:r>
      <w:r w:rsidR="0088368D">
        <w:rPr>
          <w:rFonts w:cs="Times New Roman"/>
        </w:rPr>
        <w:t>(</w:t>
      </w:r>
      <w:r w:rsidRPr="008C7FF8">
        <w:rPr>
          <w:rFonts w:cs="Times New Roman"/>
        </w:rPr>
        <w:t>2015</w:t>
      </w:r>
      <w:r w:rsidR="0088368D">
        <w:rPr>
          <w:rFonts w:cs="Times New Roman"/>
        </w:rPr>
        <w:t>)</w:t>
      </w:r>
      <w:r w:rsidRPr="008C7FF8">
        <w:rPr>
          <w:rFonts w:cs="Times New Roman"/>
        </w:rPr>
        <w:t xml:space="preserve">. The Social and Economic Mission of Social Enterprises: Dimensions, Measurement, Validation, and Relation. </w:t>
      </w:r>
      <w:r w:rsidRPr="008C7FF8">
        <w:rPr>
          <w:rFonts w:cs="Times New Roman"/>
          <w:i/>
          <w:iCs/>
        </w:rPr>
        <w:t>Entrepreneurship</w:t>
      </w:r>
      <w:r w:rsidR="00A7113C">
        <w:rPr>
          <w:rFonts w:cs="Times New Roman"/>
          <w:i/>
          <w:iCs/>
        </w:rPr>
        <w:t xml:space="preserve"> </w:t>
      </w:r>
      <w:r w:rsidRPr="008C7FF8">
        <w:rPr>
          <w:rFonts w:cs="Times New Roman"/>
          <w:i/>
          <w:iCs/>
        </w:rPr>
        <w:t>Theory</w:t>
      </w:r>
      <w:r w:rsidR="00DB2891" w:rsidRPr="008C7FF8">
        <w:rPr>
          <w:rFonts w:cs="Times New Roman"/>
          <w:i/>
          <w:iCs/>
        </w:rPr>
        <w:t xml:space="preserve"> </w:t>
      </w:r>
      <w:r w:rsidRPr="008C7FF8">
        <w:rPr>
          <w:rFonts w:cs="Times New Roman"/>
          <w:i/>
          <w:iCs/>
        </w:rPr>
        <w:t>and Practice</w:t>
      </w:r>
      <w:r>
        <w:rPr>
          <w:rFonts w:cs="Times New Roman"/>
        </w:rPr>
        <w:t xml:space="preserve">, 39(5), </w:t>
      </w:r>
      <w:r w:rsidRPr="008C7FF8">
        <w:rPr>
          <w:rFonts w:cs="Times New Roman"/>
        </w:rPr>
        <w:t>1051–1082.</w:t>
      </w:r>
    </w:p>
    <w:p w14:paraId="6AFD4C3A" w14:textId="77777777" w:rsidR="00D47FE3" w:rsidRDefault="00D47FE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Teasdale, S. (2010). Explaining the multifaceted nature of social enterprise: impression management as (social) entrepreneurial behaviour. </w:t>
      </w:r>
      <w:r w:rsidRPr="00F42EFE">
        <w:rPr>
          <w:i/>
          <w:lang w:val="en-US"/>
        </w:rPr>
        <w:t>Voluntary Sector Review,</w:t>
      </w:r>
      <w:r w:rsidRPr="00F505C6">
        <w:rPr>
          <w:lang w:val="en-US"/>
        </w:rPr>
        <w:t xml:space="preserve"> 1, pp. 271–292.</w:t>
      </w:r>
    </w:p>
    <w:p w14:paraId="18B41F90" w14:textId="77777777" w:rsidR="0027740B" w:rsidRPr="0027740B" w:rsidRDefault="0027740B" w:rsidP="002774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27740B">
        <w:rPr>
          <w:lang w:val="en-US"/>
        </w:rPr>
        <w:t xml:space="preserve">Woodside, A.G., Nagy, G., &amp; Megehee, C.M. (2018). Applying complexity theory: A primer for identifying and modeling firm anomalies. </w:t>
      </w:r>
      <w:r w:rsidRPr="0027740B">
        <w:rPr>
          <w:i/>
          <w:lang w:val="en-US"/>
        </w:rPr>
        <w:t>Journal of Innovation and Knowledge</w:t>
      </w:r>
      <w:r w:rsidRPr="0027740B">
        <w:rPr>
          <w:lang w:val="en-US"/>
        </w:rPr>
        <w:t>, 3(1), 9-25.</w:t>
      </w:r>
    </w:p>
    <w:p w14:paraId="439BEF66" w14:textId="6BBE2D8F" w:rsidR="009D40F3" w:rsidRPr="00F505C6" w:rsidRDefault="009D40F3" w:rsidP="00D4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Zahra, S. A., Rawhouser, H. N., Bhawe, N., Neubaum, D. O., &amp; Hayton, J. C. (2008). Globalization of social entrepreneurship opportunities. </w:t>
      </w:r>
      <w:r w:rsidRPr="00F505C6">
        <w:rPr>
          <w:i/>
          <w:iCs/>
          <w:lang w:val="en-US"/>
        </w:rPr>
        <w:t xml:space="preserve">Strategic </w:t>
      </w:r>
      <w:r w:rsidR="0088368D">
        <w:rPr>
          <w:i/>
          <w:iCs/>
          <w:lang w:val="en-US"/>
        </w:rPr>
        <w:t>E</w:t>
      </w:r>
      <w:r w:rsidRPr="00F505C6">
        <w:rPr>
          <w:i/>
          <w:iCs/>
          <w:lang w:val="en-US"/>
        </w:rPr>
        <w:t xml:space="preserve">ntrepreneurship </w:t>
      </w:r>
      <w:r w:rsidR="0088368D">
        <w:rPr>
          <w:i/>
          <w:iCs/>
          <w:lang w:val="en-US"/>
        </w:rPr>
        <w:t>J</w:t>
      </w:r>
      <w:r w:rsidRPr="00F505C6">
        <w:rPr>
          <w:i/>
          <w:iCs/>
          <w:lang w:val="en-US"/>
        </w:rPr>
        <w:t>ournal</w:t>
      </w:r>
      <w:r w:rsidRPr="00F505C6">
        <w:rPr>
          <w:lang w:val="en-US"/>
        </w:rPr>
        <w:t>, </w:t>
      </w:r>
      <w:r w:rsidRPr="00F505C6">
        <w:rPr>
          <w:i/>
          <w:iCs/>
          <w:lang w:val="en-US"/>
        </w:rPr>
        <w:t>2</w:t>
      </w:r>
      <w:r w:rsidRPr="00F505C6">
        <w:rPr>
          <w:lang w:val="en-US"/>
        </w:rPr>
        <w:t>(2), 117-131.</w:t>
      </w:r>
    </w:p>
    <w:p w14:paraId="11585B49" w14:textId="22503554" w:rsidR="001B1AB8" w:rsidRDefault="00D47FE3" w:rsidP="001B1A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03" w:hanging="403"/>
        <w:rPr>
          <w:lang w:val="en-US"/>
        </w:rPr>
      </w:pPr>
      <w:r w:rsidRPr="00F505C6">
        <w:rPr>
          <w:lang w:val="en-US"/>
        </w:rPr>
        <w:t xml:space="preserve">Zahra, S. A., Gedajlovic, E., Neubaum, D. O., &amp; Shulman, J. M. (2009). A typology of social entrepreneurs: Motives, search processes and ethical challenges. </w:t>
      </w:r>
      <w:r w:rsidRPr="00F42EFE">
        <w:rPr>
          <w:i/>
          <w:lang w:val="en-US"/>
        </w:rPr>
        <w:t xml:space="preserve">Journal of </w:t>
      </w:r>
      <w:r w:rsidR="0088368D">
        <w:rPr>
          <w:i/>
          <w:lang w:val="en-US"/>
        </w:rPr>
        <w:t>B</w:t>
      </w:r>
      <w:r w:rsidRPr="00F42EFE">
        <w:rPr>
          <w:i/>
          <w:lang w:val="en-US"/>
        </w:rPr>
        <w:t xml:space="preserve">usiness </w:t>
      </w:r>
      <w:r w:rsidR="0088368D">
        <w:rPr>
          <w:i/>
          <w:lang w:val="en-US"/>
        </w:rPr>
        <w:t>V</w:t>
      </w:r>
      <w:r w:rsidRPr="00F42EFE">
        <w:rPr>
          <w:i/>
          <w:lang w:val="en-US"/>
        </w:rPr>
        <w:t>enturing</w:t>
      </w:r>
      <w:r w:rsidRPr="00F505C6">
        <w:rPr>
          <w:lang w:val="en-US"/>
        </w:rPr>
        <w:t>, 24(5), 519-532.</w:t>
      </w:r>
    </w:p>
    <w:p w14:paraId="3E7E7C9B" w14:textId="53C306A8" w:rsidR="008A2D10" w:rsidRDefault="004604E8" w:rsidP="008A2D10">
      <w:pPr>
        <w:pStyle w:val="TABLE"/>
        <w:keepNext/>
      </w:pPr>
      <w:r w:rsidRPr="00F505C6">
        <w:br w:type="column"/>
      </w:r>
      <w:r w:rsidR="0027740B">
        <w:rPr>
          <w:noProof/>
          <w:lang w:val="en-GB"/>
        </w:rPr>
        <w:lastRenderedPageBreak/>
        <w:drawing>
          <wp:inline distT="0" distB="0" distL="0" distR="0" wp14:anchorId="7BE3499F" wp14:editId="598C5CDC">
            <wp:extent cx="5286375" cy="3114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375" cy="3114675"/>
                    </a:xfrm>
                    <a:prstGeom prst="rect">
                      <a:avLst/>
                    </a:prstGeom>
                    <a:noFill/>
                    <a:ln>
                      <a:noFill/>
                    </a:ln>
                  </pic:spPr>
                </pic:pic>
              </a:graphicData>
            </a:graphic>
          </wp:inline>
        </w:drawing>
      </w:r>
    </w:p>
    <w:p w14:paraId="75C06AE2" w14:textId="2F29A81A" w:rsidR="008A2D10" w:rsidRPr="008A2D10" w:rsidRDefault="008A2D10" w:rsidP="008A2D10">
      <w:pPr>
        <w:pStyle w:val="Caption"/>
        <w:jc w:val="left"/>
        <w:rPr>
          <w:b/>
          <w:i w:val="0"/>
          <w:color w:val="auto"/>
        </w:rPr>
      </w:pPr>
      <w:r w:rsidRPr="008A2D10">
        <w:rPr>
          <w:b/>
          <w:i w:val="0"/>
          <w:color w:val="auto"/>
        </w:rPr>
        <w:t xml:space="preserve">Figure </w:t>
      </w:r>
      <w:r w:rsidRPr="008A2D10">
        <w:rPr>
          <w:b/>
          <w:i w:val="0"/>
          <w:color w:val="auto"/>
        </w:rPr>
        <w:fldChar w:fldCharType="begin"/>
      </w:r>
      <w:r w:rsidRPr="008A2D10">
        <w:rPr>
          <w:b/>
          <w:i w:val="0"/>
          <w:color w:val="auto"/>
        </w:rPr>
        <w:instrText xml:space="preserve"> SEQ Figure \* ARABIC </w:instrText>
      </w:r>
      <w:r w:rsidRPr="008A2D10">
        <w:rPr>
          <w:b/>
          <w:i w:val="0"/>
          <w:color w:val="auto"/>
        </w:rPr>
        <w:fldChar w:fldCharType="separate"/>
      </w:r>
      <w:r w:rsidRPr="008A2D10">
        <w:rPr>
          <w:b/>
          <w:i w:val="0"/>
          <w:noProof/>
          <w:color w:val="auto"/>
        </w:rPr>
        <w:t>1</w:t>
      </w:r>
      <w:r w:rsidRPr="008A2D10">
        <w:rPr>
          <w:b/>
          <w:i w:val="0"/>
          <w:color w:val="auto"/>
        </w:rPr>
        <w:fldChar w:fldCharType="end"/>
      </w:r>
      <w:r w:rsidRPr="008A2D10">
        <w:rPr>
          <w:b/>
          <w:i w:val="0"/>
          <w:color w:val="auto"/>
        </w:rPr>
        <w:t xml:space="preserve"> - Micro-processes and micro-foundations of strategic social entrepreneurship</w:t>
      </w:r>
    </w:p>
    <w:p w14:paraId="08E6DC65" w14:textId="77777777" w:rsidR="008A2D10" w:rsidRDefault="008A2D10" w:rsidP="004604E8">
      <w:pPr>
        <w:pStyle w:val="TABLE"/>
      </w:pPr>
    </w:p>
    <w:p w14:paraId="5FFB0EB5" w14:textId="77777777" w:rsidR="008A2D10" w:rsidRDefault="008A2D10" w:rsidP="004604E8">
      <w:pPr>
        <w:pStyle w:val="TABLE"/>
      </w:pPr>
    </w:p>
    <w:p w14:paraId="40BB1680" w14:textId="71D16399" w:rsidR="00FE74B1" w:rsidRPr="008A2D10" w:rsidRDefault="00FE74B1" w:rsidP="004604E8">
      <w:pPr>
        <w:pStyle w:val="TABLE"/>
        <w:rPr>
          <w:b/>
          <w:sz w:val="22"/>
        </w:rPr>
      </w:pPr>
      <w:r w:rsidRPr="008A2D10">
        <w:rPr>
          <w:b/>
          <w:sz w:val="22"/>
        </w:rPr>
        <w:t>Table 1. Truth Table</w:t>
      </w:r>
    </w:p>
    <w:tbl>
      <w:tblPr>
        <w:tblStyle w:val="TableGrid"/>
        <w:tblW w:w="918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020"/>
        <w:gridCol w:w="1020"/>
        <w:gridCol w:w="1020"/>
        <w:gridCol w:w="1020"/>
        <w:gridCol w:w="1020"/>
        <w:gridCol w:w="1020"/>
        <w:gridCol w:w="1020"/>
        <w:gridCol w:w="1020"/>
      </w:tblGrid>
      <w:tr w:rsidR="0029602D" w:rsidRPr="00F505C6" w14:paraId="3B494F59" w14:textId="77777777" w:rsidTr="00014DA6">
        <w:trPr>
          <w:cantSplit/>
          <w:trHeight w:val="1268"/>
        </w:trPr>
        <w:tc>
          <w:tcPr>
            <w:tcW w:w="1020" w:type="dxa"/>
            <w:tcBorders>
              <w:top w:val="single" w:sz="4" w:space="0" w:color="auto"/>
              <w:bottom w:val="single" w:sz="4" w:space="0" w:color="auto"/>
            </w:tcBorders>
            <w:noWrap/>
            <w:textDirection w:val="btLr"/>
            <w:vAlign w:val="center"/>
            <w:hideMark/>
          </w:tcPr>
          <w:p w14:paraId="41035E60" w14:textId="4CF5EB30" w:rsidR="00FE74B1" w:rsidRPr="00F505C6" w:rsidRDefault="00FE74B1" w:rsidP="00014DA6">
            <w:pPr>
              <w:pStyle w:val="TABLE"/>
              <w:ind w:left="113" w:right="113"/>
              <w:rPr>
                <w:b/>
              </w:rPr>
            </w:pPr>
            <w:r w:rsidRPr="00F505C6">
              <w:rPr>
                <w:b/>
              </w:rPr>
              <w:t>Social orientation</w:t>
            </w:r>
          </w:p>
        </w:tc>
        <w:tc>
          <w:tcPr>
            <w:tcW w:w="1020" w:type="dxa"/>
            <w:tcBorders>
              <w:top w:val="single" w:sz="4" w:space="0" w:color="auto"/>
              <w:bottom w:val="single" w:sz="4" w:space="0" w:color="auto"/>
            </w:tcBorders>
            <w:noWrap/>
            <w:textDirection w:val="btLr"/>
            <w:vAlign w:val="center"/>
            <w:hideMark/>
          </w:tcPr>
          <w:p w14:paraId="39485A9F" w14:textId="6805F116" w:rsidR="00FE74B1" w:rsidRPr="00F505C6" w:rsidRDefault="00FE74B1" w:rsidP="00014DA6">
            <w:pPr>
              <w:pStyle w:val="TABLE"/>
              <w:ind w:left="113" w:right="113"/>
              <w:rPr>
                <w:b/>
              </w:rPr>
            </w:pPr>
            <w:r w:rsidRPr="00F505C6">
              <w:rPr>
                <w:b/>
              </w:rPr>
              <w:t>Previous experience</w:t>
            </w:r>
          </w:p>
        </w:tc>
        <w:tc>
          <w:tcPr>
            <w:tcW w:w="1020" w:type="dxa"/>
            <w:tcBorders>
              <w:top w:val="single" w:sz="4" w:space="0" w:color="auto"/>
              <w:bottom w:val="single" w:sz="4" w:space="0" w:color="auto"/>
            </w:tcBorders>
            <w:noWrap/>
            <w:textDirection w:val="btLr"/>
            <w:vAlign w:val="center"/>
            <w:hideMark/>
          </w:tcPr>
          <w:p w14:paraId="27C9661F" w14:textId="31E3DA89" w:rsidR="00FE74B1" w:rsidRPr="00F505C6" w:rsidRDefault="00FE74B1" w:rsidP="00014DA6">
            <w:pPr>
              <w:pStyle w:val="TABLE"/>
              <w:ind w:left="113" w:right="113"/>
              <w:rPr>
                <w:b/>
              </w:rPr>
            </w:pPr>
            <w:r w:rsidRPr="00F505C6">
              <w:rPr>
                <w:b/>
              </w:rPr>
              <w:t>Early investment</w:t>
            </w:r>
          </w:p>
        </w:tc>
        <w:tc>
          <w:tcPr>
            <w:tcW w:w="1020" w:type="dxa"/>
            <w:tcBorders>
              <w:top w:val="single" w:sz="4" w:space="0" w:color="auto"/>
              <w:bottom w:val="single" w:sz="4" w:space="0" w:color="auto"/>
            </w:tcBorders>
            <w:noWrap/>
            <w:textDirection w:val="btLr"/>
            <w:vAlign w:val="center"/>
            <w:hideMark/>
          </w:tcPr>
          <w:p w14:paraId="745F7D5D" w14:textId="66A9B66C" w:rsidR="00FE74B1" w:rsidRPr="00F505C6" w:rsidRDefault="00FE74B1" w:rsidP="00014DA6">
            <w:pPr>
              <w:pStyle w:val="TABLE"/>
              <w:ind w:left="113" w:right="113"/>
              <w:rPr>
                <w:b/>
              </w:rPr>
            </w:pPr>
            <w:r w:rsidRPr="00F505C6">
              <w:rPr>
                <w:b/>
              </w:rPr>
              <w:t>Profit orientation</w:t>
            </w:r>
          </w:p>
        </w:tc>
        <w:tc>
          <w:tcPr>
            <w:tcW w:w="1020" w:type="dxa"/>
            <w:tcBorders>
              <w:top w:val="single" w:sz="4" w:space="0" w:color="auto"/>
              <w:bottom w:val="single" w:sz="4" w:space="0" w:color="auto"/>
            </w:tcBorders>
            <w:noWrap/>
            <w:textDirection w:val="btLr"/>
            <w:vAlign w:val="center"/>
            <w:hideMark/>
          </w:tcPr>
          <w:p w14:paraId="0E594B47" w14:textId="0D74F37E" w:rsidR="00FE74B1" w:rsidRPr="00F505C6" w:rsidRDefault="00FE74B1" w:rsidP="00014DA6">
            <w:pPr>
              <w:pStyle w:val="TABLE"/>
              <w:ind w:left="113" w:right="113"/>
              <w:rPr>
                <w:b/>
              </w:rPr>
            </w:pPr>
            <w:r w:rsidRPr="00F505C6">
              <w:rPr>
                <w:b/>
              </w:rPr>
              <w:t>Market competition</w:t>
            </w:r>
          </w:p>
        </w:tc>
        <w:tc>
          <w:tcPr>
            <w:tcW w:w="1020" w:type="dxa"/>
            <w:tcBorders>
              <w:top w:val="single" w:sz="4" w:space="0" w:color="auto"/>
              <w:bottom w:val="single" w:sz="4" w:space="0" w:color="auto"/>
            </w:tcBorders>
            <w:noWrap/>
            <w:textDirection w:val="btLr"/>
            <w:vAlign w:val="center"/>
            <w:hideMark/>
          </w:tcPr>
          <w:p w14:paraId="12A9AB40" w14:textId="15E82204" w:rsidR="00FE74B1" w:rsidRPr="00F505C6" w:rsidRDefault="00FE74B1" w:rsidP="00014DA6">
            <w:pPr>
              <w:pStyle w:val="TABLE"/>
              <w:ind w:left="113" w:right="113"/>
              <w:rPr>
                <w:b/>
              </w:rPr>
            </w:pPr>
            <w:r w:rsidRPr="00F505C6">
              <w:rPr>
                <w:b/>
              </w:rPr>
              <w:t>Financial value of social</w:t>
            </w:r>
          </w:p>
        </w:tc>
        <w:tc>
          <w:tcPr>
            <w:tcW w:w="1020" w:type="dxa"/>
            <w:tcBorders>
              <w:top w:val="single" w:sz="4" w:space="0" w:color="auto"/>
              <w:bottom w:val="single" w:sz="4" w:space="0" w:color="auto"/>
            </w:tcBorders>
            <w:noWrap/>
            <w:textDirection w:val="btLr"/>
            <w:vAlign w:val="center"/>
            <w:hideMark/>
          </w:tcPr>
          <w:p w14:paraId="121B8288" w14:textId="20C7781A" w:rsidR="00FE74B1" w:rsidRPr="00F505C6" w:rsidRDefault="00FE74B1" w:rsidP="00014DA6">
            <w:pPr>
              <w:pStyle w:val="TABLE"/>
              <w:ind w:left="113" w:right="113"/>
              <w:rPr>
                <w:b/>
              </w:rPr>
            </w:pPr>
            <w:r w:rsidRPr="00F505C6">
              <w:rPr>
                <w:b/>
              </w:rPr>
              <w:t>Cases</w:t>
            </w:r>
          </w:p>
        </w:tc>
        <w:tc>
          <w:tcPr>
            <w:tcW w:w="1020" w:type="dxa"/>
            <w:tcBorders>
              <w:top w:val="single" w:sz="4" w:space="0" w:color="auto"/>
              <w:bottom w:val="single" w:sz="4" w:space="0" w:color="auto"/>
            </w:tcBorders>
            <w:noWrap/>
            <w:textDirection w:val="btLr"/>
            <w:vAlign w:val="center"/>
            <w:hideMark/>
          </w:tcPr>
          <w:p w14:paraId="446B4B6F" w14:textId="303A59B0" w:rsidR="00FE74B1" w:rsidRPr="00F505C6" w:rsidRDefault="00FE74B1" w:rsidP="00014DA6">
            <w:pPr>
              <w:pStyle w:val="TABLE"/>
              <w:ind w:left="113" w:right="113"/>
              <w:rPr>
                <w:b/>
              </w:rPr>
            </w:pPr>
            <w:r w:rsidRPr="00F505C6">
              <w:rPr>
                <w:b/>
              </w:rPr>
              <w:t>Outcome</w:t>
            </w:r>
          </w:p>
        </w:tc>
        <w:tc>
          <w:tcPr>
            <w:tcW w:w="1020" w:type="dxa"/>
            <w:tcBorders>
              <w:top w:val="single" w:sz="4" w:space="0" w:color="auto"/>
              <w:bottom w:val="single" w:sz="4" w:space="0" w:color="auto"/>
            </w:tcBorders>
            <w:noWrap/>
            <w:textDirection w:val="btLr"/>
            <w:hideMark/>
          </w:tcPr>
          <w:p w14:paraId="6339CBB8" w14:textId="57D2F215" w:rsidR="00FE74B1" w:rsidRPr="00F505C6" w:rsidRDefault="00FE74B1" w:rsidP="00014DA6">
            <w:pPr>
              <w:pStyle w:val="TABLE"/>
              <w:ind w:left="113" w:right="113"/>
              <w:rPr>
                <w:b/>
              </w:rPr>
            </w:pPr>
            <w:r w:rsidRPr="00F505C6">
              <w:rPr>
                <w:b/>
              </w:rPr>
              <w:t>Consist</w:t>
            </w:r>
            <w:r w:rsidR="00014DA6" w:rsidRPr="00F505C6">
              <w:rPr>
                <w:b/>
              </w:rPr>
              <w:t>ency</w:t>
            </w:r>
          </w:p>
        </w:tc>
      </w:tr>
      <w:tr w:rsidR="0029602D" w:rsidRPr="00F505C6" w14:paraId="2F261959" w14:textId="77777777" w:rsidTr="00014DA6">
        <w:trPr>
          <w:trHeight w:val="320"/>
        </w:trPr>
        <w:tc>
          <w:tcPr>
            <w:tcW w:w="1020" w:type="dxa"/>
            <w:tcBorders>
              <w:top w:val="single" w:sz="4" w:space="0" w:color="auto"/>
            </w:tcBorders>
            <w:noWrap/>
            <w:vAlign w:val="center"/>
            <w:hideMark/>
          </w:tcPr>
          <w:p w14:paraId="0675ECB1" w14:textId="77777777" w:rsidR="00FE74B1" w:rsidRPr="00F505C6" w:rsidRDefault="00FE74B1" w:rsidP="00014DA6">
            <w:pPr>
              <w:pStyle w:val="TABLE"/>
              <w:jc w:val="center"/>
            </w:pPr>
            <w:r w:rsidRPr="00F505C6">
              <w:t>1</w:t>
            </w:r>
          </w:p>
        </w:tc>
        <w:tc>
          <w:tcPr>
            <w:tcW w:w="1020" w:type="dxa"/>
            <w:tcBorders>
              <w:top w:val="single" w:sz="4" w:space="0" w:color="auto"/>
            </w:tcBorders>
            <w:noWrap/>
            <w:vAlign w:val="center"/>
            <w:hideMark/>
          </w:tcPr>
          <w:p w14:paraId="7505F03B" w14:textId="77777777" w:rsidR="00FE74B1" w:rsidRPr="00F505C6" w:rsidRDefault="00FE74B1" w:rsidP="00014DA6">
            <w:pPr>
              <w:pStyle w:val="TABLE"/>
              <w:jc w:val="center"/>
            </w:pPr>
            <w:r w:rsidRPr="00F505C6">
              <w:t>1</w:t>
            </w:r>
          </w:p>
        </w:tc>
        <w:tc>
          <w:tcPr>
            <w:tcW w:w="1020" w:type="dxa"/>
            <w:tcBorders>
              <w:top w:val="single" w:sz="4" w:space="0" w:color="auto"/>
            </w:tcBorders>
            <w:noWrap/>
            <w:vAlign w:val="center"/>
            <w:hideMark/>
          </w:tcPr>
          <w:p w14:paraId="7FDDEE88" w14:textId="77777777" w:rsidR="00FE74B1" w:rsidRPr="00F505C6" w:rsidRDefault="00FE74B1" w:rsidP="00014DA6">
            <w:pPr>
              <w:pStyle w:val="TABLE"/>
              <w:jc w:val="center"/>
            </w:pPr>
            <w:r w:rsidRPr="00F505C6">
              <w:t>1</w:t>
            </w:r>
          </w:p>
        </w:tc>
        <w:tc>
          <w:tcPr>
            <w:tcW w:w="1020" w:type="dxa"/>
            <w:tcBorders>
              <w:top w:val="single" w:sz="4" w:space="0" w:color="auto"/>
            </w:tcBorders>
            <w:noWrap/>
            <w:vAlign w:val="center"/>
            <w:hideMark/>
          </w:tcPr>
          <w:p w14:paraId="0014D537" w14:textId="77777777" w:rsidR="00FE74B1" w:rsidRPr="00F505C6" w:rsidRDefault="00FE74B1" w:rsidP="00014DA6">
            <w:pPr>
              <w:pStyle w:val="TABLE"/>
              <w:jc w:val="center"/>
            </w:pPr>
            <w:r w:rsidRPr="00F505C6">
              <w:t>0</w:t>
            </w:r>
          </w:p>
        </w:tc>
        <w:tc>
          <w:tcPr>
            <w:tcW w:w="1020" w:type="dxa"/>
            <w:tcBorders>
              <w:top w:val="single" w:sz="4" w:space="0" w:color="auto"/>
            </w:tcBorders>
            <w:noWrap/>
            <w:vAlign w:val="center"/>
            <w:hideMark/>
          </w:tcPr>
          <w:p w14:paraId="3A44518F" w14:textId="77777777" w:rsidR="00FE74B1" w:rsidRPr="00F505C6" w:rsidRDefault="00FE74B1" w:rsidP="00014DA6">
            <w:pPr>
              <w:pStyle w:val="TABLE"/>
              <w:jc w:val="center"/>
            </w:pPr>
            <w:r w:rsidRPr="00F505C6">
              <w:t>1</w:t>
            </w:r>
          </w:p>
        </w:tc>
        <w:tc>
          <w:tcPr>
            <w:tcW w:w="1020" w:type="dxa"/>
            <w:tcBorders>
              <w:top w:val="single" w:sz="4" w:space="0" w:color="auto"/>
            </w:tcBorders>
            <w:noWrap/>
            <w:vAlign w:val="center"/>
            <w:hideMark/>
          </w:tcPr>
          <w:p w14:paraId="69F9A5BA" w14:textId="77777777" w:rsidR="00FE74B1" w:rsidRPr="00F505C6" w:rsidRDefault="00FE74B1" w:rsidP="00014DA6">
            <w:pPr>
              <w:pStyle w:val="TABLE"/>
              <w:jc w:val="center"/>
            </w:pPr>
            <w:r w:rsidRPr="00F505C6">
              <w:t>1</w:t>
            </w:r>
          </w:p>
        </w:tc>
        <w:tc>
          <w:tcPr>
            <w:tcW w:w="1020" w:type="dxa"/>
            <w:tcBorders>
              <w:top w:val="single" w:sz="4" w:space="0" w:color="auto"/>
            </w:tcBorders>
            <w:noWrap/>
            <w:vAlign w:val="center"/>
            <w:hideMark/>
          </w:tcPr>
          <w:p w14:paraId="2957C2B0" w14:textId="77777777" w:rsidR="00FE74B1" w:rsidRPr="00F505C6" w:rsidRDefault="00FE74B1" w:rsidP="00014DA6">
            <w:pPr>
              <w:pStyle w:val="TABLE"/>
              <w:jc w:val="center"/>
            </w:pPr>
            <w:r w:rsidRPr="00F505C6">
              <w:t>3</w:t>
            </w:r>
          </w:p>
        </w:tc>
        <w:tc>
          <w:tcPr>
            <w:tcW w:w="1020" w:type="dxa"/>
            <w:tcBorders>
              <w:top w:val="single" w:sz="4" w:space="0" w:color="auto"/>
            </w:tcBorders>
            <w:noWrap/>
            <w:vAlign w:val="center"/>
            <w:hideMark/>
          </w:tcPr>
          <w:p w14:paraId="26D4A5EB" w14:textId="77777777" w:rsidR="00FE74B1" w:rsidRPr="00F505C6" w:rsidRDefault="00FE74B1" w:rsidP="00014DA6">
            <w:pPr>
              <w:pStyle w:val="TABLE"/>
              <w:jc w:val="center"/>
            </w:pPr>
            <w:r w:rsidRPr="00F505C6">
              <w:t>1</w:t>
            </w:r>
          </w:p>
        </w:tc>
        <w:tc>
          <w:tcPr>
            <w:tcW w:w="1020" w:type="dxa"/>
            <w:tcBorders>
              <w:top w:val="single" w:sz="4" w:space="0" w:color="auto"/>
            </w:tcBorders>
            <w:noWrap/>
            <w:hideMark/>
          </w:tcPr>
          <w:p w14:paraId="46EDE2E4" w14:textId="77777777" w:rsidR="00FE74B1" w:rsidRPr="00F505C6" w:rsidRDefault="00FE74B1" w:rsidP="00FE74B1">
            <w:pPr>
              <w:pStyle w:val="TABLE"/>
            </w:pPr>
            <w:r w:rsidRPr="00F505C6">
              <w:t>1</w:t>
            </w:r>
          </w:p>
        </w:tc>
      </w:tr>
      <w:tr w:rsidR="0029602D" w:rsidRPr="00F505C6" w14:paraId="75AC8089" w14:textId="77777777" w:rsidTr="00014DA6">
        <w:trPr>
          <w:trHeight w:val="320"/>
        </w:trPr>
        <w:tc>
          <w:tcPr>
            <w:tcW w:w="1020" w:type="dxa"/>
            <w:noWrap/>
            <w:vAlign w:val="center"/>
            <w:hideMark/>
          </w:tcPr>
          <w:p w14:paraId="63A740F9" w14:textId="77777777" w:rsidR="00FE74B1" w:rsidRPr="00F505C6" w:rsidRDefault="00FE74B1" w:rsidP="00014DA6">
            <w:pPr>
              <w:pStyle w:val="TABLE"/>
              <w:jc w:val="center"/>
            </w:pPr>
            <w:r w:rsidRPr="00F505C6">
              <w:t>1</w:t>
            </w:r>
          </w:p>
        </w:tc>
        <w:tc>
          <w:tcPr>
            <w:tcW w:w="1020" w:type="dxa"/>
            <w:noWrap/>
            <w:vAlign w:val="center"/>
            <w:hideMark/>
          </w:tcPr>
          <w:p w14:paraId="227481E7" w14:textId="77777777" w:rsidR="00FE74B1" w:rsidRPr="00F505C6" w:rsidRDefault="00FE74B1" w:rsidP="00014DA6">
            <w:pPr>
              <w:pStyle w:val="TABLE"/>
              <w:jc w:val="center"/>
            </w:pPr>
            <w:r w:rsidRPr="00F505C6">
              <w:t>0</w:t>
            </w:r>
          </w:p>
        </w:tc>
        <w:tc>
          <w:tcPr>
            <w:tcW w:w="1020" w:type="dxa"/>
            <w:noWrap/>
            <w:vAlign w:val="center"/>
            <w:hideMark/>
          </w:tcPr>
          <w:p w14:paraId="6AA82E8B" w14:textId="77777777" w:rsidR="00FE74B1" w:rsidRPr="00F505C6" w:rsidRDefault="00FE74B1" w:rsidP="00014DA6">
            <w:pPr>
              <w:pStyle w:val="TABLE"/>
              <w:jc w:val="center"/>
            </w:pPr>
            <w:r w:rsidRPr="00F505C6">
              <w:t>1</w:t>
            </w:r>
          </w:p>
        </w:tc>
        <w:tc>
          <w:tcPr>
            <w:tcW w:w="1020" w:type="dxa"/>
            <w:noWrap/>
            <w:vAlign w:val="center"/>
            <w:hideMark/>
          </w:tcPr>
          <w:p w14:paraId="510E6A1B" w14:textId="77777777" w:rsidR="00FE74B1" w:rsidRPr="00F505C6" w:rsidRDefault="00FE74B1" w:rsidP="00014DA6">
            <w:pPr>
              <w:pStyle w:val="TABLE"/>
              <w:jc w:val="center"/>
            </w:pPr>
            <w:r w:rsidRPr="00F505C6">
              <w:t>1</w:t>
            </w:r>
          </w:p>
        </w:tc>
        <w:tc>
          <w:tcPr>
            <w:tcW w:w="1020" w:type="dxa"/>
            <w:noWrap/>
            <w:vAlign w:val="center"/>
            <w:hideMark/>
          </w:tcPr>
          <w:p w14:paraId="31095EF5" w14:textId="77777777" w:rsidR="00FE74B1" w:rsidRPr="00F505C6" w:rsidRDefault="00FE74B1" w:rsidP="00014DA6">
            <w:pPr>
              <w:pStyle w:val="TABLE"/>
              <w:jc w:val="center"/>
            </w:pPr>
            <w:r w:rsidRPr="00F505C6">
              <w:t>1</w:t>
            </w:r>
          </w:p>
        </w:tc>
        <w:tc>
          <w:tcPr>
            <w:tcW w:w="1020" w:type="dxa"/>
            <w:noWrap/>
            <w:vAlign w:val="center"/>
            <w:hideMark/>
          </w:tcPr>
          <w:p w14:paraId="4F8CABFA" w14:textId="77777777" w:rsidR="00FE74B1" w:rsidRPr="00F505C6" w:rsidRDefault="00FE74B1" w:rsidP="00014DA6">
            <w:pPr>
              <w:pStyle w:val="TABLE"/>
              <w:jc w:val="center"/>
            </w:pPr>
            <w:r w:rsidRPr="00F505C6">
              <w:t>1</w:t>
            </w:r>
          </w:p>
        </w:tc>
        <w:tc>
          <w:tcPr>
            <w:tcW w:w="1020" w:type="dxa"/>
            <w:noWrap/>
            <w:vAlign w:val="center"/>
            <w:hideMark/>
          </w:tcPr>
          <w:p w14:paraId="62AE80E4" w14:textId="77777777" w:rsidR="00FE74B1" w:rsidRPr="00F505C6" w:rsidRDefault="00FE74B1" w:rsidP="00014DA6">
            <w:pPr>
              <w:pStyle w:val="TABLE"/>
              <w:jc w:val="center"/>
            </w:pPr>
            <w:r w:rsidRPr="00F505C6">
              <w:t>3</w:t>
            </w:r>
          </w:p>
        </w:tc>
        <w:tc>
          <w:tcPr>
            <w:tcW w:w="1020" w:type="dxa"/>
            <w:noWrap/>
            <w:vAlign w:val="center"/>
            <w:hideMark/>
          </w:tcPr>
          <w:p w14:paraId="5B939A52" w14:textId="77777777" w:rsidR="00FE74B1" w:rsidRPr="00F505C6" w:rsidRDefault="00FE74B1" w:rsidP="00014DA6">
            <w:pPr>
              <w:pStyle w:val="TABLE"/>
              <w:jc w:val="center"/>
            </w:pPr>
            <w:r w:rsidRPr="00F505C6">
              <w:t>1</w:t>
            </w:r>
          </w:p>
        </w:tc>
        <w:tc>
          <w:tcPr>
            <w:tcW w:w="1020" w:type="dxa"/>
            <w:noWrap/>
            <w:hideMark/>
          </w:tcPr>
          <w:p w14:paraId="4894206B" w14:textId="77777777" w:rsidR="00FE74B1" w:rsidRPr="00F505C6" w:rsidRDefault="00FE74B1" w:rsidP="00FE74B1">
            <w:pPr>
              <w:pStyle w:val="TABLE"/>
            </w:pPr>
            <w:r w:rsidRPr="00F505C6">
              <w:t>1</w:t>
            </w:r>
          </w:p>
        </w:tc>
      </w:tr>
      <w:tr w:rsidR="0029602D" w:rsidRPr="00F505C6" w14:paraId="0923271B" w14:textId="77777777" w:rsidTr="00014DA6">
        <w:trPr>
          <w:trHeight w:val="320"/>
        </w:trPr>
        <w:tc>
          <w:tcPr>
            <w:tcW w:w="1020" w:type="dxa"/>
            <w:noWrap/>
            <w:vAlign w:val="center"/>
            <w:hideMark/>
          </w:tcPr>
          <w:p w14:paraId="75CBF589" w14:textId="77777777" w:rsidR="00FE74B1" w:rsidRPr="00F505C6" w:rsidRDefault="00FE74B1" w:rsidP="00014DA6">
            <w:pPr>
              <w:pStyle w:val="TABLE"/>
              <w:jc w:val="center"/>
            </w:pPr>
            <w:r w:rsidRPr="00F505C6">
              <w:t>1</w:t>
            </w:r>
          </w:p>
        </w:tc>
        <w:tc>
          <w:tcPr>
            <w:tcW w:w="1020" w:type="dxa"/>
            <w:noWrap/>
            <w:vAlign w:val="center"/>
            <w:hideMark/>
          </w:tcPr>
          <w:p w14:paraId="2C978D05" w14:textId="77777777" w:rsidR="00FE74B1" w:rsidRPr="00F505C6" w:rsidRDefault="00FE74B1" w:rsidP="00014DA6">
            <w:pPr>
              <w:pStyle w:val="TABLE"/>
              <w:jc w:val="center"/>
            </w:pPr>
            <w:r w:rsidRPr="00F505C6">
              <w:t>1</w:t>
            </w:r>
          </w:p>
        </w:tc>
        <w:tc>
          <w:tcPr>
            <w:tcW w:w="1020" w:type="dxa"/>
            <w:noWrap/>
            <w:vAlign w:val="center"/>
            <w:hideMark/>
          </w:tcPr>
          <w:p w14:paraId="4D09C338" w14:textId="77777777" w:rsidR="00FE74B1" w:rsidRPr="00F505C6" w:rsidRDefault="00FE74B1" w:rsidP="00014DA6">
            <w:pPr>
              <w:pStyle w:val="TABLE"/>
              <w:jc w:val="center"/>
            </w:pPr>
            <w:r w:rsidRPr="00F505C6">
              <w:t>0</w:t>
            </w:r>
          </w:p>
        </w:tc>
        <w:tc>
          <w:tcPr>
            <w:tcW w:w="1020" w:type="dxa"/>
            <w:noWrap/>
            <w:vAlign w:val="center"/>
            <w:hideMark/>
          </w:tcPr>
          <w:p w14:paraId="0A932359" w14:textId="77777777" w:rsidR="00FE74B1" w:rsidRPr="00F505C6" w:rsidRDefault="00FE74B1" w:rsidP="00014DA6">
            <w:pPr>
              <w:pStyle w:val="TABLE"/>
              <w:jc w:val="center"/>
            </w:pPr>
            <w:r w:rsidRPr="00F505C6">
              <w:t>1</w:t>
            </w:r>
          </w:p>
        </w:tc>
        <w:tc>
          <w:tcPr>
            <w:tcW w:w="1020" w:type="dxa"/>
            <w:noWrap/>
            <w:vAlign w:val="center"/>
            <w:hideMark/>
          </w:tcPr>
          <w:p w14:paraId="49BFC54E" w14:textId="77777777" w:rsidR="00FE74B1" w:rsidRPr="00F505C6" w:rsidRDefault="00FE74B1" w:rsidP="00014DA6">
            <w:pPr>
              <w:pStyle w:val="TABLE"/>
              <w:jc w:val="center"/>
            </w:pPr>
            <w:r w:rsidRPr="00F505C6">
              <w:t>0</w:t>
            </w:r>
          </w:p>
        </w:tc>
        <w:tc>
          <w:tcPr>
            <w:tcW w:w="1020" w:type="dxa"/>
            <w:noWrap/>
            <w:vAlign w:val="center"/>
            <w:hideMark/>
          </w:tcPr>
          <w:p w14:paraId="5D010F1C" w14:textId="77777777" w:rsidR="00FE74B1" w:rsidRPr="00F505C6" w:rsidRDefault="00FE74B1" w:rsidP="00014DA6">
            <w:pPr>
              <w:pStyle w:val="TABLE"/>
              <w:jc w:val="center"/>
            </w:pPr>
            <w:r w:rsidRPr="00F505C6">
              <w:t>0</w:t>
            </w:r>
          </w:p>
        </w:tc>
        <w:tc>
          <w:tcPr>
            <w:tcW w:w="1020" w:type="dxa"/>
            <w:noWrap/>
            <w:vAlign w:val="center"/>
            <w:hideMark/>
          </w:tcPr>
          <w:p w14:paraId="0CAD93D8" w14:textId="77777777" w:rsidR="00FE74B1" w:rsidRPr="00F505C6" w:rsidRDefault="00FE74B1" w:rsidP="00014DA6">
            <w:pPr>
              <w:pStyle w:val="TABLE"/>
              <w:jc w:val="center"/>
            </w:pPr>
            <w:r w:rsidRPr="00F505C6">
              <w:t>4</w:t>
            </w:r>
          </w:p>
        </w:tc>
        <w:tc>
          <w:tcPr>
            <w:tcW w:w="1020" w:type="dxa"/>
            <w:noWrap/>
            <w:vAlign w:val="center"/>
            <w:hideMark/>
          </w:tcPr>
          <w:p w14:paraId="7A0D83CE" w14:textId="77777777" w:rsidR="00FE74B1" w:rsidRPr="00F505C6" w:rsidRDefault="00FE74B1" w:rsidP="00014DA6">
            <w:pPr>
              <w:pStyle w:val="TABLE"/>
              <w:jc w:val="center"/>
            </w:pPr>
            <w:r w:rsidRPr="00F505C6">
              <w:t>1</w:t>
            </w:r>
          </w:p>
        </w:tc>
        <w:tc>
          <w:tcPr>
            <w:tcW w:w="1020" w:type="dxa"/>
            <w:noWrap/>
            <w:hideMark/>
          </w:tcPr>
          <w:p w14:paraId="73867AD5" w14:textId="77777777" w:rsidR="00FE74B1" w:rsidRPr="00F505C6" w:rsidRDefault="00FE74B1" w:rsidP="00FE74B1">
            <w:pPr>
              <w:pStyle w:val="TABLE"/>
            </w:pPr>
            <w:r w:rsidRPr="00F505C6">
              <w:t>0.974</w:t>
            </w:r>
          </w:p>
        </w:tc>
      </w:tr>
      <w:tr w:rsidR="0029602D" w:rsidRPr="00F505C6" w14:paraId="39E125BC" w14:textId="77777777" w:rsidTr="00014DA6">
        <w:trPr>
          <w:trHeight w:val="320"/>
        </w:trPr>
        <w:tc>
          <w:tcPr>
            <w:tcW w:w="1020" w:type="dxa"/>
            <w:noWrap/>
            <w:vAlign w:val="center"/>
            <w:hideMark/>
          </w:tcPr>
          <w:p w14:paraId="249FF5AD" w14:textId="77777777" w:rsidR="00FE74B1" w:rsidRPr="00F505C6" w:rsidRDefault="00FE74B1" w:rsidP="00014DA6">
            <w:pPr>
              <w:pStyle w:val="TABLE"/>
              <w:jc w:val="center"/>
            </w:pPr>
            <w:r w:rsidRPr="00F505C6">
              <w:t>1</w:t>
            </w:r>
          </w:p>
        </w:tc>
        <w:tc>
          <w:tcPr>
            <w:tcW w:w="1020" w:type="dxa"/>
            <w:noWrap/>
            <w:vAlign w:val="center"/>
            <w:hideMark/>
          </w:tcPr>
          <w:p w14:paraId="27A0B089" w14:textId="77777777" w:rsidR="00FE74B1" w:rsidRPr="00F505C6" w:rsidRDefault="00FE74B1" w:rsidP="00014DA6">
            <w:pPr>
              <w:pStyle w:val="TABLE"/>
              <w:jc w:val="center"/>
            </w:pPr>
            <w:r w:rsidRPr="00F505C6">
              <w:t>0</w:t>
            </w:r>
          </w:p>
        </w:tc>
        <w:tc>
          <w:tcPr>
            <w:tcW w:w="1020" w:type="dxa"/>
            <w:noWrap/>
            <w:vAlign w:val="center"/>
            <w:hideMark/>
          </w:tcPr>
          <w:p w14:paraId="5AA14492" w14:textId="77777777" w:rsidR="00FE74B1" w:rsidRPr="00F505C6" w:rsidRDefault="00FE74B1" w:rsidP="00014DA6">
            <w:pPr>
              <w:pStyle w:val="TABLE"/>
              <w:jc w:val="center"/>
            </w:pPr>
            <w:r w:rsidRPr="00F505C6">
              <w:t>0</w:t>
            </w:r>
          </w:p>
        </w:tc>
        <w:tc>
          <w:tcPr>
            <w:tcW w:w="1020" w:type="dxa"/>
            <w:noWrap/>
            <w:vAlign w:val="center"/>
            <w:hideMark/>
          </w:tcPr>
          <w:p w14:paraId="77D075D8" w14:textId="77777777" w:rsidR="00FE74B1" w:rsidRPr="00F505C6" w:rsidRDefault="00FE74B1" w:rsidP="00014DA6">
            <w:pPr>
              <w:pStyle w:val="TABLE"/>
              <w:jc w:val="center"/>
            </w:pPr>
            <w:r w:rsidRPr="00F505C6">
              <w:t>1</w:t>
            </w:r>
          </w:p>
        </w:tc>
        <w:tc>
          <w:tcPr>
            <w:tcW w:w="1020" w:type="dxa"/>
            <w:noWrap/>
            <w:vAlign w:val="center"/>
            <w:hideMark/>
          </w:tcPr>
          <w:p w14:paraId="1345D363" w14:textId="77777777" w:rsidR="00FE74B1" w:rsidRPr="00F505C6" w:rsidRDefault="00FE74B1" w:rsidP="00014DA6">
            <w:pPr>
              <w:pStyle w:val="TABLE"/>
              <w:jc w:val="center"/>
            </w:pPr>
            <w:r w:rsidRPr="00F505C6">
              <w:t>1</w:t>
            </w:r>
          </w:p>
        </w:tc>
        <w:tc>
          <w:tcPr>
            <w:tcW w:w="1020" w:type="dxa"/>
            <w:noWrap/>
            <w:vAlign w:val="center"/>
            <w:hideMark/>
          </w:tcPr>
          <w:p w14:paraId="78CB3070" w14:textId="77777777" w:rsidR="00FE74B1" w:rsidRPr="00F505C6" w:rsidRDefault="00FE74B1" w:rsidP="00014DA6">
            <w:pPr>
              <w:pStyle w:val="TABLE"/>
              <w:jc w:val="center"/>
            </w:pPr>
            <w:r w:rsidRPr="00F505C6">
              <w:t>1</w:t>
            </w:r>
          </w:p>
        </w:tc>
        <w:tc>
          <w:tcPr>
            <w:tcW w:w="1020" w:type="dxa"/>
            <w:noWrap/>
            <w:vAlign w:val="center"/>
            <w:hideMark/>
          </w:tcPr>
          <w:p w14:paraId="260E30B9" w14:textId="77777777" w:rsidR="00FE74B1" w:rsidRPr="00F505C6" w:rsidRDefault="00FE74B1" w:rsidP="00014DA6">
            <w:pPr>
              <w:pStyle w:val="TABLE"/>
              <w:jc w:val="center"/>
            </w:pPr>
            <w:r w:rsidRPr="00F505C6">
              <w:t>12</w:t>
            </w:r>
          </w:p>
        </w:tc>
        <w:tc>
          <w:tcPr>
            <w:tcW w:w="1020" w:type="dxa"/>
            <w:noWrap/>
            <w:vAlign w:val="center"/>
            <w:hideMark/>
          </w:tcPr>
          <w:p w14:paraId="097002C0" w14:textId="77777777" w:rsidR="00FE74B1" w:rsidRPr="00F505C6" w:rsidRDefault="00FE74B1" w:rsidP="00014DA6">
            <w:pPr>
              <w:pStyle w:val="TABLE"/>
              <w:jc w:val="center"/>
            </w:pPr>
            <w:r w:rsidRPr="00F505C6">
              <w:t>1</w:t>
            </w:r>
          </w:p>
        </w:tc>
        <w:tc>
          <w:tcPr>
            <w:tcW w:w="1020" w:type="dxa"/>
            <w:noWrap/>
            <w:hideMark/>
          </w:tcPr>
          <w:p w14:paraId="2926358D" w14:textId="77777777" w:rsidR="00FE74B1" w:rsidRPr="00F505C6" w:rsidRDefault="00FE74B1" w:rsidP="00FE74B1">
            <w:pPr>
              <w:pStyle w:val="TABLE"/>
            </w:pPr>
            <w:r w:rsidRPr="00F505C6">
              <w:t>0.973</w:t>
            </w:r>
          </w:p>
        </w:tc>
      </w:tr>
      <w:tr w:rsidR="0029602D" w:rsidRPr="00F505C6" w14:paraId="64814A11" w14:textId="77777777" w:rsidTr="00014DA6">
        <w:trPr>
          <w:trHeight w:val="320"/>
        </w:trPr>
        <w:tc>
          <w:tcPr>
            <w:tcW w:w="1020" w:type="dxa"/>
            <w:noWrap/>
            <w:vAlign w:val="center"/>
            <w:hideMark/>
          </w:tcPr>
          <w:p w14:paraId="0D716A07" w14:textId="77777777" w:rsidR="00FE74B1" w:rsidRPr="00F505C6" w:rsidRDefault="00FE74B1" w:rsidP="00014DA6">
            <w:pPr>
              <w:pStyle w:val="TABLE"/>
              <w:jc w:val="center"/>
            </w:pPr>
            <w:r w:rsidRPr="00F505C6">
              <w:t>0</w:t>
            </w:r>
          </w:p>
        </w:tc>
        <w:tc>
          <w:tcPr>
            <w:tcW w:w="1020" w:type="dxa"/>
            <w:noWrap/>
            <w:vAlign w:val="center"/>
            <w:hideMark/>
          </w:tcPr>
          <w:p w14:paraId="52FD4205" w14:textId="77777777" w:rsidR="00FE74B1" w:rsidRPr="00F505C6" w:rsidRDefault="00FE74B1" w:rsidP="00014DA6">
            <w:pPr>
              <w:pStyle w:val="TABLE"/>
              <w:jc w:val="center"/>
            </w:pPr>
            <w:r w:rsidRPr="00F505C6">
              <w:t>1</w:t>
            </w:r>
          </w:p>
        </w:tc>
        <w:tc>
          <w:tcPr>
            <w:tcW w:w="1020" w:type="dxa"/>
            <w:noWrap/>
            <w:vAlign w:val="center"/>
            <w:hideMark/>
          </w:tcPr>
          <w:p w14:paraId="58DA8B7D" w14:textId="77777777" w:rsidR="00FE74B1" w:rsidRPr="00F505C6" w:rsidRDefault="00FE74B1" w:rsidP="00014DA6">
            <w:pPr>
              <w:pStyle w:val="TABLE"/>
              <w:jc w:val="center"/>
            </w:pPr>
            <w:r w:rsidRPr="00F505C6">
              <w:t>0</w:t>
            </w:r>
          </w:p>
        </w:tc>
        <w:tc>
          <w:tcPr>
            <w:tcW w:w="1020" w:type="dxa"/>
            <w:noWrap/>
            <w:vAlign w:val="center"/>
            <w:hideMark/>
          </w:tcPr>
          <w:p w14:paraId="532613CC" w14:textId="77777777" w:rsidR="00FE74B1" w:rsidRPr="00F505C6" w:rsidRDefault="00FE74B1" w:rsidP="00014DA6">
            <w:pPr>
              <w:pStyle w:val="TABLE"/>
              <w:jc w:val="center"/>
            </w:pPr>
            <w:r w:rsidRPr="00F505C6">
              <w:t>1</w:t>
            </w:r>
          </w:p>
        </w:tc>
        <w:tc>
          <w:tcPr>
            <w:tcW w:w="1020" w:type="dxa"/>
            <w:noWrap/>
            <w:vAlign w:val="center"/>
            <w:hideMark/>
          </w:tcPr>
          <w:p w14:paraId="76D26DB2" w14:textId="77777777" w:rsidR="00FE74B1" w:rsidRPr="00F505C6" w:rsidRDefault="00FE74B1" w:rsidP="00014DA6">
            <w:pPr>
              <w:pStyle w:val="TABLE"/>
              <w:jc w:val="center"/>
            </w:pPr>
            <w:r w:rsidRPr="00F505C6">
              <w:t>0</w:t>
            </w:r>
          </w:p>
        </w:tc>
        <w:tc>
          <w:tcPr>
            <w:tcW w:w="1020" w:type="dxa"/>
            <w:noWrap/>
            <w:vAlign w:val="center"/>
            <w:hideMark/>
          </w:tcPr>
          <w:p w14:paraId="01C737C9" w14:textId="77777777" w:rsidR="00FE74B1" w:rsidRPr="00F505C6" w:rsidRDefault="00FE74B1" w:rsidP="00014DA6">
            <w:pPr>
              <w:pStyle w:val="TABLE"/>
              <w:jc w:val="center"/>
            </w:pPr>
            <w:r w:rsidRPr="00F505C6">
              <w:t>0</w:t>
            </w:r>
          </w:p>
        </w:tc>
        <w:tc>
          <w:tcPr>
            <w:tcW w:w="1020" w:type="dxa"/>
            <w:noWrap/>
            <w:vAlign w:val="center"/>
            <w:hideMark/>
          </w:tcPr>
          <w:p w14:paraId="52B3BFB5" w14:textId="77777777" w:rsidR="00FE74B1" w:rsidRPr="00F505C6" w:rsidRDefault="00FE74B1" w:rsidP="00014DA6">
            <w:pPr>
              <w:pStyle w:val="TABLE"/>
              <w:jc w:val="center"/>
            </w:pPr>
            <w:r w:rsidRPr="00F505C6">
              <w:t>3</w:t>
            </w:r>
          </w:p>
        </w:tc>
        <w:tc>
          <w:tcPr>
            <w:tcW w:w="1020" w:type="dxa"/>
            <w:noWrap/>
            <w:vAlign w:val="center"/>
            <w:hideMark/>
          </w:tcPr>
          <w:p w14:paraId="54CE6A9B" w14:textId="77777777" w:rsidR="00FE74B1" w:rsidRPr="00F505C6" w:rsidRDefault="00FE74B1" w:rsidP="00014DA6">
            <w:pPr>
              <w:pStyle w:val="TABLE"/>
              <w:jc w:val="center"/>
            </w:pPr>
            <w:r w:rsidRPr="00F505C6">
              <w:t>1</w:t>
            </w:r>
          </w:p>
        </w:tc>
        <w:tc>
          <w:tcPr>
            <w:tcW w:w="1020" w:type="dxa"/>
            <w:noWrap/>
            <w:hideMark/>
          </w:tcPr>
          <w:p w14:paraId="0DDCA3B7" w14:textId="77777777" w:rsidR="00FE74B1" w:rsidRPr="00F505C6" w:rsidRDefault="00FE74B1" w:rsidP="00FE74B1">
            <w:pPr>
              <w:pStyle w:val="TABLE"/>
            </w:pPr>
            <w:r w:rsidRPr="00F505C6">
              <w:t>0.941</w:t>
            </w:r>
          </w:p>
        </w:tc>
      </w:tr>
      <w:tr w:rsidR="0029602D" w:rsidRPr="00F505C6" w14:paraId="4932B745" w14:textId="77777777" w:rsidTr="00014DA6">
        <w:trPr>
          <w:trHeight w:val="320"/>
        </w:trPr>
        <w:tc>
          <w:tcPr>
            <w:tcW w:w="1020" w:type="dxa"/>
            <w:noWrap/>
            <w:vAlign w:val="center"/>
            <w:hideMark/>
          </w:tcPr>
          <w:p w14:paraId="4F035CEB" w14:textId="77777777" w:rsidR="00FE74B1" w:rsidRPr="00F505C6" w:rsidRDefault="00FE74B1" w:rsidP="00014DA6">
            <w:pPr>
              <w:pStyle w:val="TABLE"/>
              <w:jc w:val="center"/>
            </w:pPr>
            <w:r w:rsidRPr="00F505C6">
              <w:t>1</w:t>
            </w:r>
          </w:p>
        </w:tc>
        <w:tc>
          <w:tcPr>
            <w:tcW w:w="1020" w:type="dxa"/>
            <w:noWrap/>
            <w:vAlign w:val="center"/>
            <w:hideMark/>
          </w:tcPr>
          <w:p w14:paraId="4F108F0B" w14:textId="77777777" w:rsidR="00FE74B1" w:rsidRPr="00F505C6" w:rsidRDefault="00FE74B1" w:rsidP="00014DA6">
            <w:pPr>
              <w:pStyle w:val="TABLE"/>
              <w:jc w:val="center"/>
            </w:pPr>
            <w:r w:rsidRPr="00F505C6">
              <w:t>0</w:t>
            </w:r>
          </w:p>
        </w:tc>
        <w:tc>
          <w:tcPr>
            <w:tcW w:w="1020" w:type="dxa"/>
            <w:noWrap/>
            <w:vAlign w:val="center"/>
            <w:hideMark/>
          </w:tcPr>
          <w:p w14:paraId="494C7382" w14:textId="77777777" w:rsidR="00FE74B1" w:rsidRPr="00F505C6" w:rsidRDefault="00FE74B1" w:rsidP="00014DA6">
            <w:pPr>
              <w:pStyle w:val="TABLE"/>
              <w:jc w:val="center"/>
            </w:pPr>
            <w:r w:rsidRPr="00F505C6">
              <w:t>0</w:t>
            </w:r>
          </w:p>
        </w:tc>
        <w:tc>
          <w:tcPr>
            <w:tcW w:w="1020" w:type="dxa"/>
            <w:noWrap/>
            <w:vAlign w:val="center"/>
            <w:hideMark/>
          </w:tcPr>
          <w:p w14:paraId="14F82C41" w14:textId="77777777" w:rsidR="00FE74B1" w:rsidRPr="00F505C6" w:rsidRDefault="00FE74B1" w:rsidP="00014DA6">
            <w:pPr>
              <w:pStyle w:val="TABLE"/>
              <w:jc w:val="center"/>
            </w:pPr>
            <w:r w:rsidRPr="00F505C6">
              <w:t>1</w:t>
            </w:r>
          </w:p>
        </w:tc>
        <w:tc>
          <w:tcPr>
            <w:tcW w:w="1020" w:type="dxa"/>
            <w:noWrap/>
            <w:vAlign w:val="center"/>
            <w:hideMark/>
          </w:tcPr>
          <w:p w14:paraId="0FC66DEB" w14:textId="77777777" w:rsidR="00FE74B1" w:rsidRPr="00F505C6" w:rsidRDefault="00FE74B1" w:rsidP="00014DA6">
            <w:pPr>
              <w:pStyle w:val="TABLE"/>
              <w:jc w:val="center"/>
            </w:pPr>
            <w:r w:rsidRPr="00F505C6">
              <w:t>0</w:t>
            </w:r>
          </w:p>
        </w:tc>
        <w:tc>
          <w:tcPr>
            <w:tcW w:w="1020" w:type="dxa"/>
            <w:noWrap/>
            <w:vAlign w:val="center"/>
            <w:hideMark/>
          </w:tcPr>
          <w:p w14:paraId="4A737B9B" w14:textId="77777777" w:rsidR="00FE74B1" w:rsidRPr="00F505C6" w:rsidRDefault="00FE74B1" w:rsidP="00014DA6">
            <w:pPr>
              <w:pStyle w:val="TABLE"/>
              <w:jc w:val="center"/>
            </w:pPr>
            <w:r w:rsidRPr="00F505C6">
              <w:t>0</w:t>
            </w:r>
          </w:p>
        </w:tc>
        <w:tc>
          <w:tcPr>
            <w:tcW w:w="1020" w:type="dxa"/>
            <w:noWrap/>
            <w:vAlign w:val="center"/>
            <w:hideMark/>
          </w:tcPr>
          <w:p w14:paraId="4B59BBBB" w14:textId="77777777" w:rsidR="00FE74B1" w:rsidRPr="00F505C6" w:rsidRDefault="00FE74B1" w:rsidP="00014DA6">
            <w:pPr>
              <w:pStyle w:val="TABLE"/>
              <w:jc w:val="center"/>
            </w:pPr>
            <w:r w:rsidRPr="00F505C6">
              <w:t>4</w:t>
            </w:r>
          </w:p>
        </w:tc>
        <w:tc>
          <w:tcPr>
            <w:tcW w:w="1020" w:type="dxa"/>
            <w:noWrap/>
            <w:vAlign w:val="center"/>
            <w:hideMark/>
          </w:tcPr>
          <w:p w14:paraId="4C83C748" w14:textId="77777777" w:rsidR="00FE74B1" w:rsidRPr="00F505C6" w:rsidRDefault="00FE74B1" w:rsidP="00014DA6">
            <w:pPr>
              <w:pStyle w:val="TABLE"/>
              <w:jc w:val="center"/>
            </w:pPr>
            <w:r w:rsidRPr="00F505C6">
              <w:t>1</w:t>
            </w:r>
          </w:p>
        </w:tc>
        <w:tc>
          <w:tcPr>
            <w:tcW w:w="1020" w:type="dxa"/>
            <w:noWrap/>
            <w:hideMark/>
          </w:tcPr>
          <w:p w14:paraId="7680E088" w14:textId="77777777" w:rsidR="00FE74B1" w:rsidRPr="00F505C6" w:rsidRDefault="00FE74B1" w:rsidP="00FE74B1">
            <w:pPr>
              <w:pStyle w:val="TABLE"/>
            </w:pPr>
            <w:r w:rsidRPr="00F505C6">
              <w:t>0.919</w:t>
            </w:r>
          </w:p>
        </w:tc>
      </w:tr>
      <w:tr w:rsidR="0029602D" w:rsidRPr="00F505C6" w14:paraId="1BD61F44" w14:textId="77777777" w:rsidTr="00014DA6">
        <w:trPr>
          <w:trHeight w:val="320"/>
        </w:trPr>
        <w:tc>
          <w:tcPr>
            <w:tcW w:w="1020" w:type="dxa"/>
            <w:noWrap/>
            <w:vAlign w:val="center"/>
            <w:hideMark/>
          </w:tcPr>
          <w:p w14:paraId="39ADA144" w14:textId="77777777" w:rsidR="00FE74B1" w:rsidRPr="00F505C6" w:rsidRDefault="00FE74B1" w:rsidP="00014DA6">
            <w:pPr>
              <w:pStyle w:val="TABLE"/>
              <w:jc w:val="center"/>
            </w:pPr>
            <w:r w:rsidRPr="00F505C6">
              <w:t>1</w:t>
            </w:r>
          </w:p>
        </w:tc>
        <w:tc>
          <w:tcPr>
            <w:tcW w:w="1020" w:type="dxa"/>
            <w:noWrap/>
            <w:vAlign w:val="center"/>
            <w:hideMark/>
          </w:tcPr>
          <w:p w14:paraId="55108751" w14:textId="77777777" w:rsidR="00FE74B1" w:rsidRPr="00F505C6" w:rsidRDefault="00FE74B1" w:rsidP="00014DA6">
            <w:pPr>
              <w:pStyle w:val="TABLE"/>
              <w:jc w:val="center"/>
            </w:pPr>
            <w:r w:rsidRPr="00F505C6">
              <w:t>1</w:t>
            </w:r>
          </w:p>
        </w:tc>
        <w:tc>
          <w:tcPr>
            <w:tcW w:w="1020" w:type="dxa"/>
            <w:noWrap/>
            <w:vAlign w:val="center"/>
            <w:hideMark/>
          </w:tcPr>
          <w:p w14:paraId="7624118E" w14:textId="77777777" w:rsidR="00FE74B1" w:rsidRPr="00F505C6" w:rsidRDefault="00FE74B1" w:rsidP="00014DA6">
            <w:pPr>
              <w:pStyle w:val="TABLE"/>
              <w:jc w:val="center"/>
            </w:pPr>
            <w:r w:rsidRPr="00F505C6">
              <w:t>0</w:t>
            </w:r>
          </w:p>
        </w:tc>
        <w:tc>
          <w:tcPr>
            <w:tcW w:w="1020" w:type="dxa"/>
            <w:noWrap/>
            <w:vAlign w:val="center"/>
            <w:hideMark/>
          </w:tcPr>
          <w:p w14:paraId="60C25A56" w14:textId="77777777" w:rsidR="00FE74B1" w:rsidRPr="00F505C6" w:rsidRDefault="00FE74B1" w:rsidP="00014DA6">
            <w:pPr>
              <w:pStyle w:val="TABLE"/>
              <w:jc w:val="center"/>
            </w:pPr>
            <w:r w:rsidRPr="00F505C6">
              <w:t>1</w:t>
            </w:r>
          </w:p>
        </w:tc>
        <w:tc>
          <w:tcPr>
            <w:tcW w:w="1020" w:type="dxa"/>
            <w:noWrap/>
            <w:vAlign w:val="center"/>
            <w:hideMark/>
          </w:tcPr>
          <w:p w14:paraId="1B1088DC" w14:textId="77777777" w:rsidR="00FE74B1" w:rsidRPr="00F505C6" w:rsidRDefault="00FE74B1" w:rsidP="00014DA6">
            <w:pPr>
              <w:pStyle w:val="TABLE"/>
              <w:jc w:val="center"/>
            </w:pPr>
            <w:r w:rsidRPr="00F505C6">
              <w:t>0</w:t>
            </w:r>
          </w:p>
        </w:tc>
        <w:tc>
          <w:tcPr>
            <w:tcW w:w="1020" w:type="dxa"/>
            <w:noWrap/>
            <w:vAlign w:val="center"/>
            <w:hideMark/>
          </w:tcPr>
          <w:p w14:paraId="645F1DD0" w14:textId="77777777" w:rsidR="00FE74B1" w:rsidRPr="00F505C6" w:rsidRDefault="00FE74B1" w:rsidP="00014DA6">
            <w:pPr>
              <w:pStyle w:val="TABLE"/>
              <w:jc w:val="center"/>
            </w:pPr>
            <w:r w:rsidRPr="00F505C6">
              <w:t>1</w:t>
            </w:r>
          </w:p>
        </w:tc>
        <w:tc>
          <w:tcPr>
            <w:tcW w:w="1020" w:type="dxa"/>
            <w:noWrap/>
            <w:vAlign w:val="center"/>
            <w:hideMark/>
          </w:tcPr>
          <w:p w14:paraId="30078FC0" w14:textId="77777777" w:rsidR="00FE74B1" w:rsidRPr="00F505C6" w:rsidRDefault="00FE74B1" w:rsidP="00014DA6">
            <w:pPr>
              <w:pStyle w:val="TABLE"/>
              <w:jc w:val="center"/>
            </w:pPr>
            <w:r w:rsidRPr="00F505C6">
              <w:t>5</w:t>
            </w:r>
          </w:p>
        </w:tc>
        <w:tc>
          <w:tcPr>
            <w:tcW w:w="1020" w:type="dxa"/>
            <w:noWrap/>
            <w:vAlign w:val="center"/>
            <w:hideMark/>
          </w:tcPr>
          <w:p w14:paraId="2D2294C3" w14:textId="77777777" w:rsidR="00FE74B1" w:rsidRPr="00F505C6" w:rsidRDefault="00FE74B1" w:rsidP="00014DA6">
            <w:pPr>
              <w:pStyle w:val="TABLE"/>
              <w:jc w:val="center"/>
            </w:pPr>
            <w:r w:rsidRPr="00F505C6">
              <w:t>1</w:t>
            </w:r>
          </w:p>
        </w:tc>
        <w:tc>
          <w:tcPr>
            <w:tcW w:w="1020" w:type="dxa"/>
            <w:noWrap/>
            <w:hideMark/>
          </w:tcPr>
          <w:p w14:paraId="22B1D8C7" w14:textId="77777777" w:rsidR="00FE74B1" w:rsidRPr="00F505C6" w:rsidRDefault="00FE74B1" w:rsidP="00FE74B1">
            <w:pPr>
              <w:pStyle w:val="TABLE"/>
            </w:pPr>
            <w:r w:rsidRPr="00F505C6">
              <w:t>0.858</w:t>
            </w:r>
          </w:p>
        </w:tc>
      </w:tr>
      <w:tr w:rsidR="0029602D" w:rsidRPr="00F505C6" w14:paraId="6951A103" w14:textId="77777777" w:rsidTr="00014DA6">
        <w:trPr>
          <w:trHeight w:val="320"/>
        </w:trPr>
        <w:tc>
          <w:tcPr>
            <w:tcW w:w="1020" w:type="dxa"/>
            <w:noWrap/>
            <w:vAlign w:val="center"/>
            <w:hideMark/>
          </w:tcPr>
          <w:p w14:paraId="007A266F" w14:textId="77777777" w:rsidR="00FE74B1" w:rsidRPr="00F505C6" w:rsidRDefault="00FE74B1" w:rsidP="00014DA6">
            <w:pPr>
              <w:pStyle w:val="TABLE"/>
              <w:jc w:val="center"/>
            </w:pPr>
            <w:r w:rsidRPr="00F505C6">
              <w:t>1</w:t>
            </w:r>
          </w:p>
        </w:tc>
        <w:tc>
          <w:tcPr>
            <w:tcW w:w="1020" w:type="dxa"/>
            <w:noWrap/>
            <w:vAlign w:val="center"/>
            <w:hideMark/>
          </w:tcPr>
          <w:p w14:paraId="692122AD" w14:textId="77777777" w:rsidR="00FE74B1" w:rsidRPr="00F505C6" w:rsidRDefault="00FE74B1" w:rsidP="00014DA6">
            <w:pPr>
              <w:pStyle w:val="TABLE"/>
              <w:jc w:val="center"/>
            </w:pPr>
            <w:r w:rsidRPr="00F505C6">
              <w:t>0</w:t>
            </w:r>
          </w:p>
        </w:tc>
        <w:tc>
          <w:tcPr>
            <w:tcW w:w="1020" w:type="dxa"/>
            <w:noWrap/>
            <w:vAlign w:val="center"/>
            <w:hideMark/>
          </w:tcPr>
          <w:p w14:paraId="373C2316" w14:textId="77777777" w:rsidR="00FE74B1" w:rsidRPr="00F505C6" w:rsidRDefault="00FE74B1" w:rsidP="00014DA6">
            <w:pPr>
              <w:pStyle w:val="TABLE"/>
              <w:jc w:val="center"/>
            </w:pPr>
            <w:r w:rsidRPr="00F505C6">
              <w:t>0</w:t>
            </w:r>
          </w:p>
        </w:tc>
        <w:tc>
          <w:tcPr>
            <w:tcW w:w="1020" w:type="dxa"/>
            <w:noWrap/>
            <w:vAlign w:val="center"/>
            <w:hideMark/>
          </w:tcPr>
          <w:p w14:paraId="191AD8F0" w14:textId="77777777" w:rsidR="00FE74B1" w:rsidRPr="00F505C6" w:rsidRDefault="00FE74B1" w:rsidP="00014DA6">
            <w:pPr>
              <w:pStyle w:val="TABLE"/>
              <w:jc w:val="center"/>
            </w:pPr>
            <w:r w:rsidRPr="00F505C6">
              <w:t>1</w:t>
            </w:r>
          </w:p>
        </w:tc>
        <w:tc>
          <w:tcPr>
            <w:tcW w:w="1020" w:type="dxa"/>
            <w:noWrap/>
            <w:vAlign w:val="center"/>
            <w:hideMark/>
          </w:tcPr>
          <w:p w14:paraId="36012FC7" w14:textId="77777777" w:rsidR="00FE74B1" w:rsidRPr="00F505C6" w:rsidRDefault="00FE74B1" w:rsidP="00014DA6">
            <w:pPr>
              <w:pStyle w:val="TABLE"/>
              <w:jc w:val="center"/>
            </w:pPr>
            <w:r w:rsidRPr="00F505C6">
              <w:t>1</w:t>
            </w:r>
          </w:p>
        </w:tc>
        <w:tc>
          <w:tcPr>
            <w:tcW w:w="1020" w:type="dxa"/>
            <w:noWrap/>
            <w:vAlign w:val="center"/>
            <w:hideMark/>
          </w:tcPr>
          <w:p w14:paraId="6692AECC" w14:textId="77777777" w:rsidR="00FE74B1" w:rsidRPr="00F505C6" w:rsidRDefault="00FE74B1" w:rsidP="00014DA6">
            <w:pPr>
              <w:pStyle w:val="TABLE"/>
              <w:jc w:val="center"/>
            </w:pPr>
            <w:r w:rsidRPr="00F505C6">
              <w:t>0</w:t>
            </w:r>
          </w:p>
        </w:tc>
        <w:tc>
          <w:tcPr>
            <w:tcW w:w="1020" w:type="dxa"/>
            <w:noWrap/>
            <w:vAlign w:val="center"/>
            <w:hideMark/>
          </w:tcPr>
          <w:p w14:paraId="2448A938" w14:textId="77777777" w:rsidR="00FE74B1" w:rsidRPr="00F505C6" w:rsidRDefault="00FE74B1" w:rsidP="00014DA6">
            <w:pPr>
              <w:pStyle w:val="TABLE"/>
              <w:jc w:val="center"/>
            </w:pPr>
            <w:r w:rsidRPr="00F505C6">
              <w:t>3</w:t>
            </w:r>
          </w:p>
        </w:tc>
        <w:tc>
          <w:tcPr>
            <w:tcW w:w="1020" w:type="dxa"/>
            <w:noWrap/>
            <w:vAlign w:val="center"/>
            <w:hideMark/>
          </w:tcPr>
          <w:p w14:paraId="12908C68" w14:textId="77777777" w:rsidR="00FE74B1" w:rsidRPr="00F505C6" w:rsidRDefault="00FE74B1" w:rsidP="00014DA6">
            <w:pPr>
              <w:pStyle w:val="TABLE"/>
              <w:jc w:val="center"/>
            </w:pPr>
            <w:r w:rsidRPr="00F505C6">
              <w:t>1</w:t>
            </w:r>
          </w:p>
        </w:tc>
        <w:tc>
          <w:tcPr>
            <w:tcW w:w="1020" w:type="dxa"/>
            <w:noWrap/>
            <w:hideMark/>
          </w:tcPr>
          <w:p w14:paraId="4E673B10" w14:textId="77777777" w:rsidR="00FE74B1" w:rsidRPr="00F505C6" w:rsidRDefault="00FE74B1" w:rsidP="00FE74B1">
            <w:pPr>
              <w:pStyle w:val="TABLE"/>
            </w:pPr>
            <w:r w:rsidRPr="00F505C6">
              <w:t>0.856</w:t>
            </w:r>
          </w:p>
        </w:tc>
      </w:tr>
      <w:tr w:rsidR="0029602D" w:rsidRPr="00F505C6" w14:paraId="439A1E61" w14:textId="77777777" w:rsidTr="00014DA6">
        <w:trPr>
          <w:trHeight w:val="320"/>
        </w:trPr>
        <w:tc>
          <w:tcPr>
            <w:tcW w:w="1020" w:type="dxa"/>
            <w:noWrap/>
            <w:vAlign w:val="center"/>
            <w:hideMark/>
          </w:tcPr>
          <w:p w14:paraId="7B9AE5E0" w14:textId="77777777" w:rsidR="00FE74B1" w:rsidRPr="00F505C6" w:rsidRDefault="00FE74B1" w:rsidP="00014DA6">
            <w:pPr>
              <w:pStyle w:val="TABLE"/>
              <w:jc w:val="center"/>
            </w:pPr>
            <w:r w:rsidRPr="00F505C6">
              <w:t>1</w:t>
            </w:r>
          </w:p>
        </w:tc>
        <w:tc>
          <w:tcPr>
            <w:tcW w:w="1020" w:type="dxa"/>
            <w:noWrap/>
            <w:vAlign w:val="center"/>
            <w:hideMark/>
          </w:tcPr>
          <w:p w14:paraId="0071B0E6" w14:textId="77777777" w:rsidR="00FE74B1" w:rsidRPr="00F505C6" w:rsidRDefault="00FE74B1" w:rsidP="00014DA6">
            <w:pPr>
              <w:pStyle w:val="TABLE"/>
              <w:jc w:val="center"/>
            </w:pPr>
            <w:r w:rsidRPr="00F505C6">
              <w:t>1</w:t>
            </w:r>
          </w:p>
        </w:tc>
        <w:tc>
          <w:tcPr>
            <w:tcW w:w="1020" w:type="dxa"/>
            <w:noWrap/>
            <w:vAlign w:val="center"/>
            <w:hideMark/>
          </w:tcPr>
          <w:p w14:paraId="249C1809" w14:textId="77777777" w:rsidR="00FE74B1" w:rsidRPr="00F505C6" w:rsidRDefault="00FE74B1" w:rsidP="00014DA6">
            <w:pPr>
              <w:pStyle w:val="TABLE"/>
              <w:jc w:val="center"/>
            </w:pPr>
            <w:r w:rsidRPr="00F505C6">
              <w:t>1</w:t>
            </w:r>
          </w:p>
        </w:tc>
        <w:tc>
          <w:tcPr>
            <w:tcW w:w="1020" w:type="dxa"/>
            <w:noWrap/>
            <w:vAlign w:val="center"/>
            <w:hideMark/>
          </w:tcPr>
          <w:p w14:paraId="1352D8C1" w14:textId="77777777" w:rsidR="00FE74B1" w:rsidRPr="00F505C6" w:rsidRDefault="00FE74B1" w:rsidP="00014DA6">
            <w:pPr>
              <w:pStyle w:val="TABLE"/>
              <w:jc w:val="center"/>
            </w:pPr>
            <w:r w:rsidRPr="00F505C6">
              <w:t>1</w:t>
            </w:r>
          </w:p>
        </w:tc>
        <w:tc>
          <w:tcPr>
            <w:tcW w:w="1020" w:type="dxa"/>
            <w:noWrap/>
            <w:vAlign w:val="center"/>
            <w:hideMark/>
          </w:tcPr>
          <w:p w14:paraId="6C522E07" w14:textId="77777777" w:rsidR="00FE74B1" w:rsidRPr="00F505C6" w:rsidRDefault="00FE74B1" w:rsidP="00014DA6">
            <w:pPr>
              <w:pStyle w:val="TABLE"/>
              <w:jc w:val="center"/>
            </w:pPr>
            <w:r w:rsidRPr="00F505C6">
              <w:t>0</w:t>
            </w:r>
          </w:p>
        </w:tc>
        <w:tc>
          <w:tcPr>
            <w:tcW w:w="1020" w:type="dxa"/>
            <w:noWrap/>
            <w:vAlign w:val="center"/>
            <w:hideMark/>
          </w:tcPr>
          <w:p w14:paraId="27BCB6CC" w14:textId="77777777" w:rsidR="00FE74B1" w:rsidRPr="00F505C6" w:rsidRDefault="00FE74B1" w:rsidP="00014DA6">
            <w:pPr>
              <w:pStyle w:val="TABLE"/>
              <w:jc w:val="center"/>
            </w:pPr>
            <w:r w:rsidRPr="00F505C6">
              <w:t>1</w:t>
            </w:r>
          </w:p>
        </w:tc>
        <w:tc>
          <w:tcPr>
            <w:tcW w:w="1020" w:type="dxa"/>
            <w:noWrap/>
            <w:vAlign w:val="center"/>
            <w:hideMark/>
          </w:tcPr>
          <w:p w14:paraId="0DBD6FBA" w14:textId="77777777" w:rsidR="00FE74B1" w:rsidRPr="00F505C6" w:rsidRDefault="00FE74B1" w:rsidP="00014DA6">
            <w:pPr>
              <w:pStyle w:val="TABLE"/>
              <w:jc w:val="center"/>
            </w:pPr>
            <w:r w:rsidRPr="00F505C6">
              <w:t>4</w:t>
            </w:r>
          </w:p>
        </w:tc>
        <w:tc>
          <w:tcPr>
            <w:tcW w:w="1020" w:type="dxa"/>
            <w:noWrap/>
            <w:vAlign w:val="center"/>
            <w:hideMark/>
          </w:tcPr>
          <w:p w14:paraId="3773EE37" w14:textId="77777777" w:rsidR="00FE74B1" w:rsidRPr="00F505C6" w:rsidRDefault="00FE74B1" w:rsidP="00014DA6">
            <w:pPr>
              <w:pStyle w:val="TABLE"/>
              <w:jc w:val="center"/>
            </w:pPr>
            <w:r w:rsidRPr="00F505C6">
              <w:t>1</w:t>
            </w:r>
          </w:p>
        </w:tc>
        <w:tc>
          <w:tcPr>
            <w:tcW w:w="1020" w:type="dxa"/>
            <w:noWrap/>
            <w:hideMark/>
          </w:tcPr>
          <w:p w14:paraId="75867DEF" w14:textId="77777777" w:rsidR="00FE74B1" w:rsidRPr="00F505C6" w:rsidRDefault="00FE74B1" w:rsidP="00FE74B1">
            <w:pPr>
              <w:pStyle w:val="TABLE"/>
            </w:pPr>
            <w:r w:rsidRPr="00F505C6">
              <w:t>0.852</w:t>
            </w:r>
          </w:p>
        </w:tc>
      </w:tr>
      <w:tr w:rsidR="0029602D" w:rsidRPr="00F505C6" w14:paraId="261C7449" w14:textId="77777777" w:rsidTr="00014DA6">
        <w:trPr>
          <w:trHeight w:val="320"/>
        </w:trPr>
        <w:tc>
          <w:tcPr>
            <w:tcW w:w="1020" w:type="dxa"/>
            <w:noWrap/>
            <w:vAlign w:val="center"/>
            <w:hideMark/>
          </w:tcPr>
          <w:p w14:paraId="0A8C4017" w14:textId="77777777" w:rsidR="00FE74B1" w:rsidRPr="00F505C6" w:rsidRDefault="00FE74B1" w:rsidP="00014DA6">
            <w:pPr>
              <w:pStyle w:val="TABLE"/>
              <w:jc w:val="center"/>
            </w:pPr>
            <w:r w:rsidRPr="00F505C6">
              <w:t>1</w:t>
            </w:r>
          </w:p>
        </w:tc>
        <w:tc>
          <w:tcPr>
            <w:tcW w:w="1020" w:type="dxa"/>
            <w:noWrap/>
            <w:vAlign w:val="center"/>
            <w:hideMark/>
          </w:tcPr>
          <w:p w14:paraId="41836575" w14:textId="77777777" w:rsidR="00FE74B1" w:rsidRPr="00F505C6" w:rsidRDefault="00FE74B1" w:rsidP="00014DA6">
            <w:pPr>
              <w:pStyle w:val="TABLE"/>
              <w:jc w:val="center"/>
            </w:pPr>
            <w:r w:rsidRPr="00F505C6">
              <w:t>0</w:t>
            </w:r>
          </w:p>
        </w:tc>
        <w:tc>
          <w:tcPr>
            <w:tcW w:w="1020" w:type="dxa"/>
            <w:noWrap/>
            <w:vAlign w:val="center"/>
            <w:hideMark/>
          </w:tcPr>
          <w:p w14:paraId="68D80EB2" w14:textId="77777777" w:rsidR="00FE74B1" w:rsidRPr="00F505C6" w:rsidRDefault="00FE74B1" w:rsidP="00014DA6">
            <w:pPr>
              <w:pStyle w:val="TABLE"/>
              <w:jc w:val="center"/>
            </w:pPr>
            <w:r w:rsidRPr="00F505C6">
              <w:t>1</w:t>
            </w:r>
          </w:p>
        </w:tc>
        <w:tc>
          <w:tcPr>
            <w:tcW w:w="1020" w:type="dxa"/>
            <w:noWrap/>
            <w:vAlign w:val="center"/>
            <w:hideMark/>
          </w:tcPr>
          <w:p w14:paraId="43B8B0A9" w14:textId="77777777" w:rsidR="00FE74B1" w:rsidRPr="00F505C6" w:rsidRDefault="00FE74B1" w:rsidP="00014DA6">
            <w:pPr>
              <w:pStyle w:val="TABLE"/>
              <w:jc w:val="center"/>
            </w:pPr>
            <w:r w:rsidRPr="00F505C6">
              <w:t>1</w:t>
            </w:r>
          </w:p>
        </w:tc>
        <w:tc>
          <w:tcPr>
            <w:tcW w:w="1020" w:type="dxa"/>
            <w:noWrap/>
            <w:vAlign w:val="center"/>
            <w:hideMark/>
          </w:tcPr>
          <w:p w14:paraId="1F5E0FC0" w14:textId="77777777" w:rsidR="00FE74B1" w:rsidRPr="00F505C6" w:rsidRDefault="00FE74B1" w:rsidP="00014DA6">
            <w:pPr>
              <w:pStyle w:val="TABLE"/>
              <w:jc w:val="center"/>
            </w:pPr>
            <w:r w:rsidRPr="00F505C6">
              <w:t>1</w:t>
            </w:r>
          </w:p>
        </w:tc>
        <w:tc>
          <w:tcPr>
            <w:tcW w:w="1020" w:type="dxa"/>
            <w:noWrap/>
            <w:vAlign w:val="center"/>
            <w:hideMark/>
          </w:tcPr>
          <w:p w14:paraId="768EEFBF" w14:textId="77777777" w:rsidR="00FE74B1" w:rsidRPr="00F505C6" w:rsidRDefault="00FE74B1" w:rsidP="00014DA6">
            <w:pPr>
              <w:pStyle w:val="TABLE"/>
              <w:jc w:val="center"/>
            </w:pPr>
            <w:r w:rsidRPr="00F505C6">
              <w:t>0</w:t>
            </w:r>
          </w:p>
        </w:tc>
        <w:tc>
          <w:tcPr>
            <w:tcW w:w="1020" w:type="dxa"/>
            <w:noWrap/>
            <w:vAlign w:val="center"/>
            <w:hideMark/>
          </w:tcPr>
          <w:p w14:paraId="649058A9" w14:textId="77777777" w:rsidR="00FE74B1" w:rsidRPr="00F505C6" w:rsidRDefault="00FE74B1" w:rsidP="00014DA6">
            <w:pPr>
              <w:pStyle w:val="TABLE"/>
              <w:jc w:val="center"/>
            </w:pPr>
            <w:r w:rsidRPr="00F505C6">
              <w:t>3</w:t>
            </w:r>
          </w:p>
        </w:tc>
        <w:tc>
          <w:tcPr>
            <w:tcW w:w="1020" w:type="dxa"/>
            <w:noWrap/>
            <w:vAlign w:val="center"/>
            <w:hideMark/>
          </w:tcPr>
          <w:p w14:paraId="10A6495A" w14:textId="77777777" w:rsidR="00FE74B1" w:rsidRPr="00F505C6" w:rsidRDefault="00FE74B1" w:rsidP="00014DA6">
            <w:pPr>
              <w:pStyle w:val="TABLE"/>
              <w:jc w:val="center"/>
            </w:pPr>
            <w:r w:rsidRPr="00F505C6">
              <w:t>1</w:t>
            </w:r>
          </w:p>
        </w:tc>
        <w:tc>
          <w:tcPr>
            <w:tcW w:w="1020" w:type="dxa"/>
            <w:noWrap/>
            <w:hideMark/>
          </w:tcPr>
          <w:p w14:paraId="5658C222" w14:textId="77777777" w:rsidR="00FE74B1" w:rsidRPr="00F505C6" w:rsidRDefault="00FE74B1" w:rsidP="00FE74B1">
            <w:pPr>
              <w:pStyle w:val="TABLE"/>
            </w:pPr>
            <w:r w:rsidRPr="00F505C6">
              <w:t>0.838</w:t>
            </w:r>
          </w:p>
        </w:tc>
      </w:tr>
      <w:tr w:rsidR="0029602D" w:rsidRPr="00F505C6" w14:paraId="46BFBA99" w14:textId="77777777" w:rsidTr="00014DA6">
        <w:trPr>
          <w:trHeight w:val="320"/>
        </w:trPr>
        <w:tc>
          <w:tcPr>
            <w:tcW w:w="1020" w:type="dxa"/>
            <w:noWrap/>
            <w:vAlign w:val="center"/>
            <w:hideMark/>
          </w:tcPr>
          <w:p w14:paraId="2CA5D782" w14:textId="77777777" w:rsidR="00FE74B1" w:rsidRPr="00F505C6" w:rsidRDefault="00FE74B1" w:rsidP="00014DA6">
            <w:pPr>
              <w:pStyle w:val="TABLE"/>
              <w:jc w:val="center"/>
            </w:pPr>
            <w:r w:rsidRPr="00F505C6">
              <w:t>1</w:t>
            </w:r>
          </w:p>
        </w:tc>
        <w:tc>
          <w:tcPr>
            <w:tcW w:w="1020" w:type="dxa"/>
            <w:noWrap/>
            <w:vAlign w:val="center"/>
            <w:hideMark/>
          </w:tcPr>
          <w:p w14:paraId="71495889" w14:textId="77777777" w:rsidR="00FE74B1" w:rsidRPr="00F505C6" w:rsidRDefault="00FE74B1" w:rsidP="00014DA6">
            <w:pPr>
              <w:pStyle w:val="TABLE"/>
              <w:jc w:val="center"/>
            </w:pPr>
            <w:r w:rsidRPr="00F505C6">
              <w:t>1</w:t>
            </w:r>
          </w:p>
        </w:tc>
        <w:tc>
          <w:tcPr>
            <w:tcW w:w="1020" w:type="dxa"/>
            <w:noWrap/>
            <w:vAlign w:val="center"/>
            <w:hideMark/>
          </w:tcPr>
          <w:p w14:paraId="25D67675" w14:textId="77777777" w:rsidR="00FE74B1" w:rsidRPr="00F505C6" w:rsidRDefault="00FE74B1" w:rsidP="00014DA6">
            <w:pPr>
              <w:pStyle w:val="TABLE"/>
              <w:jc w:val="center"/>
            </w:pPr>
            <w:r w:rsidRPr="00F505C6">
              <w:t>0</w:t>
            </w:r>
          </w:p>
        </w:tc>
        <w:tc>
          <w:tcPr>
            <w:tcW w:w="1020" w:type="dxa"/>
            <w:noWrap/>
            <w:vAlign w:val="center"/>
            <w:hideMark/>
          </w:tcPr>
          <w:p w14:paraId="2F8B358E" w14:textId="77777777" w:rsidR="00FE74B1" w:rsidRPr="00F505C6" w:rsidRDefault="00FE74B1" w:rsidP="00014DA6">
            <w:pPr>
              <w:pStyle w:val="TABLE"/>
              <w:jc w:val="center"/>
            </w:pPr>
            <w:r w:rsidRPr="00F505C6">
              <w:t>0</w:t>
            </w:r>
          </w:p>
        </w:tc>
        <w:tc>
          <w:tcPr>
            <w:tcW w:w="1020" w:type="dxa"/>
            <w:noWrap/>
            <w:vAlign w:val="center"/>
            <w:hideMark/>
          </w:tcPr>
          <w:p w14:paraId="0A925444" w14:textId="77777777" w:rsidR="00FE74B1" w:rsidRPr="00F505C6" w:rsidRDefault="00FE74B1" w:rsidP="00014DA6">
            <w:pPr>
              <w:pStyle w:val="TABLE"/>
              <w:jc w:val="center"/>
            </w:pPr>
            <w:r w:rsidRPr="00F505C6">
              <w:t>0</w:t>
            </w:r>
          </w:p>
        </w:tc>
        <w:tc>
          <w:tcPr>
            <w:tcW w:w="1020" w:type="dxa"/>
            <w:noWrap/>
            <w:vAlign w:val="center"/>
            <w:hideMark/>
          </w:tcPr>
          <w:p w14:paraId="2AB779B7" w14:textId="77777777" w:rsidR="00FE74B1" w:rsidRPr="00F505C6" w:rsidRDefault="00FE74B1" w:rsidP="00014DA6">
            <w:pPr>
              <w:pStyle w:val="TABLE"/>
              <w:jc w:val="center"/>
            </w:pPr>
            <w:r w:rsidRPr="00F505C6">
              <w:t>1</w:t>
            </w:r>
          </w:p>
        </w:tc>
        <w:tc>
          <w:tcPr>
            <w:tcW w:w="1020" w:type="dxa"/>
            <w:noWrap/>
            <w:vAlign w:val="center"/>
            <w:hideMark/>
          </w:tcPr>
          <w:p w14:paraId="5BC5201F" w14:textId="77777777" w:rsidR="00FE74B1" w:rsidRPr="00F505C6" w:rsidRDefault="00FE74B1" w:rsidP="00014DA6">
            <w:pPr>
              <w:pStyle w:val="TABLE"/>
              <w:jc w:val="center"/>
            </w:pPr>
            <w:r w:rsidRPr="00F505C6">
              <w:t>4</w:t>
            </w:r>
          </w:p>
        </w:tc>
        <w:tc>
          <w:tcPr>
            <w:tcW w:w="1020" w:type="dxa"/>
            <w:noWrap/>
            <w:vAlign w:val="center"/>
            <w:hideMark/>
          </w:tcPr>
          <w:p w14:paraId="346E1968" w14:textId="77777777" w:rsidR="00FE74B1" w:rsidRPr="00F505C6" w:rsidRDefault="00FE74B1" w:rsidP="00014DA6">
            <w:pPr>
              <w:pStyle w:val="TABLE"/>
              <w:jc w:val="center"/>
            </w:pPr>
            <w:r w:rsidRPr="00F505C6">
              <w:t>1</w:t>
            </w:r>
          </w:p>
        </w:tc>
        <w:tc>
          <w:tcPr>
            <w:tcW w:w="1020" w:type="dxa"/>
            <w:noWrap/>
            <w:hideMark/>
          </w:tcPr>
          <w:p w14:paraId="7ED183F1" w14:textId="77777777" w:rsidR="00FE74B1" w:rsidRPr="00F505C6" w:rsidRDefault="00FE74B1" w:rsidP="00FE74B1">
            <w:pPr>
              <w:pStyle w:val="TABLE"/>
            </w:pPr>
            <w:r w:rsidRPr="00F505C6">
              <w:t>0.833</w:t>
            </w:r>
          </w:p>
        </w:tc>
      </w:tr>
      <w:tr w:rsidR="0029602D" w:rsidRPr="00F505C6" w14:paraId="49BD11C4" w14:textId="77777777" w:rsidTr="00014DA6">
        <w:trPr>
          <w:trHeight w:val="320"/>
        </w:trPr>
        <w:tc>
          <w:tcPr>
            <w:tcW w:w="1020" w:type="dxa"/>
            <w:noWrap/>
            <w:vAlign w:val="center"/>
            <w:hideMark/>
          </w:tcPr>
          <w:p w14:paraId="446657C6" w14:textId="77777777" w:rsidR="00FE74B1" w:rsidRPr="00F505C6" w:rsidRDefault="00FE74B1" w:rsidP="00014DA6">
            <w:pPr>
              <w:pStyle w:val="TABLE"/>
              <w:jc w:val="center"/>
            </w:pPr>
            <w:r w:rsidRPr="00F505C6">
              <w:t>1</w:t>
            </w:r>
          </w:p>
        </w:tc>
        <w:tc>
          <w:tcPr>
            <w:tcW w:w="1020" w:type="dxa"/>
            <w:noWrap/>
            <w:vAlign w:val="center"/>
            <w:hideMark/>
          </w:tcPr>
          <w:p w14:paraId="254218C1" w14:textId="77777777" w:rsidR="00FE74B1" w:rsidRPr="00F505C6" w:rsidRDefault="00FE74B1" w:rsidP="00014DA6">
            <w:pPr>
              <w:pStyle w:val="TABLE"/>
              <w:jc w:val="center"/>
            </w:pPr>
            <w:r w:rsidRPr="00F505C6">
              <w:t>1</w:t>
            </w:r>
          </w:p>
        </w:tc>
        <w:tc>
          <w:tcPr>
            <w:tcW w:w="1020" w:type="dxa"/>
            <w:noWrap/>
            <w:vAlign w:val="center"/>
            <w:hideMark/>
          </w:tcPr>
          <w:p w14:paraId="73BC6513" w14:textId="77777777" w:rsidR="00FE74B1" w:rsidRPr="00F505C6" w:rsidRDefault="00FE74B1" w:rsidP="00014DA6">
            <w:pPr>
              <w:pStyle w:val="TABLE"/>
              <w:jc w:val="center"/>
            </w:pPr>
            <w:r w:rsidRPr="00F505C6">
              <w:t>1</w:t>
            </w:r>
          </w:p>
        </w:tc>
        <w:tc>
          <w:tcPr>
            <w:tcW w:w="1020" w:type="dxa"/>
            <w:noWrap/>
            <w:vAlign w:val="center"/>
            <w:hideMark/>
          </w:tcPr>
          <w:p w14:paraId="1D7E7640" w14:textId="77777777" w:rsidR="00FE74B1" w:rsidRPr="00F505C6" w:rsidRDefault="00FE74B1" w:rsidP="00014DA6">
            <w:pPr>
              <w:pStyle w:val="TABLE"/>
              <w:jc w:val="center"/>
            </w:pPr>
            <w:r w:rsidRPr="00F505C6">
              <w:t>0</w:t>
            </w:r>
          </w:p>
        </w:tc>
        <w:tc>
          <w:tcPr>
            <w:tcW w:w="1020" w:type="dxa"/>
            <w:noWrap/>
            <w:vAlign w:val="center"/>
            <w:hideMark/>
          </w:tcPr>
          <w:p w14:paraId="178B41E8" w14:textId="77777777" w:rsidR="00FE74B1" w:rsidRPr="00F505C6" w:rsidRDefault="00FE74B1" w:rsidP="00014DA6">
            <w:pPr>
              <w:pStyle w:val="TABLE"/>
              <w:jc w:val="center"/>
            </w:pPr>
            <w:r w:rsidRPr="00F505C6">
              <w:t>0</w:t>
            </w:r>
          </w:p>
        </w:tc>
        <w:tc>
          <w:tcPr>
            <w:tcW w:w="1020" w:type="dxa"/>
            <w:noWrap/>
            <w:vAlign w:val="center"/>
            <w:hideMark/>
          </w:tcPr>
          <w:p w14:paraId="546C0DCA" w14:textId="77777777" w:rsidR="00FE74B1" w:rsidRPr="00F505C6" w:rsidRDefault="00FE74B1" w:rsidP="00014DA6">
            <w:pPr>
              <w:pStyle w:val="TABLE"/>
              <w:jc w:val="center"/>
            </w:pPr>
            <w:r w:rsidRPr="00F505C6">
              <w:t>1</w:t>
            </w:r>
          </w:p>
        </w:tc>
        <w:tc>
          <w:tcPr>
            <w:tcW w:w="1020" w:type="dxa"/>
            <w:noWrap/>
            <w:vAlign w:val="center"/>
            <w:hideMark/>
          </w:tcPr>
          <w:p w14:paraId="5059D42D" w14:textId="77777777" w:rsidR="00FE74B1" w:rsidRPr="00F505C6" w:rsidRDefault="00FE74B1" w:rsidP="00014DA6">
            <w:pPr>
              <w:pStyle w:val="TABLE"/>
              <w:jc w:val="center"/>
            </w:pPr>
            <w:r w:rsidRPr="00F505C6">
              <w:t>3</w:t>
            </w:r>
          </w:p>
        </w:tc>
        <w:tc>
          <w:tcPr>
            <w:tcW w:w="1020" w:type="dxa"/>
            <w:noWrap/>
            <w:vAlign w:val="center"/>
            <w:hideMark/>
          </w:tcPr>
          <w:p w14:paraId="212D9B5D" w14:textId="77777777" w:rsidR="00FE74B1" w:rsidRPr="00F505C6" w:rsidRDefault="00FE74B1" w:rsidP="00014DA6">
            <w:pPr>
              <w:pStyle w:val="TABLE"/>
              <w:jc w:val="center"/>
            </w:pPr>
            <w:r w:rsidRPr="00F505C6">
              <w:t>1</w:t>
            </w:r>
          </w:p>
        </w:tc>
        <w:tc>
          <w:tcPr>
            <w:tcW w:w="1020" w:type="dxa"/>
            <w:noWrap/>
            <w:hideMark/>
          </w:tcPr>
          <w:p w14:paraId="6DAE1088" w14:textId="77777777" w:rsidR="00FE74B1" w:rsidRPr="00F505C6" w:rsidRDefault="00FE74B1" w:rsidP="00FE74B1">
            <w:pPr>
              <w:pStyle w:val="TABLE"/>
            </w:pPr>
            <w:r w:rsidRPr="00F505C6">
              <w:t>0.818</w:t>
            </w:r>
          </w:p>
        </w:tc>
      </w:tr>
      <w:tr w:rsidR="0029602D" w:rsidRPr="00F505C6" w14:paraId="61D530C4" w14:textId="77777777" w:rsidTr="00014DA6">
        <w:trPr>
          <w:trHeight w:val="320"/>
        </w:trPr>
        <w:tc>
          <w:tcPr>
            <w:tcW w:w="1020" w:type="dxa"/>
            <w:noWrap/>
            <w:vAlign w:val="center"/>
            <w:hideMark/>
          </w:tcPr>
          <w:p w14:paraId="755F5674" w14:textId="77777777" w:rsidR="00FE74B1" w:rsidRPr="00F505C6" w:rsidRDefault="00FE74B1" w:rsidP="00014DA6">
            <w:pPr>
              <w:pStyle w:val="TABLE"/>
              <w:jc w:val="center"/>
            </w:pPr>
            <w:r w:rsidRPr="00F505C6">
              <w:t>1</w:t>
            </w:r>
          </w:p>
        </w:tc>
        <w:tc>
          <w:tcPr>
            <w:tcW w:w="1020" w:type="dxa"/>
            <w:noWrap/>
            <w:vAlign w:val="center"/>
            <w:hideMark/>
          </w:tcPr>
          <w:p w14:paraId="6584A091" w14:textId="77777777" w:rsidR="00FE74B1" w:rsidRPr="00F505C6" w:rsidRDefault="00FE74B1" w:rsidP="00014DA6">
            <w:pPr>
              <w:pStyle w:val="TABLE"/>
              <w:jc w:val="center"/>
            </w:pPr>
            <w:r w:rsidRPr="00F505C6">
              <w:t>1</w:t>
            </w:r>
          </w:p>
        </w:tc>
        <w:tc>
          <w:tcPr>
            <w:tcW w:w="1020" w:type="dxa"/>
            <w:noWrap/>
            <w:vAlign w:val="center"/>
            <w:hideMark/>
          </w:tcPr>
          <w:p w14:paraId="2C10C167" w14:textId="77777777" w:rsidR="00FE74B1" w:rsidRPr="00F505C6" w:rsidRDefault="00FE74B1" w:rsidP="00014DA6">
            <w:pPr>
              <w:pStyle w:val="TABLE"/>
              <w:jc w:val="center"/>
            </w:pPr>
            <w:r w:rsidRPr="00F505C6">
              <w:t>1</w:t>
            </w:r>
          </w:p>
        </w:tc>
        <w:tc>
          <w:tcPr>
            <w:tcW w:w="1020" w:type="dxa"/>
            <w:noWrap/>
            <w:vAlign w:val="center"/>
            <w:hideMark/>
          </w:tcPr>
          <w:p w14:paraId="19D86762" w14:textId="77777777" w:rsidR="00FE74B1" w:rsidRPr="00F505C6" w:rsidRDefault="00FE74B1" w:rsidP="00014DA6">
            <w:pPr>
              <w:pStyle w:val="TABLE"/>
              <w:jc w:val="center"/>
            </w:pPr>
            <w:r w:rsidRPr="00F505C6">
              <w:t>1</w:t>
            </w:r>
          </w:p>
        </w:tc>
        <w:tc>
          <w:tcPr>
            <w:tcW w:w="1020" w:type="dxa"/>
            <w:noWrap/>
            <w:vAlign w:val="center"/>
            <w:hideMark/>
          </w:tcPr>
          <w:p w14:paraId="1E02E1B6" w14:textId="77777777" w:rsidR="00FE74B1" w:rsidRPr="00F505C6" w:rsidRDefault="00FE74B1" w:rsidP="00014DA6">
            <w:pPr>
              <w:pStyle w:val="TABLE"/>
              <w:jc w:val="center"/>
            </w:pPr>
            <w:r w:rsidRPr="00F505C6">
              <w:t>1</w:t>
            </w:r>
          </w:p>
        </w:tc>
        <w:tc>
          <w:tcPr>
            <w:tcW w:w="1020" w:type="dxa"/>
            <w:noWrap/>
            <w:vAlign w:val="center"/>
            <w:hideMark/>
          </w:tcPr>
          <w:p w14:paraId="6F99C50D" w14:textId="77777777" w:rsidR="00FE74B1" w:rsidRPr="00F505C6" w:rsidRDefault="00FE74B1" w:rsidP="00014DA6">
            <w:pPr>
              <w:pStyle w:val="TABLE"/>
              <w:jc w:val="center"/>
            </w:pPr>
            <w:r w:rsidRPr="00F505C6">
              <w:t>1</w:t>
            </w:r>
          </w:p>
        </w:tc>
        <w:tc>
          <w:tcPr>
            <w:tcW w:w="1020" w:type="dxa"/>
            <w:noWrap/>
            <w:vAlign w:val="center"/>
            <w:hideMark/>
          </w:tcPr>
          <w:p w14:paraId="79297DED" w14:textId="77777777" w:rsidR="00FE74B1" w:rsidRPr="00F505C6" w:rsidRDefault="00FE74B1" w:rsidP="00014DA6">
            <w:pPr>
              <w:pStyle w:val="TABLE"/>
              <w:jc w:val="center"/>
            </w:pPr>
            <w:r w:rsidRPr="00F505C6">
              <w:t>5</w:t>
            </w:r>
          </w:p>
        </w:tc>
        <w:tc>
          <w:tcPr>
            <w:tcW w:w="1020" w:type="dxa"/>
            <w:noWrap/>
            <w:vAlign w:val="center"/>
            <w:hideMark/>
          </w:tcPr>
          <w:p w14:paraId="47D0F731" w14:textId="77777777" w:rsidR="00FE74B1" w:rsidRPr="00F505C6" w:rsidRDefault="00FE74B1" w:rsidP="00014DA6">
            <w:pPr>
              <w:pStyle w:val="TABLE"/>
              <w:jc w:val="center"/>
            </w:pPr>
            <w:r w:rsidRPr="00F505C6">
              <w:t>1</w:t>
            </w:r>
          </w:p>
        </w:tc>
        <w:tc>
          <w:tcPr>
            <w:tcW w:w="1020" w:type="dxa"/>
            <w:noWrap/>
            <w:hideMark/>
          </w:tcPr>
          <w:p w14:paraId="36A7E3A6" w14:textId="77777777" w:rsidR="00FE74B1" w:rsidRPr="00F505C6" w:rsidRDefault="00FE74B1" w:rsidP="00FE74B1">
            <w:pPr>
              <w:pStyle w:val="TABLE"/>
            </w:pPr>
            <w:r w:rsidRPr="00F505C6">
              <w:t>0.804</w:t>
            </w:r>
          </w:p>
        </w:tc>
      </w:tr>
      <w:tr w:rsidR="0029602D" w:rsidRPr="00F505C6" w14:paraId="487E5ADF" w14:textId="77777777" w:rsidTr="00014DA6">
        <w:trPr>
          <w:trHeight w:val="320"/>
        </w:trPr>
        <w:tc>
          <w:tcPr>
            <w:tcW w:w="1020" w:type="dxa"/>
            <w:noWrap/>
            <w:vAlign w:val="center"/>
            <w:hideMark/>
          </w:tcPr>
          <w:p w14:paraId="4ABCCAC2" w14:textId="77777777" w:rsidR="00FE74B1" w:rsidRPr="00F505C6" w:rsidRDefault="00FE74B1" w:rsidP="00014DA6">
            <w:pPr>
              <w:pStyle w:val="TABLE"/>
              <w:jc w:val="center"/>
            </w:pPr>
            <w:r w:rsidRPr="00F505C6">
              <w:t>1</w:t>
            </w:r>
          </w:p>
        </w:tc>
        <w:tc>
          <w:tcPr>
            <w:tcW w:w="1020" w:type="dxa"/>
            <w:noWrap/>
            <w:vAlign w:val="center"/>
            <w:hideMark/>
          </w:tcPr>
          <w:p w14:paraId="47BB6279" w14:textId="77777777" w:rsidR="00FE74B1" w:rsidRPr="00F505C6" w:rsidRDefault="00FE74B1" w:rsidP="00014DA6">
            <w:pPr>
              <w:pStyle w:val="TABLE"/>
              <w:jc w:val="center"/>
            </w:pPr>
            <w:r w:rsidRPr="00F505C6">
              <w:t>1</w:t>
            </w:r>
          </w:p>
        </w:tc>
        <w:tc>
          <w:tcPr>
            <w:tcW w:w="1020" w:type="dxa"/>
            <w:noWrap/>
            <w:vAlign w:val="center"/>
            <w:hideMark/>
          </w:tcPr>
          <w:p w14:paraId="7ABD884E" w14:textId="77777777" w:rsidR="00FE74B1" w:rsidRPr="00F505C6" w:rsidRDefault="00FE74B1" w:rsidP="00014DA6">
            <w:pPr>
              <w:pStyle w:val="TABLE"/>
              <w:jc w:val="center"/>
            </w:pPr>
            <w:r w:rsidRPr="00F505C6">
              <w:t>0</w:t>
            </w:r>
          </w:p>
        </w:tc>
        <w:tc>
          <w:tcPr>
            <w:tcW w:w="1020" w:type="dxa"/>
            <w:noWrap/>
            <w:vAlign w:val="center"/>
            <w:hideMark/>
          </w:tcPr>
          <w:p w14:paraId="54231C0F" w14:textId="77777777" w:rsidR="00FE74B1" w:rsidRPr="00F505C6" w:rsidRDefault="00FE74B1" w:rsidP="00014DA6">
            <w:pPr>
              <w:pStyle w:val="TABLE"/>
              <w:jc w:val="center"/>
            </w:pPr>
            <w:r w:rsidRPr="00F505C6">
              <w:t>0</w:t>
            </w:r>
          </w:p>
        </w:tc>
        <w:tc>
          <w:tcPr>
            <w:tcW w:w="1020" w:type="dxa"/>
            <w:noWrap/>
            <w:vAlign w:val="center"/>
            <w:hideMark/>
          </w:tcPr>
          <w:p w14:paraId="61F851E0" w14:textId="77777777" w:rsidR="00FE74B1" w:rsidRPr="00F505C6" w:rsidRDefault="00FE74B1" w:rsidP="00014DA6">
            <w:pPr>
              <w:pStyle w:val="TABLE"/>
              <w:jc w:val="center"/>
            </w:pPr>
            <w:r w:rsidRPr="00F505C6">
              <w:t>0</w:t>
            </w:r>
          </w:p>
        </w:tc>
        <w:tc>
          <w:tcPr>
            <w:tcW w:w="1020" w:type="dxa"/>
            <w:noWrap/>
            <w:vAlign w:val="center"/>
            <w:hideMark/>
          </w:tcPr>
          <w:p w14:paraId="0E69E3D5" w14:textId="77777777" w:rsidR="00FE74B1" w:rsidRPr="00F505C6" w:rsidRDefault="00FE74B1" w:rsidP="00014DA6">
            <w:pPr>
              <w:pStyle w:val="TABLE"/>
              <w:jc w:val="center"/>
            </w:pPr>
            <w:r w:rsidRPr="00F505C6">
              <w:t>0</w:t>
            </w:r>
          </w:p>
        </w:tc>
        <w:tc>
          <w:tcPr>
            <w:tcW w:w="1020" w:type="dxa"/>
            <w:noWrap/>
            <w:vAlign w:val="center"/>
            <w:hideMark/>
          </w:tcPr>
          <w:p w14:paraId="0F56139C" w14:textId="77777777" w:rsidR="00FE74B1" w:rsidRPr="00F505C6" w:rsidRDefault="00FE74B1" w:rsidP="00014DA6">
            <w:pPr>
              <w:pStyle w:val="TABLE"/>
              <w:jc w:val="center"/>
            </w:pPr>
            <w:r w:rsidRPr="00F505C6">
              <w:t>4</w:t>
            </w:r>
          </w:p>
        </w:tc>
        <w:tc>
          <w:tcPr>
            <w:tcW w:w="1020" w:type="dxa"/>
            <w:noWrap/>
            <w:vAlign w:val="center"/>
            <w:hideMark/>
          </w:tcPr>
          <w:p w14:paraId="743B081B" w14:textId="77777777" w:rsidR="00FE74B1" w:rsidRPr="00F505C6" w:rsidRDefault="00FE74B1" w:rsidP="00014DA6">
            <w:pPr>
              <w:pStyle w:val="TABLE"/>
              <w:jc w:val="center"/>
            </w:pPr>
            <w:r w:rsidRPr="00F505C6">
              <w:t>1</w:t>
            </w:r>
          </w:p>
        </w:tc>
        <w:tc>
          <w:tcPr>
            <w:tcW w:w="1020" w:type="dxa"/>
            <w:noWrap/>
            <w:hideMark/>
          </w:tcPr>
          <w:p w14:paraId="17B2FC1B" w14:textId="77777777" w:rsidR="00FE74B1" w:rsidRPr="00F505C6" w:rsidRDefault="00FE74B1" w:rsidP="00FE74B1">
            <w:pPr>
              <w:pStyle w:val="TABLE"/>
            </w:pPr>
            <w:r w:rsidRPr="00F505C6">
              <w:t>0.798</w:t>
            </w:r>
          </w:p>
        </w:tc>
      </w:tr>
      <w:tr w:rsidR="0029602D" w:rsidRPr="00F505C6" w14:paraId="35F6C80E" w14:textId="77777777" w:rsidTr="00014DA6">
        <w:trPr>
          <w:trHeight w:val="320"/>
        </w:trPr>
        <w:tc>
          <w:tcPr>
            <w:tcW w:w="1020" w:type="dxa"/>
            <w:noWrap/>
            <w:vAlign w:val="center"/>
            <w:hideMark/>
          </w:tcPr>
          <w:p w14:paraId="3270E64B" w14:textId="77777777" w:rsidR="00FE74B1" w:rsidRPr="00F505C6" w:rsidRDefault="00FE74B1" w:rsidP="00014DA6">
            <w:pPr>
              <w:pStyle w:val="TABLE"/>
              <w:jc w:val="center"/>
            </w:pPr>
            <w:r w:rsidRPr="00F505C6">
              <w:t>1</w:t>
            </w:r>
          </w:p>
        </w:tc>
        <w:tc>
          <w:tcPr>
            <w:tcW w:w="1020" w:type="dxa"/>
            <w:noWrap/>
            <w:vAlign w:val="center"/>
            <w:hideMark/>
          </w:tcPr>
          <w:p w14:paraId="303F9773" w14:textId="77777777" w:rsidR="00FE74B1" w:rsidRPr="00F505C6" w:rsidRDefault="00FE74B1" w:rsidP="00014DA6">
            <w:pPr>
              <w:pStyle w:val="TABLE"/>
              <w:jc w:val="center"/>
            </w:pPr>
            <w:r w:rsidRPr="00F505C6">
              <w:t>0</w:t>
            </w:r>
          </w:p>
        </w:tc>
        <w:tc>
          <w:tcPr>
            <w:tcW w:w="1020" w:type="dxa"/>
            <w:noWrap/>
            <w:vAlign w:val="center"/>
            <w:hideMark/>
          </w:tcPr>
          <w:p w14:paraId="12A1E634" w14:textId="77777777" w:rsidR="00FE74B1" w:rsidRPr="00F505C6" w:rsidRDefault="00FE74B1" w:rsidP="00014DA6">
            <w:pPr>
              <w:pStyle w:val="TABLE"/>
              <w:jc w:val="center"/>
            </w:pPr>
            <w:r w:rsidRPr="00F505C6">
              <w:t>0</w:t>
            </w:r>
          </w:p>
        </w:tc>
        <w:tc>
          <w:tcPr>
            <w:tcW w:w="1020" w:type="dxa"/>
            <w:noWrap/>
            <w:vAlign w:val="center"/>
            <w:hideMark/>
          </w:tcPr>
          <w:p w14:paraId="6809210B" w14:textId="77777777" w:rsidR="00FE74B1" w:rsidRPr="00F505C6" w:rsidRDefault="00FE74B1" w:rsidP="00014DA6">
            <w:pPr>
              <w:pStyle w:val="TABLE"/>
              <w:jc w:val="center"/>
            </w:pPr>
            <w:r w:rsidRPr="00F505C6">
              <w:t>1</w:t>
            </w:r>
          </w:p>
        </w:tc>
        <w:tc>
          <w:tcPr>
            <w:tcW w:w="1020" w:type="dxa"/>
            <w:noWrap/>
            <w:vAlign w:val="center"/>
            <w:hideMark/>
          </w:tcPr>
          <w:p w14:paraId="4145A020" w14:textId="77777777" w:rsidR="00FE74B1" w:rsidRPr="00F505C6" w:rsidRDefault="00FE74B1" w:rsidP="00014DA6">
            <w:pPr>
              <w:pStyle w:val="TABLE"/>
              <w:jc w:val="center"/>
            </w:pPr>
            <w:r w:rsidRPr="00F505C6">
              <w:t>0</w:t>
            </w:r>
          </w:p>
        </w:tc>
        <w:tc>
          <w:tcPr>
            <w:tcW w:w="1020" w:type="dxa"/>
            <w:noWrap/>
            <w:vAlign w:val="center"/>
            <w:hideMark/>
          </w:tcPr>
          <w:p w14:paraId="271CD281" w14:textId="77777777" w:rsidR="00FE74B1" w:rsidRPr="00F505C6" w:rsidRDefault="00FE74B1" w:rsidP="00014DA6">
            <w:pPr>
              <w:pStyle w:val="TABLE"/>
              <w:jc w:val="center"/>
            </w:pPr>
            <w:r w:rsidRPr="00F505C6">
              <w:t>1</w:t>
            </w:r>
          </w:p>
        </w:tc>
        <w:tc>
          <w:tcPr>
            <w:tcW w:w="1020" w:type="dxa"/>
            <w:noWrap/>
            <w:vAlign w:val="center"/>
            <w:hideMark/>
          </w:tcPr>
          <w:p w14:paraId="17C46167" w14:textId="77777777" w:rsidR="00FE74B1" w:rsidRPr="00F505C6" w:rsidRDefault="00FE74B1" w:rsidP="00014DA6">
            <w:pPr>
              <w:pStyle w:val="TABLE"/>
              <w:jc w:val="center"/>
            </w:pPr>
            <w:r w:rsidRPr="00F505C6">
              <w:t>6</w:t>
            </w:r>
          </w:p>
        </w:tc>
        <w:tc>
          <w:tcPr>
            <w:tcW w:w="1020" w:type="dxa"/>
            <w:noWrap/>
            <w:vAlign w:val="center"/>
            <w:hideMark/>
          </w:tcPr>
          <w:p w14:paraId="63D96B48" w14:textId="77777777" w:rsidR="00FE74B1" w:rsidRPr="00F505C6" w:rsidRDefault="00FE74B1" w:rsidP="00014DA6">
            <w:pPr>
              <w:pStyle w:val="TABLE"/>
              <w:jc w:val="center"/>
            </w:pPr>
            <w:r w:rsidRPr="00F505C6">
              <w:t>1</w:t>
            </w:r>
          </w:p>
        </w:tc>
        <w:tc>
          <w:tcPr>
            <w:tcW w:w="1020" w:type="dxa"/>
            <w:noWrap/>
            <w:hideMark/>
          </w:tcPr>
          <w:p w14:paraId="26F59235" w14:textId="77777777" w:rsidR="00FE74B1" w:rsidRPr="00F505C6" w:rsidRDefault="00FE74B1" w:rsidP="00FE74B1">
            <w:pPr>
              <w:pStyle w:val="TABLE"/>
            </w:pPr>
            <w:r w:rsidRPr="00F505C6">
              <w:t>0.796</w:t>
            </w:r>
          </w:p>
        </w:tc>
      </w:tr>
      <w:tr w:rsidR="0029602D" w:rsidRPr="00F505C6" w14:paraId="57EB29A8" w14:textId="77777777" w:rsidTr="00014DA6">
        <w:trPr>
          <w:trHeight w:val="320"/>
        </w:trPr>
        <w:tc>
          <w:tcPr>
            <w:tcW w:w="1020" w:type="dxa"/>
            <w:noWrap/>
            <w:vAlign w:val="center"/>
            <w:hideMark/>
          </w:tcPr>
          <w:p w14:paraId="5765A1E4" w14:textId="77777777" w:rsidR="00FE74B1" w:rsidRPr="00F505C6" w:rsidRDefault="00FE74B1" w:rsidP="00014DA6">
            <w:pPr>
              <w:pStyle w:val="TABLE"/>
              <w:jc w:val="center"/>
            </w:pPr>
            <w:r w:rsidRPr="00F505C6">
              <w:t>1</w:t>
            </w:r>
          </w:p>
        </w:tc>
        <w:tc>
          <w:tcPr>
            <w:tcW w:w="1020" w:type="dxa"/>
            <w:noWrap/>
            <w:vAlign w:val="center"/>
            <w:hideMark/>
          </w:tcPr>
          <w:p w14:paraId="71009BBD" w14:textId="77777777" w:rsidR="00FE74B1" w:rsidRPr="00F505C6" w:rsidRDefault="00FE74B1" w:rsidP="00014DA6">
            <w:pPr>
              <w:pStyle w:val="TABLE"/>
              <w:jc w:val="center"/>
            </w:pPr>
            <w:r w:rsidRPr="00F505C6">
              <w:t>1</w:t>
            </w:r>
          </w:p>
        </w:tc>
        <w:tc>
          <w:tcPr>
            <w:tcW w:w="1020" w:type="dxa"/>
            <w:noWrap/>
            <w:vAlign w:val="center"/>
            <w:hideMark/>
          </w:tcPr>
          <w:p w14:paraId="3F63A1CA" w14:textId="77777777" w:rsidR="00FE74B1" w:rsidRPr="00F505C6" w:rsidRDefault="00FE74B1" w:rsidP="00014DA6">
            <w:pPr>
              <w:pStyle w:val="TABLE"/>
              <w:jc w:val="center"/>
            </w:pPr>
            <w:r w:rsidRPr="00F505C6">
              <w:t>0</w:t>
            </w:r>
          </w:p>
        </w:tc>
        <w:tc>
          <w:tcPr>
            <w:tcW w:w="1020" w:type="dxa"/>
            <w:noWrap/>
            <w:vAlign w:val="center"/>
            <w:hideMark/>
          </w:tcPr>
          <w:p w14:paraId="6C428D3C" w14:textId="77777777" w:rsidR="00FE74B1" w:rsidRPr="00F505C6" w:rsidRDefault="00FE74B1" w:rsidP="00014DA6">
            <w:pPr>
              <w:pStyle w:val="TABLE"/>
              <w:jc w:val="center"/>
            </w:pPr>
            <w:r w:rsidRPr="00F505C6">
              <w:t>1</w:t>
            </w:r>
          </w:p>
        </w:tc>
        <w:tc>
          <w:tcPr>
            <w:tcW w:w="1020" w:type="dxa"/>
            <w:noWrap/>
            <w:vAlign w:val="center"/>
            <w:hideMark/>
          </w:tcPr>
          <w:p w14:paraId="5031223E" w14:textId="77777777" w:rsidR="00FE74B1" w:rsidRPr="00F505C6" w:rsidRDefault="00FE74B1" w:rsidP="00014DA6">
            <w:pPr>
              <w:pStyle w:val="TABLE"/>
              <w:jc w:val="center"/>
            </w:pPr>
            <w:r w:rsidRPr="00F505C6">
              <w:t>1</w:t>
            </w:r>
          </w:p>
        </w:tc>
        <w:tc>
          <w:tcPr>
            <w:tcW w:w="1020" w:type="dxa"/>
            <w:noWrap/>
            <w:vAlign w:val="center"/>
            <w:hideMark/>
          </w:tcPr>
          <w:p w14:paraId="07FB90A6" w14:textId="77777777" w:rsidR="00FE74B1" w:rsidRPr="00F505C6" w:rsidRDefault="00FE74B1" w:rsidP="00014DA6">
            <w:pPr>
              <w:pStyle w:val="TABLE"/>
              <w:jc w:val="center"/>
            </w:pPr>
            <w:r w:rsidRPr="00F505C6">
              <w:t>0</w:t>
            </w:r>
          </w:p>
        </w:tc>
        <w:tc>
          <w:tcPr>
            <w:tcW w:w="1020" w:type="dxa"/>
            <w:noWrap/>
            <w:vAlign w:val="center"/>
            <w:hideMark/>
          </w:tcPr>
          <w:p w14:paraId="58E8E7E6" w14:textId="77777777" w:rsidR="00FE74B1" w:rsidRPr="00F505C6" w:rsidRDefault="00FE74B1" w:rsidP="00014DA6">
            <w:pPr>
              <w:pStyle w:val="TABLE"/>
              <w:jc w:val="center"/>
            </w:pPr>
            <w:r w:rsidRPr="00F505C6">
              <w:t>6</w:t>
            </w:r>
          </w:p>
        </w:tc>
        <w:tc>
          <w:tcPr>
            <w:tcW w:w="1020" w:type="dxa"/>
            <w:noWrap/>
            <w:vAlign w:val="center"/>
            <w:hideMark/>
          </w:tcPr>
          <w:p w14:paraId="7A155A36" w14:textId="77777777" w:rsidR="00FE74B1" w:rsidRPr="00F505C6" w:rsidRDefault="00FE74B1" w:rsidP="00014DA6">
            <w:pPr>
              <w:pStyle w:val="TABLE"/>
              <w:jc w:val="center"/>
            </w:pPr>
            <w:r w:rsidRPr="00F505C6">
              <w:t>0</w:t>
            </w:r>
          </w:p>
        </w:tc>
        <w:tc>
          <w:tcPr>
            <w:tcW w:w="1020" w:type="dxa"/>
            <w:noWrap/>
            <w:hideMark/>
          </w:tcPr>
          <w:p w14:paraId="2032CCE5" w14:textId="77777777" w:rsidR="00FE74B1" w:rsidRPr="00F505C6" w:rsidRDefault="00FE74B1" w:rsidP="00FE74B1">
            <w:pPr>
              <w:pStyle w:val="TABLE"/>
            </w:pPr>
            <w:r w:rsidRPr="00F505C6">
              <w:t>0.565</w:t>
            </w:r>
          </w:p>
        </w:tc>
      </w:tr>
      <w:tr w:rsidR="0029602D" w:rsidRPr="00F505C6" w14:paraId="70580809" w14:textId="77777777" w:rsidTr="00014DA6">
        <w:trPr>
          <w:trHeight w:val="320"/>
        </w:trPr>
        <w:tc>
          <w:tcPr>
            <w:tcW w:w="1020" w:type="dxa"/>
            <w:noWrap/>
            <w:vAlign w:val="center"/>
            <w:hideMark/>
          </w:tcPr>
          <w:p w14:paraId="73AA0245" w14:textId="77777777" w:rsidR="00FE74B1" w:rsidRPr="00F505C6" w:rsidRDefault="00FE74B1" w:rsidP="00014DA6">
            <w:pPr>
              <w:pStyle w:val="TABLE"/>
              <w:jc w:val="center"/>
            </w:pPr>
            <w:r w:rsidRPr="00F505C6">
              <w:t>1</w:t>
            </w:r>
          </w:p>
        </w:tc>
        <w:tc>
          <w:tcPr>
            <w:tcW w:w="1020" w:type="dxa"/>
            <w:noWrap/>
            <w:vAlign w:val="center"/>
            <w:hideMark/>
          </w:tcPr>
          <w:p w14:paraId="5C261504" w14:textId="77777777" w:rsidR="00FE74B1" w:rsidRPr="00F505C6" w:rsidRDefault="00FE74B1" w:rsidP="00014DA6">
            <w:pPr>
              <w:pStyle w:val="TABLE"/>
              <w:jc w:val="center"/>
            </w:pPr>
            <w:r w:rsidRPr="00F505C6">
              <w:t>1</w:t>
            </w:r>
          </w:p>
        </w:tc>
        <w:tc>
          <w:tcPr>
            <w:tcW w:w="1020" w:type="dxa"/>
            <w:noWrap/>
            <w:vAlign w:val="center"/>
            <w:hideMark/>
          </w:tcPr>
          <w:p w14:paraId="3C010F59" w14:textId="77777777" w:rsidR="00FE74B1" w:rsidRPr="00F505C6" w:rsidRDefault="00FE74B1" w:rsidP="00014DA6">
            <w:pPr>
              <w:pStyle w:val="TABLE"/>
              <w:jc w:val="center"/>
            </w:pPr>
            <w:r w:rsidRPr="00F505C6">
              <w:t>1</w:t>
            </w:r>
          </w:p>
        </w:tc>
        <w:tc>
          <w:tcPr>
            <w:tcW w:w="1020" w:type="dxa"/>
            <w:noWrap/>
            <w:vAlign w:val="center"/>
            <w:hideMark/>
          </w:tcPr>
          <w:p w14:paraId="0FB69B75" w14:textId="77777777" w:rsidR="00FE74B1" w:rsidRPr="00F505C6" w:rsidRDefault="00FE74B1" w:rsidP="00014DA6">
            <w:pPr>
              <w:pStyle w:val="TABLE"/>
              <w:jc w:val="center"/>
            </w:pPr>
            <w:r w:rsidRPr="00F505C6">
              <w:t>1</w:t>
            </w:r>
          </w:p>
        </w:tc>
        <w:tc>
          <w:tcPr>
            <w:tcW w:w="1020" w:type="dxa"/>
            <w:noWrap/>
            <w:vAlign w:val="center"/>
            <w:hideMark/>
          </w:tcPr>
          <w:p w14:paraId="6B768DF9" w14:textId="77777777" w:rsidR="00FE74B1" w:rsidRPr="00F505C6" w:rsidRDefault="00FE74B1" w:rsidP="00014DA6">
            <w:pPr>
              <w:pStyle w:val="TABLE"/>
              <w:jc w:val="center"/>
            </w:pPr>
            <w:r w:rsidRPr="00F505C6">
              <w:t>1</w:t>
            </w:r>
          </w:p>
        </w:tc>
        <w:tc>
          <w:tcPr>
            <w:tcW w:w="1020" w:type="dxa"/>
            <w:noWrap/>
            <w:vAlign w:val="center"/>
            <w:hideMark/>
          </w:tcPr>
          <w:p w14:paraId="3E318BAF" w14:textId="77777777" w:rsidR="00FE74B1" w:rsidRPr="00F505C6" w:rsidRDefault="00FE74B1" w:rsidP="00014DA6">
            <w:pPr>
              <w:pStyle w:val="TABLE"/>
              <w:jc w:val="center"/>
            </w:pPr>
            <w:r w:rsidRPr="00F505C6">
              <w:t>0</w:t>
            </w:r>
          </w:p>
        </w:tc>
        <w:tc>
          <w:tcPr>
            <w:tcW w:w="1020" w:type="dxa"/>
            <w:noWrap/>
            <w:vAlign w:val="center"/>
            <w:hideMark/>
          </w:tcPr>
          <w:p w14:paraId="0DC886BA" w14:textId="77777777" w:rsidR="00FE74B1" w:rsidRPr="00F505C6" w:rsidRDefault="00FE74B1" w:rsidP="00014DA6">
            <w:pPr>
              <w:pStyle w:val="TABLE"/>
              <w:jc w:val="center"/>
            </w:pPr>
            <w:r w:rsidRPr="00F505C6">
              <w:t>4</w:t>
            </w:r>
          </w:p>
        </w:tc>
        <w:tc>
          <w:tcPr>
            <w:tcW w:w="1020" w:type="dxa"/>
            <w:noWrap/>
            <w:vAlign w:val="center"/>
            <w:hideMark/>
          </w:tcPr>
          <w:p w14:paraId="60E5525A" w14:textId="77777777" w:rsidR="00FE74B1" w:rsidRPr="00F505C6" w:rsidRDefault="00FE74B1" w:rsidP="00014DA6">
            <w:pPr>
              <w:pStyle w:val="TABLE"/>
              <w:jc w:val="center"/>
            </w:pPr>
            <w:r w:rsidRPr="00F505C6">
              <w:t>0</w:t>
            </w:r>
          </w:p>
        </w:tc>
        <w:tc>
          <w:tcPr>
            <w:tcW w:w="1020" w:type="dxa"/>
            <w:noWrap/>
            <w:hideMark/>
          </w:tcPr>
          <w:p w14:paraId="58953D28" w14:textId="77777777" w:rsidR="00FE74B1" w:rsidRPr="00F505C6" w:rsidRDefault="00FE74B1" w:rsidP="00FE74B1">
            <w:pPr>
              <w:pStyle w:val="TABLE"/>
            </w:pPr>
            <w:r w:rsidRPr="00F505C6">
              <w:t>0.557</w:t>
            </w:r>
          </w:p>
        </w:tc>
      </w:tr>
      <w:tr w:rsidR="0029602D" w:rsidRPr="00F505C6" w14:paraId="37B78C12" w14:textId="77777777" w:rsidTr="00014DA6">
        <w:trPr>
          <w:trHeight w:val="320"/>
        </w:trPr>
        <w:tc>
          <w:tcPr>
            <w:tcW w:w="1020" w:type="dxa"/>
            <w:noWrap/>
            <w:vAlign w:val="center"/>
            <w:hideMark/>
          </w:tcPr>
          <w:p w14:paraId="7C393FAC" w14:textId="77777777" w:rsidR="00FE74B1" w:rsidRPr="00F505C6" w:rsidRDefault="00FE74B1" w:rsidP="00014DA6">
            <w:pPr>
              <w:pStyle w:val="TABLE"/>
              <w:jc w:val="center"/>
            </w:pPr>
            <w:r w:rsidRPr="00F505C6">
              <w:t>1</w:t>
            </w:r>
          </w:p>
        </w:tc>
        <w:tc>
          <w:tcPr>
            <w:tcW w:w="1020" w:type="dxa"/>
            <w:noWrap/>
            <w:vAlign w:val="center"/>
            <w:hideMark/>
          </w:tcPr>
          <w:p w14:paraId="3B4C93CF" w14:textId="77777777" w:rsidR="00FE74B1" w:rsidRPr="00F505C6" w:rsidRDefault="00FE74B1" w:rsidP="00014DA6">
            <w:pPr>
              <w:pStyle w:val="TABLE"/>
              <w:jc w:val="center"/>
            </w:pPr>
            <w:r w:rsidRPr="00F505C6">
              <w:t>0</w:t>
            </w:r>
          </w:p>
        </w:tc>
        <w:tc>
          <w:tcPr>
            <w:tcW w:w="1020" w:type="dxa"/>
            <w:noWrap/>
            <w:vAlign w:val="center"/>
            <w:hideMark/>
          </w:tcPr>
          <w:p w14:paraId="03CF3C74" w14:textId="77777777" w:rsidR="00FE74B1" w:rsidRPr="00F505C6" w:rsidRDefault="00FE74B1" w:rsidP="00014DA6">
            <w:pPr>
              <w:pStyle w:val="TABLE"/>
              <w:jc w:val="center"/>
            </w:pPr>
            <w:r w:rsidRPr="00F505C6">
              <w:t>0</w:t>
            </w:r>
          </w:p>
        </w:tc>
        <w:tc>
          <w:tcPr>
            <w:tcW w:w="1020" w:type="dxa"/>
            <w:noWrap/>
            <w:vAlign w:val="center"/>
            <w:hideMark/>
          </w:tcPr>
          <w:p w14:paraId="404ECFDC" w14:textId="77777777" w:rsidR="00FE74B1" w:rsidRPr="00F505C6" w:rsidRDefault="00FE74B1" w:rsidP="00014DA6">
            <w:pPr>
              <w:pStyle w:val="TABLE"/>
              <w:jc w:val="center"/>
            </w:pPr>
            <w:r w:rsidRPr="00F505C6">
              <w:t>0</w:t>
            </w:r>
          </w:p>
        </w:tc>
        <w:tc>
          <w:tcPr>
            <w:tcW w:w="1020" w:type="dxa"/>
            <w:noWrap/>
            <w:vAlign w:val="center"/>
            <w:hideMark/>
          </w:tcPr>
          <w:p w14:paraId="2A88FAB9" w14:textId="77777777" w:rsidR="00FE74B1" w:rsidRPr="00F505C6" w:rsidRDefault="00FE74B1" w:rsidP="00014DA6">
            <w:pPr>
              <w:pStyle w:val="TABLE"/>
              <w:jc w:val="center"/>
            </w:pPr>
            <w:r w:rsidRPr="00F505C6">
              <w:t>0</w:t>
            </w:r>
          </w:p>
        </w:tc>
        <w:tc>
          <w:tcPr>
            <w:tcW w:w="1020" w:type="dxa"/>
            <w:noWrap/>
            <w:vAlign w:val="center"/>
            <w:hideMark/>
          </w:tcPr>
          <w:p w14:paraId="64074FD7" w14:textId="77777777" w:rsidR="00FE74B1" w:rsidRPr="00F505C6" w:rsidRDefault="00FE74B1" w:rsidP="00014DA6">
            <w:pPr>
              <w:pStyle w:val="TABLE"/>
              <w:jc w:val="center"/>
            </w:pPr>
            <w:r w:rsidRPr="00F505C6">
              <w:t>0</w:t>
            </w:r>
          </w:p>
        </w:tc>
        <w:tc>
          <w:tcPr>
            <w:tcW w:w="1020" w:type="dxa"/>
            <w:noWrap/>
            <w:vAlign w:val="center"/>
            <w:hideMark/>
          </w:tcPr>
          <w:p w14:paraId="078ED3A2" w14:textId="77777777" w:rsidR="00FE74B1" w:rsidRPr="00F505C6" w:rsidRDefault="00FE74B1" w:rsidP="00014DA6">
            <w:pPr>
              <w:pStyle w:val="TABLE"/>
              <w:jc w:val="center"/>
            </w:pPr>
            <w:r w:rsidRPr="00F505C6">
              <w:t>4</w:t>
            </w:r>
          </w:p>
        </w:tc>
        <w:tc>
          <w:tcPr>
            <w:tcW w:w="1020" w:type="dxa"/>
            <w:noWrap/>
            <w:vAlign w:val="center"/>
            <w:hideMark/>
          </w:tcPr>
          <w:p w14:paraId="0D59B03E" w14:textId="77777777" w:rsidR="00FE74B1" w:rsidRPr="00F505C6" w:rsidRDefault="00FE74B1" w:rsidP="00014DA6">
            <w:pPr>
              <w:pStyle w:val="TABLE"/>
              <w:jc w:val="center"/>
            </w:pPr>
            <w:r w:rsidRPr="00F505C6">
              <w:t>0</w:t>
            </w:r>
          </w:p>
        </w:tc>
        <w:tc>
          <w:tcPr>
            <w:tcW w:w="1020" w:type="dxa"/>
            <w:noWrap/>
            <w:hideMark/>
          </w:tcPr>
          <w:p w14:paraId="44CAEB74" w14:textId="77777777" w:rsidR="00FE74B1" w:rsidRPr="00F505C6" w:rsidRDefault="00FE74B1" w:rsidP="00FE74B1">
            <w:pPr>
              <w:pStyle w:val="TABLE"/>
            </w:pPr>
            <w:r w:rsidRPr="00F505C6">
              <w:t>0.382</w:t>
            </w:r>
          </w:p>
        </w:tc>
      </w:tr>
      <w:tr w:rsidR="0029602D" w:rsidRPr="00F505C6" w14:paraId="73438C96" w14:textId="77777777" w:rsidTr="00014DA6">
        <w:trPr>
          <w:trHeight w:val="320"/>
        </w:trPr>
        <w:tc>
          <w:tcPr>
            <w:tcW w:w="1020" w:type="dxa"/>
            <w:noWrap/>
            <w:vAlign w:val="center"/>
            <w:hideMark/>
          </w:tcPr>
          <w:p w14:paraId="17855A98" w14:textId="77777777" w:rsidR="00FE74B1" w:rsidRPr="00F505C6" w:rsidRDefault="00FE74B1" w:rsidP="00014DA6">
            <w:pPr>
              <w:pStyle w:val="TABLE"/>
              <w:jc w:val="center"/>
            </w:pPr>
            <w:r w:rsidRPr="00F505C6">
              <w:t>1</w:t>
            </w:r>
          </w:p>
        </w:tc>
        <w:tc>
          <w:tcPr>
            <w:tcW w:w="1020" w:type="dxa"/>
            <w:noWrap/>
            <w:vAlign w:val="center"/>
            <w:hideMark/>
          </w:tcPr>
          <w:p w14:paraId="71F13AB4" w14:textId="77777777" w:rsidR="00FE74B1" w:rsidRPr="00F505C6" w:rsidRDefault="00FE74B1" w:rsidP="00014DA6">
            <w:pPr>
              <w:pStyle w:val="TABLE"/>
              <w:jc w:val="center"/>
            </w:pPr>
            <w:r w:rsidRPr="00F505C6">
              <w:t>1</w:t>
            </w:r>
          </w:p>
        </w:tc>
        <w:tc>
          <w:tcPr>
            <w:tcW w:w="1020" w:type="dxa"/>
            <w:noWrap/>
            <w:vAlign w:val="center"/>
            <w:hideMark/>
          </w:tcPr>
          <w:p w14:paraId="4E660227" w14:textId="77777777" w:rsidR="00FE74B1" w:rsidRPr="00F505C6" w:rsidRDefault="00FE74B1" w:rsidP="00014DA6">
            <w:pPr>
              <w:pStyle w:val="TABLE"/>
              <w:jc w:val="center"/>
            </w:pPr>
            <w:r w:rsidRPr="00F505C6">
              <w:t>1</w:t>
            </w:r>
          </w:p>
        </w:tc>
        <w:tc>
          <w:tcPr>
            <w:tcW w:w="1020" w:type="dxa"/>
            <w:noWrap/>
            <w:vAlign w:val="center"/>
            <w:hideMark/>
          </w:tcPr>
          <w:p w14:paraId="3A6D6843" w14:textId="77777777" w:rsidR="00FE74B1" w:rsidRPr="00F505C6" w:rsidRDefault="00FE74B1" w:rsidP="00014DA6">
            <w:pPr>
              <w:pStyle w:val="TABLE"/>
              <w:jc w:val="center"/>
            </w:pPr>
            <w:r w:rsidRPr="00F505C6">
              <w:t>1</w:t>
            </w:r>
          </w:p>
        </w:tc>
        <w:tc>
          <w:tcPr>
            <w:tcW w:w="1020" w:type="dxa"/>
            <w:noWrap/>
            <w:vAlign w:val="center"/>
            <w:hideMark/>
          </w:tcPr>
          <w:p w14:paraId="1245A0DE" w14:textId="77777777" w:rsidR="00FE74B1" w:rsidRPr="00F505C6" w:rsidRDefault="00FE74B1" w:rsidP="00014DA6">
            <w:pPr>
              <w:pStyle w:val="TABLE"/>
              <w:jc w:val="center"/>
            </w:pPr>
            <w:r w:rsidRPr="00F505C6">
              <w:t>0</w:t>
            </w:r>
          </w:p>
        </w:tc>
        <w:tc>
          <w:tcPr>
            <w:tcW w:w="1020" w:type="dxa"/>
            <w:noWrap/>
            <w:vAlign w:val="center"/>
            <w:hideMark/>
          </w:tcPr>
          <w:p w14:paraId="143925EA" w14:textId="77777777" w:rsidR="00FE74B1" w:rsidRPr="00F505C6" w:rsidRDefault="00FE74B1" w:rsidP="00014DA6">
            <w:pPr>
              <w:pStyle w:val="TABLE"/>
              <w:jc w:val="center"/>
            </w:pPr>
            <w:r w:rsidRPr="00F505C6">
              <w:t>0</w:t>
            </w:r>
          </w:p>
        </w:tc>
        <w:tc>
          <w:tcPr>
            <w:tcW w:w="1020" w:type="dxa"/>
            <w:noWrap/>
            <w:vAlign w:val="center"/>
            <w:hideMark/>
          </w:tcPr>
          <w:p w14:paraId="6F703D80" w14:textId="77777777" w:rsidR="00FE74B1" w:rsidRPr="00F505C6" w:rsidRDefault="00FE74B1" w:rsidP="00014DA6">
            <w:pPr>
              <w:pStyle w:val="TABLE"/>
              <w:jc w:val="center"/>
            </w:pPr>
            <w:r w:rsidRPr="00F505C6">
              <w:t>4</w:t>
            </w:r>
          </w:p>
        </w:tc>
        <w:tc>
          <w:tcPr>
            <w:tcW w:w="1020" w:type="dxa"/>
            <w:noWrap/>
            <w:vAlign w:val="center"/>
            <w:hideMark/>
          </w:tcPr>
          <w:p w14:paraId="3FF439E2" w14:textId="77777777" w:rsidR="00FE74B1" w:rsidRPr="00F505C6" w:rsidRDefault="00FE74B1" w:rsidP="00014DA6">
            <w:pPr>
              <w:pStyle w:val="TABLE"/>
              <w:jc w:val="center"/>
            </w:pPr>
            <w:r w:rsidRPr="00F505C6">
              <w:t>0</w:t>
            </w:r>
          </w:p>
        </w:tc>
        <w:tc>
          <w:tcPr>
            <w:tcW w:w="1020" w:type="dxa"/>
            <w:noWrap/>
            <w:hideMark/>
          </w:tcPr>
          <w:p w14:paraId="175D599D" w14:textId="77777777" w:rsidR="00FE74B1" w:rsidRPr="00F505C6" w:rsidRDefault="00FE74B1" w:rsidP="00FE74B1">
            <w:pPr>
              <w:pStyle w:val="TABLE"/>
            </w:pPr>
            <w:r w:rsidRPr="00F505C6">
              <w:t>0.331</w:t>
            </w:r>
          </w:p>
        </w:tc>
      </w:tr>
    </w:tbl>
    <w:p w14:paraId="0BDA622B" w14:textId="77777777" w:rsidR="00FE74B1" w:rsidRPr="00F505C6" w:rsidRDefault="00FE74B1" w:rsidP="004604E8">
      <w:pPr>
        <w:pStyle w:val="TABLE"/>
        <w:rPr>
          <w:b/>
          <w:sz w:val="24"/>
        </w:rPr>
      </w:pPr>
    </w:p>
    <w:p w14:paraId="2F6A59EF" w14:textId="0C14A110" w:rsidR="00C9295D" w:rsidRPr="00F505C6" w:rsidRDefault="004604E8" w:rsidP="004604E8">
      <w:pPr>
        <w:pStyle w:val="TABLE"/>
        <w:rPr>
          <w:b/>
          <w:sz w:val="24"/>
        </w:rPr>
      </w:pPr>
      <w:r w:rsidRPr="00F505C6">
        <w:rPr>
          <w:b/>
          <w:sz w:val="24"/>
        </w:rPr>
        <w:lastRenderedPageBreak/>
        <w:t xml:space="preserve">Table </w:t>
      </w:r>
      <w:r w:rsidR="00FE74B1" w:rsidRPr="00F505C6">
        <w:rPr>
          <w:b/>
          <w:sz w:val="24"/>
        </w:rPr>
        <w:t>2</w:t>
      </w:r>
      <w:r w:rsidRPr="00F505C6">
        <w:rPr>
          <w:b/>
          <w:sz w:val="24"/>
        </w:rPr>
        <w:t xml:space="preserve">. </w:t>
      </w:r>
      <w:r w:rsidR="00C9295D" w:rsidRPr="00F505C6">
        <w:rPr>
          <w:b/>
          <w:sz w:val="24"/>
        </w:rPr>
        <w:t>Solutions Table for Social Mission as Strategy</w:t>
      </w:r>
    </w:p>
    <w:tbl>
      <w:tblPr>
        <w:tblW w:w="9720" w:type="dxa"/>
        <w:tblInd w:w="-360" w:type="dxa"/>
        <w:tblLayout w:type="fixed"/>
        <w:tblLook w:val="04A0" w:firstRow="1" w:lastRow="0" w:firstColumn="1" w:lastColumn="0" w:noHBand="0" w:noVBand="1"/>
      </w:tblPr>
      <w:tblGrid>
        <w:gridCol w:w="2200"/>
        <w:gridCol w:w="1253"/>
        <w:gridCol w:w="1253"/>
        <w:gridCol w:w="1254"/>
        <w:gridCol w:w="1253"/>
        <w:gridCol w:w="1253"/>
        <w:gridCol w:w="1254"/>
      </w:tblGrid>
      <w:tr w:rsidR="00C9295D" w:rsidRPr="00F505C6" w14:paraId="4D9525C7" w14:textId="77777777" w:rsidTr="00870BE7">
        <w:tc>
          <w:tcPr>
            <w:tcW w:w="2200" w:type="dxa"/>
            <w:tcBorders>
              <w:top w:val="single" w:sz="4" w:space="0" w:color="auto"/>
              <w:bottom w:val="single" w:sz="4" w:space="0" w:color="auto"/>
            </w:tcBorders>
          </w:tcPr>
          <w:p w14:paraId="1E08E810" w14:textId="77777777" w:rsidR="00C9295D" w:rsidRPr="00F505C6" w:rsidRDefault="00C9295D" w:rsidP="00870BE7">
            <w:pPr>
              <w:pStyle w:val="TABLE"/>
              <w:spacing w:before="60"/>
              <w:jc w:val="both"/>
              <w:rPr>
                <w:b/>
              </w:rPr>
            </w:pPr>
            <w:r w:rsidRPr="00F505C6">
              <w:rPr>
                <w:b/>
              </w:rPr>
              <w:t>Configurations</w:t>
            </w:r>
          </w:p>
        </w:tc>
        <w:tc>
          <w:tcPr>
            <w:tcW w:w="1253" w:type="dxa"/>
            <w:tcBorders>
              <w:top w:val="single" w:sz="4" w:space="0" w:color="auto"/>
              <w:bottom w:val="single" w:sz="4" w:space="0" w:color="auto"/>
            </w:tcBorders>
            <w:vAlign w:val="center"/>
          </w:tcPr>
          <w:p w14:paraId="56BB772B" w14:textId="77777777" w:rsidR="00C9295D" w:rsidRPr="00F505C6" w:rsidRDefault="00C9295D" w:rsidP="00870BE7">
            <w:pPr>
              <w:pStyle w:val="TABLE"/>
              <w:spacing w:before="60"/>
              <w:jc w:val="center"/>
              <w:rPr>
                <w:b/>
              </w:rPr>
            </w:pPr>
            <w:r w:rsidRPr="00F505C6">
              <w:rPr>
                <w:b/>
              </w:rPr>
              <w:t>1</w:t>
            </w:r>
          </w:p>
        </w:tc>
        <w:tc>
          <w:tcPr>
            <w:tcW w:w="1253" w:type="dxa"/>
            <w:tcBorders>
              <w:top w:val="single" w:sz="4" w:space="0" w:color="auto"/>
              <w:left w:val="nil"/>
              <w:bottom w:val="single" w:sz="4" w:space="0" w:color="auto"/>
            </w:tcBorders>
            <w:vAlign w:val="center"/>
          </w:tcPr>
          <w:p w14:paraId="70D77FCA" w14:textId="77777777" w:rsidR="00C9295D" w:rsidRPr="00F505C6" w:rsidRDefault="00C9295D" w:rsidP="00870BE7">
            <w:pPr>
              <w:pStyle w:val="TABLE"/>
              <w:spacing w:before="60"/>
              <w:jc w:val="center"/>
              <w:rPr>
                <w:b/>
              </w:rPr>
            </w:pPr>
            <w:r w:rsidRPr="00F505C6">
              <w:rPr>
                <w:b/>
              </w:rPr>
              <w:t>2</w:t>
            </w:r>
          </w:p>
        </w:tc>
        <w:tc>
          <w:tcPr>
            <w:tcW w:w="1254" w:type="dxa"/>
            <w:tcBorders>
              <w:top w:val="single" w:sz="4" w:space="0" w:color="auto"/>
              <w:bottom w:val="single" w:sz="4" w:space="0" w:color="auto"/>
            </w:tcBorders>
            <w:vAlign w:val="center"/>
          </w:tcPr>
          <w:p w14:paraId="164E5A0D" w14:textId="77777777" w:rsidR="00C9295D" w:rsidRPr="00F505C6" w:rsidRDefault="00C9295D" w:rsidP="00870BE7">
            <w:pPr>
              <w:pStyle w:val="TABLE"/>
              <w:spacing w:before="60"/>
              <w:jc w:val="center"/>
              <w:rPr>
                <w:b/>
              </w:rPr>
            </w:pPr>
            <w:r w:rsidRPr="00F505C6">
              <w:rPr>
                <w:b/>
              </w:rPr>
              <w:t>3a</w:t>
            </w:r>
          </w:p>
        </w:tc>
        <w:tc>
          <w:tcPr>
            <w:tcW w:w="1253" w:type="dxa"/>
            <w:tcBorders>
              <w:top w:val="single" w:sz="4" w:space="0" w:color="auto"/>
              <w:bottom w:val="single" w:sz="4" w:space="0" w:color="auto"/>
            </w:tcBorders>
          </w:tcPr>
          <w:p w14:paraId="56E16D54" w14:textId="77777777" w:rsidR="00C9295D" w:rsidRPr="00F505C6" w:rsidRDefault="00C9295D" w:rsidP="00870BE7">
            <w:pPr>
              <w:pStyle w:val="TABLE"/>
              <w:spacing w:before="60"/>
              <w:jc w:val="center"/>
              <w:rPr>
                <w:b/>
              </w:rPr>
            </w:pPr>
            <w:r w:rsidRPr="00F505C6">
              <w:rPr>
                <w:b/>
              </w:rPr>
              <w:t>3b</w:t>
            </w:r>
          </w:p>
        </w:tc>
        <w:tc>
          <w:tcPr>
            <w:tcW w:w="1253" w:type="dxa"/>
            <w:tcBorders>
              <w:top w:val="single" w:sz="4" w:space="0" w:color="auto"/>
              <w:bottom w:val="single" w:sz="4" w:space="0" w:color="auto"/>
            </w:tcBorders>
            <w:vAlign w:val="center"/>
          </w:tcPr>
          <w:p w14:paraId="212C09BB" w14:textId="77777777" w:rsidR="00C9295D" w:rsidRPr="00F505C6" w:rsidRDefault="00C9295D" w:rsidP="00870BE7">
            <w:pPr>
              <w:pStyle w:val="TABLE"/>
              <w:spacing w:before="60"/>
              <w:jc w:val="center"/>
              <w:rPr>
                <w:b/>
              </w:rPr>
            </w:pPr>
            <w:r w:rsidRPr="00F505C6">
              <w:rPr>
                <w:b/>
              </w:rPr>
              <w:t>4a</w:t>
            </w:r>
          </w:p>
        </w:tc>
        <w:tc>
          <w:tcPr>
            <w:tcW w:w="1254" w:type="dxa"/>
            <w:tcBorders>
              <w:top w:val="single" w:sz="4" w:space="0" w:color="auto"/>
              <w:bottom w:val="single" w:sz="4" w:space="0" w:color="auto"/>
            </w:tcBorders>
            <w:vAlign w:val="center"/>
          </w:tcPr>
          <w:p w14:paraId="317E1916" w14:textId="77777777" w:rsidR="00C9295D" w:rsidRPr="00F505C6" w:rsidRDefault="00C9295D" w:rsidP="00870BE7">
            <w:pPr>
              <w:pStyle w:val="TABLE"/>
              <w:spacing w:before="60"/>
              <w:jc w:val="center"/>
              <w:rPr>
                <w:b/>
              </w:rPr>
            </w:pPr>
            <w:r w:rsidRPr="00F505C6">
              <w:rPr>
                <w:b/>
              </w:rPr>
              <w:t>4b</w:t>
            </w:r>
          </w:p>
        </w:tc>
      </w:tr>
      <w:tr w:rsidR="00C9295D" w:rsidRPr="00F505C6" w14:paraId="06CAEA58" w14:textId="77777777" w:rsidTr="00870BE7">
        <w:trPr>
          <w:trHeight w:val="402"/>
        </w:trPr>
        <w:tc>
          <w:tcPr>
            <w:tcW w:w="2200" w:type="dxa"/>
            <w:vAlign w:val="center"/>
          </w:tcPr>
          <w:p w14:paraId="6DD71364" w14:textId="77777777" w:rsidR="00C9295D" w:rsidRPr="00F505C6" w:rsidRDefault="00C9295D" w:rsidP="00870BE7">
            <w:pPr>
              <w:pStyle w:val="TABLE"/>
              <w:jc w:val="right"/>
              <w:rPr>
                <w:sz w:val="18"/>
                <w:szCs w:val="18"/>
              </w:rPr>
            </w:pPr>
            <w:r w:rsidRPr="00F505C6">
              <w:t>Social orientation</w:t>
            </w:r>
          </w:p>
        </w:tc>
        <w:tc>
          <w:tcPr>
            <w:tcW w:w="1253" w:type="dxa"/>
            <w:vAlign w:val="center"/>
          </w:tcPr>
          <w:p w14:paraId="6F0FC3D5" w14:textId="77777777" w:rsidR="00C9295D" w:rsidRPr="00F505C6" w:rsidRDefault="00C9295D" w:rsidP="00870BE7">
            <w:pPr>
              <w:pStyle w:val="TABLE"/>
              <w:jc w:val="center"/>
            </w:pPr>
            <w:r w:rsidRPr="00F505C6">
              <w:rPr>
                <w:noProof/>
                <w:lang w:val="en-GB"/>
              </w:rPr>
              <w:drawing>
                <wp:inline distT="0" distB="0" distL="0" distR="0" wp14:anchorId="67284F02" wp14:editId="106BF36B">
                  <wp:extent cx="142240" cy="142240"/>
                  <wp:effectExtent l="0" t="0" r="10160" b="1016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tcBorders>
              <w:left w:val="nil"/>
            </w:tcBorders>
            <w:vAlign w:val="center"/>
          </w:tcPr>
          <w:p w14:paraId="4AD8C0C8" w14:textId="77777777" w:rsidR="00C9295D" w:rsidRPr="00F505C6" w:rsidRDefault="00C9295D" w:rsidP="00870BE7">
            <w:pPr>
              <w:pStyle w:val="TABLE"/>
              <w:jc w:val="center"/>
            </w:pPr>
            <w:r w:rsidRPr="00F505C6">
              <w:rPr>
                <w:noProof/>
                <w:lang w:val="en-GB"/>
              </w:rPr>
              <w:drawing>
                <wp:inline distT="0" distB="0" distL="0" distR="0" wp14:anchorId="186614BC" wp14:editId="1F362101">
                  <wp:extent cx="142240" cy="142240"/>
                  <wp:effectExtent l="0" t="0" r="10160" b="1016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4" w:type="dxa"/>
            <w:vAlign w:val="center"/>
          </w:tcPr>
          <w:p w14:paraId="7868A2FA" w14:textId="77777777" w:rsidR="00C9295D" w:rsidRPr="00F505C6" w:rsidRDefault="00C9295D" w:rsidP="00870BE7">
            <w:pPr>
              <w:pStyle w:val="TABLE"/>
              <w:jc w:val="center"/>
            </w:pPr>
            <w:r w:rsidRPr="00F505C6">
              <w:rPr>
                <w:noProof/>
                <w:lang w:val="en-GB"/>
              </w:rPr>
              <w:drawing>
                <wp:inline distT="0" distB="0" distL="0" distR="0" wp14:anchorId="7A9CD962" wp14:editId="6E4C8361">
                  <wp:extent cx="142240" cy="142240"/>
                  <wp:effectExtent l="0" t="0" r="10160" b="1016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vAlign w:val="center"/>
          </w:tcPr>
          <w:p w14:paraId="6141475B" w14:textId="77777777" w:rsidR="00C9295D" w:rsidRPr="00F505C6" w:rsidRDefault="00C9295D" w:rsidP="00870BE7">
            <w:pPr>
              <w:pStyle w:val="TABLE"/>
              <w:jc w:val="center"/>
              <w:rPr>
                <w:lang w:eastAsia="en-US"/>
              </w:rPr>
            </w:pPr>
            <w:r w:rsidRPr="00F505C6">
              <w:rPr>
                <w:noProof/>
                <w:lang w:val="en-GB"/>
              </w:rPr>
              <w:drawing>
                <wp:inline distT="0" distB="0" distL="0" distR="0" wp14:anchorId="085906F8" wp14:editId="5A6D0CC4">
                  <wp:extent cx="142240" cy="142240"/>
                  <wp:effectExtent l="0" t="0" r="10160" b="1016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vAlign w:val="center"/>
          </w:tcPr>
          <w:p w14:paraId="205B55B0" w14:textId="77777777" w:rsidR="00C9295D" w:rsidRPr="00F505C6" w:rsidRDefault="00C9295D" w:rsidP="00870BE7">
            <w:pPr>
              <w:pStyle w:val="TABLE"/>
              <w:jc w:val="center"/>
            </w:pPr>
            <w:r w:rsidRPr="00F505C6">
              <w:rPr>
                <w:lang w:eastAsia="en-US"/>
              </w:rPr>
              <w:t>-</w:t>
            </w:r>
          </w:p>
        </w:tc>
        <w:tc>
          <w:tcPr>
            <w:tcW w:w="1254" w:type="dxa"/>
            <w:vAlign w:val="center"/>
          </w:tcPr>
          <w:p w14:paraId="6AF2FC6E" w14:textId="77777777" w:rsidR="00C9295D" w:rsidRPr="00F505C6" w:rsidRDefault="00C9295D" w:rsidP="00870BE7">
            <w:pPr>
              <w:pStyle w:val="TABLE"/>
              <w:jc w:val="center"/>
            </w:pPr>
            <w:r w:rsidRPr="00F505C6">
              <w:rPr>
                <w:noProof/>
                <w:lang w:val="en-GB"/>
              </w:rPr>
              <w:drawing>
                <wp:inline distT="0" distB="0" distL="0" distR="0" wp14:anchorId="248FAFA5" wp14:editId="37520AC2">
                  <wp:extent cx="142240" cy="142240"/>
                  <wp:effectExtent l="0" t="0" r="10160" b="1016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C9295D" w:rsidRPr="00F505C6" w14:paraId="59DAC04D" w14:textId="77777777" w:rsidTr="00870BE7">
        <w:trPr>
          <w:trHeight w:val="402"/>
        </w:trPr>
        <w:tc>
          <w:tcPr>
            <w:tcW w:w="2200" w:type="dxa"/>
            <w:vAlign w:val="center"/>
          </w:tcPr>
          <w:p w14:paraId="318CF87A" w14:textId="77777777" w:rsidR="00C9295D" w:rsidRPr="00F505C6" w:rsidRDefault="00C9295D" w:rsidP="00870BE7">
            <w:pPr>
              <w:pStyle w:val="TABLE"/>
              <w:jc w:val="right"/>
              <w:rPr>
                <w:sz w:val="18"/>
                <w:szCs w:val="18"/>
              </w:rPr>
            </w:pPr>
            <w:r w:rsidRPr="00F505C6">
              <w:t>Previous experience</w:t>
            </w:r>
          </w:p>
        </w:tc>
        <w:tc>
          <w:tcPr>
            <w:tcW w:w="1253" w:type="dxa"/>
            <w:vAlign w:val="center"/>
          </w:tcPr>
          <w:p w14:paraId="0825373E" w14:textId="77777777" w:rsidR="00C9295D" w:rsidRPr="00F505C6" w:rsidRDefault="00C9295D" w:rsidP="00870BE7">
            <w:pPr>
              <w:pStyle w:val="TABLE"/>
              <w:jc w:val="center"/>
            </w:pPr>
            <w:r w:rsidRPr="00F505C6">
              <w:rPr>
                <w:noProof/>
                <w:lang w:val="en-GB"/>
              </w:rPr>
              <w:drawing>
                <wp:inline distT="0" distB="0" distL="0" distR="0" wp14:anchorId="617388B2" wp14:editId="284FF4CD">
                  <wp:extent cx="142240" cy="142240"/>
                  <wp:effectExtent l="0" t="0" r="10160" b="1016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vAlign w:val="center"/>
          </w:tcPr>
          <w:p w14:paraId="16C4ED9D" w14:textId="77777777" w:rsidR="00C9295D" w:rsidRPr="00F505C6" w:rsidRDefault="00C9295D" w:rsidP="00870BE7">
            <w:pPr>
              <w:pStyle w:val="TABLE"/>
              <w:jc w:val="center"/>
            </w:pPr>
            <w:r w:rsidRPr="00F505C6">
              <w:rPr>
                <w:noProof/>
                <w:lang w:val="en-GB"/>
              </w:rPr>
              <w:drawing>
                <wp:inline distT="0" distB="0" distL="0" distR="0" wp14:anchorId="1E6F11AD" wp14:editId="2605CBFA">
                  <wp:extent cx="142240" cy="142240"/>
                  <wp:effectExtent l="0" t="0" r="10160" b="1016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4" w:type="dxa"/>
            <w:vAlign w:val="center"/>
          </w:tcPr>
          <w:p w14:paraId="1BDC5A55" w14:textId="77777777" w:rsidR="00C9295D" w:rsidRPr="00F505C6" w:rsidRDefault="00C9295D" w:rsidP="00870BE7">
            <w:pPr>
              <w:pStyle w:val="TABLE"/>
              <w:jc w:val="center"/>
            </w:pPr>
            <w:r w:rsidRPr="00F505C6">
              <w:rPr>
                <w:noProof/>
                <w:lang w:val="en-GB"/>
              </w:rPr>
              <w:drawing>
                <wp:inline distT="0" distB="0" distL="0" distR="0" wp14:anchorId="476EFD27" wp14:editId="07F29803">
                  <wp:extent cx="198967" cy="198967"/>
                  <wp:effectExtent l="0" t="0" r="4445" b="4445"/>
                  <wp:docPr id="2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67" cy="198967"/>
                          </a:xfrm>
                          <a:prstGeom prst="rect">
                            <a:avLst/>
                          </a:prstGeom>
                          <a:noFill/>
                          <a:ln>
                            <a:noFill/>
                          </a:ln>
                        </pic:spPr>
                      </pic:pic>
                    </a:graphicData>
                  </a:graphic>
                </wp:inline>
              </w:drawing>
            </w:r>
          </w:p>
        </w:tc>
        <w:tc>
          <w:tcPr>
            <w:tcW w:w="1253" w:type="dxa"/>
            <w:vAlign w:val="center"/>
          </w:tcPr>
          <w:p w14:paraId="6F822E7E" w14:textId="77777777" w:rsidR="00C9295D" w:rsidRPr="00F505C6" w:rsidRDefault="00C9295D" w:rsidP="00870BE7">
            <w:pPr>
              <w:pStyle w:val="TABLE"/>
              <w:jc w:val="center"/>
            </w:pPr>
            <w:r w:rsidRPr="00F505C6">
              <w:rPr>
                <w:noProof/>
                <w:lang w:val="en-GB"/>
              </w:rPr>
              <w:drawing>
                <wp:inline distT="0" distB="0" distL="0" distR="0" wp14:anchorId="00BE7293" wp14:editId="253E2FD2">
                  <wp:extent cx="198967" cy="198967"/>
                  <wp:effectExtent l="0" t="0" r="4445" b="4445"/>
                  <wp:docPr id="2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67" cy="198967"/>
                          </a:xfrm>
                          <a:prstGeom prst="rect">
                            <a:avLst/>
                          </a:prstGeom>
                          <a:noFill/>
                          <a:ln>
                            <a:noFill/>
                          </a:ln>
                        </pic:spPr>
                      </pic:pic>
                    </a:graphicData>
                  </a:graphic>
                </wp:inline>
              </w:drawing>
            </w:r>
          </w:p>
        </w:tc>
        <w:tc>
          <w:tcPr>
            <w:tcW w:w="1253" w:type="dxa"/>
            <w:vAlign w:val="center"/>
          </w:tcPr>
          <w:p w14:paraId="703E79C7" w14:textId="77777777" w:rsidR="00C9295D" w:rsidRPr="00F505C6" w:rsidRDefault="00C9295D" w:rsidP="00870BE7">
            <w:pPr>
              <w:pStyle w:val="TABLE"/>
              <w:jc w:val="center"/>
            </w:pPr>
            <w:r w:rsidRPr="00F505C6">
              <w:rPr>
                <w:noProof/>
                <w:lang w:val="en-GB"/>
              </w:rPr>
              <w:drawing>
                <wp:inline distT="0" distB="0" distL="0" distR="0" wp14:anchorId="5DBD4A87" wp14:editId="41E10E13">
                  <wp:extent cx="213360" cy="2133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1254" w:type="dxa"/>
            <w:vAlign w:val="center"/>
          </w:tcPr>
          <w:p w14:paraId="27D2B79D" w14:textId="77777777" w:rsidR="00C9295D" w:rsidRPr="00F505C6" w:rsidRDefault="00C9295D" w:rsidP="00870BE7">
            <w:pPr>
              <w:pStyle w:val="TABLE"/>
              <w:jc w:val="center"/>
            </w:pPr>
            <w:r w:rsidRPr="00F505C6">
              <w:t>-</w:t>
            </w:r>
          </w:p>
        </w:tc>
      </w:tr>
      <w:tr w:rsidR="00C9295D" w:rsidRPr="00F505C6" w14:paraId="02168A7C" w14:textId="77777777" w:rsidTr="00870BE7">
        <w:trPr>
          <w:trHeight w:val="402"/>
        </w:trPr>
        <w:tc>
          <w:tcPr>
            <w:tcW w:w="2200" w:type="dxa"/>
            <w:vAlign w:val="center"/>
          </w:tcPr>
          <w:p w14:paraId="381021A4" w14:textId="77777777" w:rsidR="00C9295D" w:rsidRPr="00F505C6" w:rsidRDefault="00C9295D" w:rsidP="00870BE7">
            <w:pPr>
              <w:pStyle w:val="TABLE"/>
              <w:jc w:val="right"/>
            </w:pPr>
            <w:r w:rsidRPr="00F505C6">
              <w:t>Early investment</w:t>
            </w:r>
          </w:p>
        </w:tc>
        <w:tc>
          <w:tcPr>
            <w:tcW w:w="1253" w:type="dxa"/>
            <w:vAlign w:val="center"/>
          </w:tcPr>
          <w:p w14:paraId="5DE757FC" w14:textId="77777777" w:rsidR="00C9295D" w:rsidRPr="00F505C6" w:rsidRDefault="00C9295D" w:rsidP="00870BE7">
            <w:pPr>
              <w:pStyle w:val="TABLE"/>
              <w:jc w:val="center"/>
            </w:pPr>
            <w:r w:rsidRPr="00F505C6">
              <w:rPr>
                <w:noProof/>
                <w:lang w:val="en-GB"/>
              </w:rPr>
              <w:drawing>
                <wp:inline distT="0" distB="0" distL="0" distR="0" wp14:anchorId="71E5B5C8" wp14:editId="147BB36B">
                  <wp:extent cx="142240" cy="142240"/>
                  <wp:effectExtent l="0" t="0" r="10160" b="1016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tcBorders>
              <w:left w:val="nil"/>
            </w:tcBorders>
            <w:vAlign w:val="center"/>
          </w:tcPr>
          <w:p w14:paraId="0F273C5C" w14:textId="77777777" w:rsidR="00C9295D" w:rsidRPr="00F505C6" w:rsidRDefault="00C9295D" w:rsidP="00870BE7">
            <w:pPr>
              <w:pStyle w:val="TABLE"/>
              <w:jc w:val="center"/>
            </w:pPr>
            <w:r w:rsidRPr="00F505C6">
              <w:rPr>
                <w:noProof/>
                <w:lang w:val="en-GB"/>
              </w:rPr>
              <w:drawing>
                <wp:inline distT="0" distB="0" distL="0" distR="0" wp14:anchorId="689EC9CA" wp14:editId="2EB033E2">
                  <wp:extent cx="145638" cy="145638"/>
                  <wp:effectExtent l="0" t="0" r="6985" b="6985"/>
                  <wp:docPr id="27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88" cy="146388"/>
                          </a:xfrm>
                          <a:prstGeom prst="rect">
                            <a:avLst/>
                          </a:prstGeom>
                          <a:noFill/>
                          <a:ln>
                            <a:noFill/>
                          </a:ln>
                        </pic:spPr>
                      </pic:pic>
                    </a:graphicData>
                  </a:graphic>
                </wp:inline>
              </w:drawing>
            </w:r>
          </w:p>
        </w:tc>
        <w:tc>
          <w:tcPr>
            <w:tcW w:w="1254" w:type="dxa"/>
            <w:vAlign w:val="center"/>
          </w:tcPr>
          <w:p w14:paraId="6F4358C8" w14:textId="77777777" w:rsidR="00C9295D" w:rsidRPr="00F505C6" w:rsidRDefault="00C9295D" w:rsidP="00870BE7">
            <w:pPr>
              <w:pStyle w:val="TABLE"/>
              <w:jc w:val="center"/>
            </w:pPr>
            <w:r w:rsidRPr="00F505C6">
              <w:t>-</w:t>
            </w:r>
          </w:p>
        </w:tc>
        <w:tc>
          <w:tcPr>
            <w:tcW w:w="1253" w:type="dxa"/>
            <w:vAlign w:val="center"/>
          </w:tcPr>
          <w:p w14:paraId="05B1D5D0" w14:textId="77777777" w:rsidR="00C9295D" w:rsidRPr="00F505C6" w:rsidRDefault="00C9295D" w:rsidP="00870BE7">
            <w:pPr>
              <w:pStyle w:val="TABLE"/>
              <w:jc w:val="center"/>
            </w:pPr>
            <w:r w:rsidRPr="00F505C6">
              <w:rPr>
                <w:noProof/>
                <w:lang w:val="en-GB"/>
              </w:rPr>
              <w:drawing>
                <wp:inline distT="0" distB="0" distL="0" distR="0" wp14:anchorId="38C3355A" wp14:editId="33E285C7">
                  <wp:extent cx="145638" cy="145638"/>
                  <wp:effectExtent l="0" t="0" r="6985" b="6985"/>
                  <wp:docPr id="28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88" cy="146388"/>
                          </a:xfrm>
                          <a:prstGeom prst="rect">
                            <a:avLst/>
                          </a:prstGeom>
                          <a:noFill/>
                          <a:ln>
                            <a:noFill/>
                          </a:ln>
                        </pic:spPr>
                      </pic:pic>
                    </a:graphicData>
                  </a:graphic>
                </wp:inline>
              </w:drawing>
            </w:r>
          </w:p>
        </w:tc>
        <w:tc>
          <w:tcPr>
            <w:tcW w:w="1253" w:type="dxa"/>
            <w:vAlign w:val="center"/>
          </w:tcPr>
          <w:p w14:paraId="1264486F" w14:textId="77777777" w:rsidR="00C9295D" w:rsidRPr="00F505C6" w:rsidRDefault="00C9295D" w:rsidP="00870BE7">
            <w:pPr>
              <w:pStyle w:val="TABLE"/>
              <w:jc w:val="center"/>
            </w:pPr>
            <w:r w:rsidRPr="00F505C6">
              <w:rPr>
                <w:noProof/>
                <w:lang w:val="en-GB"/>
              </w:rPr>
              <w:drawing>
                <wp:inline distT="0" distB="0" distL="0" distR="0" wp14:anchorId="1432F318" wp14:editId="01A4A45B">
                  <wp:extent cx="198967" cy="198967"/>
                  <wp:effectExtent l="0" t="0" r="4445" b="4445"/>
                  <wp:docPr id="28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67" cy="198967"/>
                          </a:xfrm>
                          <a:prstGeom prst="rect">
                            <a:avLst/>
                          </a:prstGeom>
                          <a:noFill/>
                          <a:ln>
                            <a:noFill/>
                          </a:ln>
                        </pic:spPr>
                      </pic:pic>
                    </a:graphicData>
                  </a:graphic>
                </wp:inline>
              </w:drawing>
            </w:r>
          </w:p>
        </w:tc>
        <w:tc>
          <w:tcPr>
            <w:tcW w:w="1254" w:type="dxa"/>
            <w:vAlign w:val="center"/>
          </w:tcPr>
          <w:p w14:paraId="2C3B82D2" w14:textId="77777777" w:rsidR="00C9295D" w:rsidRPr="00F505C6" w:rsidRDefault="00C9295D" w:rsidP="00870BE7">
            <w:pPr>
              <w:pStyle w:val="TABLE"/>
              <w:jc w:val="center"/>
            </w:pPr>
            <w:r w:rsidRPr="00F505C6">
              <w:rPr>
                <w:noProof/>
                <w:lang w:val="en-GB"/>
              </w:rPr>
              <w:drawing>
                <wp:inline distT="0" distB="0" distL="0" distR="0" wp14:anchorId="2441F939" wp14:editId="1202C219">
                  <wp:extent cx="145638" cy="145638"/>
                  <wp:effectExtent l="0" t="0" r="6985" b="6985"/>
                  <wp:docPr id="29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88" cy="146388"/>
                          </a:xfrm>
                          <a:prstGeom prst="rect">
                            <a:avLst/>
                          </a:prstGeom>
                          <a:noFill/>
                          <a:ln>
                            <a:noFill/>
                          </a:ln>
                        </pic:spPr>
                      </pic:pic>
                    </a:graphicData>
                  </a:graphic>
                </wp:inline>
              </w:drawing>
            </w:r>
          </w:p>
        </w:tc>
      </w:tr>
      <w:tr w:rsidR="00C9295D" w:rsidRPr="00F505C6" w14:paraId="3594484A" w14:textId="77777777" w:rsidTr="00870BE7">
        <w:trPr>
          <w:trHeight w:val="402"/>
        </w:trPr>
        <w:tc>
          <w:tcPr>
            <w:tcW w:w="2200" w:type="dxa"/>
            <w:vAlign w:val="center"/>
          </w:tcPr>
          <w:p w14:paraId="35CB6282" w14:textId="77777777" w:rsidR="00C9295D" w:rsidRPr="00F505C6" w:rsidRDefault="00C9295D" w:rsidP="00870BE7">
            <w:pPr>
              <w:pStyle w:val="TABLE"/>
              <w:jc w:val="right"/>
            </w:pPr>
            <w:r w:rsidRPr="00F505C6">
              <w:t>Profit orientation</w:t>
            </w:r>
          </w:p>
        </w:tc>
        <w:tc>
          <w:tcPr>
            <w:tcW w:w="1253" w:type="dxa"/>
            <w:vAlign w:val="center"/>
          </w:tcPr>
          <w:p w14:paraId="568ED631" w14:textId="77777777" w:rsidR="00C9295D" w:rsidRPr="00F505C6" w:rsidRDefault="00C9295D" w:rsidP="00870BE7">
            <w:pPr>
              <w:pStyle w:val="TABLE"/>
              <w:jc w:val="center"/>
            </w:pPr>
            <w:r w:rsidRPr="00F505C6">
              <w:t>-</w:t>
            </w:r>
          </w:p>
        </w:tc>
        <w:tc>
          <w:tcPr>
            <w:tcW w:w="1253" w:type="dxa"/>
            <w:tcBorders>
              <w:left w:val="nil"/>
            </w:tcBorders>
            <w:vAlign w:val="center"/>
          </w:tcPr>
          <w:p w14:paraId="40BBF2C9" w14:textId="77777777" w:rsidR="00C9295D" w:rsidRPr="00F505C6" w:rsidRDefault="00C9295D" w:rsidP="00870BE7">
            <w:pPr>
              <w:pStyle w:val="TABLE"/>
              <w:jc w:val="center"/>
            </w:pPr>
            <w:r w:rsidRPr="00F505C6">
              <w:t>-</w:t>
            </w:r>
          </w:p>
        </w:tc>
        <w:tc>
          <w:tcPr>
            <w:tcW w:w="1254" w:type="dxa"/>
            <w:vAlign w:val="center"/>
          </w:tcPr>
          <w:p w14:paraId="055DF2D2" w14:textId="77777777" w:rsidR="00C9295D" w:rsidRPr="00F505C6" w:rsidRDefault="00C9295D" w:rsidP="00870BE7">
            <w:pPr>
              <w:pStyle w:val="TABLE"/>
              <w:jc w:val="center"/>
            </w:pPr>
            <w:r w:rsidRPr="00F505C6">
              <w:rPr>
                <w:noProof/>
                <w:lang w:val="en-GB"/>
              </w:rPr>
              <w:drawing>
                <wp:inline distT="0" distB="0" distL="0" distR="0" wp14:anchorId="0EDCF584" wp14:editId="4DC37C2B">
                  <wp:extent cx="213360" cy="21336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1253" w:type="dxa"/>
            <w:vAlign w:val="center"/>
          </w:tcPr>
          <w:p w14:paraId="0039280D" w14:textId="77777777" w:rsidR="00C9295D" w:rsidRPr="00F505C6" w:rsidRDefault="00C9295D" w:rsidP="00870BE7">
            <w:pPr>
              <w:pStyle w:val="TABLE"/>
              <w:jc w:val="center"/>
            </w:pPr>
            <w:r w:rsidRPr="00F505C6">
              <w:rPr>
                <w:noProof/>
                <w:lang w:val="en-GB"/>
              </w:rPr>
              <w:drawing>
                <wp:inline distT="0" distB="0" distL="0" distR="0" wp14:anchorId="5F7F4A15" wp14:editId="314A02AA">
                  <wp:extent cx="213360" cy="21336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1253" w:type="dxa"/>
            <w:vAlign w:val="center"/>
          </w:tcPr>
          <w:p w14:paraId="2BC23252" w14:textId="77777777" w:rsidR="00C9295D" w:rsidRPr="00F505C6" w:rsidRDefault="00C9295D" w:rsidP="00870BE7">
            <w:pPr>
              <w:pStyle w:val="TABLE"/>
              <w:jc w:val="center"/>
            </w:pPr>
            <w:r w:rsidRPr="00F505C6">
              <w:rPr>
                <w:noProof/>
                <w:lang w:val="en-GB"/>
              </w:rPr>
              <w:drawing>
                <wp:inline distT="0" distB="0" distL="0" distR="0" wp14:anchorId="7F54F0F8" wp14:editId="78AD69A7">
                  <wp:extent cx="142240" cy="142240"/>
                  <wp:effectExtent l="0" t="0" r="10160" b="1016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4" w:type="dxa"/>
            <w:vAlign w:val="center"/>
          </w:tcPr>
          <w:p w14:paraId="54114516" w14:textId="77777777" w:rsidR="00C9295D" w:rsidRPr="00F505C6" w:rsidRDefault="00C9295D" w:rsidP="00870BE7">
            <w:pPr>
              <w:pStyle w:val="TABLE"/>
              <w:jc w:val="center"/>
            </w:pPr>
            <w:r w:rsidRPr="00F505C6">
              <w:rPr>
                <w:noProof/>
                <w:lang w:val="en-GB"/>
              </w:rPr>
              <w:drawing>
                <wp:inline distT="0" distB="0" distL="0" distR="0" wp14:anchorId="2FBB2CC5" wp14:editId="3AB15A35">
                  <wp:extent cx="142240" cy="142240"/>
                  <wp:effectExtent l="0" t="0" r="10160" b="1016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r>
      <w:tr w:rsidR="00C9295D" w:rsidRPr="00F505C6" w14:paraId="361F1F47" w14:textId="77777777" w:rsidTr="00870BE7">
        <w:trPr>
          <w:trHeight w:val="402"/>
        </w:trPr>
        <w:tc>
          <w:tcPr>
            <w:tcW w:w="2200" w:type="dxa"/>
            <w:vAlign w:val="center"/>
          </w:tcPr>
          <w:p w14:paraId="14A61CEC" w14:textId="77777777" w:rsidR="00C9295D" w:rsidRPr="00F505C6" w:rsidRDefault="00C9295D" w:rsidP="00870BE7">
            <w:pPr>
              <w:pStyle w:val="TABLE"/>
              <w:jc w:val="right"/>
            </w:pPr>
            <w:r w:rsidRPr="00F505C6">
              <w:t>Market competition</w:t>
            </w:r>
          </w:p>
        </w:tc>
        <w:tc>
          <w:tcPr>
            <w:tcW w:w="1253" w:type="dxa"/>
            <w:vAlign w:val="center"/>
          </w:tcPr>
          <w:p w14:paraId="43B03BA3" w14:textId="77777777" w:rsidR="00C9295D" w:rsidRPr="00F505C6" w:rsidRDefault="00C9295D" w:rsidP="00870BE7">
            <w:pPr>
              <w:pStyle w:val="TABLE"/>
              <w:jc w:val="center"/>
            </w:pPr>
            <w:r w:rsidRPr="00F505C6">
              <w:t>-</w:t>
            </w:r>
          </w:p>
        </w:tc>
        <w:tc>
          <w:tcPr>
            <w:tcW w:w="1253" w:type="dxa"/>
            <w:tcBorders>
              <w:left w:val="nil"/>
            </w:tcBorders>
            <w:vAlign w:val="center"/>
          </w:tcPr>
          <w:p w14:paraId="5AECB501" w14:textId="77777777" w:rsidR="00C9295D" w:rsidRPr="00F505C6" w:rsidRDefault="00C9295D" w:rsidP="00870BE7">
            <w:pPr>
              <w:pStyle w:val="TABLE"/>
              <w:jc w:val="center"/>
            </w:pPr>
            <w:r w:rsidRPr="00F505C6">
              <w:rPr>
                <w:noProof/>
                <w:lang w:val="en-GB"/>
              </w:rPr>
              <w:drawing>
                <wp:inline distT="0" distB="0" distL="0" distR="0" wp14:anchorId="40DE7886" wp14:editId="31C27B48">
                  <wp:extent cx="142240" cy="142240"/>
                  <wp:effectExtent l="0" t="0" r="10160" b="1016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4" w:type="dxa"/>
            <w:vAlign w:val="center"/>
          </w:tcPr>
          <w:p w14:paraId="45E8CA91" w14:textId="77777777" w:rsidR="00C9295D" w:rsidRPr="00F505C6" w:rsidRDefault="00C9295D" w:rsidP="00870BE7">
            <w:pPr>
              <w:pStyle w:val="TABLE"/>
              <w:jc w:val="center"/>
            </w:pPr>
            <w:r w:rsidRPr="00F505C6">
              <w:rPr>
                <w:noProof/>
                <w:lang w:val="en-GB"/>
              </w:rPr>
              <w:drawing>
                <wp:inline distT="0" distB="0" distL="0" distR="0" wp14:anchorId="0D004164" wp14:editId="5DD950B3">
                  <wp:extent cx="142240" cy="142240"/>
                  <wp:effectExtent l="0" t="0" r="10160" b="1016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a:ln>
                            <a:noFill/>
                          </a:ln>
                        </pic:spPr>
                      </pic:pic>
                    </a:graphicData>
                  </a:graphic>
                </wp:inline>
              </w:drawing>
            </w:r>
          </w:p>
        </w:tc>
        <w:tc>
          <w:tcPr>
            <w:tcW w:w="1253" w:type="dxa"/>
            <w:vAlign w:val="center"/>
          </w:tcPr>
          <w:p w14:paraId="0EB00966" w14:textId="77777777" w:rsidR="00C9295D" w:rsidRPr="00F505C6" w:rsidRDefault="00C9295D" w:rsidP="00870BE7">
            <w:pPr>
              <w:pStyle w:val="TABLE"/>
              <w:jc w:val="center"/>
            </w:pPr>
            <w:r w:rsidRPr="00F505C6">
              <w:t>-</w:t>
            </w:r>
          </w:p>
        </w:tc>
        <w:tc>
          <w:tcPr>
            <w:tcW w:w="1253" w:type="dxa"/>
            <w:vAlign w:val="center"/>
          </w:tcPr>
          <w:p w14:paraId="1265570A" w14:textId="77777777" w:rsidR="00C9295D" w:rsidRPr="00F505C6" w:rsidRDefault="00C9295D" w:rsidP="00870BE7">
            <w:pPr>
              <w:pStyle w:val="TABLE"/>
              <w:jc w:val="center"/>
            </w:pPr>
            <w:r w:rsidRPr="00F505C6">
              <w:rPr>
                <w:noProof/>
                <w:lang w:val="en-GB"/>
              </w:rPr>
              <w:drawing>
                <wp:inline distT="0" distB="0" distL="0" distR="0" wp14:anchorId="74F9C5C8" wp14:editId="2D2572EF">
                  <wp:extent cx="198967" cy="198967"/>
                  <wp:effectExtent l="0" t="0" r="4445" b="4445"/>
                  <wp:docPr id="2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67" cy="198967"/>
                          </a:xfrm>
                          <a:prstGeom prst="rect">
                            <a:avLst/>
                          </a:prstGeom>
                          <a:noFill/>
                          <a:ln>
                            <a:noFill/>
                          </a:ln>
                        </pic:spPr>
                      </pic:pic>
                    </a:graphicData>
                  </a:graphic>
                </wp:inline>
              </w:drawing>
            </w:r>
          </w:p>
        </w:tc>
        <w:tc>
          <w:tcPr>
            <w:tcW w:w="1254" w:type="dxa"/>
            <w:vAlign w:val="center"/>
          </w:tcPr>
          <w:p w14:paraId="54C8CAF6" w14:textId="77777777" w:rsidR="00C9295D" w:rsidRPr="00F505C6" w:rsidRDefault="00C9295D" w:rsidP="00870BE7">
            <w:pPr>
              <w:pStyle w:val="TABLE"/>
              <w:jc w:val="center"/>
            </w:pPr>
            <w:r w:rsidRPr="00F505C6">
              <w:rPr>
                <w:noProof/>
                <w:lang w:val="en-GB"/>
              </w:rPr>
              <w:drawing>
                <wp:inline distT="0" distB="0" distL="0" distR="0" wp14:anchorId="10B6F63F" wp14:editId="561183EF">
                  <wp:extent cx="145638" cy="145638"/>
                  <wp:effectExtent l="0" t="0" r="6985" b="6985"/>
                  <wp:docPr id="29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88" cy="146388"/>
                          </a:xfrm>
                          <a:prstGeom prst="rect">
                            <a:avLst/>
                          </a:prstGeom>
                          <a:noFill/>
                          <a:ln>
                            <a:noFill/>
                          </a:ln>
                        </pic:spPr>
                      </pic:pic>
                    </a:graphicData>
                  </a:graphic>
                </wp:inline>
              </w:drawing>
            </w:r>
          </w:p>
        </w:tc>
      </w:tr>
      <w:tr w:rsidR="00C9295D" w:rsidRPr="00F505C6" w14:paraId="18B00C75" w14:textId="77777777" w:rsidTr="00870BE7">
        <w:trPr>
          <w:trHeight w:val="402"/>
        </w:trPr>
        <w:tc>
          <w:tcPr>
            <w:tcW w:w="2200" w:type="dxa"/>
            <w:vAlign w:val="center"/>
          </w:tcPr>
          <w:p w14:paraId="62FFAD73" w14:textId="77777777" w:rsidR="00C9295D" w:rsidRPr="00F505C6" w:rsidRDefault="00C9295D" w:rsidP="00870BE7">
            <w:pPr>
              <w:pStyle w:val="TABLE"/>
              <w:jc w:val="right"/>
            </w:pPr>
            <w:r w:rsidRPr="00F505C6">
              <w:t>Financial value of social</w:t>
            </w:r>
          </w:p>
        </w:tc>
        <w:tc>
          <w:tcPr>
            <w:tcW w:w="1253" w:type="dxa"/>
            <w:vAlign w:val="center"/>
          </w:tcPr>
          <w:p w14:paraId="05ADF9A2" w14:textId="77777777" w:rsidR="00C9295D" w:rsidRPr="00F505C6" w:rsidRDefault="00C9295D" w:rsidP="00870BE7">
            <w:pPr>
              <w:pStyle w:val="TABLE"/>
              <w:jc w:val="center"/>
            </w:pPr>
            <w:r w:rsidRPr="00F505C6">
              <w:rPr>
                <w:noProof/>
                <w:lang w:val="en-GB"/>
              </w:rPr>
              <w:drawing>
                <wp:inline distT="0" distB="0" distL="0" distR="0" wp14:anchorId="78FF58BD" wp14:editId="76FC4098">
                  <wp:extent cx="213360" cy="21336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1253" w:type="dxa"/>
            <w:tcBorders>
              <w:left w:val="nil"/>
            </w:tcBorders>
            <w:vAlign w:val="center"/>
          </w:tcPr>
          <w:p w14:paraId="7E4E820E" w14:textId="77777777" w:rsidR="00C9295D" w:rsidRPr="00F505C6" w:rsidRDefault="00C9295D" w:rsidP="00870BE7">
            <w:pPr>
              <w:pStyle w:val="TABLE"/>
              <w:jc w:val="center"/>
            </w:pPr>
            <w:r w:rsidRPr="00F505C6">
              <w:t>-</w:t>
            </w:r>
          </w:p>
        </w:tc>
        <w:tc>
          <w:tcPr>
            <w:tcW w:w="1254" w:type="dxa"/>
            <w:vAlign w:val="center"/>
          </w:tcPr>
          <w:p w14:paraId="24E05ADC" w14:textId="77777777" w:rsidR="00C9295D" w:rsidRPr="00F505C6" w:rsidRDefault="00C9295D" w:rsidP="00870BE7">
            <w:pPr>
              <w:pStyle w:val="TABLE"/>
              <w:jc w:val="center"/>
            </w:pPr>
            <w:r w:rsidRPr="00F505C6">
              <w:t>-</w:t>
            </w:r>
          </w:p>
        </w:tc>
        <w:tc>
          <w:tcPr>
            <w:tcW w:w="1253" w:type="dxa"/>
            <w:vAlign w:val="center"/>
          </w:tcPr>
          <w:p w14:paraId="4E0A627E" w14:textId="77777777" w:rsidR="00C9295D" w:rsidRPr="00F505C6" w:rsidRDefault="00C9295D" w:rsidP="00870BE7">
            <w:pPr>
              <w:pStyle w:val="TABLE"/>
              <w:jc w:val="center"/>
            </w:pPr>
            <w:r w:rsidRPr="00F505C6">
              <w:t>-</w:t>
            </w:r>
          </w:p>
        </w:tc>
        <w:tc>
          <w:tcPr>
            <w:tcW w:w="1253" w:type="dxa"/>
            <w:vAlign w:val="center"/>
          </w:tcPr>
          <w:p w14:paraId="7F715AEE" w14:textId="77777777" w:rsidR="00C9295D" w:rsidRPr="00F505C6" w:rsidRDefault="00C9295D" w:rsidP="00870BE7">
            <w:pPr>
              <w:pStyle w:val="TABLE"/>
              <w:jc w:val="center"/>
            </w:pPr>
            <w:r w:rsidRPr="00F505C6">
              <w:rPr>
                <w:noProof/>
                <w:lang w:val="en-GB"/>
              </w:rPr>
              <w:drawing>
                <wp:inline distT="0" distB="0" distL="0" distR="0" wp14:anchorId="464703D3" wp14:editId="2D6A9231">
                  <wp:extent cx="145638" cy="145638"/>
                  <wp:effectExtent l="0" t="0" r="6985" b="6985"/>
                  <wp:docPr id="29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88" cy="146388"/>
                          </a:xfrm>
                          <a:prstGeom prst="rect">
                            <a:avLst/>
                          </a:prstGeom>
                          <a:noFill/>
                          <a:ln>
                            <a:noFill/>
                          </a:ln>
                        </pic:spPr>
                      </pic:pic>
                    </a:graphicData>
                  </a:graphic>
                </wp:inline>
              </w:drawing>
            </w:r>
          </w:p>
        </w:tc>
        <w:tc>
          <w:tcPr>
            <w:tcW w:w="1254" w:type="dxa"/>
            <w:vAlign w:val="center"/>
          </w:tcPr>
          <w:p w14:paraId="3ABA5087" w14:textId="77777777" w:rsidR="00C9295D" w:rsidRPr="00F505C6" w:rsidRDefault="00C9295D" w:rsidP="00870BE7">
            <w:pPr>
              <w:pStyle w:val="TABLE"/>
              <w:jc w:val="center"/>
            </w:pPr>
            <w:r w:rsidRPr="00F505C6">
              <w:t>-</w:t>
            </w:r>
          </w:p>
        </w:tc>
      </w:tr>
      <w:tr w:rsidR="00C9295D" w:rsidRPr="00F505C6" w14:paraId="3E360477" w14:textId="77777777" w:rsidTr="00870BE7">
        <w:tc>
          <w:tcPr>
            <w:tcW w:w="2200" w:type="dxa"/>
            <w:tcBorders>
              <w:top w:val="single" w:sz="4" w:space="0" w:color="auto"/>
            </w:tcBorders>
          </w:tcPr>
          <w:p w14:paraId="34DAADEF" w14:textId="77777777" w:rsidR="00C9295D" w:rsidRPr="00F505C6" w:rsidRDefault="00C9295D" w:rsidP="00870BE7">
            <w:pPr>
              <w:pStyle w:val="TABLE"/>
              <w:jc w:val="both"/>
            </w:pPr>
            <w:r w:rsidRPr="00F505C6">
              <w:t>Consistency</w:t>
            </w:r>
          </w:p>
        </w:tc>
        <w:tc>
          <w:tcPr>
            <w:tcW w:w="1253" w:type="dxa"/>
            <w:tcBorders>
              <w:top w:val="single" w:sz="4" w:space="0" w:color="auto"/>
            </w:tcBorders>
            <w:vAlign w:val="center"/>
          </w:tcPr>
          <w:p w14:paraId="444F83F7" w14:textId="77777777" w:rsidR="00C9295D" w:rsidRPr="00F505C6" w:rsidRDefault="00C9295D" w:rsidP="00870BE7">
            <w:pPr>
              <w:pStyle w:val="TABLE"/>
              <w:jc w:val="center"/>
            </w:pPr>
            <w:r w:rsidRPr="00F505C6">
              <w:t>0.84</w:t>
            </w:r>
          </w:p>
        </w:tc>
        <w:tc>
          <w:tcPr>
            <w:tcW w:w="1253" w:type="dxa"/>
            <w:tcBorders>
              <w:top w:val="single" w:sz="4" w:space="0" w:color="auto"/>
              <w:left w:val="nil"/>
            </w:tcBorders>
            <w:vAlign w:val="center"/>
          </w:tcPr>
          <w:p w14:paraId="398661EA" w14:textId="77777777" w:rsidR="00C9295D" w:rsidRPr="00F505C6" w:rsidRDefault="00C9295D" w:rsidP="00870BE7">
            <w:pPr>
              <w:pStyle w:val="TABLE"/>
              <w:jc w:val="center"/>
            </w:pPr>
            <w:r w:rsidRPr="00F505C6">
              <w:t>0.86</w:t>
            </w:r>
          </w:p>
        </w:tc>
        <w:tc>
          <w:tcPr>
            <w:tcW w:w="1254" w:type="dxa"/>
            <w:tcBorders>
              <w:top w:val="single" w:sz="4" w:space="0" w:color="auto"/>
            </w:tcBorders>
            <w:vAlign w:val="center"/>
          </w:tcPr>
          <w:p w14:paraId="736716E9" w14:textId="77777777" w:rsidR="00C9295D" w:rsidRPr="00F505C6" w:rsidRDefault="00C9295D" w:rsidP="00870BE7">
            <w:pPr>
              <w:pStyle w:val="TABLE"/>
              <w:jc w:val="center"/>
            </w:pPr>
            <w:r w:rsidRPr="00F505C6">
              <w:t>0.92</w:t>
            </w:r>
          </w:p>
        </w:tc>
        <w:tc>
          <w:tcPr>
            <w:tcW w:w="1253" w:type="dxa"/>
            <w:tcBorders>
              <w:top w:val="single" w:sz="4" w:space="0" w:color="auto"/>
            </w:tcBorders>
          </w:tcPr>
          <w:p w14:paraId="54E6DEBB" w14:textId="77777777" w:rsidR="00C9295D" w:rsidRPr="00F505C6" w:rsidRDefault="00C9295D" w:rsidP="00870BE7">
            <w:pPr>
              <w:pStyle w:val="TABLE"/>
              <w:jc w:val="center"/>
            </w:pPr>
            <w:r w:rsidRPr="00F505C6">
              <w:t>0.9</w:t>
            </w:r>
          </w:p>
        </w:tc>
        <w:tc>
          <w:tcPr>
            <w:tcW w:w="1253" w:type="dxa"/>
            <w:tcBorders>
              <w:top w:val="single" w:sz="4" w:space="0" w:color="auto"/>
            </w:tcBorders>
            <w:vAlign w:val="center"/>
          </w:tcPr>
          <w:p w14:paraId="37FB8FF7" w14:textId="77777777" w:rsidR="00C9295D" w:rsidRPr="00F505C6" w:rsidRDefault="00C9295D" w:rsidP="00870BE7">
            <w:pPr>
              <w:pStyle w:val="TABLE"/>
              <w:jc w:val="center"/>
            </w:pPr>
            <w:r w:rsidRPr="00F505C6">
              <w:t>0.94</w:t>
            </w:r>
          </w:p>
        </w:tc>
        <w:tc>
          <w:tcPr>
            <w:tcW w:w="1254" w:type="dxa"/>
            <w:tcBorders>
              <w:top w:val="single" w:sz="4" w:space="0" w:color="auto"/>
            </w:tcBorders>
            <w:vAlign w:val="center"/>
          </w:tcPr>
          <w:p w14:paraId="48CEBD03" w14:textId="77777777" w:rsidR="00C9295D" w:rsidRPr="00F505C6" w:rsidRDefault="00C9295D" w:rsidP="00870BE7">
            <w:pPr>
              <w:pStyle w:val="TABLE"/>
              <w:jc w:val="center"/>
            </w:pPr>
            <w:r w:rsidRPr="00F505C6">
              <w:t>0.86</w:t>
            </w:r>
          </w:p>
        </w:tc>
      </w:tr>
      <w:tr w:rsidR="00C9295D" w:rsidRPr="00F505C6" w14:paraId="5D9F63E2" w14:textId="77777777" w:rsidTr="00870BE7">
        <w:tc>
          <w:tcPr>
            <w:tcW w:w="2200" w:type="dxa"/>
          </w:tcPr>
          <w:p w14:paraId="3956240B" w14:textId="77777777" w:rsidR="00C9295D" w:rsidRPr="00F505C6" w:rsidRDefault="00C9295D" w:rsidP="00870BE7">
            <w:pPr>
              <w:pStyle w:val="TABLE"/>
              <w:jc w:val="both"/>
            </w:pPr>
            <w:r w:rsidRPr="00F505C6">
              <w:t>Raw coverage</w:t>
            </w:r>
          </w:p>
        </w:tc>
        <w:tc>
          <w:tcPr>
            <w:tcW w:w="1253" w:type="dxa"/>
            <w:vAlign w:val="center"/>
          </w:tcPr>
          <w:p w14:paraId="38B19988" w14:textId="77777777" w:rsidR="00C9295D" w:rsidRPr="00F505C6" w:rsidRDefault="00C9295D" w:rsidP="00870BE7">
            <w:pPr>
              <w:pStyle w:val="TABLE"/>
              <w:jc w:val="center"/>
            </w:pPr>
            <w:r w:rsidRPr="00F505C6">
              <w:t>0.14</w:t>
            </w:r>
          </w:p>
        </w:tc>
        <w:tc>
          <w:tcPr>
            <w:tcW w:w="1253" w:type="dxa"/>
            <w:tcBorders>
              <w:left w:val="nil"/>
            </w:tcBorders>
            <w:vAlign w:val="center"/>
          </w:tcPr>
          <w:p w14:paraId="105BC097" w14:textId="77777777" w:rsidR="00C9295D" w:rsidRPr="00F505C6" w:rsidRDefault="00C9295D" w:rsidP="00870BE7">
            <w:pPr>
              <w:pStyle w:val="TABLE"/>
              <w:jc w:val="center"/>
            </w:pPr>
            <w:r w:rsidRPr="00F505C6">
              <w:t>0.19</w:t>
            </w:r>
          </w:p>
        </w:tc>
        <w:tc>
          <w:tcPr>
            <w:tcW w:w="1254" w:type="dxa"/>
            <w:vAlign w:val="center"/>
          </w:tcPr>
          <w:p w14:paraId="2AF80D97" w14:textId="77777777" w:rsidR="00C9295D" w:rsidRPr="00F505C6" w:rsidRDefault="00C9295D" w:rsidP="00870BE7">
            <w:pPr>
              <w:pStyle w:val="TABLE"/>
              <w:jc w:val="center"/>
            </w:pPr>
            <w:r w:rsidRPr="00F505C6">
              <w:t>0.24</w:t>
            </w:r>
          </w:p>
        </w:tc>
        <w:tc>
          <w:tcPr>
            <w:tcW w:w="1253" w:type="dxa"/>
          </w:tcPr>
          <w:p w14:paraId="092E1E32" w14:textId="77777777" w:rsidR="00C9295D" w:rsidRPr="00F505C6" w:rsidRDefault="00C9295D" w:rsidP="00870BE7">
            <w:pPr>
              <w:pStyle w:val="TABLE"/>
              <w:jc w:val="center"/>
            </w:pPr>
            <w:r w:rsidRPr="00F505C6">
              <w:t>0.33</w:t>
            </w:r>
          </w:p>
        </w:tc>
        <w:tc>
          <w:tcPr>
            <w:tcW w:w="1253" w:type="dxa"/>
            <w:vAlign w:val="center"/>
          </w:tcPr>
          <w:p w14:paraId="49490A74" w14:textId="77777777" w:rsidR="00C9295D" w:rsidRPr="00F505C6" w:rsidRDefault="00C9295D" w:rsidP="00870BE7">
            <w:pPr>
              <w:pStyle w:val="TABLE"/>
              <w:jc w:val="center"/>
            </w:pPr>
            <w:r w:rsidRPr="00F505C6">
              <w:t>0.08</w:t>
            </w:r>
          </w:p>
        </w:tc>
        <w:tc>
          <w:tcPr>
            <w:tcW w:w="1254" w:type="dxa"/>
            <w:vAlign w:val="center"/>
          </w:tcPr>
          <w:p w14:paraId="1222D704" w14:textId="77777777" w:rsidR="00C9295D" w:rsidRPr="00F505C6" w:rsidRDefault="00C9295D" w:rsidP="00870BE7">
            <w:pPr>
              <w:pStyle w:val="TABLE"/>
              <w:jc w:val="center"/>
            </w:pPr>
            <w:r w:rsidRPr="00F505C6">
              <w:t>0.20</w:t>
            </w:r>
          </w:p>
        </w:tc>
      </w:tr>
      <w:tr w:rsidR="00C9295D" w:rsidRPr="00F505C6" w14:paraId="2C6326C3" w14:textId="77777777" w:rsidTr="00870BE7">
        <w:tc>
          <w:tcPr>
            <w:tcW w:w="2200" w:type="dxa"/>
          </w:tcPr>
          <w:p w14:paraId="46C7AE1E" w14:textId="77777777" w:rsidR="00C9295D" w:rsidRPr="00F505C6" w:rsidRDefault="00C9295D" w:rsidP="00870BE7">
            <w:pPr>
              <w:pStyle w:val="TABLE"/>
              <w:jc w:val="both"/>
            </w:pPr>
            <w:r w:rsidRPr="00F505C6">
              <w:t>Unique coverage</w:t>
            </w:r>
          </w:p>
        </w:tc>
        <w:tc>
          <w:tcPr>
            <w:tcW w:w="1253" w:type="dxa"/>
            <w:tcBorders>
              <w:bottom w:val="single" w:sz="4" w:space="0" w:color="auto"/>
            </w:tcBorders>
            <w:vAlign w:val="center"/>
          </w:tcPr>
          <w:p w14:paraId="756F86A4" w14:textId="77777777" w:rsidR="00C9295D" w:rsidRPr="00F505C6" w:rsidRDefault="00C9295D" w:rsidP="00870BE7">
            <w:pPr>
              <w:pStyle w:val="TABLE"/>
              <w:jc w:val="center"/>
            </w:pPr>
            <w:r w:rsidRPr="00F505C6">
              <w:t>0.082</w:t>
            </w:r>
          </w:p>
        </w:tc>
        <w:tc>
          <w:tcPr>
            <w:tcW w:w="1253" w:type="dxa"/>
            <w:tcBorders>
              <w:left w:val="nil"/>
              <w:bottom w:val="single" w:sz="4" w:space="0" w:color="auto"/>
            </w:tcBorders>
            <w:vAlign w:val="center"/>
          </w:tcPr>
          <w:p w14:paraId="528D484C" w14:textId="77777777" w:rsidR="00C9295D" w:rsidRPr="00F505C6" w:rsidRDefault="00C9295D" w:rsidP="00870BE7">
            <w:pPr>
              <w:pStyle w:val="TABLE"/>
              <w:jc w:val="center"/>
            </w:pPr>
            <w:r w:rsidRPr="00F505C6">
              <w:t>0.066</w:t>
            </w:r>
          </w:p>
        </w:tc>
        <w:tc>
          <w:tcPr>
            <w:tcW w:w="1254" w:type="dxa"/>
            <w:tcBorders>
              <w:bottom w:val="single" w:sz="4" w:space="0" w:color="auto"/>
            </w:tcBorders>
            <w:vAlign w:val="center"/>
          </w:tcPr>
          <w:p w14:paraId="111B7C3B" w14:textId="77777777" w:rsidR="00C9295D" w:rsidRPr="00F505C6" w:rsidRDefault="00C9295D" w:rsidP="00870BE7">
            <w:pPr>
              <w:pStyle w:val="TABLE"/>
              <w:jc w:val="center"/>
            </w:pPr>
            <w:r w:rsidRPr="00F505C6">
              <w:t>0.042</w:t>
            </w:r>
          </w:p>
        </w:tc>
        <w:tc>
          <w:tcPr>
            <w:tcW w:w="1253" w:type="dxa"/>
            <w:tcBorders>
              <w:bottom w:val="single" w:sz="4" w:space="0" w:color="auto"/>
            </w:tcBorders>
          </w:tcPr>
          <w:p w14:paraId="66799722" w14:textId="77777777" w:rsidR="00C9295D" w:rsidRPr="00F505C6" w:rsidRDefault="00C9295D" w:rsidP="00870BE7">
            <w:pPr>
              <w:pStyle w:val="TABLE"/>
              <w:jc w:val="center"/>
            </w:pPr>
            <w:r w:rsidRPr="00F505C6">
              <w:t>0</w:t>
            </w:r>
          </w:p>
        </w:tc>
        <w:tc>
          <w:tcPr>
            <w:tcW w:w="1253" w:type="dxa"/>
            <w:tcBorders>
              <w:bottom w:val="single" w:sz="4" w:space="0" w:color="auto"/>
            </w:tcBorders>
            <w:vAlign w:val="center"/>
          </w:tcPr>
          <w:p w14:paraId="61A7D9ED" w14:textId="77777777" w:rsidR="00C9295D" w:rsidRPr="00F505C6" w:rsidRDefault="00C9295D" w:rsidP="00870BE7">
            <w:pPr>
              <w:pStyle w:val="TABLE"/>
              <w:jc w:val="center"/>
            </w:pPr>
            <w:r w:rsidRPr="00F505C6">
              <w:t>0.034</w:t>
            </w:r>
          </w:p>
        </w:tc>
        <w:tc>
          <w:tcPr>
            <w:tcW w:w="1254" w:type="dxa"/>
            <w:tcBorders>
              <w:bottom w:val="single" w:sz="4" w:space="0" w:color="auto"/>
            </w:tcBorders>
            <w:vAlign w:val="center"/>
          </w:tcPr>
          <w:p w14:paraId="7F604C7C" w14:textId="77777777" w:rsidR="00C9295D" w:rsidRPr="00F505C6" w:rsidRDefault="00C9295D" w:rsidP="00870BE7">
            <w:pPr>
              <w:pStyle w:val="TABLE"/>
              <w:jc w:val="center"/>
            </w:pPr>
            <w:r w:rsidRPr="00F505C6">
              <w:t>0.011</w:t>
            </w:r>
          </w:p>
        </w:tc>
      </w:tr>
      <w:tr w:rsidR="00C9295D" w:rsidRPr="00F505C6" w14:paraId="6AE1BF80" w14:textId="77777777" w:rsidTr="00870BE7">
        <w:tc>
          <w:tcPr>
            <w:tcW w:w="2200" w:type="dxa"/>
          </w:tcPr>
          <w:p w14:paraId="72D2C81A" w14:textId="77777777" w:rsidR="00C9295D" w:rsidRPr="00F505C6" w:rsidRDefault="00C9295D" w:rsidP="00870BE7">
            <w:pPr>
              <w:pStyle w:val="TABLE"/>
              <w:jc w:val="both"/>
            </w:pPr>
            <w:r w:rsidRPr="00F505C6">
              <w:t>Overall consistency</w:t>
            </w:r>
          </w:p>
        </w:tc>
        <w:tc>
          <w:tcPr>
            <w:tcW w:w="7520" w:type="dxa"/>
            <w:gridSpan w:val="6"/>
            <w:vAlign w:val="center"/>
          </w:tcPr>
          <w:p w14:paraId="1B536F4E" w14:textId="77777777" w:rsidR="00C9295D" w:rsidRPr="00F505C6" w:rsidRDefault="00C9295D" w:rsidP="00870BE7">
            <w:pPr>
              <w:pStyle w:val="TABLE"/>
              <w:tabs>
                <w:tab w:val="left" w:pos="1120"/>
                <w:tab w:val="center" w:pos="2956"/>
              </w:tabs>
              <w:jc w:val="center"/>
              <w:rPr>
                <w:szCs w:val="20"/>
              </w:rPr>
            </w:pPr>
            <w:r w:rsidRPr="00F505C6">
              <w:rPr>
                <w:szCs w:val="20"/>
              </w:rPr>
              <w:t>0.876</w:t>
            </w:r>
          </w:p>
        </w:tc>
      </w:tr>
      <w:tr w:rsidR="00C9295D" w:rsidRPr="00F505C6" w14:paraId="2F726500" w14:textId="77777777" w:rsidTr="00870BE7">
        <w:trPr>
          <w:trHeight w:val="270"/>
        </w:trPr>
        <w:tc>
          <w:tcPr>
            <w:tcW w:w="2200" w:type="dxa"/>
            <w:tcBorders>
              <w:bottom w:val="single" w:sz="4" w:space="0" w:color="auto"/>
            </w:tcBorders>
          </w:tcPr>
          <w:p w14:paraId="717C8C3B" w14:textId="77777777" w:rsidR="00C9295D" w:rsidRPr="00F505C6" w:rsidRDefault="00C9295D" w:rsidP="00870BE7">
            <w:pPr>
              <w:pStyle w:val="TABLE"/>
              <w:jc w:val="both"/>
            </w:pPr>
            <w:r w:rsidRPr="00F505C6">
              <w:t>Overall coverage</w:t>
            </w:r>
          </w:p>
        </w:tc>
        <w:tc>
          <w:tcPr>
            <w:tcW w:w="7520" w:type="dxa"/>
            <w:gridSpan w:val="6"/>
            <w:tcBorders>
              <w:bottom w:val="single" w:sz="4" w:space="0" w:color="auto"/>
            </w:tcBorders>
            <w:vAlign w:val="center"/>
          </w:tcPr>
          <w:p w14:paraId="521CA1A7" w14:textId="77777777" w:rsidR="00C9295D" w:rsidRPr="00F505C6" w:rsidRDefault="00C9295D" w:rsidP="00870BE7">
            <w:pPr>
              <w:pStyle w:val="TABLE"/>
              <w:jc w:val="center"/>
              <w:rPr>
                <w:szCs w:val="20"/>
              </w:rPr>
            </w:pPr>
            <w:r w:rsidRPr="00F505C6">
              <w:rPr>
                <w:szCs w:val="20"/>
              </w:rPr>
              <w:t>0.651</w:t>
            </w:r>
          </w:p>
        </w:tc>
      </w:tr>
    </w:tbl>
    <w:p w14:paraId="529988F7" w14:textId="77777777" w:rsidR="00C9295D" w:rsidRPr="00F505C6" w:rsidRDefault="00C9295D" w:rsidP="00C92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rPr>
          <w:rFonts w:cs="Times New Roman"/>
          <w:sz w:val="20"/>
          <w:szCs w:val="20"/>
          <w:lang w:val="en-US" w:eastAsia="en-GB"/>
        </w:rPr>
      </w:pPr>
      <w:r w:rsidRPr="00F505C6">
        <w:rPr>
          <w:rFonts w:cs="Times New Roman"/>
          <w:sz w:val="20"/>
          <w:szCs w:val="20"/>
          <w:lang w:val="en-US"/>
        </w:rPr>
        <w:t xml:space="preserve">frequency cutoff: 3; consistency cutoff: </w:t>
      </w:r>
      <w:r w:rsidRPr="00F505C6">
        <w:rPr>
          <w:rFonts w:cs="Times New Roman"/>
          <w:sz w:val="20"/>
          <w:szCs w:val="20"/>
          <w:lang w:val="en-US" w:eastAsia="en-GB"/>
        </w:rPr>
        <w:t>0.795</w:t>
      </w:r>
    </w:p>
    <w:p w14:paraId="3383A400" w14:textId="504A2CD6" w:rsidR="00D47FE3" w:rsidRPr="00F505C6" w:rsidRDefault="00D47FE3" w:rsidP="00D47FE3">
      <w:pPr>
        <w:pStyle w:val="TABLE"/>
        <w:rPr>
          <w:rFonts w:eastAsia="Calibri"/>
          <w:b/>
          <w:color w:val="auto"/>
          <w:sz w:val="22"/>
          <w:szCs w:val="20"/>
          <w:lang w:eastAsia="en-US"/>
        </w:rPr>
      </w:pPr>
      <w:r w:rsidRPr="00F505C6">
        <w:rPr>
          <w:b/>
          <w:sz w:val="22"/>
        </w:rPr>
        <w:t xml:space="preserve">Table 3 - </w:t>
      </w:r>
      <w:r w:rsidRPr="00F505C6">
        <w:rPr>
          <w:rFonts w:eastAsia="Calibri"/>
          <w:b/>
          <w:color w:val="auto"/>
          <w:sz w:val="22"/>
          <w:szCs w:val="20"/>
          <w:lang w:eastAsia="en-US"/>
        </w:rPr>
        <w:t xml:space="preserve">Summary of Theoretical Implications </w:t>
      </w:r>
    </w:p>
    <w:tbl>
      <w:tblPr>
        <w:tblStyle w:val="TableGrid1"/>
        <w:tblW w:w="9450" w:type="dxa"/>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809"/>
        <w:gridCol w:w="5651"/>
      </w:tblGrid>
      <w:tr w:rsidR="00D47FE3" w:rsidRPr="00F505C6" w14:paraId="386825FC" w14:textId="77777777" w:rsidTr="00F07DE4">
        <w:tc>
          <w:tcPr>
            <w:tcW w:w="990" w:type="dxa"/>
            <w:tcBorders>
              <w:top w:val="single" w:sz="4" w:space="0" w:color="auto"/>
              <w:bottom w:val="single" w:sz="4" w:space="0" w:color="auto"/>
            </w:tcBorders>
          </w:tcPr>
          <w:p w14:paraId="235A9BC8" w14:textId="77777777" w:rsidR="00D47FE3" w:rsidRPr="00F505C6" w:rsidRDefault="00D47FE3" w:rsidP="00D47FE3">
            <w:pPr>
              <w:spacing w:after="60" w:line="240" w:lineRule="auto"/>
              <w:ind w:firstLine="0"/>
              <w:jc w:val="center"/>
              <w:rPr>
                <w:rFonts w:eastAsia="Calibri" w:cs="Times New Roman"/>
                <w:b/>
                <w:sz w:val="20"/>
                <w:szCs w:val="20"/>
                <w:lang w:val="en-US"/>
              </w:rPr>
            </w:pPr>
            <w:r w:rsidRPr="00F505C6">
              <w:rPr>
                <w:rFonts w:eastAsia="Calibri" w:cs="Times New Roman"/>
                <w:b/>
                <w:sz w:val="20"/>
                <w:szCs w:val="20"/>
                <w:lang w:val="en-US"/>
              </w:rPr>
              <w:t>Solution</w:t>
            </w:r>
          </w:p>
        </w:tc>
        <w:tc>
          <w:tcPr>
            <w:tcW w:w="2809" w:type="dxa"/>
            <w:tcBorders>
              <w:top w:val="single" w:sz="4" w:space="0" w:color="auto"/>
              <w:bottom w:val="single" w:sz="4" w:space="0" w:color="auto"/>
            </w:tcBorders>
          </w:tcPr>
          <w:p w14:paraId="661707DE" w14:textId="77777777" w:rsidR="00D47FE3" w:rsidRPr="00F505C6" w:rsidRDefault="00D47FE3" w:rsidP="00D47FE3">
            <w:pPr>
              <w:spacing w:after="60" w:line="240" w:lineRule="auto"/>
              <w:ind w:firstLine="0"/>
              <w:jc w:val="center"/>
              <w:rPr>
                <w:rFonts w:eastAsia="Calibri" w:cs="Times New Roman"/>
                <w:b/>
                <w:sz w:val="20"/>
                <w:szCs w:val="20"/>
                <w:lang w:val="en-US"/>
              </w:rPr>
            </w:pPr>
            <w:r w:rsidRPr="00F505C6">
              <w:rPr>
                <w:rFonts w:eastAsia="Calibri" w:cs="Times New Roman"/>
                <w:b/>
                <w:sz w:val="20"/>
                <w:szCs w:val="20"/>
                <w:lang w:val="en-US"/>
              </w:rPr>
              <w:t xml:space="preserve">Conditions </w:t>
            </w:r>
          </w:p>
        </w:tc>
        <w:tc>
          <w:tcPr>
            <w:tcW w:w="5651" w:type="dxa"/>
            <w:tcBorders>
              <w:top w:val="single" w:sz="4" w:space="0" w:color="auto"/>
              <w:bottom w:val="single" w:sz="4" w:space="0" w:color="auto"/>
            </w:tcBorders>
          </w:tcPr>
          <w:p w14:paraId="1C95C30A" w14:textId="77777777" w:rsidR="00D47FE3" w:rsidRPr="00F505C6" w:rsidRDefault="00D47FE3" w:rsidP="00D47FE3">
            <w:pPr>
              <w:spacing w:after="60" w:line="240" w:lineRule="auto"/>
              <w:ind w:firstLine="0"/>
              <w:jc w:val="center"/>
              <w:rPr>
                <w:rFonts w:eastAsia="Calibri" w:cs="Times New Roman"/>
                <w:b/>
                <w:sz w:val="20"/>
                <w:szCs w:val="20"/>
                <w:lang w:val="en-US"/>
              </w:rPr>
            </w:pPr>
            <w:r w:rsidRPr="00F505C6">
              <w:rPr>
                <w:rFonts w:eastAsia="Calibri" w:cs="Times New Roman"/>
                <w:b/>
                <w:sz w:val="20"/>
                <w:szCs w:val="20"/>
                <w:lang w:val="en-US"/>
              </w:rPr>
              <w:t>Propositions</w:t>
            </w:r>
          </w:p>
        </w:tc>
      </w:tr>
      <w:tr w:rsidR="00D47FE3" w:rsidRPr="00F505C6" w14:paraId="20E5FE71" w14:textId="77777777" w:rsidTr="003E535F">
        <w:trPr>
          <w:trHeight w:val="1218"/>
        </w:trPr>
        <w:tc>
          <w:tcPr>
            <w:tcW w:w="990" w:type="dxa"/>
            <w:tcBorders>
              <w:top w:val="single" w:sz="4" w:space="0" w:color="auto"/>
            </w:tcBorders>
          </w:tcPr>
          <w:p w14:paraId="0E85F5BD" w14:textId="77777777" w:rsidR="00D47FE3" w:rsidRPr="00F505C6" w:rsidRDefault="00D47FE3" w:rsidP="00D47FE3">
            <w:pPr>
              <w:spacing w:after="60" w:line="240" w:lineRule="auto"/>
              <w:ind w:firstLine="0"/>
              <w:jc w:val="center"/>
              <w:rPr>
                <w:rFonts w:eastAsia="Calibri" w:cs="Times New Roman"/>
                <w:sz w:val="20"/>
                <w:szCs w:val="20"/>
                <w:lang w:val="en-US"/>
              </w:rPr>
            </w:pPr>
            <w:r w:rsidRPr="00F505C6">
              <w:rPr>
                <w:rFonts w:eastAsia="Calibri" w:cs="Times New Roman"/>
                <w:sz w:val="20"/>
                <w:szCs w:val="20"/>
                <w:lang w:val="en-US"/>
              </w:rPr>
              <w:t>1</w:t>
            </w:r>
          </w:p>
        </w:tc>
        <w:tc>
          <w:tcPr>
            <w:tcW w:w="2809" w:type="dxa"/>
            <w:tcBorders>
              <w:top w:val="single" w:sz="4" w:space="0" w:color="auto"/>
            </w:tcBorders>
          </w:tcPr>
          <w:p w14:paraId="60C998B0" w14:textId="77777777" w:rsidR="00D47FE3"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Present:</w:t>
            </w:r>
            <w:r w:rsidRPr="00F505C6">
              <w:rPr>
                <w:rFonts w:eastAsia="Calibri" w:cs="Times New Roman"/>
                <w:sz w:val="20"/>
                <w:szCs w:val="20"/>
                <w:lang w:val="en-US"/>
              </w:rPr>
              <w:t xml:space="preserve"> </w:t>
            </w:r>
            <w:r w:rsidR="00AC66E3" w:rsidRPr="00F505C6">
              <w:rPr>
                <w:rFonts w:eastAsia="Calibri" w:cs="Times New Roman"/>
                <w:sz w:val="20"/>
                <w:szCs w:val="20"/>
                <w:lang w:val="en-US"/>
              </w:rPr>
              <w:t xml:space="preserve">Social orientation, previous experience, </w:t>
            </w:r>
            <w:r w:rsidR="0039266B" w:rsidRPr="00F505C6">
              <w:rPr>
                <w:rFonts w:eastAsia="Calibri" w:cs="Times New Roman"/>
                <w:sz w:val="20"/>
                <w:szCs w:val="20"/>
                <w:lang w:val="en-US"/>
              </w:rPr>
              <w:t>early investment, financial value of social mission</w:t>
            </w:r>
          </w:p>
          <w:p w14:paraId="2813D994" w14:textId="25899709" w:rsidR="0039266B" w:rsidRPr="00F505C6" w:rsidRDefault="0039266B" w:rsidP="0039266B">
            <w:pPr>
              <w:spacing w:line="240" w:lineRule="auto"/>
              <w:ind w:firstLine="0"/>
              <w:jc w:val="left"/>
              <w:rPr>
                <w:rFonts w:eastAsia="Calibri" w:cs="Times New Roman"/>
                <w:i/>
                <w:sz w:val="6"/>
                <w:szCs w:val="6"/>
                <w:lang w:val="en-US"/>
              </w:rPr>
            </w:pPr>
          </w:p>
        </w:tc>
        <w:tc>
          <w:tcPr>
            <w:tcW w:w="5651" w:type="dxa"/>
            <w:tcBorders>
              <w:top w:val="single" w:sz="4" w:space="0" w:color="auto"/>
            </w:tcBorders>
          </w:tcPr>
          <w:p w14:paraId="2CBB1A20" w14:textId="1A67D2EC" w:rsidR="00D47FE3" w:rsidRPr="00F505C6" w:rsidRDefault="00D93A18" w:rsidP="003E535F">
            <w:pPr>
              <w:spacing w:after="60" w:line="240" w:lineRule="auto"/>
              <w:ind w:firstLine="0"/>
              <w:jc w:val="left"/>
              <w:rPr>
                <w:rFonts w:eastAsia="Calibri" w:cs="Times New Roman"/>
                <w:sz w:val="20"/>
                <w:szCs w:val="20"/>
                <w:lang w:val="en-US"/>
              </w:rPr>
            </w:pPr>
            <w:r w:rsidRPr="00F505C6">
              <w:rPr>
                <w:rFonts w:eastAsia="Calibri" w:cs="Times New Roman"/>
                <w:sz w:val="20"/>
                <w:szCs w:val="20"/>
                <w:lang w:val="en-US"/>
              </w:rPr>
              <w:t xml:space="preserve">Competitive advantage occurs for social </w:t>
            </w:r>
            <w:r w:rsidR="003E535F" w:rsidRPr="00F505C6">
              <w:rPr>
                <w:rFonts w:eastAsia="Calibri" w:cs="Times New Roman"/>
                <w:sz w:val="20"/>
                <w:szCs w:val="20"/>
                <w:lang w:val="en-US"/>
              </w:rPr>
              <w:t>ventures</w:t>
            </w:r>
            <w:r w:rsidRPr="00F505C6">
              <w:rPr>
                <w:rFonts w:eastAsia="Calibri" w:cs="Times New Roman"/>
                <w:sz w:val="20"/>
                <w:szCs w:val="20"/>
                <w:lang w:val="en-US"/>
              </w:rPr>
              <w:t xml:space="preserve"> </w:t>
            </w:r>
            <w:r w:rsidR="003E535F" w:rsidRPr="00F505C6">
              <w:rPr>
                <w:rFonts w:eastAsia="Calibri" w:cs="Times New Roman"/>
                <w:sz w:val="20"/>
                <w:szCs w:val="20"/>
                <w:lang w:val="en-US"/>
              </w:rPr>
              <w:t>through their social mission when the entrepreneurs h</w:t>
            </w:r>
            <w:r w:rsidR="00DD4CB1">
              <w:rPr>
                <w:rFonts w:eastAsia="Calibri" w:cs="Times New Roman"/>
                <w:sz w:val="20"/>
                <w:szCs w:val="20"/>
                <w:lang w:val="en-US"/>
              </w:rPr>
              <w:t>ave a strong orientation toward</w:t>
            </w:r>
            <w:r w:rsidR="003E535F" w:rsidRPr="00F505C6">
              <w:rPr>
                <w:rFonts w:eastAsia="Calibri" w:cs="Times New Roman"/>
                <w:sz w:val="20"/>
                <w:szCs w:val="20"/>
                <w:lang w:val="en-US"/>
              </w:rPr>
              <w:t xml:space="preserve"> the mission as a result of their previous experiences and receive early investment thus enhancing the financial value of the mission. </w:t>
            </w:r>
          </w:p>
        </w:tc>
      </w:tr>
      <w:tr w:rsidR="00D47FE3" w:rsidRPr="00F505C6" w14:paraId="0017872B" w14:textId="77777777" w:rsidTr="00F07DE4">
        <w:trPr>
          <w:trHeight w:val="554"/>
        </w:trPr>
        <w:tc>
          <w:tcPr>
            <w:tcW w:w="990" w:type="dxa"/>
          </w:tcPr>
          <w:p w14:paraId="325EED19" w14:textId="3B45F0E3" w:rsidR="00D47FE3" w:rsidRPr="00F505C6" w:rsidRDefault="00D47FE3" w:rsidP="00D47FE3">
            <w:pPr>
              <w:spacing w:after="60" w:line="240" w:lineRule="auto"/>
              <w:ind w:firstLine="0"/>
              <w:jc w:val="center"/>
              <w:rPr>
                <w:rFonts w:eastAsia="Calibri" w:cs="Times New Roman"/>
                <w:sz w:val="20"/>
                <w:szCs w:val="20"/>
                <w:lang w:val="en-US"/>
              </w:rPr>
            </w:pPr>
            <w:r w:rsidRPr="00F505C6">
              <w:rPr>
                <w:rFonts w:eastAsia="Calibri" w:cs="Times New Roman"/>
                <w:sz w:val="20"/>
                <w:szCs w:val="20"/>
                <w:lang w:val="en-US"/>
              </w:rPr>
              <w:t>2</w:t>
            </w:r>
          </w:p>
        </w:tc>
        <w:tc>
          <w:tcPr>
            <w:tcW w:w="2809" w:type="dxa"/>
          </w:tcPr>
          <w:p w14:paraId="4D135C4B" w14:textId="6BF33509" w:rsidR="00D47FE3"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Present:</w:t>
            </w:r>
            <w:r w:rsidRPr="00F505C6">
              <w:rPr>
                <w:rFonts w:eastAsia="Calibri" w:cs="Times New Roman"/>
                <w:sz w:val="20"/>
                <w:szCs w:val="20"/>
                <w:lang w:val="en-US"/>
              </w:rPr>
              <w:t xml:space="preserve"> </w:t>
            </w:r>
            <w:r w:rsidR="0039266B" w:rsidRPr="00F505C6">
              <w:rPr>
                <w:rFonts w:eastAsia="Calibri" w:cs="Times New Roman"/>
                <w:sz w:val="20"/>
                <w:szCs w:val="20"/>
                <w:lang w:val="en-US"/>
              </w:rPr>
              <w:t>Social orientation, previous experience, market competition</w:t>
            </w:r>
          </w:p>
          <w:p w14:paraId="30F39405" w14:textId="77777777" w:rsidR="0039266B"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Absent:</w:t>
            </w:r>
            <w:r w:rsidR="0039266B" w:rsidRPr="00F505C6">
              <w:rPr>
                <w:rFonts w:eastAsia="Calibri" w:cs="Times New Roman"/>
                <w:b/>
                <w:sz w:val="20"/>
                <w:szCs w:val="20"/>
                <w:lang w:val="en-US"/>
              </w:rPr>
              <w:t xml:space="preserve"> </w:t>
            </w:r>
            <w:r w:rsidR="0039266B" w:rsidRPr="00F505C6">
              <w:rPr>
                <w:rFonts w:eastAsia="Calibri" w:cs="Times New Roman"/>
                <w:sz w:val="20"/>
                <w:szCs w:val="20"/>
                <w:lang w:val="en-US"/>
              </w:rPr>
              <w:t>early investment</w:t>
            </w:r>
          </w:p>
          <w:p w14:paraId="7EBAACD3" w14:textId="3ABAA646" w:rsidR="0039266B" w:rsidRPr="00F505C6" w:rsidRDefault="0039266B" w:rsidP="0039266B">
            <w:pPr>
              <w:spacing w:line="240" w:lineRule="auto"/>
              <w:ind w:firstLine="0"/>
              <w:jc w:val="left"/>
              <w:rPr>
                <w:rFonts w:eastAsia="Calibri" w:cs="Times New Roman"/>
                <w:sz w:val="12"/>
                <w:szCs w:val="6"/>
                <w:lang w:val="en-US"/>
              </w:rPr>
            </w:pPr>
          </w:p>
        </w:tc>
        <w:tc>
          <w:tcPr>
            <w:tcW w:w="5651" w:type="dxa"/>
          </w:tcPr>
          <w:p w14:paraId="3C255AC2" w14:textId="2D59FB65" w:rsidR="00D47FE3" w:rsidRPr="00F505C6" w:rsidRDefault="003E535F" w:rsidP="003E535F">
            <w:pPr>
              <w:spacing w:line="240" w:lineRule="auto"/>
              <w:ind w:firstLine="0"/>
              <w:jc w:val="left"/>
              <w:rPr>
                <w:rFonts w:eastAsia="Calibri" w:cs="Times New Roman"/>
                <w:sz w:val="20"/>
                <w:szCs w:val="20"/>
                <w:lang w:val="en-US"/>
              </w:rPr>
            </w:pPr>
            <w:r w:rsidRPr="00F505C6">
              <w:rPr>
                <w:rFonts w:eastAsia="Calibri" w:cs="Times New Roman"/>
                <w:sz w:val="20"/>
                <w:szCs w:val="20"/>
                <w:lang w:val="en-US"/>
              </w:rPr>
              <w:t>Competitive advantage occurs for social ventures through their social mission when the entrepreneurs h</w:t>
            </w:r>
            <w:r w:rsidR="00DD4CB1">
              <w:rPr>
                <w:rFonts w:eastAsia="Calibri" w:cs="Times New Roman"/>
                <w:sz w:val="20"/>
                <w:szCs w:val="20"/>
                <w:lang w:val="en-US"/>
              </w:rPr>
              <w:t>ave a strong orientation toward</w:t>
            </w:r>
            <w:r w:rsidRPr="00F505C6">
              <w:rPr>
                <w:rFonts w:eastAsia="Calibri" w:cs="Times New Roman"/>
                <w:sz w:val="20"/>
                <w:szCs w:val="20"/>
                <w:lang w:val="en-US"/>
              </w:rPr>
              <w:t xml:space="preserve"> the mission as a result of their previous experiences but operate without early investment in a for-profit market context. </w:t>
            </w:r>
          </w:p>
        </w:tc>
      </w:tr>
      <w:tr w:rsidR="00D47FE3" w:rsidRPr="00F505C6" w14:paraId="40D65958" w14:textId="77777777" w:rsidTr="00F07DE4">
        <w:tc>
          <w:tcPr>
            <w:tcW w:w="990" w:type="dxa"/>
          </w:tcPr>
          <w:p w14:paraId="21A92310" w14:textId="76725656" w:rsidR="00D47FE3" w:rsidRPr="00F505C6" w:rsidRDefault="00AC66E3" w:rsidP="00D47FE3">
            <w:pPr>
              <w:spacing w:after="60" w:line="240" w:lineRule="auto"/>
              <w:ind w:firstLine="0"/>
              <w:jc w:val="center"/>
              <w:rPr>
                <w:rFonts w:eastAsia="Calibri" w:cs="Times New Roman"/>
                <w:sz w:val="20"/>
                <w:szCs w:val="20"/>
                <w:lang w:val="en-US"/>
              </w:rPr>
            </w:pPr>
            <w:r w:rsidRPr="00F505C6">
              <w:rPr>
                <w:rFonts w:eastAsia="Calibri" w:cs="Times New Roman"/>
                <w:sz w:val="20"/>
                <w:szCs w:val="20"/>
                <w:lang w:val="en-US"/>
              </w:rPr>
              <w:t>3a/b</w:t>
            </w:r>
          </w:p>
        </w:tc>
        <w:tc>
          <w:tcPr>
            <w:tcW w:w="2809" w:type="dxa"/>
          </w:tcPr>
          <w:p w14:paraId="778249DF" w14:textId="5E9C3C56" w:rsidR="00D47FE3"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Present:</w:t>
            </w:r>
            <w:r w:rsidR="0039266B" w:rsidRPr="00F505C6">
              <w:rPr>
                <w:rFonts w:eastAsia="Calibri" w:cs="Times New Roman"/>
                <w:b/>
                <w:sz w:val="20"/>
                <w:szCs w:val="20"/>
                <w:lang w:val="en-US"/>
              </w:rPr>
              <w:t xml:space="preserve"> </w:t>
            </w:r>
            <w:r w:rsidR="0039266B" w:rsidRPr="00F505C6">
              <w:rPr>
                <w:rFonts w:eastAsia="Calibri" w:cs="Times New Roman"/>
                <w:sz w:val="20"/>
                <w:szCs w:val="20"/>
                <w:lang w:val="en-US"/>
              </w:rPr>
              <w:t>Social orientation, profit orientation</w:t>
            </w:r>
          </w:p>
          <w:p w14:paraId="0B8255DE" w14:textId="77777777" w:rsidR="0039266B"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Absent:</w:t>
            </w:r>
            <w:r w:rsidRPr="00F505C6">
              <w:rPr>
                <w:rFonts w:eastAsia="Calibri" w:cs="Times New Roman"/>
                <w:sz w:val="20"/>
                <w:szCs w:val="20"/>
                <w:lang w:val="en-US"/>
              </w:rPr>
              <w:t xml:space="preserve"> </w:t>
            </w:r>
            <w:r w:rsidR="0039266B" w:rsidRPr="00F505C6">
              <w:rPr>
                <w:rFonts w:eastAsia="Calibri" w:cs="Times New Roman"/>
                <w:sz w:val="20"/>
                <w:szCs w:val="20"/>
                <w:lang w:val="en-US"/>
              </w:rPr>
              <w:t xml:space="preserve">previous experience </w:t>
            </w:r>
          </w:p>
          <w:p w14:paraId="70B2D741" w14:textId="7A68BEB2" w:rsidR="0039266B" w:rsidRPr="00F505C6" w:rsidRDefault="0039266B" w:rsidP="0039266B">
            <w:pPr>
              <w:spacing w:line="240" w:lineRule="auto"/>
              <w:ind w:firstLine="0"/>
              <w:jc w:val="left"/>
              <w:rPr>
                <w:rFonts w:eastAsia="Calibri" w:cs="Times New Roman"/>
                <w:sz w:val="6"/>
                <w:szCs w:val="6"/>
                <w:lang w:val="en-US"/>
              </w:rPr>
            </w:pPr>
          </w:p>
        </w:tc>
        <w:tc>
          <w:tcPr>
            <w:tcW w:w="5651" w:type="dxa"/>
          </w:tcPr>
          <w:p w14:paraId="17F8DA2B" w14:textId="6096400A" w:rsidR="00D47FE3" w:rsidRPr="00F505C6" w:rsidRDefault="003E535F" w:rsidP="00C77350">
            <w:pPr>
              <w:spacing w:after="60" w:line="240" w:lineRule="auto"/>
              <w:ind w:firstLine="0"/>
              <w:jc w:val="left"/>
              <w:rPr>
                <w:rFonts w:eastAsia="Calibri" w:cs="Times New Roman"/>
                <w:sz w:val="20"/>
                <w:szCs w:val="20"/>
                <w:lang w:val="en-US"/>
              </w:rPr>
            </w:pPr>
            <w:r w:rsidRPr="00F505C6">
              <w:rPr>
                <w:rFonts w:eastAsia="Calibri" w:cs="Times New Roman"/>
                <w:sz w:val="20"/>
                <w:szCs w:val="20"/>
                <w:lang w:val="en-US"/>
              </w:rPr>
              <w:t xml:space="preserve">Competitive advantage occurs for social ventures through their social mission when the entrepreneurs have a strong </w:t>
            </w:r>
            <w:r w:rsidR="00C77350" w:rsidRPr="00F505C6">
              <w:rPr>
                <w:rFonts w:eastAsia="Calibri" w:cs="Times New Roman"/>
                <w:sz w:val="20"/>
                <w:szCs w:val="20"/>
                <w:lang w:val="en-US"/>
              </w:rPr>
              <w:t xml:space="preserve">profit orientation used as a viable financial basis for developing their social orientation.  </w:t>
            </w:r>
          </w:p>
        </w:tc>
      </w:tr>
      <w:tr w:rsidR="00D47FE3" w:rsidRPr="00F505C6" w14:paraId="004ED3FE" w14:textId="77777777" w:rsidTr="0039266B">
        <w:trPr>
          <w:trHeight w:val="1118"/>
        </w:trPr>
        <w:tc>
          <w:tcPr>
            <w:tcW w:w="990" w:type="dxa"/>
          </w:tcPr>
          <w:p w14:paraId="5AD8960C" w14:textId="7363494C" w:rsidR="00D47FE3" w:rsidRPr="00F505C6" w:rsidRDefault="0039266B" w:rsidP="0039266B">
            <w:pPr>
              <w:spacing w:after="60" w:line="240" w:lineRule="auto"/>
              <w:ind w:firstLine="0"/>
              <w:jc w:val="center"/>
              <w:rPr>
                <w:rFonts w:eastAsia="Calibri" w:cs="Times New Roman"/>
                <w:sz w:val="20"/>
                <w:szCs w:val="20"/>
                <w:lang w:val="en-US"/>
              </w:rPr>
            </w:pPr>
            <w:r w:rsidRPr="00F505C6">
              <w:rPr>
                <w:rFonts w:eastAsia="Calibri" w:cs="Times New Roman"/>
                <w:sz w:val="20"/>
                <w:szCs w:val="20"/>
                <w:lang w:val="en-US"/>
              </w:rPr>
              <w:t>4a</w:t>
            </w:r>
          </w:p>
        </w:tc>
        <w:tc>
          <w:tcPr>
            <w:tcW w:w="2809" w:type="dxa"/>
          </w:tcPr>
          <w:p w14:paraId="35E444C2" w14:textId="14FF3A47" w:rsidR="00D47FE3"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 xml:space="preserve">Present: </w:t>
            </w:r>
            <w:r w:rsidR="0039266B" w:rsidRPr="00F505C6">
              <w:rPr>
                <w:rFonts w:eastAsia="Calibri" w:cs="Times New Roman"/>
                <w:sz w:val="20"/>
                <w:szCs w:val="20"/>
                <w:lang w:val="en-US"/>
              </w:rPr>
              <w:t>Previous experience, profit orientation</w:t>
            </w:r>
          </w:p>
          <w:p w14:paraId="235BBACC" w14:textId="77777777" w:rsidR="00D47FE3" w:rsidRPr="00F505C6" w:rsidRDefault="00D47FE3"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Absent:</w:t>
            </w:r>
            <w:r w:rsidR="0039266B" w:rsidRPr="00F505C6">
              <w:rPr>
                <w:rFonts w:eastAsia="Calibri" w:cs="Times New Roman"/>
                <w:b/>
                <w:sz w:val="20"/>
                <w:szCs w:val="20"/>
                <w:lang w:val="en-US"/>
              </w:rPr>
              <w:t xml:space="preserve"> </w:t>
            </w:r>
            <w:r w:rsidR="0039266B" w:rsidRPr="00F505C6">
              <w:rPr>
                <w:rFonts w:eastAsia="Calibri" w:cs="Times New Roman"/>
                <w:sz w:val="20"/>
                <w:szCs w:val="20"/>
                <w:lang w:val="en-US"/>
              </w:rPr>
              <w:t>Early investment, market competition, financial value of social mission</w:t>
            </w:r>
          </w:p>
          <w:p w14:paraId="433DAE86" w14:textId="104CF518" w:rsidR="0039266B" w:rsidRPr="00F505C6" w:rsidRDefault="0039266B" w:rsidP="0039266B">
            <w:pPr>
              <w:spacing w:line="240" w:lineRule="auto"/>
              <w:ind w:firstLine="0"/>
              <w:jc w:val="left"/>
              <w:rPr>
                <w:rFonts w:eastAsia="Calibri" w:cs="Times New Roman"/>
                <w:sz w:val="6"/>
                <w:szCs w:val="6"/>
                <w:lang w:val="en-US"/>
              </w:rPr>
            </w:pPr>
          </w:p>
        </w:tc>
        <w:tc>
          <w:tcPr>
            <w:tcW w:w="5651" w:type="dxa"/>
          </w:tcPr>
          <w:p w14:paraId="305D2485" w14:textId="7F23BA96" w:rsidR="00D47FE3" w:rsidRPr="00F505C6" w:rsidRDefault="003E535F" w:rsidP="00D47FE3">
            <w:pPr>
              <w:spacing w:after="60" w:line="240" w:lineRule="auto"/>
              <w:ind w:firstLine="0"/>
              <w:jc w:val="left"/>
              <w:rPr>
                <w:rFonts w:eastAsia="Calibri" w:cs="Times New Roman"/>
                <w:sz w:val="20"/>
                <w:szCs w:val="20"/>
                <w:lang w:val="en-US"/>
              </w:rPr>
            </w:pPr>
            <w:r w:rsidRPr="00F505C6">
              <w:rPr>
                <w:rFonts w:eastAsia="Calibri" w:cs="Times New Roman"/>
                <w:sz w:val="20"/>
                <w:szCs w:val="20"/>
                <w:lang w:val="en-US"/>
              </w:rPr>
              <w:t>Competitive advantage occurs for social ventures through their social mission when the entrepreneurs</w:t>
            </w:r>
            <w:r w:rsidR="00C77350" w:rsidRPr="00F505C6">
              <w:rPr>
                <w:rFonts w:eastAsia="Calibri" w:cs="Times New Roman"/>
                <w:sz w:val="20"/>
                <w:szCs w:val="20"/>
                <w:lang w:val="en-US"/>
              </w:rPr>
              <w:t xml:space="preserve"> have previous experience and a profit orientation in a non-profit market where local government are the main competitor and resource holder. </w:t>
            </w:r>
          </w:p>
        </w:tc>
      </w:tr>
      <w:tr w:rsidR="0039266B" w:rsidRPr="00F505C6" w14:paraId="6EB7103B" w14:textId="77777777" w:rsidTr="0039266B">
        <w:trPr>
          <w:trHeight w:val="1271"/>
        </w:trPr>
        <w:tc>
          <w:tcPr>
            <w:tcW w:w="990" w:type="dxa"/>
          </w:tcPr>
          <w:p w14:paraId="40DB52B5" w14:textId="242CB69C" w:rsidR="0039266B" w:rsidRPr="00F505C6" w:rsidRDefault="0039266B" w:rsidP="0039266B">
            <w:pPr>
              <w:spacing w:after="60" w:line="240" w:lineRule="auto"/>
              <w:ind w:firstLine="0"/>
              <w:jc w:val="center"/>
              <w:rPr>
                <w:rFonts w:eastAsia="Calibri" w:cs="Times New Roman"/>
                <w:sz w:val="20"/>
                <w:szCs w:val="20"/>
                <w:lang w:val="en-US"/>
              </w:rPr>
            </w:pPr>
            <w:r w:rsidRPr="00F505C6">
              <w:rPr>
                <w:rFonts w:eastAsia="Calibri" w:cs="Times New Roman"/>
                <w:sz w:val="20"/>
                <w:szCs w:val="20"/>
                <w:lang w:val="en-US"/>
              </w:rPr>
              <w:t>4b</w:t>
            </w:r>
          </w:p>
        </w:tc>
        <w:tc>
          <w:tcPr>
            <w:tcW w:w="2809" w:type="dxa"/>
          </w:tcPr>
          <w:p w14:paraId="7FF69F8A" w14:textId="093A3500" w:rsidR="0039266B" w:rsidRPr="00F505C6" w:rsidRDefault="0039266B"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 xml:space="preserve">Present: </w:t>
            </w:r>
            <w:r w:rsidRPr="00F505C6">
              <w:rPr>
                <w:rFonts w:eastAsia="Calibri" w:cs="Times New Roman"/>
                <w:sz w:val="20"/>
                <w:szCs w:val="20"/>
                <w:lang w:val="en-US"/>
              </w:rPr>
              <w:t>Social orientation, profit orientation</w:t>
            </w:r>
          </w:p>
          <w:p w14:paraId="3900C445" w14:textId="74C1E4DB" w:rsidR="0039266B" w:rsidRPr="00F505C6" w:rsidRDefault="0039266B" w:rsidP="0039266B">
            <w:pPr>
              <w:spacing w:line="240" w:lineRule="auto"/>
              <w:ind w:firstLine="0"/>
              <w:jc w:val="left"/>
              <w:rPr>
                <w:rFonts w:eastAsia="Calibri" w:cs="Times New Roman"/>
                <w:sz w:val="20"/>
                <w:szCs w:val="20"/>
                <w:lang w:val="en-US"/>
              </w:rPr>
            </w:pPr>
            <w:r w:rsidRPr="00F505C6">
              <w:rPr>
                <w:rFonts w:eastAsia="Calibri" w:cs="Times New Roman"/>
                <w:b/>
                <w:sz w:val="20"/>
                <w:szCs w:val="20"/>
                <w:lang w:val="en-US"/>
              </w:rPr>
              <w:t xml:space="preserve">Absent: </w:t>
            </w:r>
            <w:r w:rsidRPr="00F505C6">
              <w:rPr>
                <w:rFonts w:eastAsia="Calibri" w:cs="Times New Roman"/>
                <w:sz w:val="20"/>
                <w:szCs w:val="20"/>
                <w:lang w:val="en-US"/>
              </w:rPr>
              <w:t>Early investment, market competition</w:t>
            </w:r>
          </w:p>
        </w:tc>
        <w:tc>
          <w:tcPr>
            <w:tcW w:w="5651" w:type="dxa"/>
          </w:tcPr>
          <w:p w14:paraId="6D764EB9" w14:textId="18BA0F78" w:rsidR="0039266B" w:rsidRPr="00F505C6" w:rsidRDefault="003E535F" w:rsidP="00C77350">
            <w:pPr>
              <w:spacing w:after="60" w:line="240" w:lineRule="auto"/>
              <w:ind w:firstLine="0"/>
              <w:jc w:val="left"/>
              <w:rPr>
                <w:rFonts w:eastAsia="Calibri" w:cs="Times New Roman"/>
                <w:sz w:val="20"/>
                <w:szCs w:val="20"/>
                <w:lang w:val="en-US"/>
              </w:rPr>
            </w:pPr>
            <w:r w:rsidRPr="00F505C6">
              <w:rPr>
                <w:rFonts w:eastAsia="Calibri" w:cs="Times New Roman"/>
                <w:sz w:val="20"/>
                <w:szCs w:val="20"/>
                <w:lang w:val="en-US"/>
              </w:rPr>
              <w:t>Competitive advantage occurs for social ventures through their social mission when the entrepreneurs</w:t>
            </w:r>
            <w:r w:rsidR="00C77350" w:rsidRPr="00F505C6">
              <w:rPr>
                <w:rFonts w:eastAsia="Calibri" w:cs="Times New Roman"/>
                <w:sz w:val="20"/>
                <w:szCs w:val="20"/>
                <w:lang w:val="en-US"/>
              </w:rPr>
              <w:t xml:space="preserve"> have a strong social and profit orientation in a non-profit market where local government are the main competitor and resource holder.</w:t>
            </w:r>
          </w:p>
        </w:tc>
      </w:tr>
    </w:tbl>
    <w:p w14:paraId="3E69FE0A" w14:textId="77777777" w:rsidR="003A1883" w:rsidRPr="00F505C6" w:rsidRDefault="003A1883" w:rsidP="009A3A36">
      <w:pPr>
        <w:rPr>
          <w:rFonts w:cs="Times New Roman"/>
          <w:lang w:val="en-US"/>
        </w:rPr>
      </w:pPr>
    </w:p>
    <w:p w14:paraId="513EB9AD" w14:textId="77777777" w:rsidR="003A1883" w:rsidRPr="00F505C6" w:rsidRDefault="003A1883" w:rsidP="009A3A36">
      <w:pPr>
        <w:rPr>
          <w:rFonts w:cs="Times New Roman"/>
          <w:lang w:val="en-US"/>
        </w:rPr>
      </w:pPr>
    </w:p>
    <w:sectPr w:rsidR="003A1883" w:rsidRPr="00F505C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F19E" w14:textId="77777777" w:rsidR="00BE0E6E" w:rsidRDefault="00BE0E6E" w:rsidP="00FE74B1">
      <w:pPr>
        <w:spacing w:line="240" w:lineRule="auto"/>
      </w:pPr>
      <w:r>
        <w:separator/>
      </w:r>
    </w:p>
  </w:endnote>
  <w:endnote w:type="continuationSeparator" w:id="0">
    <w:p w14:paraId="569EE4C4" w14:textId="77777777" w:rsidR="00BE0E6E" w:rsidRDefault="00BE0E6E" w:rsidP="00FE7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AdvTT5235d5a9+fb">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8AB8" w14:textId="77777777" w:rsidR="00DD4CB1" w:rsidRDefault="00DD4CB1" w:rsidP="00870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4DD492" w14:textId="77777777" w:rsidR="00DD4CB1" w:rsidRDefault="00DD4CB1" w:rsidP="00FE74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6BD8" w14:textId="3D22D8E4" w:rsidR="00DD4CB1" w:rsidRDefault="00DD4CB1" w:rsidP="00870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FCC">
      <w:rPr>
        <w:rStyle w:val="PageNumber"/>
        <w:noProof/>
      </w:rPr>
      <w:t>14</w:t>
    </w:r>
    <w:r>
      <w:rPr>
        <w:rStyle w:val="PageNumber"/>
      </w:rPr>
      <w:fldChar w:fldCharType="end"/>
    </w:r>
  </w:p>
  <w:p w14:paraId="2B0D2F1B" w14:textId="77777777" w:rsidR="00DD4CB1" w:rsidRDefault="00DD4CB1" w:rsidP="00FE74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162B" w14:textId="77777777" w:rsidR="00BE0E6E" w:rsidRDefault="00BE0E6E" w:rsidP="00FE74B1">
      <w:pPr>
        <w:spacing w:line="240" w:lineRule="auto"/>
      </w:pPr>
      <w:r>
        <w:separator/>
      </w:r>
    </w:p>
  </w:footnote>
  <w:footnote w:type="continuationSeparator" w:id="0">
    <w:p w14:paraId="497BF70E" w14:textId="77777777" w:rsidR="00BE0E6E" w:rsidRDefault="00BE0E6E" w:rsidP="00FE74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75A"/>
    <w:multiLevelType w:val="hybridMultilevel"/>
    <w:tmpl w:val="E47CF9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4A667E3B"/>
    <w:multiLevelType w:val="hybridMultilevel"/>
    <w:tmpl w:val="CF46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906CC"/>
    <w:multiLevelType w:val="hybridMultilevel"/>
    <w:tmpl w:val="DFFC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661E6"/>
    <w:multiLevelType w:val="hybridMultilevel"/>
    <w:tmpl w:val="ED021F9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59"/>
    <w:rsid w:val="000033C9"/>
    <w:rsid w:val="00006D2A"/>
    <w:rsid w:val="00014DA6"/>
    <w:rsid w:val="00033E8F"/>
    <w:rsid w:val="000359CE"/>
    <w:rsid w:val="00035FFD"/>
    <w:rsid w:val="00037F5C"/>
    <w:rsid w:val="00040EC4"/>
    <w:rsid w:val="00045DA2"/>
    <w:rsid w:val="000540DF"/>
    <w:rsid w:val="000573BE"/>
    <w:rsid w:val="00065315"/>
    <w:rsid w:val="00076110"/>
    <w:rsid w:val="000A5A45"/>
    <w:rsid w:val="000A60D5"/>
    <w:rsid w:val="000B5D02"/>
    <w:rsid w:val="000B70D9"/>
    <w:rsid w:val="000C507A"/>
    <w:rsid w:val="000C5E52"/>
    <w:rsid w:val="000D1D1C"/>
    <w:rsid w:val="000D3082"/>
    <w:rsid w:val="000D7333"/>
    <w:rsid w:val="000D7EF3"/>
    <w:rsid w:val="000F2DFD"/>
    <w:rsid w:val="00122A59"/>
    <w:rsid w:val="0013172A"/>
    <w:rsid w:val="00151FD5"/>
    <w:rsid w:val="00164B7C"/>
    <w:rsid w:val="00164CB7"/>
    <w:rsid w:val="00170986"/>
    <w:rsid w:val="001755AD"/>
    <w:rsid w:val="001774CB"/>
    <w:rsid w:val="0018046A"/>
    <w:rsid w:val="001A4B75"/>
    <w:rsid w:val="001B1AB8"/>
    <w:rsid w:val="001B1E46"/>
    <w:rsid w:val="001C6E65"/>
    <w:rsid w:val="001E4BC3"/>
    <w:rsid w:val="001F4CC1"/>
    <w:rsid w:val="002020CE"/>
    <w:rsid w:val="002107BE"/>
    <w:rsid w:val="002145DC"/>
    <w:rsid w:val="002218FB"/>
    <w:rsid w:val="0022630A"/>
    <w:rsid w:val="00226959"/>
    <w:rsid w:val="00227151"/>
    <w:rsid w:val="00261765"/>
    <w:rsid w:val="00271B3F"/>
    <w:rsid w:val="00276C04"/>
    <w:rsid w:val="0027740B"/>
    <w:rsid w:val="00295264"/>
    <w:rsid w:val="0029602D"/>
    <w:rsid w:val="002A4170"/>
    <w:rsid w:val="002B139B"/>
    <w:rsid w:val="002C1B44"/>
    <w:rsid w:val="002C3880"/>
    <w:rsid w:val="002C4C30"/>
    <w:rsid w:val="002C6852"/>
    <w:rsid w:val="002D1428"/>
    <w:rsid w:val="002D53F6"/>
    <w:rsid w:val="002E5AF6"/>
    <w:rsid w:val="003130B6"/>
    <w:rsid w:val="00325A80"/>
    <w:rsid w:val="00357635"/>
    <w:rsid w:val="00360257"/>
    <w:rsid w:val="003638F4"/>
    <w:rsid w:val="003728AF"/>
    <w:rsid w:val="0039266B"/>
    <w:rsid w:val="0039533E"/>
    <w:rsid w:val="003A1883"/>
    <w:rsid w:val="003A2D21"/>
    <w:rsid w:val="003A3740"/>
    <w:rsid w:val="003B1373"/>
    <w:rsid w:val="003C0214"/>
    <w:rsid w:val="003C1BAB"/>
    <w:rsid w:val="003C1C19"/>
    <w:rsid w:val="003D0C4A"/>
    <w:rsid w:val="003D100B"/>
    <w:rsid w:val="003D215D"/>
    <w:rsid w:val="003E535F"/>
    <w:rsid w:val="003E6976"/>
    <w:rsid w:val="003F3FC5"/>
    <w:rsid w:val="003F6F87"/>
    <w:rsid w:val="0041041E"/>
    <w:rsid w:val="00410E67"/>
    <w:rsid w:val="0041124B"/>
    <w:rsid w:val="00412152"/>
    <w:rsid w:val="00434DA5"/>
    <w:rsid w:val="00451B4D"/>
    <w:rsid w:val="00455AC6"/>
    <w:rsid w:val="004604E8"/>
    <w:rsid w:val="0047759C"/>
    <w:rsid w:val="00480423"/>
    <w:rsid w:val="0048159E"/>
    <w:rsid w:val="0048629F"/>
    <w:rsid w:val="00491078"/>
    <w:rsid w:val="00493EDF"/>
    <w:rsid w:val="004B3E06"/>
    <w:rsid w:val="004F5085"/>
    <w:rsid w:val="00504DD3"/>
    <w:rsid w:val="00511472"/>
    <w:rsid w:val="00530D23"/>
    <w:rsid w:val="005345F1"/>
    <w:rsid w:val="00542F5A"/>
    <w:rsid w:val="0055441B"/>
    <w:rsid w:val="00554430"/>
    <w:rsid w:val="005724B0"/>
    <w:rsid w:val="00580084"/>
    <w:rsid w:val="00585AF3"/>
    <w:rsid w:val="005C059F"/>
    <w:rsid w:val="005C2545"/>
    <w:rsid w:val="005C269C"/>
    <w:rsid w:val="005D6B6C"/>
    <w:rsid w:val="005E0AE2"/>
    <w:rsid w:val="005E1B9F"/>
    <w:rsid w:val="005E1E3E"/>
    <w:rsid w:val="005E4C09"/>
    <w:rsid w:val="0060648E"/>
    <w:rsid w:val="00622C30"/>
    <w:rsid w:val="0065519F"/>
    <w:rsid w:val="00665971"/>
    <w:rsid w:val="00667132"/>
    <w:rsid w:val="006743E5"/>
    <w:rsid w:val="00676509"/>
    <w:rsid w:val="00685029"/>
    <w:rsid w:val="006865AA"/>
    <w:rsid w:val="00694D9F"/>
    <w:rsid w:val="006A3255"/>
    <w:rsid w:val="006A7ABA"/>
    <w:rsid w:val="006B6BF3"/>
    <w:rsid w:val="006D1B4C"/>
    <w:rsid w:val="006D3F39"/>
    <w:rsid w:val="006E4E22"/>
    <w:rsid w:val="006F3E0D"/>
    <w:rsid w:val="006F78E8"/>
    <w:rsid w:val="0070287D"/>
    <w:rsid w:val="00710C4A"/>
    <w:rsid w:val="00715BED"/>
    <w:rsid w:val="00720FAF"/>
    <w:rsid w:val="00722F36"/>
    <w:rsid w:val="00736323"/>
    <w:rsid w:val="00761412"/>
    <w:rsid w:val="00766FB0"/>
    <w:rsid w:val="00767B90"/>
    <w:rsid w:val="007726D2"/>
    <w:rsid w:val="00794709"/>
    <w:rsid w:val="007B2AC2"/>
    <w:rsid w:val="007F0749"/>
    <w:rsid w:val="007F67C9"/>
    <w:rsid w:val="00801334"/>
    <w:rsid w:val="00805F5C"/>
    <w:rsid w:val="00817BFE"/>
    <w:rsid w:val="00857BFC"/>
    <w:rsid w:val="00866B00"/>
    <w:rsid w:val="00870BE7"/>
    <w:rsid w:val="00881258"/>
    <w:rsid w:val="00881AA8"/>
    <w:rsid w:val="0088368D"/>
    <w:rsid w:val="00885A4A"/>
    <w:rsid w:val="00886806"/>
    <w:rsid w:val="00886E2F"/>
    <w:rsid w:val="008A2D10"/>
    <w:rsid w:val="008A6A6E"/>
    <w:rsid w:val="008B2A2C"/>
    <w:rsid w:val="008B53D7"/>
    <w:rsid w:val="008C7FF8"/>
    <w:rsid w:val="008D3FF1"/>
    <w:rsid w:val="008E0419"/>
    <w:rsid w:val="008E6E54"/>
    <w:rsid w:val="008F2FBB"/>
    <w:rsid w:val="009161CF"/>
    <w:rsid w:val="0095512C"/>
    <w:rsid w:val="009629CB"/>
    <w:rsid w:val="00963F49"/>
    <w:rsid w:val="009650D6"/>
    <w:rsid w:val="009728C7"/>
    <w:rsid w:val="009819A7"/>
    <w:rsid w:val="009848FB"/>
    <w:rsid w:val="009A302E"/>
    <w:rsid w:val="009A3A36"/>
    <w:rsid w:val="009B3E61"/>
    <w:rsid w:val="009B618B"/>
    <w:rsid w:val="009C67C0"/>
    <w:rsid w:val="009D1FCC"/>
    <w:rsid w:val="009D40F3"/>
    <w:rsid w:val="009E223B"/>
    <w:rsid w:val="009E6AE7"/>
    <w:rsid w:val="009F4665"/>
    <w:rsid w:val="00A05287"/>
    <w:rsid w:val="00A20D7C"/>
    <w:rsid w:val="00A22798"/>
    <w:rsid w:val="00A27110"/>
    <w:rsid w:val="00A360DF"/>
    <w:rsid w:val="00A40D73"/>
    <w:rsid w:val="00A42562"/>
    <w:rsid w:val="00A463C5"/>
    <w:rsid w:val="00A54CF3"/>
    <w:rsid w:val="00A654BD"/>
    <w:rsid w:val="00A66512"/>
    <w:rsid w:val="00A7113C"/>
    <w:rsid w:val="00A72EFD"/>
    <w:rsid w:val="00A80C2D"/>
    <w:rsid w:val="00A974D3"/>
    <w:rsid w:val="00AB6AE7"/>
    <w:rsid w:val="00AB777A"/>
    <w:rsid w:val="00AC4053"/>
    <w:rsid w:val="00AC4579"/>
    <w:rsid w:val="00AC66E3"/>
    <w:rsid w:val="00AC6819"/>
    <w:rsid w:val="00AD52B7"/>
    <w:rsid w:val="00B03DAE"/>
    <w:rsid w:val="00B05DA6"/>
    <w:rsid w:val="00B07790"/>
    <w:rsid w:val="00B1765B"/>
    <w:rsid w:val="00B17837"/>
    <w:rsid w:val="00B2386B"/>
    <w:rsid w:val="00B45485"/>
    <w:rsid w:val="00B541F7"/>
    <w:rsid w:val="00B661E5"/>
    <w:rsid w:val="00B66403"/>
    <w:rsid w:val="00B70D8B"/>
    <w:rsid w:val="00B72E51"/>
    <w:rsid w:val="00B73D5A"/>
    <w:rsid w:val="00B7662B"/>
    <w:rsid w:val="00B76771"/>
    <w:rsid w:val="00B76FD5"/>
    <w:rsid w:val="00BD5BAE"/>
    <w:rsid w:val="00BE05F3"/>
    <w:rsid w:val="00BE0E6E"/>
    <w:rsid w:val="00BF16AC"/>
    <w:rsid w:val="00C1298E"/>
    <w:rsid w:val="00C25CB6"/>
    <w:rsid w:val="00C31E8C"/>
    <w:rsid w:val="00C57A4C"/>
    <w:rsid w:val="00C6517E"/>
    <w:rsid w:val="00C77350"/>
    <w:rsid w:val="00C81618"/>
    <w:rsid w:val="00C8609A"/>
    <w:rsid w:val="00C86965"/>
    <w:rsid w:val="00C9295D"/>
    <w:rsid w:val="00C9369A"/>
    <w:rsid w:val="00CA3441"/>
    <w:rsid w:val="00CA4EA3"/>
    <w:rsid w:val="00CC15F7"/>
    <w:rsid w:val="00CC6969"/>
    <w:rsid w:val="00CD5815"/>
    <w:rsid w:val="00CF49EC"/>
    <w:rsid w:val="00CF5FA6"/>
    <w:rsid w:val="00CF78C0"/>
    <w:rsid w:val="00D0188D"/>
    <w:rsid w:val="00D01C12"/>
    <w:rsid w:val="00D157FD"/>
    <w:rsid w:val="00D16A24"/>
    <w:rsid w:val="00D279A0"/>
    <w:rsid w:val="00D318BC"/>
    <w:rsid w:val="00D40078"/>
    <w:rsid w:val="00D47FE3"/>
    <w:rsid w:val="00D64F24"/>
    <w:rsid w:val="00D65285"/>
    <w:rsid w:val="00D72B7F"/>
    <w:rsid w:val="00D74C31"/>
    <w:rsid w:val="00D9277E"/>
    <w:rsid w:val="00D93A18"/>
    <w:rsid w:val="00DA596E"/>
    <w:rsid w:val="00DB1B96"/>
    <w:rsid w:val="00DB2891"/>
    <w:rsid w:val="00DC1671"/>
    <w:rsid w:val="00DD4CB1"/>
    <w:rsid w:val="00DD4DFF"/>
    <w:rsid w:val="00DD7EF6"/>
    <w:rsid w:val="00DF7378"/>
    <w:rsid w:val="00E14AAC"/>
    <w:rsid w:val="00E30EF0"/>
    <w:rsid w:val="00E44EC9"/>
    <w:rsid w:val="00E46764"/>
    <w:rsid w:val="00E604E2"/>
    <w:rsid w:val="00E72996"/>
    <w:rsid w:val="00EA08A4"/>
    <w:rsid w:val="00EA450C"/>
    <w:rsid w:val="00EA61D3"/>
    <w:rsid w:val="00EC51C6"/>
    <w:rsid w:val="00ED04F9"/>
    <w:rsid w:val="00EE3345"/>
    <w:rsid w:val="00EE34C9"/>
    <w:rsid w:val="00EF0147"/>
    <w:rsid w:val="00EF0C96"/>
    <w:rsid w:val="00EF2970"/>
    <w:rsid w:val="00EF573D"/>
    <w:rsid w:val="00F07DE4"/>
    <w:rsid w:val="00F10170"/>
    <w:rsid w:val="00F14136"/>
    <w:rsid w:val="00F224B1"/>
    <w:rsid w:val="00F32390"/>
    <w:rsid w:val="00F35917"/>
    <w:rsid w:val="00F37984"/>
    <w:rsid w:val="00F41E72"/>
    <w:rsid w:val="00F42EFE"/>
    <w:rsid w:val="00F505C6"/>
    <w:rsid w:val="00F65D7F"/>
    <w:rsid w:val="00F67DA2"/>
    <w:rsid w:val="00F84EA8"/>
    <w:rsid w:val="00FA093E"/>
    <w:rsid w:val="00FA5BCB"/>
    <w:rsid w:val="00FB1D5F"/>
    <w:rsid w:val="00FB2632"/>
    <w:rsid w:val="00FB5464"/>
    <w:rsid w:val="00FC277A"/>
    <w:rsid w:val="00FD1F5B"/>
    <w:rsid w:val="00FE5389"/>
    <w:rsid w:val="00FE74B1"/>
    <w:rsid w:val="00FF650C"/>
    <w:rsid w:val="00FF7120"/>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AAC9"/>
  <w15:chartTrackingRefBased/>
  <w15:docId w15:val="{385F18FD-375B-4F60-AB32-C57D5D3C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2B7"/>
    <w:pPr>
      <w:spacing w:after="0" w:line="480" w:lineRule="auto"/>
      <w:ind w:firstLine="431"/>
      <w:jc w:val="both"/>
    </w:pPr>
    <w:rPr>
      <w:rFonts w:ascii="Times New Roman" w:hAnsi="Times New Roman"/>
      <w:sz w:val="24"/>
    </w:rPr>
  </w:style>
  <w:style w:type="paragraph" w:styleId="Heading1">
    <w:name w:val="heading 1"/>
    <w:basedOn w:val="Normal"/>
    <w:next w:val="Normal"/>
    <w:link w:val="Heading1Char"/>
    <w:uiPriority w:val="9"/>
    <w:qFormat/>
    <w:rsid w:val="008E6E54"/>
    <w:pPr>
      <w:keepNext/>
      <w:keepLines/>
      <w:ind w:firstLine="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FE74B1"/>
    <w:pPr>
      <w:keepNext/>
      <w:keepLines/>
      <w:ind w:firstLine="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qFormat/>
    <w:rsid w:val="009C67C0"/>
    <w:pPr>
      <w:spacing w:after="60" w:line="240" w:lineRule="auto"/>
    </w:pPr>
    <w:rPr>
      <w:rFonts w:ascii="Times New Roman" w:eastAsia="Times New Roman" w:hAnsi="Times New Roman" w:cs="Times New Roman"/>
      <w:color w:val="000000" w:themeColor="text1"/>
      <w:sz w:val="20"/>
      <w:szCs w:val="24"/>
      <w:lang w:val="en-US" w:eastAsia="en-GB"/>
    </w:rPr>
  </w:style>
  <w:style w:type="character" w:customStyle="1" w:styleId="Heading1Char">
    <w:name w:val="Heading 1 Char"/>
    <w:basedOn w:val="DefaultParagraphFont"/>
    <w:link w:val="Heading1"/>
    <w:uiPriority w:val="9"/>
    <w:rsid w:val="008E6E54"/>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FE74B1"/>
    <w:pPr>
      <w:tabs>
        <w:tab w:val="center" w:pos="4513"/>
        <w:tab w:val="right" w:pos="9026"/>
      </w:tabs>
      <w:spacing w:line="240" w:lineRule="auto"/>
    </w:pPr>
  </w:style>
  <w:style w:type="character" w:customStyle="1" w:styleId="HeaderChar">
    <w:name w:val="Header Char"/>
    <w:basedOn w:val="DefaultParagraphFont"/>
    <w:link w:val="Header"/>
    <w:uiPriority w:val="99"/>
    <w:rsid w:val="00FE74B1"/>
    <w:rPr>
      <w:rFonts w:ascii="Times New Roman" w:hAnsi="Times New Roman"/>
      <w:sz w:val="24"/>
    </w:rPr>
  </w:style>
  <w:style w:type="paragraph" w:styleId="Footer">
    <w:name w:val="footer"/>
    <w:basedOn w:val="Normal"/>
    <w:link w:val="FooterChar"/>
    <w:uiPriority w:val="99"/>
    <w:unhideWhenUsed/>
    <w:rsid w:val="00FE74B1"/>
    <w:pPr>
      <w:tabs>
        <w:tab w:val="center" w:pos="4513"/>
        <w:tab w:val="right" w:pos="9026"/>
      </w:tabs>
      <w:spacing w:line="240" w:lineRule="auto"/>
    </w:pPr>
  </w:style>
  <w:style w:type="character" w:customStyle="1" w:styleId="FooterChar">
    <w:name w:val="Footer Char"/>
    <w:basedOn w:val="DefaultParagraphFont"/>
    <w:link w:val="Footer"/>
    <w:uiPriority w:val="99"/>
    <w:rsid w:val="00FE74B1"/>
    <w:rPr>
      <w:rFonts w:ascii="Times New Roman" w:hAnsi="Times New Roman"/>
      <w:sz w:val="24"/>
    </w:rPr>
  </w:style>
  <w:style w:type="character" w:styleId="PageNumber">
    <w:name w:val="page number"/>
    <w:basedOn w:val="DefaultParagraphFont"/>
    <w:uiPriority w:val="99"/>
    <w:semiHidden/>
    <w:unhideWhenUsed/>
    <w:rsid w:val="00FE74B1"/>
  </w:style>
  <w:style w:type="character" w:customStyle="1" w:styleId="Heading2Char">
    <w:name w:val="Heading 2 Char"/>
    <w:basedOn w:val="DefaultParagraphFont"/>
    <w:link w:val="Heading2"/>
    <w:uiPriority w:val="9"/>
    <w:rsid w:val="00FE74B1"/>
    <w:rPr>
      <w:rFonts w:ascii="Times New Roman" w:eastAsiaTheme="majorEastAsia" w:hAnsi="Times New Roman" w:cstheme="majorBidi"/>
      <w:i/>
      <w:color w:val="000000" w:themeColor="text1"/>
      <w:sz w:val="24"/>
      <w:szCs w:val="26"/>
    </w:rPr>
  </w:style>
  <w:style w:type="table" w:styleId="TableGrid">
    <w:name w:val="Table Grid"/>
    <w:basedOn w:val="TableNormal"/>
    <w:uiPriority w:val="39"/>
    <w:rsid w:val="00FE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74B1"/>
    <w:pPr>
      <w:spacing w:before="100" w:beforeAutospacing="1" w:after="100" w:afterAutospacing="1" w:line="240" w:lineRule="auto"/>
      <w:ind w:firstLine="0"/>
      <w:jc w:val="left"/>
    </w:pPr>
    <w:rPr>
      <w:rFonts w:cs="Times New Roman"/>
      <w:szCs w:val="24"/>
      <w:lang w:eastAsia="en-GB"/>
    </w:rPr>
  </w:style>
  <w:style w:type="paragraph" w:styleId="ListParagraph">
    <w:name w:val="List Paragraph"/>
    <w:basedOn w:val="Normal"/>
    <w:uiPriority w:val="34"/>
    <w:qFormat/>
    <w:rsid w:val="00542F5A"/>
    <w:pPr>
      <w:ind w:left="720"/>
      <w:contextualSpacing/>
    </w:pPr>
  </w:style>
  <w:style w:type="table" w:customStyle="1" w:styleId="TableGrid1">
    <w:name w:val="Table Grid1"/>
    <w:basedOn w:val="TableNormal"/>
    <w:next w:val="TableGrid"/>
    <w:uiPriority w:val="59"/>
    <w:rsid w:val="00D47F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47FE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72E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EFD"/>
    <w:rPr>
      <w:rFonts w:ascii="Segoe UI" w:hAnsi="Segoe UI" w:cs="Segoe UI"/>
      <w:sz w:val="18"/>
      <w:szCs w:val="18"/>
    </w:rPr>
  </w:style>
  <w:style w:type="character" w:styleId="CommentReference">
    <w:name w:val="annotation reference"/>
    <w:basedOn w:val="DefaultParagraphFont"/>
    <w:uiPriority w:val="99"/>
    <w:semiHidden/>
    <w:unhideWhenUsed/>
    <w:rsid w:val="001B1AB8"/>
    <w:rPr>
      <w:sz w:val="16"/>
      <w:szCs w:val="16"/>
    </w:rPr>
  </w:style>
  <w:style w:type="paragraph" w:styleId="CommentText">
    <w:name w:val="annotation text"/>
    <w:basedOn w:val="Normal"/>
    <w:link w:val="CommentTextChar"/>
    <w:uiPriority w:val="99"/>
    <w:semiHidden/>
    <w:unhideWhenUsed/>
    <w:rsid w:val="001B1AB8"/>
    <w:pPr>
      <w:spacing w:line="240" w:lineRule="auto"/>
    </w:pPr>
    <w:rPr>
      <w:sz w:val="20"/>
      <w:szCs w:val="20"/>
    </w:rPr>
  </w:style>
  <w:style w:type="character" w:customStyle="1" w:styleId="CommentTextChar">
    <w:name w:val="Comment Text Char"/>
    <w:basedOn w:val="DefaultParagraphFont"/>
    <w:link w:val="CommentText"/>
    <w:uiPriority w:val="99"/>
    <w:semiHidden/>
    <w:rsid w:val="001B1A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1AB8"/>
    <w:rPr>
      <w:b/>
      <w:bCs/>
    </w:rPr>
  </w:style>
  <w:style w:type="character" w:customStyle="1" w:styleId="CommentSubjectChar">
    <w:name w:val="Comment Subject Char"/>
    <w:basedOn w:val="CommentTextChar"/>
    <w:link w:val="CommentSubject"/>
    <w:uiPriority w:val="99"/>
    <w:semiHidden/>
    <w:rsid w:val="001B1AB8"/>
    <w:rPr>
      <w:rFonts w:ascii="Times New Roman" w:hAnsi="Times New Roman"/>
      <w:b/>
      <w:bCs/>
      <w:sz w:val="20"/>
      <w:szCs w:val="20"/>
    </w:rPr>
  </w:style>
  <w:style w:type="character" w:customStyle="1" w:styleId="apple-converted-space">
    <w:name w:val="apple-converted-space"/>
    <w:basedOn w:val="DefaultParagraphFont"/>
    <w:rsid w:val="007F67C9"/>
  </w:style>
  <w:style w:type="paragraph" w:customStyle="1" w:styleId="Affiliation">
    <w:name w:val="Affiliation"/>
    <w:qFormat/>
    <w:rsid w:val="000359CE"/>
    <w:pPr>
      <w:spacing w:after="0" w:line="240" w:lineRule="auto"/>
      <w:jc w:val="center"/>
    </w:pPr>
    <w:rPr>
      <w:rFonts w:ascii="Times New Roman" w:eastAsia="SimSun" w:hAnsi="Times New Roman" w:cs="Times New Roman"/>
      <w:sz w:val="24"/>
      <w:szCs w:val="24"/>
      <w:lang w:val="en-US"/>
    </w:rPr>
  </w:style>
  <w:style w:type="paragraph" w:customStyle="1" w:styleId="MAINBODY">
    <w:name w:val="MAIN BODY"/>
    <w:qFormat/>
    <w:rsid w:val="00035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firstLine="432"/>
      <w:jc w:val="both"/>
    </w:pPr>
    <w:rPr>
      <w:rFonts w:ascii="Times New Roman" w:hAnsi="Times New Roman"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316">
      <w:bodyDiv w:val="1"/>
      <w:marLeft w:val="0"/>
      <w:marRight w:val="0"/>
      <w:marTop w:val="0"/>
      <w:marBottom w:val="0"/>
      <w:divBdr>
        <w:top w:val="none" w:sz="0" w:space="0" w:color="auto"/>
        <w:left w:val="none" w:sz="0" w:space="0" w:color="auto"/>
        <w:bottom w:val="none" w:sz="0" w:space="0" w:color="auto"/>
        <w:right w:val="none" w:sz="0" w:space="0" w:color="auto"/>
      </w:divBdr>
      <w:divsChild>
        <w:div w:id="918489435">
          <w:marLeft w:val="0"/>
          <w:marRight w:val="0"/>
          <w:marTop w:val="0"/>
          <w:marBottom w:val="0"/>
          <w:divBdr>
            <w:top w:val="none" w:sz="0" w:space="0" w:color="auto"/>
            <w:left w:val="none" w:sz="0" w:space="0" w:color="auto"/>
            <w:bottom w:val="none" w:sz="0" w:space="0" w:color="auto"/>
            <w:right w:val="none" w:sz="0" w:space="0" w:color="auto"/>
          </w:divBdr>
          <w:divsChild>
            <w:div w:id="1075518277">
              <w:marLeft w:val="0"/>
              <w:marRight w:val="0"/>
              <w:marTop w:val="0"/>
              <w:marBottom w:val="0"/>
              <w:divBdr>
                <w:top w:val="none" w:sz="0" w:space="0" w:color="auto"/>
                <w:left w:val="none" w:sz="0" w:space="0" w:color="auto"/>
                <w:bottom w:val="none" w:sz="0" w:space="0" w:color="auto"/>
                <w:right w:val="none" w:sz="0" w:space="0" w:color="auto"/>
              </w:divBdr>
              <w:divsChild>
                <w:div w:id="20560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3607">
      <w:bodyDiv w:val="1"/>
      <w:marLeft w:val="0"/>
      <w:marRight w:val="0"/>
      <w:marTop w:val="0"/>
      <w:marBottom w:val="0"/>
      <w:divBdr>
        <w:top w:val="none" w:sz="0" w:space="0" w:color="auto"/>
        <w:left w:val="none" w:sz="0" w:space="0" w:color="auto"/>
        <w:bottom w:val="none" w:sz="0" w:space="0" w:color="auto"/>
        <w:right w:val="none" w:sz="0" w:space="0" w:color="auto"/>
      </w:divBdr>
    </w:div>
    <w:div w:id="245725739">
      <w:bodyDiv w:val="1"/>
      <w:marLeft w:val="0"/>
      <w:marRight w:val="0"/>
      <w:marTop w:val="0"/>
      <w:marBottom w:val="0"/>
      <w:divBdr>
        <w:top w:val="none" w:sz="0" w:space="0" w:color="auto"/>
        <w:left w:val="none" w:sz="0" w:space="0" w:color="auto"/>
        <w:bottom w:val="none" w:sz="0" w:space="0" w:color="auto"/>
        <w:right w:val="none" w:sz="0" w:space="0" w:color="auto"/>
      </w:divBdr>
      <w:divsChild>
        <w:div w:id="1886288187">
          <w:marLeft w:val="0"/>
          <w:marRight w:val="0"/>
          <w:marTop w:val="0"/>
          <w:marBottom w:val="0"/>
          <w:divBdr>
            <w:top w:val="none" w:sz="0" w:space="0" w:color="auto"/>
            <w:left w:val="none" w:sz="0" w:space="0" w:color="auto"/>
            <w:bottom w:val="none" w:sz="0" w:space="0" w:color="auto"/>
            <w:right w:val="none" w:sz="0" w:space="0" w:color="auto"/>
          </w:divBdr>
        </w:div>
      </w:divsChild>
    </w:div>
    <w:div w:id="249698010">
      <w:bodyDiv w:val="1"/>
      <w:marLeft w:val="0"/>
      <w:marRight w:val="0"/>
      <w:marTop w:val="0"/>
      <w:marBottom w:val="0"/>
      <w:divBdr>
        <w:top w:val="none" w:sz="0" w:space="0" w:color="auto"/>
        <w:left w:val="none" w:sz="0" w:space="0" w:color="auto"/>
        <w:bottom w:val="none" w:sz="0" w:space="0" w:color="auto"/>
        <w:right w:val="none" w:sz="0" w:space="0" w:color="auto"/>
      </w:divBdr>
      <w:divsChild>
        <w:div w:id="336612982">
          <w:marLeft w:val="0"/>
          <w:marRight w:val="0"/>
          <w:marTop w:val="0"/>
          <w:marBottom w:val="0"/>
          <w:divBdr>
            <w:top w:val="none" w:sz="0" w:space="0" w:color="auto"/>
            <w:left w:val="none" w:sz="0" w:space="0" w:color="auto"/>
            <w:bottom w:val="none" w:sz="0" w:space="0" w:color="auto"/>
            <w:right w:val="none" w:sz="0" w:space="0" w:color="auto"/>
          </w:divBdr>
        </w:div>
        <w:div w:id="500512803">
          <w:marLeft w:val="0"/>
          <w:marRight w:val="0"/>
          <w:marTop w:val="0"/>
          <w:marBottom w:val="0"/>
          <w:divBdr>
            <w:top w:val="none" w:sz="0" w:space="0" w:color="auto"/>
            <w:left w:val="none" w:sz="0" w:space="0" w:color="auto"/>
            <w:bottom w:val="none" w:sz="0" w:space="0" w:color="auto"/>
            <w:right w:val="none" w:sz="0" w:space="0" w:color="auto"/>
          </w:divBdr>
        </w:div>
        <w:div w:id="650208249">
          <w:marLeft w:val="0"/>
          <w:marRight w:val="0"/>
          <w:marTop w:val="0"/>
          <w:marBottom w:val="0"/>
          <w:divBdr>
            <w:top w:val="none" w:sz="0" w:space="0" w:color="auto"/>
            <w:left w:val="none" w:sz="0" w:space="0" w:color="auto"/>
            <w:bottom w:val="none" w:sz="0" w:space="0" w:color="auto"/>
            <w:right w:val="none" w:sz="0" w:space="0" w:color="auto"/>
          </w:divBdr>
        </w:div>
        <w:div w:id="1992052418">
          <w:marLeft w:val="0"/>
          <w:marRight w:val="0"/>
          <w:marTop w:val="0"/>
          <w:marBottom w:val="0"/>
          <w:divBdr>
            <w:top w:val="none" w:sz="0" w:space="0" w:color="auto"/>
            <w:left w:val="none" w:sz="0" w:space="0" w:color="auto"/>
            <w:bottom w:val="none" w:sz="0" w:space="0" w:color="auto"/>
            <w:right w:val="none" w:sz="0" w:space="0" w:color="auto"/>
          </w:divBdr>
        </w:div>
      </w:divsChild>
    </w:div>
    <w:div w:id="304744018">
      <w:bodyDiv w:val="1"/>
      <w:marLeft w:val="0"/>
      <w:marRight w:val="0"/>
      <w:marTop w:val="0"/>
      <w:marBottom w:val="0"/>
      <w:divBdr>
        <w:top w:val="none" w:sz="0" w:space="0" w:color="auto"/>
        <w:left w:val="none" w:sz="0" w:space="0" w:color="auto"/>
        <w:bottom w:val="none" w:sz="0" w:space="0" w:color="auto"/>
        <w:right w:val="none" w:sz="0" w:space="0" w:color="auto"/>
      </w:divBdr>
      <w:divsChild>
        <w:div w:id="491145715">
          <w:marLeft w:val="0"/>
          <w:marRight w:val="0"/>
          <w:marTop w:val="0"/>
          <w:marBottom w:val="0"/>
          <w:divBdr>
            <w:top w:val="none" w:sz="0" w:space="0" w:color="auto"/>
            <w:left w:val="none" w:sz="0" w:space="0" w:color="auto"/>
            <w:bottom w:val="none" w:sz="0" w:space="0" w:color="auto"/>
            <w:right w:val="none" w:sz="0" w:space="0" w:color="auto"/>
          </w:divBdr>
          <w:divsChild>
            <w:div w:id="575675094">
              <w:marLeft w:val="0"/>
              <w:marRight w:val="0"/>
              <w:marTop w:val="0"/>
              <w:marBottom w:val="0"/>
              <w:divBdr>
                <w:top w:val="none" w:sz="0" w:space="0" w:color="auto"/>
                <w:left w:val="none" w:sz="0" w:space="0" w:color="auto"/>
                <w:bottom w:val="none" w:sz="0" w:space="0" w:color="auto"/>
                <w:right w:val="none" w:sz="0" w:space="0" w:color="auto"/>
              </w:divBdr>
              <w:divsChild>
                <w:div w:id="2120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70576">
      <w:bodyDiv w:val="1"/>
      <w:marLeft w:val="0"/>
      <w:marRight w:val="0"/>
      <w:marTop w:val="0"/>
      <w:marBottom w:val="0"/>
      <w:divBdr>
        <w:top w:val="none" w:sz="0" w:space="0" w:color="auto"/>
        <w:left w:val="none" w:sz="0" w:space="0" w:color="auto"/>
        <w:bottom w:val="none" w:sz="0" w:space="0" w:color="auto"/>
        <w:right w:val="none" w:sz="0" w:space="0" w:color="auto"/>
      </w:divBdr>
    </w:div>
    <w:div w:id="431438895">
      <w:bodyDiv w:val="1"/>
      <w:marLeft w:val="0"/>
      <w:marRight w:val="0"/>
      <w:marTop w:val="0"/>
      <w:marBottom w:val="0"/>
      <w:divBdr>
        <w:top w:val="none" w:sz="0" w:space="0" w:color="auto"/>
        <w:left w:val="none" w:sz="0" w:space="0" w:color="auto"/>
        <w:bottom w:val="none" w:sz="0" w:space="0" w:color="auto"/>
        <w:right w:val="none" w:sz="0" w:space="0" w:color="auto"/>
      </w:divBdr>
      <w:divsChild>
        <w:div w:id="1459110150">
          <w:marLeft w:val="0"/>
          <w:marRight w:val="0"/>
          <w:marTop w:val="0"/>
          <w:marBottom w:val="0"/>
          <w:divBdr>
            <w:top w:val="none" w:sz="0" w:space="0" w:color="auto"/>
            <w:left w:val="none" w:sz="0" w:space="0" w:color="auto"/>
            <w:bottom w:val="none" w:sz="0" w:space="0" w:color="auto"/>
            <w:right w:val="none" w:sz="0" w:space="0" w:color="auto"/>
          </w:divBdr>
        </w:div>
      </w:divsChild>
    </w:div>
    <w:div w:id="775908575">
      <w:bodyDiv w:val="1"/>
      <w:marLeft w:val="0"/>
      <w:marRight w:val="0"/>
      <w:marTop w:val="0"/>
      <w:marBottom w:val="0"/>
      <w:divBdr>
        <w:top w:val="none" w:sz="0" w:space="0" w:color="auto"/>
        <w:left w:val="none" w:sz="0" w:space="0" w:color="auto"/>
        <w:bottom w:val="none" w:sz="0" w:space="0" w:color="auto"/>
        <w:right w:val="none" w:sz="0" w:space="0" w:color="auto"/>
      </w:divBdr>
    </w:div>
    <w:div w:id="907304034">
      <w:bodyDiv w:val="1"/>
      <w:marLeft w:val="0"/>
      <w:marRight w:val="0"/>
      <w:marTop w:val="0"/>
      <w:marBottom w:val="0"/>
      <w:divBdr>
        <w:top w:val="none" w:sz="0" w:space="0" w:color="auto"/>
        <w:left w:val="none" w:sz="0" w:space="0" w:color="auto"/>
        <w:bottom w:val="none" w:sz="0" w:space="0" w:color="auto"/>
        <w:right w:val="none" w:sz="0" w:space="0" w:color="auto"/>
      </w:divBdr>
      <w:divsChild>
        <w:div w:id="434833184">
          <w:marLeft w:val="0"/>
          <w:marRight w:val="0"/>
          <w:marTop w:val="0"/>
          <w:marBottom w:val="0"/>
          <w:divBdr>
            <w:top w:val="none" w:sz="0" w:space="0" w:color="auto"/>
            <w:left w:val="none" w:sz="0" w:space="0" w:color="auto"/>
            <w:bottom w:val="none" w:sz="0" w:space="0" w:color="auto"/>
            <w:right w:val="none" w:sz="0" w:space="0" w:color="auto"/>
          </w:divBdr>
        </w:div>
        <w:div w:id="1340278153">
          <w:marLeft w:val="0"/>
          <w:marRight w:val="0"/>
          <w:marTop w:val="0"/>
          <w:marBottom w:val="0"/>
          <w:divBdr>
            <w:top w:val="none" w:sz="0" w:space="0" w:color="auto"/>
            <w:left w:val="none" w:sz="0" w:space="0" w:color="auto"/>
            <w:bottom w:val="none" w:sz="0" w:space="0" w:color="auto"/>
            <w:right w:val="none" w:sz="0" w:space="0" w:color="auto"/>
          </w:divBdr>
        </w:div>
        <w:div w:id="1735197880">
          <w:marLeft w:val="0"/>
          <w:marRight w:val="0"/>
          <w:marTop w:val="0"/>
          <w:marBottom w:val="0"/>
          <w:divBdr>
            <w:top w:val="none" w:sz="0" w:space="0" w:color="auto"/>
            <w:left w:val="none" w:sz="0" w:space="0" w:color="auto"/>
            <w:bottom w:val="none" w:sz="0" w:space="0" w:color="auto"/>
            <w:right w:val="none" w:sz="0" w:space="0" w:color="auto"/>
          </w:divBdr>
        </w:div>
        <w:div w:id="310066342">
          <w:marLeft w:val="0"/>
          <w:marRight w:val="0"/>
          <w:marTop w:val="0"/>
          <w:marBottom w:val="0"/>
          <w:divBdr>
            <w:top w:val="none" w:sz="0" w:space="0" w:color="auto"/>
            <w:left w:val="none" w:sz="0" w:space="0" w:color="auto"/>
            <w:bottom w:val="none" w:sz="0" w:space="0" w:color="auto"/>
            <w:right w:val="none" w:sz="0" w:space="0" w:color="auto"/>
          </w:divBdr>
        </w:div>
      </w:divsChild>
    </w:div>
    <w:div w:id="1184708577">
      <w:bodyDiv w:val="1"/>
      <w:marLeft w:val="0"/>
      <w:marRight w:val="0"/>
      <w:marTop w:val="0"/>
      <w:marBottom w:val="0"/>
      <w:divBdr>
        <w:top w:val="none" w:sz="0" w:space="0" w:color="auto"/>
        <w:left w:val="none" w:sz="0" w:space="0" w:color="auto"/>
        <w:bottom w:val="none" w:sz="0" w:space="0" w:color="auto"/>
        <w:right w:val="none" w:sz="0" w:space="0" w:color="auto"/>
      </w:divBdr>
      <w:divsChild>
        <w:div w:id="1711420031">
          <w:marLeft w:val="0"/>
          <w:marRight w:val="0"/>
          <w:marTop w:val="0"/>
          <w:marBottom w:val="0"/>
          <w:divBdr>
            <w:top w:val="none" w:sz="0" w:space="0" w:color="auto"/>
            <w:left w:val="none" w:sz="0" w:space="0" w:color="auto"/>
            <w:bottom w:val="none" w:sz="0" w:space="0" w:color="auto"/>
            <w:right w:val="none" w:sz="0" w:space="0" w:color="auto"/>
          </w:divBdr>
          <w:divsChild>
            <w:div w:id="338848755">
              <w:marLeft w:val="0"/>
              <w:marRight w:val="0"/>
              <w:marTop w:val="0"/>
              <w:marBottom w:val="0"/>
              <w:divBdr>
                <w:top w:val="none" w:sz="0" w:space="0" w:color="auto"/>
                <w:left w:val="none" w:sz="0" w:space="0" w:color="auto"/>
                <w:bottom w:val="none" w:sz="0" w:space="0" w:color="auto"/>
                <w:right w:val="none" w:sz="0" w:space="0" w:color="auto"/>
              </w:divBdr>
              <w:divsChild>
                <w:div w:id="10376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52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867">
          <w:marLeft w:val="0"/>
          <w:marRight w:val="0"/>
          <w:marTop w:val="0"/>
          <w:marBottom w:val="0"/>
          <w:divBdr>
            <w:top w:val="none" w:sz="0" w:space="0" w:color="auto"/>
            <w:left w:val="none" w:sz="0" w:space="0" w:color="auto"/>
            <w:bottom w:val="none" w:sz="0" w:space="0" w:color="auto"/>
            <w:right w:val="none" w:sz="0" w:space="0" w:color="auto"/>
          </w:divBdr>
        </w:div>
        <w:div w:id="1721905265">
          <w:marLeft w:val="0"/>
          <w:marRight w:val="0"/>
          <w:marTop w:val="0"/>
          <w:marBottom w:val="0"/>
          <w:divBdr>
            <w:top w:val="none" w:sz="0" w:space="0" w:color="auto"/>
            <w:left w:val="none" w:sz="0" w:space="0" w:color="auto"/>
            <w:bottom w:val="none" w:sz="0" w:space="0" w:color="auto"/>
            <w:right w:val="none" w:sz="0" w:space="0" w:color="auto"/>
          </w:divBdr>
        </w:div>
        <w:div w:id="1984699276">
          <w:marLeft w:val="0"/>
          <w:marRight w:val="0"/>
          <w:marTop w:val="0"/>
          <w:marBottom w:val="0"/>
          <w:divBdr>
            <w:top w:val="none" w:sz="0" w:space="0" w:color="auto"/>
            <w:left w:val="none" w:sz="0" w:space="0" w:color="auto"/>
            <w:bottom w:val="none" w:sz="0" w:space="0" w:color="auto"/>
            <w:right w:val="none" w:sz="0" w:space="0" w:color="auto"/>
          </w:divBdr>
        </w:div>
      </w:divsChild>
    </w:div>
    <w:div w:id="1269696074">
      <w:bodyDiv w:val="1"/>
      <w:marLeft w:val="0"/>
      <w:marRight w:val="0"/>
      <w:marTop w:val="0"/>
      <w:marBottom w:val="0"/>
      <w:divBdr>
        <w:top w:val="none" w:sz="0" w:space="0" w:color="auto"/>
        <w:left w:val="none" w:sz="0" w:space="0" w:color="auto"/>
        <w:bottom w:val="none" w:sz="0" w:space="0" w:color="auto"/>
        <w:right w:val="none" w:sz="0" w:space="0" w:color="auto"/>
      </w:divBdr>
      <w:divsChild>
        <w:div w:id="1151294172">
          <w:marLeft w:val="0"/>
          <w:marRight w:val="0"/>
          <w:marTop w:val="0"/>
          <w:marBottom w:val="0"/>
          <w:divBdr>
            <w:top w:val="none" w:sz="0" w:space="0" w:color="auto"/>
            <w:left w:val="none" w:sz="0" w:space="0" w:color="auto"/>
            <w:bottom w:val="none" w:sz="0" w:space="0" w:color="auto"/>
            <w:right w:val="none" w:sz="0" w:space="0" w:color="auto"/>
          </w:divBdr>
        </w:div>
        <w:div w:id="1263755785">
          <w:marLeft w:val="0"/>
          <w:marRight w:val="0"/>
          <w:marTop w:val="0"/>
          <w:marBottom w:val="0"/>
          <w:divBdr>
            <w:top w:val="none" w:sz="0" w:space="0" w:color="auto"/>
            <w:left w:val="none" w:sz="0" w:space="0" w:color="auto"/>
            <w:bottom w:val="none" w:sz="0" w:space="0" w:color="auto"/>
            <w:right w:val="none" w:sz="0" w:space="0" w:color="auto"/>
          </w:divBdr>
        </w:div>
        <w:div w:id="286742963">
          <w:marLeft w:val="0"/>
          <w:marRight w:val="0"/>
          <w:marTop w:val="0"/>
          <w:marBottom w:val="0"/>
          <w:divBdr>
            <w:top w:val="none" w:sz="0" w:space="0" w:color="auto"/>
            <w:left w:val="none" w:sz="0" w:space="0" w:color="auto"/>
            <w:bottom w:val="none" w:sz="0" w:space="0" w:color="auto"/>
            <w:right w:val="none" w:sz="0" w:space="0" w:color="auto"/>
          </w:divBdr>
        </w:div>
      </w:divsChild>
    </w:div>
    <w:div w:id="1365059122">
      <w:bodyDiv w:val="1"/>
      <w:marLeft w:val="0"/>
      <w:marRight w:val="0"/>
      <w:marTop w:val="0"/>
      <w:marBottom w:val="0"/>
      <w:divBdr>
        <w:top w:val="none" w:sz="0" w:space="0" w:color="auto"/>
        <w:left w:val="none" w:sz="0" w:space="0" w:color="auto"/>
        <w:bottom w:val="none" w:sz="0" w:space="0" w:color="auto"/>
        <w:right w:val="none" w:sz="0" w:space="0" w:color="auto"/>
      </w:divBdr>
    </w:div>
    <w:div w:id="1932932257">
      <w:bodyDiv w:val="1"/>
      <w:marLeft w:val="0"/>
      <w:marRight w:val="0"/>
      <w:marTop w:val="0"/>
      <w:marBottom w:val="0"/>
      <w:divBdr>
        <w:top w:val="none" w:sz="0" w:space="0" w:color="auto"/>
        <w:left w:val="none" w:sz="0" w:space="0" w:color="auto"/>
        <w:bottom w:val="none" w:sz="0" w:space="0" w:color="auto"/>
        <w:right w:val="none" w:sz="0" w:space="0" w:color="auto"/>
      </w:divBdr>
      <w:divsChild>
        <w:div w:id="1627469851">
          <w:marLeft w:val="0"/>
          <w:marRight w:val="0"/>
          <w:marTop w:val="0"/>
          <w:marBottom w:val="0"/>
          <w:divBdr>
            <w:top w:val="none" w:sz="0" w:space="0" w:color="auto"/>
            <w:left w:val="none" w:sz="0" w:space="0" w:color="auto"/>
            <w:bottom w:val="none" w:sz="0" w:space="0" w:color="auto"/>
            <w:right w:val="none" w:sz="0" w:space="0" w:color="auto"/>
          </w:divBdr>
          <w:divsChild>
            <w:div w:id="1428888487">
              <w:marLeft w:val="0"/>
              <w:marRight w:val="0"/>
              <w:marTop w:val="0"/>
              <w:marBottom w:val="0"/>
              <w:divBdr>
                <w:top w:val="none" w:sz="0" w:space="0" w:color="auto"/>
                <w:left w:val="none" w:sz="0" w:space="0" w:color="auto"/>
                <w:bottom w:val="none" w:sz="0" w:space="0" w:color="auto"/>
                <w:right w:val="none" w:sz="0" w:space="0" w:color="auto"/>
              </w:divBdr>
              <w:divsChild>
                <w:div w:id="2071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9175">
      <w:bodyDiv w:val="1"/>
      <w:marLeft w:val="0"/>
      <w:marRight w:val="0"/>
      <w:marTop w:val="0"/>
      <w:marBottom w:val="0"/>
      <w:divBdr>
        <w:top w:val="none" w:sz="0" w:space="0" w:color="auto"/>
        <w:left w:val="none" w:sz="0" w:space="0" w:color="auto"/>
        <w:bottom w:val="none" w:sz="0" w:space="0" w:color="auto"/>
        <w:right w:val="none" w:sz="0" w:space="0" w:color="auto"/>
      </w:divBdr>
    </w:div>
    <w:div w:id="2037731334">
      <w:bodyDiv w:val="1"/>
      <w:marLeft w:val="0"/>
      <w:marRight w:val="0"/>
      <w:marTop w:val="0"/>
      <w:marBottom w:val="0"/>
      <w:divBdr>
        <w:top w:val="none" w:sz="0" w:space="0" w:color="auto"/>
        <w:left w:val="none" w:sz="0" w:space="0" w:color="auto"/>
        <w:bottom w:val="none" w:sz="0" w:space="0" w:color="auto"/>
        <w:right w:val="none" w:sz="0" w:space="0" w:color="auto"/>
      </w:divBdr>
    </w:div>
    <w:div w:id="2041391359">
      <w:bodyDiv w:val="1"/>
      <w:marLeft w:val="0"/>
      <w:marRight w:val="0"/>
      <w:marTop w:val="0"/>
      <w:marBottom w:val="0"/>
      <w:divBdr>
        <w:top w:val="none" w:sz="0" w:space="0" w:color="auto"/>
        <w:left w:val="none" w:sz="0" w:space="0" w:color="auto"/>
        <w:bottom w:val="none" w:sz="0" w:space="0" w:color="auto"/>
        <w:right w:val="none" w:sz="0" w:space="0" w:color="auto"/>
      </w:divBdr>
      <w:divsChild>
        <w:div w:id="1952005586">
          <w:marLeft w:val="0"/>
          <w:marRight w:val="0"/>
          <w:marTop w:val="0"/>
          <w:marBottom w:val="0"/>
          <w:divBdr>
            <w:top w:val="none" w:sz="0" w:space="0" w:color="auto"/>
            <w:left w:val="none" w:sz="0" w:space="0" w:color="auto"/>
            <w:bottom w:val="none" w:sz="0" w:space="0" w:color="auto"/>
            <w:right w:val="none" w:sz="0" w:space="0" w:color="auto"/>
          </w:divBdr>
        </w:div>
        <w:div w:id="1278221840">
          <w:marLeft w:val="0"/>
          <w:marRight w:val="0"/>
          <w:marTop w:val="0"/>
          <w:marBottom w:val="0"/>
          <w:divBdr>
            <w:top w:val="none" w:sz="0" w:space="0" w:color="auto"/>
            <w:left w:val="none" w:sz="0" w:space="0" w:color="auto"/>
            <w:bottom w:val="none" w:sz="0" w:space="0" w:color="auto"/>
            <w:right w:val="none" w:sz="0" w:space="0" w:color="auto"/>
          </w:divBdr>
        </w:div>
        <w:div w:id="1300721606">
          <w:marLeft w:val="0"/>
          <w:marRight w:val="0"/>
          <w:marTop w:val="0"/>
          <w:marBottom w:val="0"/>
          <w:divBdr>
            <w:top w:val="none" w:sz="0" w:space="0" w:color="auto"/>
            <w:left w:val="none" w:sz="0" w:space="0" w:color="auto"/>
            <w:bottom w:val="none" w:sz="0" w:space="0" w:color="auto"/>
            <w:right w:val="none" w:sz="0" w:space="0" w:color="auto"/>
          </w:divBdr>
        </w:div>
        <w:div w:id="56344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8342</Words>
  <Characters>47552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Pablo Munoz</cp:lastModifiedBy>
  <cp:revision>3</cp:revision>
  <dcterms:created xsi:type="dcterms:W3CDTF">2018-10-31T10:16:00Z</dcterms:created>
  <dcterms:modified xsi:type="dcterms:W3CDTF">2018-10-31T18:57:00Z</dcterms:modified>
</cp:coreProperties>
</file>