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35" w:rsidRPr="005D65EF" w:rsidRDefault="00785035" w:rsidP="00785035">
      <w:pPr>
        <w:spacing w:line="480" w:lineRule="auto"/>
        <w:rPr>
          <w:b/>
          <w:sz w:val="22"/>
          <w:szCs w:val="22"/>
        </w:rPr>
      </w:pPr>
      <w:r w:rsidRPr="005D65EF">
        <w:rPr>
          <w:b/>
          <w:sz w:val="22"/>
          <w:szCs w:val="22"/>
        </w:rPr>
        <w:t>No Pets Allowed? Companion Animals, Older People and Residential Care</w:t>
      </w:r>
    </w:p>
    <w:p w:rsidR="00785035" w:rsidRDefault="00785035" w:rsidP="00785035">
      <w:pPr>
        <w:spacing w:after="160" w:line="259" w:lineRule="auto"/>
        <w:rPr>
          <w:b/>
          <w:color w:val="000000" w:themeColor="text1"/>
          <w:sz w:val="22"/>
          <w:szCs w:val="22"/>
        </w:rPr>
      </w:pPr>
    </w:p>
    <w:p w:rsidR="00785035" w:rsidRPr="00213036" w:rsidRDefault="00785035" w:rsidP="00785035">
      <w:pPr>
        <w:spacing w:after="160" w:line="259" w:lineRule="auto"/>
        <w:rPr>
          <w:b/>
          <w:color w:val="000000" w:themeColor="text1"/>
          <w:sz w:val="22"/>
          <w:szCs w:val="22"/>
        </w:rPr>
      </w:pPr>
      <w:r w:rsidRPr="00213036">
        <w:rPr>
          <w:b/>
          <w:color w:val="000000" w:themeColor="text1"/>
          <w:sz w:val="22"/>
          <w:szCs w:val="22"/>
        </w:rPr>
        <w:t xml:space="preserve">ABSTRACT </w:t>
      </w:r>
    </w:p>
    <w:p w:rsidR="00785035" w:rsidRPr="00213036" w:rsidRDefault="00785035" w:rsidP="00785035">
      <w:pPr>
        <w:spacing w:after="160" w:line="480" w:lineRule="auto"/>
        <w:rPr>
          <w:color w:val="000000" w:themeColor="text1"/>
          <w:sz w:val="22"/>
          <w:szCs w:val="22"/>
        </w:rPr>
      </w:pPr>
      <w:r w:rsidRPr="00213036">
        <w:rPr>
          <w:color w:val="000000" w:themeColor="text1"/>
          <w:sz w:val="22"/>
          <w:szCs w:val="22"/>
        </w:rPr>
        <w:t>This article is concerned with a particular site of inter-species relationships. Using the lens of liminality, it examines forced separation of older people from their companion animals when they move to a residential or nursing home in the UK. Such residential spaces frequently either exclude companion animals or fail to make adequate provision for them to accompany their</w:t>
      </w:r>
      <w:r>
        <w:rPr>
          <w:color w:val="000000" w:themeColor="text1"/>
          <w:sz w:val="22"/>
          <w:szCs w:val="22"/>
        </w:rPr>
        <w:t xml:space="preserve"> human caretakers</w:t>
      </w:r>
      <w:r w:rsidRPr="00213036">
        <w:rPr>
          <w:color w:val="000000" w:themeColor="text1"/>
          <w:sz w:val="22"/>
          <w:szCs w:val="22"/>
        </w:rPr>
        <w:t>. We see such separation as a major bereavement for an older person at a stage of life when they experience significant other losses, and suggest it is often experienced as akin to the loss of a family member. We deploy vulnerability theory to argue that exclusion of companion animals from care spaces exemplifies a failure to understand the relational vulnerabilities of older age and the significance of animal companionship in mitigating those vulnerabilities. Equally, such separation fails to recognise the implications for excluded animals who can end up in unsuitable homes, being signed over to already over-stretched animal rescues or euthanised.  Vulnerability theory highlights how companion species are always already vulnerable given their liminal position between person and property, while older people are rendered particularly vulnerable in the ‘liminal zone’ of the care home, denied the ability to shape their environment, control their private space or form/sustain relationships of their own choosing. Th</w:t>
      </w:r>
      <w:r>
        <w:rPr>
          <w:color w:val="000000" w:themeColor="text1"/>
          <w:sz w:val="22"/>
          <w:szCs w:val="22"/>
        </w:rPr>
        <w:t>is</w:t>
      </w:r>
      <w:r w:rsidRPr="00213036">
        <w:rPr>
          <w:color w:val="000000" w:themeColor="text1"/>
          <w:sz w:val="22"/>
          <w:szCs w:val="22"/>
        </w:rPr>
        <w:t xml:space="preserve"> article explores the potential of law to respond to and mitigate these shared vulnerabilities, suggesting that human rights arguments grounded in shared vulnerability may be invoked to argue for a definition of the family to recognise the significance of the human-animal relationship. We draw on the reasoning in a recent Court of Protection case which hints at law’s ability to recognise the value of interspecies relations and their role in sustaining health and wellbeing, and the ability to live well in old age.</w:t>
      </w:r>
    </w:p>
    <w:p w:rsidR="00785035" w:rsidRDefault="00785035" w:rsidP="00785035">
      <w:pPr>
        <w:spacing w:after="160" w:line="259" w:lineRule="auto"/>
        <w:rPr>
          <w:b/>
          <w:color w:val="000000" w:themeColor="text1"/>
          <w:sz w:val="22"/>
          <w:szCs w:val="22"/>
        </w:rPr>
      </w:pPr>
    </w:p>
    <w:p w:rsidR="00785035" w:rsidRPr="005D65EF" w:rsidRDefault="00785035" w:rsidP="00785035">
      <w:pPr>
        <w:spacing w:after="160" w:line="259" w:lineRule="auto"/>
        <w:rPr>
          <w:sz w:val="22"/>
          <w:szCs w:val="22"/>
        </w:rPr>
      </w:pPr>
      <w:r w:rsidRPr="005D65EF">
        <w:rPr>
          <w:b/>
          <w:color w:val="000000" w:themeColor="text1"/>
          <w:sz w:val="22"/>
          <w:szCs w:val="22"/>
        </w:rPr>
        <w:t>I</w:t>
      </w:r>
      <w:r>
        <w:rPr>
          <w:b/>
          <w:color w:val="000000" w:themeColor="text1"/>
          <w:sz w:val="22"/>
          <w:szCs w:val="22"/>
        </w:rPr>
        <w:t>NTRODUCTION</w:t>
      </w:r>
      <w:r w:rsidRPr="005D65EF">
        <w:rPr>
          <w:b/>
          <w:color w:val="000000" w:themeColor="text1"/>
          <w:sz w:val="22"/>
          <w:szCs w:val="22"/>
        </w:rPr>
        <w:t>:</w:t>
      </w:r>
    </w:p>
    <w:p w:rsidR="00785035" w:rsidRDefault="00785035" w:rsidP="00785035">
      <w:pPr>
        <w:spacing w:line="480" w:lineRule="auto"/>
        <w:rPr>
          <w:color w:val="000000" w:themeColor="text1"/>
          <w:sz w:val="22"/>
          <w:szCs w:val="22"/>
        </w:rPr>
      </w:pPr>
      <w:r w:rsidRPr="005D65EF">
        <w:rPr>
          <w:color w:val="000000" w:themeColor="text1"/>
          <w:sz w:val="22"/>
          <w:szCs w:val="22"/>
        </w:rPr>
        <w:t>This articl</w:t>
      </w:r>
      <w:r>
        <w:rPr>
          <w:color w:val="000000" w:themeColor="text1"/>
          <w:sz w:val="22"/>
          <w:szCs w:val="22"/>
        </w:rPr>
        <w:t>e</w:t>
      </w:r>
      <w:r w:rsidRPr="005D65EF">
        <w:rPr>
          <w:color w:val="000000" w:themeColor="text1"/>
          <w:sz w:val="22"/>
          <w:szCs w:val="22"/>
        </w:rPr>
        <w:t xml:space="preserve"> focuses on a particular site of inter-species relationality, examining attachments between companion animals and older people. Specifically</w:t>
      </w:r>
      <w:r>
        <w:rPr>
          <w:color w:val="000000" w:themeColor="text1"/>
          <w:sz w:val="22"/>
          <w:szCs w:val="22"/>
        </w:rPr>
        <w:t>,</w:t>
      </w:r>
      <w:r w:rsidRPr="005D65EF">
        <w:rPr>
          <w:color w:val="000000" w:themeColor="text1"/>
          <w:sz w:val="22"/>
          <w:szCs w:val="22"/>
        </w:rPr>
        <w:t xml:space="preserve"> we are concerned </w:t>
      </w:r>
      <w:r>
        <w:rPr>
          <w:color w:val="000000" w:themeColor="text1"/>
          <w:sz w:val="22"/>
          <w:szCs w:val="22"/>
        </w:rPr>
        <w:t>with t</w:t>
      </w:r>
      <w:r w:rsidRPr="005D65EF">
        <w:rPr>
          <w:color w:val="000000" w:themeColor="text1"/>
          <w:sz w:val="22"/>
          <w:szCs w:val="22"/>
        </w:rPr>
        <w:t>he shared vulnerability of older people and their animal</w:t>
      </w:r>
      <w:r>
        <w:rPr>
          <w:color w:val="000000" w:themeColor="text1"/>
          <w:sz w:val="22"/>
          <w:szCs w:val="22"/>
        </w:rPr>
        <w:t xml:space="preserve"> companion</w:t>
      </w:r>
      <w:r w:rsidRPr="005D65EF">
        <w:rPr>
          <w:color w:val="000000" w:themeColor="text1"/>
          <w:sz w:val="22"/>
          <w:szCs w:val="22"/>
        </w:rPr>
        <w:t>s</w:t>
      </w:r>
      <w:r>
        <w:rPr>
          <w:color w:val="000000" w:themeColor="text1"/>
          <w:sz w:val="22"/>
          <w:szCs w:val="22"/>
        </w:rPr>
        <w:t>,</w:t>
      </w:r>
      <w:r w:rsidRPr="005D65EF">
        <w:rPr>
          <w:color w:val="000000" w:themeColor="text1"/>
          <w:sz w:val="22"/>
          <w:szCs w:val="22"/>
        </w:rPr>
        <w:t xml:space="preserve"> and the often tenuous nature of the concepts of ‘family’ </w:t>
      </w:r>
      <w:r w:rsidRPr="005D65EF">
        <w:rPr>
          <w:color w:val="000000" w:themeColor="text1"/>
          <w:sz w:val="22"/>
          <w:szCs w:val="22"/>
        </w:rPr>
        <w:lastRenderedPageBreak/>
        <w:t xml:space="preserve">and ‘home’ in their lives. </w:t>
      </w:r>
      <w:r>
        <w:rPr>
          <w:color w:val="000000" w:themeColor="text1"/>
          <w:sz w:val="22"/>
          <w:szCs w:val="22"/>
        </w:rPr>
        <w:t>We apply the lens of liminality to</w:t>
      </w:r>
      <w:r w:rsidRPr="005D65EF">
        <w:rPr>
          <w:color w:val="000000" w:themeColor="text1"/>
          <w:sz w:val="22"/>
          <w:szCs w:val="22"/>
        </w:rPr>
        <w:t xml:space="preserve"> a particular juncture – the transition of an older person from their own home to a residential/nursing home or extra care housing – with the accompanying disruption of the animal</w:t>
      </w:r>
      <w:r>
        <w:rPr>
          <w:color w:val="000000" w:themeColor="text1"/>
          <w:sz w:val="22"/>
          <w:szCs w:val="22"/>
        </w:rPr>
        <w:t>’</w:t>
      </w:r>
      <w:r w:rsidRPr="005D65EF">
        <w:rPr>
          <w:color w:val="000000" w:themeColor="text1"/>
          <w:sz w:val="22"/>
          <w:szCs w:val="22"/>
        </w:rPr>
        <w:t>s home and familial life.  The article forms part of a funded project wh</w:t>
      </w:r>
      <w:r>
        <w:rPr>
          <w:color w:val="000000" w:themeColor="text1"/>
          <w:sz w:val="22"/>
          <w:szCs w:val="22"/>
        </w:rPr>
        <w:t>ich</w:t>
      </w:r>
      <w:r w:rsidRPr="005D65EF">
        <w:rPr>
          <w:color w:val="000000" w:themeColor="text1"/>
          <w:sz w:val="22"/>
          <w:szCs w:val="22"/>
        </w:rPr>
        <w:t xml:space="preserve"> aim</w:t>
      </w:r>
      <w:r>
        <w:rPr>
          <w:color w:val="000000" w:themeColor="text1"/>
          <w:sz w:val="22"/>
          <w:szCs w:val="22"/>
        </w:rPr>
        <w:t>s</w:t>
      </w:r>
      <w:r w:rsidRPr="005D65EF">
        <w:rPr>
          <w:color w:val="000000" w:themeColor="text1"/>
          <w:sz w:val="22"/>
          <w:szCs w:val="22"/>
        </w:rPr>
        <w:t xml:space="preserve"> to empirically investigate the lived experience of this transition across two sites in England</w:t>
      </w:r>
      <w:r>
        <w:rPr>
          <w:color w:val="000000" w:themeColor="text1"/>
          <w:sz w:val="22"/>
          <w:szCs w:val="22"/>
        </w:rPr>
        <w:t>. Here,</w:t>
      </w:r>
      <w:r w:rsidRPr="005D65EF">
        <w:rPr>
          <w:color w:val="000000" w:themeColor="text1"/>
          <w:sz w:val="22"/>
          <w:szCs w:val="22"/>
        </w:rPr>
        <w:t xml:space="preserve"> we argue for recognition of the contribution that interspecies relationships between animals and older people</w:t>
      </w:r>
      <w:r>
        <w:rPr>
          <w:rStyle w:val="EndnoteReference"/>
          <w:color w:val="000000" w:themeColor="text1"/>
          <w:sz w:val="22"/>
          <w:szCs w:val="22"/>
        </w:rPr>
        <w:endnoteReference w:id="1"/>
      </w:r>
      <w:r w:rsidRPr="005D65EF">
        <w:rPr>
          <w:color w:val="000000" w:themeColor="text1"/>
          <w:sz w:val="22"/>
          <w:szCs w:val="22"/>
        </w:rPr>
        <w:t xml:space="preserve"> can make to the </w:t>
      </w:r>
      <w:r>
        <w:rPr>
          <w:color w:val="000000" w:themeColor="text1"/>
          <w:sz w:val="22"/>
          <w:szCs w:val="22"/>
        </w:rPr>
        <w:t xml:space="preserve">shared </w:t>
      </w:r>
      <w:r w:rsidRPr="005D65EF">
        <w:rPr>
          <w:color w:val="000000" w:themeColor="text1"/>
          <w:sz w:val="22"/>
          <w:szCs w:val="22"/>
        </w:rPr>
        <w:t>wellbeing of humans and animals,</w:t>
      </w:r>
      <w:r>
        <w:rPr>
          <w:rStyle w:val="EndnoteReference"/>
          <w:color w:val="000000" w:themeColor="text1"/>
          <w:sz w:val="22"/>
          <w:szCs w:val="22"/>
        </w:rPr>
        <w:endnoteReference w:id="2"/>
      </w:r>
      <w:r w:rsidRPr="005D65EF">
        <w:rPr>
          <w:color w:val="000000" w:themeColor="text1"/>
          <w:sz w:val="22"/>
          <w:szCs w:val="22"/>
        </w:rPr>
        <w:t xml:space="preserve"> suggesting that law needs to be more responsive to the</w:t>
      </w:r>
      <w:r>
        <w:rPr>
          <w:color w:val="000000" w:themeColor="text1"/>
          <w:sz w:val="22"/>
          <w:szCs w:val="22"/>
        </w:rPr>
        <w:t>ir</w:t>
      </w:r>
      <w:r w:rsidRPr="005D65EF">
        <w:rPr>
          <w:color w:val="000000" w:themeColor="text1"/>
          <w:sz w:val="22"/>
          <w:szCs w:val="22"/>
        </w:rPr>
        <w:t xml:space="preserve"> </w:t>
      </w:r>
      <w:r>
        <w:rPr>
          <w:color w:val="000000" w:themeColor="text1"/>
          <w:sz w:val="22"/>
          <w:szCs w:val="22"/>
        </w:rPr>
        <w:t>common</w:t>
      </w:r>
      <w:r w:rsidRPr="005D65EF">
        <w:rPr>
          <w:color w:val="000000" w:themeColor="text1"/>
          <w:sz w:val="22"/>
          <w:szCs w:val="22"/>
        </w:rPr>
        <w:t xml:space="preserve"> interests within </w:t>
      </w:r>
      <w:r>
        <w:rPr>
          <w:color w:val="000000" w:themeColor="text1"/>
          <w:sz w:val="22"/>
          <w:szCs w:val="22"/>
        </w:rPr>
        <w:t>care setting</w:t>
      </w:r>
      <w:r w:rsidRPr="005D65EF">
        <w:rPr>
          <w:color w:val="000000" w:themeColor="text1"/>
          <w:sz w:val="22"/>
          <w:szCs w:val="22"/>
        </w:rPr>
        <w:t>s. We highlight the vulnerability of older people and the</w:t>
      </w:r>
      <w:r>
        <w:rPr>
          <w:color w:val="000000" w:themeColor="text1"/>
          <w:sz w:val="22"/>
          <w:szCs w:val="22"/>
        </w:rPr>
        <w:t>ir</w:t>
      </w:r>
      <w:r w:rsidRPr="005D65EF">
        <w:rPr>
          <w:color w:val="000000" w:themeColor="text1"/>
          <w:sz w:val="22"/>
          <w:szCs w:val="22"/>
        </w:rPr>
        <w:t xml:space="preserve"> animal</w:t>
      </w:r>
      <w:r>
        <w:rPr>
          <w:color w:val="000000" w:themeColor="text1"/>
          <w:sz w:val="22"/>
          <w:szCs w:val="22"/>
        </w:rPr>
        <w:t xml:space="preserve"> companion</w:t>
      </w:r>
      <w:r w:rsidRPr="005D65EF">
        <w:rPr>
          <w:color w:val="000000" w:themeColor="text1"/>
          <w:sz w:val="22"/>
          <w:szCs w:val="22"/>
        </w:rPr>
        <w:t>s</w:t>
      </w:r>
      <w:r>
        <w:rPr>
          <w:color w:val="000000" w:themeColor="text1"/>
          <w:sz w:val="22"/>
          <w:szCs w:val="22"/>
        </w:rPr>
        <w:t xml:space="preserve"> at this transitional moment,</w:t>
      </w:r>
      <w:r w:rsidRPr="005D65EF">
        <w:rPr>
          <w:color w:val="000000" w:themeColor="text1"/>
          <w:sz w:val="22"/>
          <w:szCs w:val="22"/>
        </w:rPr>
        <w:t xml:space="preserve"> particularly their </w:t>
      </w:r>
      <w:r>
        <w:rPr>
          <w:color w:val="000000" w:themeColor="text1"/>
          <w:sz w:val="22"/>
          <w:szCs w:val="22"/>
        </w:rPr>
        <w:t xml:space="preserve">shared </w:t>
      </w:r>
      <w:r w:rsidRPr="005D65EF">
        <w:rPr>
          <w:color w:val="000000" w:themeColor="text1"/>
          <w:sz w:val="22"/>
          <w:szCs w:val="22"/>
        </w:rPr>
        <w:t>vulnerability to forced separation and the precarity of home in their lives</w:t>
      </w:r>
      <w:r>
        <w:rPr>
          <w:color w:val="000000" w:themeColor="text1"/>
          <w:sz w:val="22"/>
          <w:szCs w:val="22"/>
        </w:rPr>
        <w:t xml:space="preserve">. Underlining the implications of this transition, </w:t>
      </w:r>
      <w:r w:rsidRPr="00BB4747">
        <w:rPr>
          <w:color w:val="000000" w:themeColor="text1"/>
          <w:sz w:val="22"/>
          <w:szCs w:val="22"/>
          <w:lang w:val="en-US"/>
        </w:rPr>
        <w:t xml:space="preserve">Helen Carr and Caroline Hunter </w:t>
      </w:r>
      <w:r>
        <w:rPr>
          <w:color w:val="000000" w:themeColor="text1"/>
          <w:sz w:val="22"/>
          <w:szCs w:val="22"/>
          <w:lang w:val="en-US"/>
        </w:rPr>
        <w:t>suggest that</w:t>
      </w:r>
      <w:r w:rsidRPr="00BB4747">
        <w:rPr>
          <w:color w:val="000000" w:themeColor="text1"/>
          <w:sz w:val="22"/>
          <w:szCs w:val="22"/>
          <w:lang w:val="en-US"/>
        </w:rPr>
        <w:t xml:space="preserve"> ‘</w:t>
      </w:r>
      <w:r w:rsidRPr="00BB4747">
        <w:rPr>
          <w:color w:val="000000" w:themeColor="text1"/>
          <w:sz w:val="22"/>
          <w:szCs w:val="22"/>
        </w:rPr>
        <w:t>law constructs your identity primarily as a passive recipient of services if you are the resident of a care home, whereas if you live in your own home, you are an autonomous decision maker’</w:t>
      </w:r>
      <w:r>
        <w:rPr>
          <w:color w:val="000000" w:themeColor="text1"/>
          <w:sz w:val="22"/>
          <w:szCs w:val="22"/>
        </w:rPr>
        <w:t>.</w:t>
      </w:r>
      <w:r>
        <w:rPr>
          <w:rStyle w:val="EndnoteReference"/>
          <w:color w:val="000000" w:themeColor="text1"/>
          <w:sz w:val="22"/>
          <w:szCs w:val="22"/>
        </w:rPr>
        <w:endnoteReference w:id="3"/>
      </w:r>
      <w:r w:rsidRPr="00BB4747">
        <w:rPr>
          <w:color w:val="000000" w:themeColor="text1"/>
          <w:sz w:val="22"/>
          <w:szCs w:val="22"/>
        </w:rPr>
        <w:t xml:space="preserve"> </w:t>
      </w:r>
      <w:r>
        <w:rPr>
          <w:color w:val="000000" w:themeColor="text1"/>
          <w:sz w:val="22"/>
          <w:szCs w:val="22"/>
          <w:lang w:val="en-US"/>
        </w:rPr>
        <w:t xml:space="preserve">As we show, this loss of autonomy in the transition to a care space often entails loss of choice about who to live with, including the choice to reside with animal companions.  We argue that denying this choice discounts the </w:t>
      </w:r>
      <w:r w:rsidRPr="00D22E7F">
        <w:rPr>
          <w:color w:val="000000" w:themeColor="text1"/>
          <w:sz w:val="22"/>
          <w:szCs w:val="22"/>
          <w:lang w:val="en-US"/>
        </w:rPr>
        <w:t>deep emotional</w:t>
      </w:r>
      <w:r>
        <w:rPr>
          <w:color w:val="000000" w:themeColor="text1"/>
          <w:sz w:val="22"/>
          <w:szCs w:val="22"/>
          <w:lang w:val="en-US"/>
        </w:rPr>
        <w:t xml:space="preserve"> investment humans have in</w:t>
      </w:r>
      <w:r w:rsidRPr="005D65EF">
        <w:rPr>
          <w:color w:val="000000" w:themeColor="text1"/>
          <w:sz w:val="22"/>
          <w:szCs w:val="22"/>
          <w:lang w:val="en-US"/>
        </w:rPr>
        <w:t xml:space="preserve"> attachments</w:t>
      </w:r>
      <w:r>
        <w:rPr>
          <w:color w:val="000000" w:themeColor="text1"/>
          <w:sz w:val="22"/>
          <w:szCs w:val="22"/>
          <w:lang w:val="en-US"/>
        </w:rPr>
        <w:t xml:space="preserve"> to</w:t>
      </w:r>
      <w:r w:rsidRPr="005D65EF">
        <w:rPr>
          <w:color w:val="000000" w:themeColor="text1"/>
          <w:sz w:val="22"/>
          <w:szCs w:val="22"/>
          <w:lang w:val="en-US"/>
        </w:rPr>
        <w:t xml:space="preserve"> animals</w:t>
      </w:r>
      <w:r>
        <w:rPr>
          <w:color w:val="000000" w:themeColor="text1"/>
          <w:sz w:val="22"/>
          <w:szCs w:val="22"/>
          <w:lang w:val="en-US"/>
        </w:rPr>
        <w:t>,</w:t>
      </w:r>
      <w:r>
        <w:rPr>
          <w:rStyle w:val="EndnoteReference"/>
          <w:color w:val="000000" w:themeColor="text1"/>
          <w:sz w:val="22"/>
          <w:szCs w:val="22"/>
          <w:lang w:val="en-US"/>
        </w:rPr>
        <w:endnoteReference w:id="4"/>
      </w:r>
      <w:r>
        <w:rPr>
          <w:color w:val="000000" w:themeColor="text1"/>
          <w:sz w:val="22"/>
          <w:szCs w:val="22"/>
          <w:lang w:val="en-US"/>
        </w:rPr>
        <w:t xml:space="preserve"> and the role of such relationships in fostering resilience and agency.  </w:t>
      </w:r>
      <w:r w:rsidRPr="005D65EF">
        <w:rPr>
          <w:color w:val="000000" w:themeColor="text1"/>
          <w:sz w:val="22"/>
          <w:szCs w:val="22"/>
          <w:lang w:val="en-US"/>
        </w:rPr>
        <w:t xml:space="preserve">For many of us, as outlined below, </w:t>
      </w:r>
      <w:r>
        <w:rPr>
          <w:color w:val="000000" w:themeColor="text1"/>
          <w:sz w:val="22"/>
          <w:szCs w:val="22"/>
          <w:lang w:val="en-US"/>
        </w:rPr>
        <w:t>they</w:t>
      </w:r>
      <w:r w:rsidRPr="005D65EF">
        <w:rPr>
          <w:color w:val="000000" w:themeColor="text1"/>
          <w:sz w:val="22"/>
          <w:szCs w:val="22"/>
          <w:lang w:val="en-US"/>
        </w:rPr>
        <w:t xml:space="preserve"> are considered kin</w:t>
      </w:r>
      <w:r>
        <w:rPr>
          <w:color w:val="000000" w:themeColor="text1"/>
          <w:sz w:val="22"/>
          <w:szCs w:val="22"/>
          <w:lang w:val="en-US"/>
        </w:rPr>
        <w:t>,</w:t>
      </w:r>
      <w:r>
        <w:rPr>
          <w:rStyle w:val="EndnoteReference"/>
          <w:color w:val="000000" w:themeColor="text1"/>
          <w:sz w:val="22"/>
          <w:szCs w:val="22"/>
          <w:lang w:val="en-US"/>
        </w:rPr>
        <w:endnoteReference w:id="5"/>
      </w:r>
      <w:r w:rsidRPr="005D65EF">
        <w:rPr>
          <w:color w:val="000000" w:themeColor="text1"/>
          <w:sz w:val="22"/>
          <w:szCs w:val="22"/>
          <w:lang w:val="en-US"/>
        </w:rPr>
        <w:t xml:space="preserve">  or family members. </w:t>
      </w:r>
      <w:r>
        <w:rPr>
          <w:color w:val="000000" w:themeColor="text1"/>
          <w:sz w:val="22"/>
          <w:szCs w:val="22"/>
          <w:lang w:val="en-US"/>
        </w:rPr>
        <w:t xml:space="preserve"> For</w:t>
      </w:r>
      <w:r w:rsidRPr="005D65EF">
        <w:rPr>
          <w:color w:val="000000" w:themeColor="text1"/>
          <w:sz w:val="22"/>
          <w:szCs w:val="22"/>
          <w:lang w:val="en-US"/>
        </w:rPr>
        <w:t xml:space="preserve"> older people the value of this relationship may be heightened</w:t>
      </w:r>
      <w:r>
        <w:rPr>
          <w:rStyle w:val="EndnoteReference"/>
          <w:color w:val="000000" w:themeColor="text1"/>
          <w:sz w:val="22"/>
          <w:szCs w:val="22"/>
          <w:lang w:val="en-US"/>
        </w:rPr>
        <w:endnoteReference w:id="6"/>
      </w:r>
      <w:r w:rsidRPr="005D65EF">
        <w:rPr>
          <w:color w:val="000000" w:themeColor="text1"/>
          <w:sz w:val="22"/>
          <w:szCs w:val="22"/>
          <w:lang w:val="en-US"/>
        </w:rPr>
        <w:t xml:space="preserve"> by age-related loneliness and loss</w:t>
      </w:r>
      <w:r>
        <w:rPr>
          <w:color w:val="000000" w:themeColor="text1"/>
          <w:sz w:val="22"/>
          <w:szCs w:val="22"/>
          <w:lang w:val="en-US"/>
        </w:rPr>
        <w:t>.</w:t>
      </w:r>
      <w:r>
        <w:rPr>
          <w:rStyle w:val="EndnoteReference"/>
          <w:color w:val="000000" w:themeColor="text1"/>
          <w:sz w:val="22"/>
          <w:szCs w:val="22"/>
          <w:lang w:val="en-US"/>
        </w:rPr>
        <w:endnoteReference w:id="7"/>
      </w:r>
      <w:r w:rsidRPr="005D65EF">
        <w:rPr>
          <w:color w:val="000000" w:themeColor="text1"/>
          <w:sz w:val="22"/>
          <w:szCs w:val="22"/>
          <w:lang w:val="en-US"/>
        </w:rPr>
        <w:t xml:space="preserve"> </w:t>
      </w:r>
      <w:r w:rsidRPr="005D65EF">
        <w:rPr>
          <w:color w:val="000000" w:themeColor="text1"/>
          <w:sz w:val="22"/>
          <w:szCs w:val="22"/>
        </w:rPr>
        <w:t>Animals play an important role in their physical, emotional and psychological wellbeing,</w:t>
      </w:r>
      <w:r>
        <w:rPr>
          <w:rStyle w:val="EndnoteReference"/>
          <w:color w:val="000000" w:themeColor="text1"/>
          <w:sz w:val="22"/>
          <w:szCs w:val="22"/>
        </w:rPr>
        <w:endnoteReference w:id="8"/>
      </w:r>
      <w:r w:rsidRPr="005D65EF">
        <w:rPr>
          <w:color w:val="000000" w:themeColor="text1"/>
          <w:sz w:val="22"/>
          <w:szCs w:val="22"/>
        </w:rPr>
        <w:t xml:space="preserve"> </w:t>
      </w:r>
      <w:r>
        <w:rPr>
          <w:color w:val="000000" w:themeColor="text1"/>
          <w:sz w:val="22"/>
          <w:szCs w:val="22"/>
        </w:rPr>
        <w:t>acting</w:t>
      </w:r>
      <w:r w:rsidRPr="005D65EF">
        <w:rPr>
          <w:color w:val="000000" w:themeColor="text1"/>
          <w:sz w:val="22"/>
          <w:szCs w:val="22"/>
        </w:rPr>
        <w:t xml:space="preserve"> as a buffer to the risks and vulnerabilities associated with older age</w:t>
      </w:r>
      <w:r>
        <w:rPr>
          <w:color w:val="000000" w:themeColor="text1"/>
          <w:sz w:val="22"/>
          <w:szCs w:val="22"/>
        </w:rPr>
        <w:t>, and underlining how vulnerability can be productive in forging relationships.</w:t>
      </w:r>
      <w:r>
        <w:rPr>
          <w:rStyle w:val="EndnoteReference"/>
          <w:color w:val="000000" w:themeColor="text1"/>
          <w:sz w:val="22"/>
          <w:szCs w:val="22"/>
        </w:rPr>
        <w:endnoteReference w:id="9"/>
      </w:r>
      <w:r>
        <w:rPr>
          <w:color w:val="000000" w:themeColor="text1"/>
          <w:sz w:val="22"/>
          <w:szCs w:val="22"/>
        </w:rPr>
        <w:t xml:space="preserve"> </w:t>
      </w:r>
      <w:r w:rsidRPr="005D65EF">
        <w:rPr>
          <w:color w:val="000000" w:themeColor="text1"/>
          <w:sz w:val="22"/>
          <w:szCs w:val="22"/>
          <w:lang w:val="en-US"/>
        </w:rPr>
        <w:t>A companion animal may also be a final link with a deceased spouse/partner</w:t>
      </w:r>
      <w:r>
        <w:rPr>
          <w:color w:val="000000" w:themeColor="text1"/>
          <w:sz w:val="22"/>
          <w:szCs w:val="22"/>
          <w:lang w:val="en-US"/>
        </w:rPr>
        <w:t>.</w:t>
      </w:r>
      <w:r>
        <w:rPr>
          <w:rStyle w:val="EndnoteReference"/>
          <w:color w:val="000000" w:themeColor="text1"/>
          <w:sz w:val="22"/>
          <w:szCs w:val="22"/>
          <w:lang w:val="en-US"/>
        </w:rPr>
        <w:endnoteReference w:id="10"/>
      </w:r>
      <w:r w:rsidRPr="005D65EF">
        <w:rPr>
          <w:color w:val="000000" w:themeColor="text1"/>
          <w:sz w:val="22"/>
          <w:szCs w:val="22"/>
          <w:lang w:val="en-US"/>
        </w:rPr>
        <w:t xml:space="preserve"> </w:t>
      </w:r>
      <w:r w:rsidRPr="005D65EF">
        <w:rPr>
          <w:color w:val="000000" w:themeColor="text1"/>
          <w:sz w:val="22"/>
          <w:szCs w:val="22"/>
        </w:rPr>
        <w:t>Changing health</w:t>
      </w:r>
      <w:r>
        <w:rPr>
          <w:color w:val="000000" w:themeColor="text1"/>
          <w:sz w:val="22"/>
          <w:szCs w:val="22"/>
        </w:rPr>
        <w:t>,</w:t>
      </w:r>
      <w:r w:rsidRPr="005D65EF">
        <w:rPr>
          <w:color w:val="000000" w:themeColor="text1"/>
          <w:sz w:val="22"/>
          <w:szCs w:val="22"/>
        </w:rPr>
        <w:t xml:space="preserve"> coupled with disruptions to usual roles</w:t>
      </w:r>
      <w:r>
        <w:rPr>
          <w:color w:val="000000" w:themeColor="text1"/>
          <w:sz w:val="22"/>
          <w:szCs w:val="22"/>
        </w:rPr>
        <w:t>,</w:t>
      </w:r>
      <w:r w:rsidRPr="005D65EF">
        <w:rPr>
          <w:color w:val="000000" w:themeColor="text1"/>
          <w:sz w:val="22"/>
          <w:szCs w:val="22"/>
        </w:rPr>
        <w:t xml:space="preserve"> can</w:t>
      </w:r>
      <w:r>
        <w:rPr>
          <w:color w:val="000000" w:themeColor="text1"/>
          <w:sz w:val="22"/>
          <w:szCs w:val="22"/>
        </w:rPr>
        <w:t xml:space="preserve"> entail</w:t>
      </w:r>
      <w:r w:rsidRPr="005D65EF">
        <w:rPr>
          <w:color w:val="000000" w:themeColor="text1"/>
          <w:sz w:val="22"/>
          <w:szCs w:val="22"/>
        </w:rPr>
        <w:t xml:space="preserve"> that car</w:t>
      </w:r>
      <w:r>
        <w:rPr>
          <w:color w:val="000000" w:themeColor="text1"/>
          <w:sz w:val="22"/>
          <w:szCs w:val="22"/>
        </w:rPr>
        <w:t>ing</w:t>
      </w:r>
      <w:r w:rsidRPr="005D65EF">
        <w:rPr>
          <w:color w:val="000000" w:themeColor="text1"/>
          <w:sz w:val="22"/>
          <w:szCs w:val="22"/>
        </w:rPr>
        <w:t xml:space="preserve"> </w:t>
      </w:r>
      <w:r>
        <w:rPr>
          <w:color w:val="000000" w:themeColor="text1"/>
          <w:sz w:val="22"/>
          <w:szCs w:val="22"/>
        </w:rPr>
        <w:t>for</w:t>
      </w:r>
      <w:r w:rsidRPr="005D65EF">
        <w:rPr>
          <w:color w:val="000000" w:themeColor="text1"/>
          <w:sz w:val="22"/>
          <w:szCs w:val="22"/>
        </w:rPr>
        <w:t xml:space="preserve"> a companion animal becomes a vital source of reciprocity</w:t>
      </w:r>
      <w:r>
        <w:rPr>
          <w:color w:val="000000" w:themeColor="text1"/>
          <w:sz w:val="22"/>
          <w:szCs w:val="22"/>
        </w:rPr>
        <w:t>, with these ‘intimate entanglements’  helping to</w:t>
      </w:r>
      <w:r w:rsidRPr="005D65EF">
        <w:rPr>
          <w:color w:val="000000" w:themeColor="text1"/>
          <w:sz w:val="22"/>
          <w:szCs w:val="22"/>
        </w:rPr>
        <w:t xml:space="preserve"> maintain the activities of daily life.</w:t>
      </w:r>
      <w:r>
        <w:rPr>
          <w:rStyle w:val="EndnoteReference"/>
          <w:color w:val="000000" w:themeColor="text1"/>
          <w:sz w:val="22"/>
          <w:szCs w:val="22"/>
        </w:rPr>
        <w:endnoteReference w:id="11"/>
      </w:r>
      <w:r w:rsidRPr="005D65EF">
        <w:rPr>
          <w:color w:val="000000" w:themeColor="text1"/>
          <w:sz w:val="22"/>
          <w:szCs w:val="22"/>
        </w:rPr>
        <w:t xml:space="preserve"> </w:t>
      </w:r>
      <w:r w:rsidRPr="005D65EF">
        <w:rPr>
          <w:color w:val="000000" w:themeColor="text1"/>
          <w:sz w:val="22"/>
          <w:szCs w:val="22"/>
          <w:lang w:val="en-US"/>
        </w:rPr>
        <w:t xml:space="preserve"> </w:t>
      </w:r>
      <w:r w:rsidRPr="005D65EF">
        <w:rPr>
          <w:color w:val="000000" w:themeColor="text1"/>
          <w:sz w:val="22"/>
          <w:szCs w:val="22"/>
        </w:rPr>
        <w:t xml:space="preserve">Since older people </w:t>
      </w:r>
      <w:r>
        <w:rPr>
          <w:color w:val="000000" w:themeColor="text1"/>
          <w:sz w:val="22"/>
          <w:szCs w:val="22"/>
        </w:rPr>
        <w:t>typical</w:t>
      </w:r>
      <w:r w:rsidRPr="005D65EF">
        <w:rPr>
          <w:color w:val="000000" w:themeColor="text1"/>
          <w:sz w:val="22"/>
          <w:szCs w:val="22"/>
        </w:rPr>
        <w:t>ly have more time to care for animals, they often conform to ideals of responsible animal ownership.</w:t>
      </w:r>
      <w:r>
        <w:rPr>
          <w:rStyle w:val="EndnoteReference"/>
          <w:color w:val="000000" w:themeColor="text1"/>
          <w:sz w:val="22"/>
          <w:szCs w:val="22"/>
        </w:rPr>
        <w:endnoteReference w:id="12"/>
      </w:r>
      <w:r w:rsidRPr="005D65EF">
        <w:rPr>
          <w:color w:val="000000" w:themeColor="text1"/>
          <w:sz w:val="22"/>
          <w:szCs w:val="22"/>
        </w:rPr>
        <w:t xml:space="preserve"> Within care</w:t>
      </w:r>
      <w:r>
        <w:rPr>
          <w:color w:val="000000" w:themeColor="text1"/>
          <w:sz w:val="22"/>
          <w:szCs w:val="22"/>
        </w:rPr>
        <w:t>/nursing</w:t>
      </w:r>
      <w:r w:rsidRPr="005D65EF">
        <w:rPr>
          <w:color w:val="000000" w:themeColor="text1"/>
          <w:sz w:val="22"/>
          <w:szCs w:val="22"/>
        </w:rPr>
        <w:t xml:space="preserve"> homes it has been </w:t>
      </w:r>
      <w:r>
        <w:rPr>
          <w:color w:val="000000" w:themeColor="text1"/>
          <w:sz w:val="22"/>
          <w:szCs w:val="22"/>
        </w:rPr>
        <w:t>shown</w:t>
      </w:r>
      <w:r w:rsidRPr="005D65EF">
        <w:rPr>
          <w:color w:val="000000" w:themeColor="text1"/>
          <w:sz w:val="22"/>
          <w:szCs w:val="22"/>
        </w:rPr>
        <w:t xml:space="preserve"> that</w:t>
      </w:r>
      <w:r>
        <w:rPr>
          <w:color w:val="000000" w:themeColor="text1"/>
          <w:sz w:val="22"/>
          <w:szCs w:val="22"/>
        </w:rPr>
        <w:t xml:space="preserve"> the presence of</w:t>
      </w:r>
      <w:r w:rsidRPr="005D65EF">
        <w:rPr>
          <w:color w:val="000000" w:themeColor="text1"/>
          <w:sz w:val="22"/>
          <w:szCs w:val="22"/>
        </w:rPr>
        <w:t xml:space="preserve"> animals</w:t>
      </w:r>
      <w:r>
        <w:rPr>
          <w:color w:val="000000" w:themeColor="text1"/>
          <w:sz w:val="22"/>
          <w:szCs w:val="22"/>
        </w:rPr>
        <w:t xml:space="preserve"> can combat loneliness, and</w:t>
      </w:r>
      <w:r w:rsidRPr="005D65EF">
        <w:rPr>
          <w:color w:val="000000" w:themeColor="text1"/>
          <w:sz w:val="22"/>
          <w:szCs w:val="22"/>
        </w:rPr>
        <w:t xml:space="preserve"> encourage</w:t>
      </w:r>
      <w:r w:rsidRPr="005D65EF">
        <w:rPr>
          <w:color w:val="000000" w:themeColor="text1"/>
          <w:sz w:val="22"/>
          <w:szCs w:val="22"/>
          <w:lang w:val="en-US"/>
        </w:rPr>
        <w:t xml:space="preserve"> conversation and communication</w:t>
      </w:r>
      <w:r>
        <w:rPr>
          <w:color w:val="000000" w:themeColor="text1"/>
          <w:sz w:val="22"/>
          <w:szCs w:val="22"/>
          <w:lang w:val="en-US"/>
        </w:rPr>
        <w:t>.</w:t>
      </w:r>
      <w:r>
        <w:rPr>
          <w:rStyle w:val="EndnoteReference"/>
          <w:color w:val="000000" w:themeColor="text1"/>
          <w:sz w:val="22"/>
          <w:szCs w:val="22"/>
          <w:lang w:val="en-US"/>
        </w:rPr>
        <w:endnoteReference w:id="13"/>
      </w:r>
      <w:r w:rsidRPr="005D65EF">
        <w:rPr>
          <w:color w:val="000000" w:themeColor="text1"/>
          <w:sz w:val="22"/>
          <w:szCs w:val="22"/>
          <w:lang w:val="en-US"/>
        </w:rPr>
        <w:t xml:space="preserve"> </w:t>
      </w:r>
      <w:r w:rsidRPr="005D65EF">
        <w:rPr>
          <w:color w:val="000000" w:themeColor="text1"/>
          <w:sz w:val="22"/>
          <w:szCs w:val="22"/>
        </w:rPr>
        <w:t xml:space="preserve">In consequence, we argue that these cross-species relationships exemplify the lived experience of ‘being well together’. </w:t>
      </w:r>
      <w:r w:rsidRPr="005D65EF">
        <w:rPr>
          <w:color w:val="5B9BD5" w:themeColor="accent1"/>
          <w:sz w:val="22"/>
          <w:szCs w:val="22"/>
        </w:rPr>
        <w:t xml:space="preserve"> </w:t>
      </w:r>
      <w:r w:rsidRPr="005D65EF">
        <w:rPr>
          <w:color w:val="000000" w:themeColor="text1"/>
          <w:sz w:val="22"/>
          <w:szCs w:val="22"/>
        </w:rPr>
        <w:t xml:space="preserve">Yet, </w:t>
      </w:r>
      <w:r>
        <w:rPr>
          <w:color w:val="000000" w:themeColor="text1"/>
          <w:sz w:val="22"/>
          <w:szCs w:val="22"/>
        </w:rPr>
        <w:t>with</w:t>
      </w:r>
      <w:r w:rsidRPr="005D65EF">
        <w:rPr>
          <w:color w:val="000000" w:themeColor="text1"/>
          <w:sz w:val="22"/>
          <w:szCs w:val="22"/>
        </w:rPr>
        <w:t xml:space="preserve"> growing numbers of people living into advanced old age and developing complex care </w:t>
      </w:r>
      <w:r w:rsidRPr="005D65EF">
        <w:rPr>
          <w:color w:val="000000" w:themeColor="text1"/>
          <w:sz w:val="22"/>
          <w:szCs w:val="22"/>
        </w:rPr>
        <w:lastRenderedPageBreak/>
        <w:t xml:space="preserve">needs, moving to a care home becomes increasingly </w:t>
      </w:r>
      <w:r>
        <w:rPr>
          <w:color w:val="000000" w:themeColor="text1"/>
          <w:sz w:val="22"/>
          <w:szCs w:val="22"/>
        </w:rPr>
        <w:t>common</w:t>
      </w:r>
      <w:r w:rsidRPr="005D65EF">
        <w:rPr>
          <w:color w:val="000000" w:themeColor="text1"/>
          <w:sz w:val="22"/>
          <w:szCs w:val="22"/>
        </w:rPr>
        <w:t xml:space="preserve"> and is often accompanied by separation from animal</w:t>
      </w:r>
      <w:r>
        <w:rPr>
          <w:color w:val="000000" w:themeColor="text1"/>
          <w:sz w:val="22"/>
          <w:szCs w:val="22"/>
        </w:rPr>
        <w:t xml:space="preserve"> companions.</w:t>
      </w:r>
      <w:r>
        <w:rPr>
          <w:rStyle w:val="EndnoteReference"/>
          <w:color w:val="000000" w:themeColor="text1"/>
          <w:sz w:val="22"/>
          <w:szCs w:val="22"/>
        </w:rPr>
        <w:endnoteReference w:id="14"/>
      </w:r>
      <w:r w:rsidRPr="005D65EF">
        <w:rPr>
          <w:color w:val="000000" w:themeColor="text1"/>
          <w:sz w:val="22"/>
          <w:szCs w:val="22"/>
        </w:rPr>
        <w:t xml:space="preserve"> This can be </w:t>
      </w:r>
      <w:r>
        <w:rPr>
          <w:color w:val="000000" w:themeColor="text1"/>
          <w:sz w:val="22"/>
          <w:szCs w:val="22"/>
        </w:rPr>
        <w:t>especial</w:t>
      </w:r>
      <w:r w:rsidRPr="005D65EF">
        <w:rPr>
          <w:color w:val="000000" w:themeColor="text1"/>
          <w:sz w:val="22"/>
          <w:szCs w:val="22"/>
        </w:rPr>
        <w:t xml:space="preserve">ly </w:t>
      </w:r>
      <w:r>
        <w:rPr>
          <w:color w:val="000000" w:themeColor="text1"/>
          <w:sz w:val="22"/>
          <w:szCs w:val="22"/>
        </w:rPr>
        <w:t>true</w:t>
      </w:r>
      <w:r w:rsidRPr="005D65EF">
        <w:rPr>
          <w:color w:val="000000" w:themeColor="text1"/>
          <w:sz w:val="22"/>
          <w:szCs w:val="22"/>
        </w:rPr>
        <w:t xml:space="preserve"> for older people with dogs and larger companion species, since many care home policies place restrictions or prohibitions on animals they will accept.  Even those that purport to be ‘animal friendly’ </w:t>
      </w:r>
      <w:r>
        <w:rPr>
          <w:color w:val="000000" w:themeColor="text1"/>
          <w:sz w:val="22"/>
          <w:szCs w:val="22"/>
        </w:rPr>
        <w:t>often</w:t>
      </w:r>
      <w:r w:rsidRPr="005D65EF">
        <w:rPr>
          <w:color w:val="000000" w:themeColor="text1"/>
          <w:sz w:val="22"/>
          <w:szCs w:val="22"/>
        </w:rPr>
        <w:t xml:space="preserve"> have variable and unclear policies.</w:t>
      </w:r>
      <w:r>
        <w:rPr>
          <w:rStyle w:val="EndnoteReference"/>
          <w:color w:val="000000" w:themeColor="text1"/>
          <w:sz w:val="22"/>
          <w:szCs w:val="22"/>
        </w:rPr>
        <w:endnoteReference w:id="15"/>
      </w:r>
      <w:r w:rsidRPr="005D65EF">
        <w:rPr>
          <w:color w:val="000000" w:themeColor="text1"/>
          <w:sz w:val="22"/>
          <w:szCs w:val="22"/>
        </w:rPr>
        <w:t xml:space="preserve">  The consequences for excluded animals can be devastating, </w:t>
      </w:r>
      <w:r>
        <w:rPr>
          <w:color w:val="000000" w:themeColor="text1"/>
          <w:sz w:val="22"/>
          <w:szCs w:val="22"/>
        </w:rPr>
        <w:t>if</w:t>
      </w:r>
      <w:r w:rsidRPr="005D65EF">
        <w:rPr>
          <w:color w:val="000000" w:themeColor="text1"/>
          <w:sz w:val="22"/>
          <w:szCs w:val="22"/>
        </w:rPr>
        <w:t xml:space="preserve"> the</w:t>
      </w:r>
      <w:r>
        <w:rPr>
          <w:color w:val="000000" w:themeColor="text1"/>
          <w:sz w:val="22"/>
          <w:szCs w:val="22"/>
        </w:rPr>
        <w:t>y</w:t>
      </w:r>
      <w:r w:rsidRPr="005D65EF">
        <w:rPr>
          <w:color w:val="000000" w:themeColor="text1"/>
          <w:sz w:val="22"/>
          <w:szCs w:val="22"/>
        </w:rPr>
        <w:t xml:space="preserve"> end up in unsuitable homes, signed-over to animal rescues or euthani</w:t>
      </w:r>
      <w:r>
        <w:rPr>
          <w:color w:val="000000" w:themeColor="text1"/>
          <w:sz w:val="22"/>
          <w:szCs w:val="22"/>
        </w:rPr>
        <w:t>s</w:t>
      </w:r>
      <w:r w:rsidRPr="005D65EF">
        <w:rPr>
          <w:color w:val="000000" w:themeColor="text1"/>
          <w:sz w:val="22"/>
          <w:szCs w:val="22"/>
        </w:rPr>
        <w:t>ed.</w:t>
      </w:r>
      <w:r>
        <w:rPr>
          <w:rStyle w:val="EndnoteReference"/>
          <w:color w:val="000000" w:themeColor="text1"/>
          <w:sz w:val="22"/>
          <w:szCs w:val="22"/>
        </w:rPr>
        <w:endnoteReference w:id="16"/>
      </w:r>
      <w:r w:rsidRPr="005D65EF">
        <w:rPr>
          <w:color w:val="000000" w:themeColor="text1"/>
          <w:sz w:val="22"/>
          <w:szCs w:val="22"/>
        </w:rPr>
        <w:t xml:space="preserve"> </w:t>
      </w:r>
      <w:r>
        <w:rPr>
          <w:color w:val="000000" w:themeColor="text1"/>
          <w:sz w:val="22"/>
          <w:szCs w:val="22"/>
        </w:rPr>
        <w:t>F</w:t>
      </w:r>
      <w:r w:rsidRPr="005D65EF">
        <w:rPr>
          <w:color w:val="000000" w:themeColor="text1"/>
          <w:sz w:val="22"/>
          <w:szCs w:val="22"/>
        </w:rPr>
        <w:t xml:space="preserve">or </w:t>
      </w:r>
      <w:r>
        <w:rPr>
          <w:color w:val="000000" w:themeColor="text1"/>
          <w:sz w:val="22"/>
          <w:szCs w:val="22"/>
        </w:rPr>
        <w:t>the</w:t>
      </w:r>
      <w:r w:rsidRPr="005D65EF">
        <w:rPr>
          <w:color w:val="000000" w:themeColor="text1"/>
          <w:sz w:val="22"/>
          <w:szCs w:val="22"/>
        </w:rPr>
        <w:t xml:space="preserve"> older person </w:t>
      </w:r>
      <w:r>
        <w:rPr>
          <w:color w:val="000000" w:themeColor="text1"/>
          <w:sz w:val="22"/>
          <w:szCs w:val="22"/>
        </w:rPr>
        <w:t xml:space="preserve">this </w:t>
      </w:r>
      <w:r w:rsidRPr="00180206">
        <w:rPr>
          <w:color w:val="000000" w:themeColor="text1"/>
          <w:sz w:val="22"/>
          <w:szCs w:val="22"/>
        </w:rPr>
        <w:t xml:space="preserve">constitutes a major bereavement </w:t>
      </w:r>
      <w:r w:rsidRPr="005D65EF">
        <w:rPr>
          <w:color w:val="000000" w:themeColor="text1"/>
          <w:sz w:val="22"/>
          <w:szCs w:val="22"/>
        </w:rPr>
        <w:t>at a time of significant other losses</w:t>
      </w:r>
      <w:r>
        <w:rPr>
          <w:color w:val="000000" w:themeColor="text1"/>
          <w:sz w:val="22"/>
          <w:szCs w:val="22"/>
        </w:rPr>
        <w:t xml:space="preserve"> and likely </w:t>
      </w:r>
      <w:r w:rsidRPr="00180206">
        <w:rPr>
          <w:color w:val="000000" w:themeColor="text1"/>
          <w:sz w:val="22"/>
          <w:szCs w:val="22"/>
        </w:rPr>
        <w:t>make</w:t>
      </w:r>
      <w:r>
        <w:rPr>
          <w:color w:val="000000" w:themeColor="text1"/>
          <w:sz w:val="22"/>
          <w:szCs w:val="22"/>
        </w:rPr>
        <w:t>s</w:t>
      </w:r>
      <w:r w:rsidRPr="00180206">
        <w:rPr>
          <w:color w:val="000000" w:themeColor="text1"/>
          <w:sz w:val="22"/>
          <w:szCs w:val="22"/>
        </w:rPr>
        <w:t xml:space="preserve"> adjusting to new surroundings more difficult</w:t>
      </w:r>
      <w:r>
        <w:rPr>
          <w:color w:val="000000" w:themeColor="text1"/>
          <w:sz w:val="22"/>
          <w:szCs w:val="22"/>
        </w:rPr>
        <w:t>,</w:t>
      </w:r>
      <w:r w:rsidRPr="005D65EF">
        <w:rPr>
          <w:color w:val="000000" w:themeColor="text1"/>
          <w:sz w:val="22"/>
          <w:szCs w:val="22"/>
        </w:rPr>
        <w:t xml:space="preserve"> </w:t>
      </w:r>
      <w:r>
        <w:rPr>
          <w:color w:val="000000" w:themeColor="text1"/>
          <w:sz w:val="22"/>
          <w:szCs w:val="22"/>
        </w:rPr>
        <w:t>with</w:t>
      </w:r>
      <w:r w:rsidRPr="005D65EF">
        <w:rPr>
          <w:color w:val="000000" w:themeColor="text1"/>
          <w:sz w:val="22"/>
          <w:szCs w:val="22"/>
        </w:rPr>
        <w:t xml:space="preserve"> a detrimental </w:t>
      </w:r>
      <w:r>
        <w:rPr>
          <w:color w:val="000000" w:themeColor="text1"/>
          <w:sz w:val="22"/>
          <w:szCs w:val="22"/>
        </w:rPr>
        <w:t>impa</w:t>
      </w:r>
      <w:r w:rsidRPr="005D65EF">
        <w:rPr>
          <w:color w:val="000000" w:themeColor="text1"/>
          <w:sz w:val="22"/>
          <w:szCs w:val="22"/>
        </w:rPr>
        <w:t>ct upon health and well-being. In this article we</w:t>
      </w:r>
      <w:r>
        <w:rPr>
          <w:color w:val="000000" w:themeColor="text1"/>
          <w:sz w:val="22"/>
          <w:szCs w:val="22"/>
        </w:rPr>
        <w:t xml:space="preserve"> attempt to ‘unconceal the ethics and politics’ of this particular form of intimate entanglement</w:t>
      </w:r>
      <w:r>
        <w:rPr>
          <w:rStyle w:val="EndnoteReference"/>
          <w:color w:val="000000" w:themeColor="text1"/>
          <w:sz w:val="22"/>
          <w:szCs w:val="22"/>
        </w:rPr>
        <w:endnoteReference w:id="17"/>
      </w:r>
      <w:r>
        <w:rPr>
          <w:color w:val="000000" w:themeColor="text1"/>
          <w:sz w:val="22"/>
          <w:szCs w:val="22"/>
        </w:rPr>
        <w:t xml:space="preserve"> in order to</w:t>
      </w:r>
      <w:r w:rsidRPr="005D65EF">
        <w:rPr>
          <w:color w:val="000000" w:themeColor="text1"/>
          <w:sz w:val="22"/>
          <w:szCs w:val="22"/>
        </w:rPr>
        <w:t xml:space="preserve"> </w:t>
      </w:r>
      <w:r>
        <w:rPr>
          <w:color w:val="000000" w:themeColor="text1"/>
          <w:sz w:val="22"/>
          <w:szCs w:val="22"/>
        </w:rPr>
        <w:t xml:space="preserve">explore legal strategies that might permit a remedy in such circumstances and the potential for </w:t>
      </w:r>
      <w:r w:rsidRPr="005D65EF">
        <w:rPr>
          <w:color w:val="000000" w:themeColor="text1"/>
          <w:sz w:val="22"/>
          <w:szCs w:val="22"/>
        </w:rPr>
        <w:t>law</w:t>
      </w:r>
      <w:r>
        <w:rPr>
          <w:color w:val="000000" w:themeColor="text1"/>
          <w:sz w:val="22"/>
          <w:szCs w:val="22"/>
        </w:rPr>
        <w:t xml:space="preserve"> to</w:t>
      </w:r>
      <w:r w:rsidRPr="005D65EF">
        <w:rPr>
          <w:color w:val="000000" w:themeColor="text1"/>
          <w:sz w:val="22"/>
          <w:szCs w:val="22"/>
        </w:rPr>
        <w:t xml:space="preserve"> </w:t>
      </w:r>
      <w:r>
        <w:rPr>
          <w:color w:val="000000" w:themeColor="text1"/>
          <w:sz w:val="22"/>
          <w:szCs w:val="22"/>
        </w:rPr>
        <w:t>intervene to sustain</w:t>
      </w:r>
      <w:r w:rsidRPr="005D65EF">
        <w:rPr>
          <w:color w:val="000000" w:themeColor="text1"/>
          <w:sz w:val="22"/>
          <w:szCs w:val="22"/>
        </w:rPr>
        <w:t xml:space="preserve"> th</w:t>
      </w:r>
      <w:r>
        <w:rPr>
          <w:color w:val="000000" w:themeColor="text1"/>
          <w:sz w:val="22"/>
          <w:szCs w:val="22"/>
        </w:rPr>
        <w:t xml:space="preserve">e </w:t>
      </w:r>
      <w:r w:rsidRPr="005D65EF">
        <w:rPr>
          <w:color w:val="000000" w:themeColor="text1"/>
          <w:sz w:val="22"/>
          <w:szCs w:val="22"/>
        </w:rPr>
        <w:t>inter</w:t>
      </w:r>
      <w:r>
        <w:rPr>
          <w:color w:val="000000" w:themeColor="text1"/>
          <w:sz w:val="22"/>
          <w:szCs w:val="22"/>
        </w:rPr>
        <w:t>-</w:t>
      </w:r>
      <w:r w:rsidRPr="005D65EF">
        <w:rPr>
          <w:color w:val="000000" w:themeColor="text1"/>
          <w:sz w:val="22"/>
          <w:szCs w:val="22"/>
        </w:rPr>
        <w:t>species relationship</w:t>
      </w:r>
      <w:r>
        <w:rPr>
          <w:color w:val="000000" w:themeColor="text1"/>
          <w:sz w:val="22"/>
          <w:szCs w:val="22"/>
        </w:rPr>
        <w:t xml:space="preserve"> in this transitional moment</w:t>
      </w:r>
      <w:r w:rsidRPr="005D65EF">
        <w:rPr>
          <w:color w:val="000000" w:themeColor="text1"/>
          <w:sz w:val="22"/>
          <w:szCs w:val="22"/>
        </w:rPr>
        <w:t>.  Our analysis raises thorny definitional questions</w:t>
      </w:r>
      <w:r>
        <w:rPr>
          <w:color w:val="000000" w:themeColor="text1"/>
          <w:sz w:val="22"/>
          <w:szCs w:val="22"/>
        </w:rPr>
        <w:t>,</w:t>
      </w:r>
      <w:r w:rsidRPr="005D65EF">
        <w:rPr>
          <w:color w:val="000000" w:themeColor="text1"/>
          <w:sz w:val="22"/>
          <w:szCs w:val="22"/>
        </w:rPr>
        <w:t xml:space="preserve"> which we </w:t>
      </w:r>
      <w:r>
        <w:rPr>
          <w:color w:val="000000" w:themeColor="text1"/>
          <w:sz w:val="22"/>
          <w:szCs w:val="22"/>
        </w:rPr>
        <w:t>argue</w:t>
      </w:r>
      <w:r w:rsidRPr="005D65EF">
        <w:rPr>
          <w:color w:val="000000" w:themeColor="text1"/>
          <w:sz w:val="22"/>
          <w:szCs w:val="22"/>
        </w:rPr>
        <w:t xml:space="preserve"> point</w:t>
      </w:r>
      <w:r>
        <w:rPr>
          <w:color w:val="000000" w:themeColor="text1"/>
          <w:sz w:val="22"/>
          <w:szCs w:val="22"/>
        </w:rPr>
        <w:t xml:space="preserve"> ultimately</w:t>
      </w:r>
      <w:r w:rsidRPr="005D65EF">
        <w:rPr>
          <w:color w:val="000000" w:themeColor="text1"/>
          <w:sz w:val="22"/>
          <w:szCs w:val="22"/>
        </w:rPr>
        <w:t xml:space="preserve"> to the need to re-think the status of companion animals as property</w:t>
      </w:r>
      <w:r>
        <w:rPr>
          <w:color w:val="000000" w:themeColor="text1"/>
          <w:sz w:val="22"/>
          <w:szCs w:val="22"/>
        </w:rPr>
        <w:t xml:space="preserve"> and</w:t>
      </w:r>
      <w:r w:rsidRPr="005D65EF">
        <w:rPr>
          <w:color w:val="000000" w:themeColor="text1"/>
          <w:sz w:val="22"/>
          <w:szCs w:val="22"/>
        </w:rPr>
        <w:t xml:space="preserve"> to recognise both the value and precarity of ‘the home’ in law</w:t>
      </w:r>
      <w:r>
        <w:rPr>
          <w:color w:val="000000" w:themeColor="text1"/>
          <w:sz w:val="22"/>
          <w:szCs w:val="22"/>
        </w:rPr>
        <w:t xml:space="preserve">. </w:t>
      </w:r>
      <w:r w:rsidRPr="005D65EF">
        <w:rPr>
          <w:color w:val="000000" w:themeColor="text1"/>
          <w:sz w:val="22"/>
          <w:szCs w:val="22"/>
        </w:rPr>
        <w:t xml:space="preserve"> </w:t>
      </w:r>
      <w:r>
        <w:rPr>
          <w:color w:val="000000" w:themeColor="text1"/>
          <w:sz w:val="22"/>
          <w:szCs w:val="22"/>
        </w:rPr>
        <w:t>However, while flagging these issues, in this article we focus on the implications of</w:t>
      </w:r>
      <w:r w:rsidRPr="005D65EF">
        <w:rPr>
          <w:color w:val="000000" w:themeColor="text1"/>
          <w:sz w:val="22"/>
          <w:szCs w:val="22"/>
        </w:rPr>
        <w:t xml:space="preserve"> conceptually refram</w:t>
      </w:r>
      <w:r>
        <w:rPr>
          <w:color w:val="000000" w:themeColor="text1"/>
          <w:sz w:val="22"/>
          <w:szCs w:val="22"/>
        </w:rPr>
        <w:t>ing</w:t>
      </w:r>
      <w:r w:rsidRPr="005D65EF">
        <w:rPr>
          <w:color w:val="000000" w:themeColor="text1"/>
          <w:sz w:val="22"/>
          <w:szCs w:val="22"/>
        </w:rPr>
        <w:t xml:space="preserve"> the definition of family to encompass non-human animals.</w:t>
      </w:r>
    </w:p>
    <w:p w:rsidR="00785035" w:rsidRDefault="00785035" w:rsidP="00785035">
      <w:pPr>
        <w:spacing w:line="480" w:lineRule="auto"/>
        <w:rPr>
          <w:color w:val="000000" w:themeColor="text1"/>
          <w:sz w:val="22"/>
          <w:szCs w:val="22"/>
        </w:rPr>
      </w:pPr>
    </w:p>
    <w:p w:rsidR="00785035" w:rsidRPr="005B2A87" w:rsidRDefault="00785035" w:rsidP="00785035">
      <w:pPr>
        <w:spacing w:line="480" w:lineRule="auto"/>
        <w:rPr>
          <w:b/>
          <w:color w:val="000000" w:themeColor="text1"/>
          <w:sz w:val="22"/>
          <w:szCs w:val="22"/>
        </w:rPr>
      </w:pPr>
      <w:r w:rsidRPr="005B2A87">
        <w:rPr>
          <w:b/>
          <w:color w:val="000000" w:themeColor="text1"/>
          <w:sz w:val="22"/>
          <w:szCs w:val="22"/>
        </w:rPr>
        <w:t>METHODS</w:t>
      </w:r>
    </w:p>
    <w:p w:rsidR="00785035" w:rsidRDefault="00785035" w:rsidP="00785035">
      <w:pPr>
        <w:spacing w:line="480" w:lineRule="auto"/>
        <w:rPr>
          <w:color w:val="000000" w:themeColor="text1"/>
          <w:sz w:val="22"/>
          <w:szCs w:val="22"/>
        </w:rPr>
      </w:pPr>
      <w:r>
        <w:t xml:space="preserve">As noted above, this article forms part of a funded </w:t>
      </w:r>
      <w:r w:rsidRPr="0019599D">
        <w:t>project entitled</w:t>
      </w:r>
      <w:r w:rsidRPr="0019599D">
        <w:rPr>
          <w:b/>
        </w:rPr>
        <w:t xml:space="preserve"> </w:t>
      </w:r>
      <w:r w:rsidRPr="0019599D">
        <w:rPr>
          <w:lang w:val="en-US"/>
        </w:rPr>
        <w:t>‘</w:t>
      </w:r>
      <w:r w:rsidRPr="0019599D">
        <w:rPr>
          <w:i/>
          <w:lang w:val="en-US"/>
        </w:rPr>
        <w:t>He means the world to me’: Human rights implications of separating older people from their pets in residential care/nursing homes</w:t>
      </w:r>
      <w:r w:rsidRPr="0019599D">
        <w:rPr>
          <w:lang w:val="en-US"/>
        </w:rPr>
        <w:t>.</w:t>
      </w:r>
      <w:r w:rsidRPr="0019599D">
        <w:t xml:space="preserve">  </w:t>
      </w:r>
      <w:r>
        <w:t>(</w:t>
      </w:r>
      <w:r w:rsidRPr="0019599D">
        <w:t>Dunhill Medical Trust</w:t>
      </w:r>
      <w:r w:rsidRPr="0019599D">
        <w:rPr>
          <w:b/>
        </w:rPr>
        <w:t xml:space="preserve"> </w:t>
      </w:r>
      <w:r w:rsidRPr="0019599D">
        <w:t>RPGF1711\7</w:t>
      </w:r>
      <w:r>
        <w:t>)</w:t>
      </w:r>
      <w:r w:rsidRPr="0019599D">
        <w:t>. In the empirical stages of the pr</w:t>
      </w:r>
      <w:r>
        <w:t>oject</w:t>
      </w:r>
      <w:r w:rsidRPr="0019599D">
        <w:t xml:space="preserve"> we will recruit care home residents, carer and families</w:t>
      </w:r>
      <w:r>
        <w:t xml:space="preserve"> to inform the research.  These </w:t>
      </w:r>
      <w:r w:rsidRPr="0019599D">
        <w:t xml:space="preserve">participants </w:t>
      </w:r>
      <w:r>
        <w:t xml:space="preserve">will not be patients. They will be involved </w:t>
      </w:r>
      <w:r w:rsidRPr="0019599D">
        <w:t>in the shaping of the research</w:t>
      </w:r>
      <w:r>
        <w:t xml:space="preserve"> and the questions we take up, and our recommendations will be rooted in their lived experience. In this article, however, our focus is on the potential contribution of legal analysis to our project.</w:t>
      </w:r>
    </w:p>
    <w:p w:rsidR="00785035" w:rsidRPr="00970412" w:rsidRDefault="00785035" w:rsidP="00785035">
      <w:pPr>
        <w:spacing w:line="480" w:lineRule="auto"/>
        <w:rPr>
          <w:color w:val="000000" w:themeColor="text1"/>
          <w:sz w:val="22"/>
          <w:szCs w:val="22"/>
        </w:rPr>
      </w:pPr>
    </w:p>
    <w:p w:rsidR="00785035" w:rsidRPr="005D65EF" w:rsidRDefault="00785035" w:rsidP="00785035">
      <w:pPr>
        <w:spacing w:line="480" w:lineRule="auto"/>
        <w:rPr>
          <w:b/>
          <w:color w:val="000000" w:themeColor="text1"/>
          <w:sz w:val="22"/>
          <w:szCs w:val="22"/>
        </w:rPr>
      </w:pPr>
      <w:r w:rsidRPr="005D65EF">
        <w:rPr>
          <w:b/>
          <w:color w:val="000000" w:themeColor="text1"/>
          <w:sz w:val="22"/>
          <w:szCs w:val="22"/>
        </w:rPr>
        <w:t>‘H</w:t>
      </w:r>
      <w:r>
        <w:rPr>
          <w:b/>
          <w:color w:val="000000" w:themeColor="text1"/>
          <w:sz w:val="22"/>
          <w:szCs w:val="22"/>
        </w:rPr>
        <w:t>E</w:t>
      </w:r>
      <w:r w:rsidRPr="005D65EF">
        <w:rPr>
          <w:b/>
          <w:color w:val="000000" w:themeColor="text1"/>
          <w:sz w:val="22"/>
          <w:szCs w:val="22"/>
        </w:rPr>
        <w:t xml:space="preserve"> M</w:t>
      </w:r>
      <w:r>
        <w:rPr>
          <w:b/>
          <w:color w:val="000000" w:themeColor="text1"/>
          <w:sz w:val="22"/>
          <w:szCs w:val="22"/>
        </w:rPr>
        <w:t>EANS</w:t>
      </w:r>
      <w:r w:rsidRPr="005D65EF">
        <w:rPr>
          <w:b/>
          <w:color w:val="000000" w:themeColor="text1"/>
          <w:sz w:val="22"/>
          <w:szCs w:val="22"/>
        </w:rPr>
        <w:t xml:space="preserve"> </w:t>
      </w:r>
      <w:r>
        <w:rPr>
          <w:b/>
          <w:color w:val="000000" w:themeColor="text1"/>
          <w:sz w:val="22"/>
          <w:szCs w:val="22"/>
        </w:rPr>
        <w:t>THE</w:t>
      </w:r>
      <w:r w:rsidRPr="005D65EF">
        <w:rPr>
          <w:b/>
          <w:color w:val="000000" w:themeColor="text1"/>
          <w:sz w:val="22"/>
          <w:szCs w:val="22"/>
        </w:rPr>
        <w:t xml:space="preserve"> W</w:t>
      </w:r>
      <w:r>
        <w:rPr>
          <w:b/>
          <w:color w:val="000000" w:themeColor="text1"/>
          <w:sz w:val="22"/>
          <w:szCs w:val="22"/>
        </w:rPr>
        <w:t>ORLD</w:t>
      </w:r>
      <w:r w:rsidRPr="005D65EF">
        <w:rPr>
          <w:b/>
          <w:color w:val="000000" w:themeColor="text1"/>
          <w:sz w:val="22"/>
          <w:szCs w:val="22"/>
        </w:rPr>
        <w:t xml:space="preserve"> </w:t>
      </w:r>
      <w:r>
        <w:rPr>
          <w:b/>
          <w:color w:val="000000" w:themeColor="text1"/>
          <w:sz w:val="22"/>
          <w:szCs w:val="22"/>
        </w:rPr>
        <w:t>TO</w:t>
      </w:r>
      <w:r w:rsidRPr="005D65EF">
        <w:rPr>
          <w:b/>
          <w:color w:val="000000" w:themeColor="text1"/>
          <w:sz w:val="22"/>
          <w:szCs w:val="22"/>
        </w:rPr>
        <w:t xml:space="preserve"> M</w:t>
      </w:r>
      <w:r>
        <w:rPr>
          <w:b/>
          <w:color w:val="000000" w:themeColor="text1"/>
          <w:sz w:val="22"/>
          <w:szCs w:val="22"/>
        </w:rPr>
        <w:t>E</w:t>
      </w:r>
      <w:r w:rsidRPr="005D65EF">
        <w:rPr>
          <w:b/>
          <w:color w:val="000000" w:themeColor="text1"/>
          <w:sz w:val="22"/>
          <w:szCs w:val="22"/>
        </w:rPr>
        <w:t>’: T</w:t>
      </w:r>
      <w:r>
        <w:rPr>
          <w:b/>
          <w:color w:val="000000" w:themeColor="text1"/>
          <w:sz w:val="22"/>
          <w:szCs w:val="22"/>
        </w:rPr>
        <w:t>HE</w:t>
      </w:r>
      <w:r w:rsidRPr="005D65EF">
        <w:rPr>
          <w:b/>
          <w:color w:val="000000" w:themeColor="text1"/>
          <w:sz w:val="22"/>
          <w:szCs w:val="22"/>
        </w:rPr>
        <w:t xml:space="preserve"> </w:t>
      </w:r>
      <w:r>
        <w:rPr>
          <w:b/>
          <w:color w:val="000000" w:themeColor="text1"/>
          <w:sz w:val="22"/>
          <w:szCs w:val="22"/>
        </w:rPr>
        <w:t>SIGNIFICANCE OF</w:t>
      </w:r>
      <w:r w:rsidRPr="005D65EF">
        <w:rPr>
          <w:b/>
          <w:color w:val="000000" w:themeColor="text1"/>
          <w:sz w:val="22"/>
          <w:szCs w:val="22"/>
        </w:rPr>
        <w:t xml:space="preserve"> </w:t>
      </w:r>
      <w:r>
        <w:rPr>
          <w:b/>
          <w:color w:val="000000" w:themeColor="text1"/>
          <w:sz w:val="22"/>
          <w:szCs w:val="22"/>
        </w:rPr>
        <w:t xml:space="preserve">ANIMAL </w:t>
      </w:r>
      <w:r w:rsidRPr="005D65EF">
        <w:rPr>
          <w:b/>
          <w:color w:val="000000" w:themeColor="text1"/>
          <w:sz w:val="22"/>
          <w:szCs w:val="22"/>
        </w:rPr>
        <w:t>C</w:t>
      </w:r>
      <w:r>
        <w:rPr>
          <w:b/>
          <w:color w:val="000000" w:themeColor="text1"/>
          <w:sz w:val="22"/>
          <w:szCs w:val="22"/>
        </w:rPr>
        <w:t>OMPANIONSHIP</w:t>
      </w:r>
    </w:p>
    <w:p w:rsidR="00785035" w:rsidRPr="005D65EF" w:rsidRDefault="00785035" w:rsidP="00785035">
      <w:pPr>
        <w:spacing w:line="480" w:lineRule="auto"/>
        <w:rPr>
          <w:b/>
          <w:color w:val="000000" w:themeColor="text1"/>
          <w:sz w:val="22"/>
          <w:szCs w:val="22"/>
        </w:rPr>
      </w:pPr>
      <w:r w:rsidRPr="005D65EF">
        <w:rPr>
          <w:sz w:val="22"/>
          <w:szCs w:val="22"/>
        </w:rPr>
        <w:lastRenderedPageBreak/>
        <w:t xml:space="preserve">A prominent example of the inter-dependency of older people and companion animals is afforded by the </w:t>
      </w:r>
      <w:r>
        <w:rPr>
          <w:sz w:val="22"/>
          <w:szCs w:val="22"/>
        </w:rPr>
        <w:t xml:space="preserve">highly </w:t>
      </w:r>
      <w:r w:rsidRPr="005D65EF">
        <w:rPr>
          <w:sz w:val="22"/>
          <w:szCs w:val="22"/>
        </w:rPr>
        <w:t xml:space="preserve">publicised case of Bob and Darcie. 87-year-old Bob Harvey had lived in a Scottish care home for almost four years. He originally moved to this facility with his wife (who had Alzheimer’s) and their miniature Schnauzer, Darcie, in 2013.  </w:t>
      </w:r>
      <w:r w:rsidRPr="005D65EF">
        <w:rPr>
          <w:sz w:val="22"/>
          <w:szCs w:val="22"/>
          <w:lang w:val="en-US"/>
        </w:rPr>
        <w:t>Following his wife’s death</w:t>
      </w:r>
      <w:r>
        <w:rPr>
          <w:sz w:val="22"/>
          <w:szCs w:val="22"/>
          <w:lang w:val="en-US"/>
        </w:rPr>
        <w:t>,</w:t>
      </w:r>
      <w:r w:rsidRPr="005D65EF">
        <w:rPr>
          <w:sz w:val="22"/>
          <w:szCs w:val="22"/>
          <w:lang w:val="en-US"/>
        </w:rPr>
        <w:t xml:space="preserve"> in 201</w:t>
      </w:r>
      <w:r>
        <w:rPr>
          <w:sz w:val="22"/>
          <w:szCs w:val="22"/>
          <w:lang w:val="en-US"/>
        </w:rPr>
        <w:t>6</w:t>
      </w:r>
      <w:r w:rsidRPr="005D65EF">
        <w:rPr>
          <w:sz w:val="22"/>
          <w:szCs w:val="22"/>
          <w:lang w:val="en-US"/>
        </w:rPr>
        <w:t xml:space="preserve"> Mr Harvey was informed by Mead Medical Services Limited (MMS), which had taken over management of the home, that notwithstanding his lengthy residence and poor health (he was </w:t>
      </w:r>
      <w:r>
        <w:rPr>
          <w:sz w:val="22"/>
          <w:szCs w:val="22"/>
          <w:lang w:val="en-US"/>
        </w:rPr>
        <w:t>undergo</w:t>
      </w:r>
      <w:r w:rsidRPr="005D65EF">
        <w:rPr>
          <w:sz w:val="22"/>
          <w:szCs w:val="22"/>
          <w:lang w:val="en-US"/>
        </w:rPr>
        <w:t xml:space="preserve">ing kidney dialysis) if he chose to continue living with Darcie he would be required to leave. The managing director of MMS claimed that Darcie had become a nuisance in a </w:t>
      </w:r>
      <w:r>
        <w:rPr>
          <w:sz w:val="22"/>
          <w:szCs w:val="22"/>
          <w:lang w:val="en-US"/>
        </w:rPr>
        <w:t>setting</w:t>
      </w:r>
      <w:r w:rsidRPr="005D65EF">
        <w:rPr>
          <w:sz w:val="22"/>
          <w:szCs w:val="22"/>
          <w:lang w:val="en-US"/>
        </w:rPr>
        <w:t xml:space="preserve"> </w:t>
      </w:r>
      <w:r>
        <w:rPr>
          <w:sz w:val="22"/>
          <w:szCs w:val="22"/>
          <w:lang w:val="en-US"/>
        </w:rPr>
        <w:t>‘</w:t>
      </w:r>
      <w:r w:rsidRPr="005D65EF">
        <w:rPr>
          <w:sz w:val="22"/>
          <w:szCs w:val="22"/>
          <w:lang w:val="en-US"/>
        </w:rPr>
        <w:t>housing mostly vulnerable residents, people that need care. These people have limited mobility and sensory abilities, it is not safe</w:t>
      </w:r>
      <w:r>
        <w:rPr>
          <w:sz w:val="22"/>
          <w:szCs w:val="22"/>
          <w:lang w:val="en-US"/>
        </w:rPr>
        <w:t>’</w:t>
      </w:r>
      <w:r w:rsidRPr="005D65EF">
        <w:rPr>
          <w:sz w:val="22"/>
          <w:szCs w:val="22"/>
        </w:rPr>
        <w:t>.</w:t>
      </w:r>
      <w:r>
        <w:rPr>
          <w:rStyle w:val="EndnoteReference"/>
          <w:sz w:val="22"/>
          <w:szCs w:val="22"/>
        </w:rPr>
        <w:endnoteReference w:id="18"/>
      </w:r>
      <w:r w:rsidRPr="005D65EF">
        <w:rPr>
          <w:sz w:val="22"/>
          <w:szCs w:val="22"/>
          <w:lang w:val="en-US"/>
        </w:rPr>
        <w:t xml:space="preserve">  Disputing the claim that Dar</w:t>
      </w:r>
      <w:r>
        <w:rPr>
          <w:sz w:val="22"/>
          <w:szCs w:val="22"/>
          <w:lang w:val="en-US"/>
        </w:rPr>
        <w:t>c</w:t>
      </w:r>
      <w:r w:rsidRPr="005D65EF">
        <w:rPr>
          <w:sz w:val="22"/>
          <w:szCs w:val="22"/>
          <w:lang w:val="en-US"/>
        </w:rPr>
        <w:t>ie had free rein of the h</w:t>
      </w:r>
      <w:r>
        <w:rPr>
          <w:sz w:val="22"/>
          <w:szCs w:val="22"/>
          <w:lang w:val="en-US"/>
        </w:rPr>
        <w:t>ome</w:t>
      </w:r>
      <w:r w:rsidRPr="005D65EF">
        <w:rPr>
          <w:sz w:val="22"/>
          <w:szCs w:val="22"/>
          <w:lang w:val="en-US"/>
        </w:rPr>
        <w:t xml:space="preserve">, Mr Harvey recounted the significance of </w:t>
      </w:r>
      <w:r>
        <w:rPr>
          <w:sz w:val="22"/>
          <w:szCs w:val="22"/>
          <w:lang w:val="en-US"/>
        </w:rPr>
        <w:t>their</w:t>
      </w:r>
      <w:r w:rsidRPr="005D65EF">
        <w:rPr>
          <w:sz w:val="22"/>
          <w:szCs w:val="22"/>
          <w:lang w:val="en-US"/>
        </w:rPr>
        <w:t xml:space="preserve"> relationship, particularly since his wife’s death:</w:t>
      </w:r>
    </w:p>
    <w:p w:rsidR="00785035" w:rsidRPr="005D65EF" w:rsidRDefault="00785035" w:rsidP="00785035">
      <w:pPr>
        <w:spacing w:line="480" w:lineRule="auto"/>
        <w:ind w:left="720"/>
        <w:rPr>
          <w:sz w:val="22"/>
          <w:szCs w:val="22"/>
          <w:lang w:val="en-US"/>
        </w:rPr>
      </w:pPr>
      <w:r>
        <w:rPr>
          <w:sz w:val="22"/>
          <w:szCs w:val="22"/>
          <w:lang w:val="en-US"/>
        </w:rPr>
        <w:t>‘</w:t>
      </w:r>
      <w:r w:rsidRPr="005D65EF">
        <w:rPr>
          <w:sz w:val="22"/>
          <w:szCs w:val="22"/>
          <w:lang w:val="en-US"/>
        </w:rPr>
        <w:t>If he could stay it would mean the world to me. He's keeping me going. He's my life and we're the best of friends. If he had to go it would finish me off... He's my boy. He's family. It would be very difficult. He was a big help when I lost my wife. I just love him and everybody else loves him. He lives in my room and he's a perfect pet and is my companion. It is breaking my heart</w:t>
      </w:r>
      <w:r>
        <w:rPr>
          <w:sz w:val="22"/>
          <w:szCs w:val="22"/>
          <w:lang w:val="en-US"/>
        </w:rPr>
        <w:t>’</w:t>
      </w:r>
      <w:r w:rsidRPr="005D65EF">
        <w:rPr>
          <w:sz w:val="22"/>
          <w:szCs w:val="22"/>
          <w:lang w:val="en-US"/>
        </w:rPr>
        <w:t>.</w:t>
      </w:r>
      <w:r>
        <w:rPr>
          <w:sz w:val="22"/>
          <w:szCs w:val="22"/>
          <w:lang w:val="en-US"/>
        </w:rPr>
        <w:t xml:space="preserve">   </w:t>
      </w:r>
      <w:r>
        <w:rPr>
          <w:rStyle w:val="EndnoteReference"/>
          <w:sz w:val="22"/>
          <w:szCs w:val="22"/>
          <w:lang w:val="en-US"/>
        </w:rPr>
        <w:endnoteReference w:id="19"/>
      </w:r>
    </w:p>
    <w:p w:rsidR="00785035" w:rsidRPr="005D65EF" w:rsidRDefault="00785035" w:rsidP="00785035">
      <w:pPr>
        <w:spacing w:line="480" w:lineRule="auto"/>
        <w:rPr>
          <w:sz w:val="22"/>
          <w:szCs w:val="22"/>
        </w:rPr>
      </w:pPr>
      <w:r w:rsidRPr="005D65EF">
        <w:rPr>
          <w:sz w:val="22"/>
          <w:szCs w:val="22"/>
          <w:lang w:val="en-US"/>
        </w:rPr>
        <w:t>In April 2017 Bob left the care home, which by that stage he had come to regard as home, to move to private rented accommodation with Darcie</w:t>
      </w:r>
      <w:r>
        <w:rPr>
          <w:sz w:val="22"/>
          <w:szCs w:val="22"/>
          <w:lang w:val="en-US"/>
        </w:rPr>
        <w:t>.</w:t>
      </w:r>
      <w:r>
        <w:rPr>
          <w:rStyle w:val="EndnoteReference"/>
          <w:sz w:val="22"/>
          <w:szCs w:val="22"/>
          <w:lang w:val="en-US"/>
        </w:rPr>
        <w:endnoteReference w:id="20"/>
      </w:r>
      <w:r w:rsidRPr="005D65EF">
        <w:rPr>
          <w:sz w:val="22"/>
          <w:szCs w:val="22"/>
          <w:lang w:val="en-US"/>
        </w:rPr>
        <w:t xml:space="preserve"> </w:t>
      </w:r>
    </w:p>
    <w:p w:rsidR="00785035" w:rsidRPr="007813CE" w:rsidRDefault="00785035" w:rsidP="00785035">
      <w:pPr>
        <w:spacing w:line="480" w:lineRule="auto"/>
        <w:ind w:firstLine="720"/>
        <w:rPr>
          <w:sz w:val="22"/>
          <w:szCs w:val="22"/>
        </w:rPr>
      </w:pPr>
      <w:r w:rsidRPr="005D65EF">
        <w:rPr>
          <w:sz w:val="22"/>
          <w:szCs w:val="22"/>
          <w:lang w:val="en-US"/>
        </w:rPr>
        <w:t xml:space="preserve">Bob and Darcie’s story typifies the multiple ways in which older people in care homes are rendered vulnerable due to their location in, and dependency upon, those care spaces.  This </w:t>
      </w:r>
      <w:r>
        <w:rPr>
          <w:sz w:val="22"/>
          <w:szCs w:val="22"/>
          <w:lang w:val="en-US"/>
        </w:rPr>
        <w:t>precari</w:t>
      </w:r>
      <w:r w:rsidRPr="005D65EF">
        <w:rPr>
          <w:sz w:val="22"/>
          <w:szCs w:val="22"/>
          <w:lang w:val="en-US"/>
        </w:rPr>
        <w:t>ty is heightened if either their individual circumstances or management policies change.</w:t>
      </w:r>
      <w:r>
        <w:rPr>
          <w:sz w:val="22"/>
          <w:szCs w:val="22"/>
          <w:lang w:val="en-US"/>
        </w:rPr>
        <w:t xml:space="preserve"> Bob</w:t>
      </w:r>
      <w:r w:rsidRPr="005D65EF">
        <w:rPr>
          <w:sz w:val="22"/>
          <w:szCs w:val="22"/>
          <w:lang w:val="en-US"/>
        </w:rPr>
        <w:t xml:space="preserve">’s account underlines both the importance of animal companionship </w:t>
      </w:r>
      <w:r>
        <w:rPr>
          <w:sz w:val="22"/>
          <w:szCs w:val="22"/>
          <w:lang w:val="en-US"/>
        </w:rPr>
        <w:t>to</w:t>
      </w:r>
      <w:r w:rsidRPr="005D65EF">
        <w:rPr>
          <w:sz w:val="22"/>
          <w:szCs w:val="22"/>
          <w:lang w:val="en-US"/>
        </w:rPr>
        <w:t xml:space="preserve"> older people and the deleterious effects of care home policies, which </w:t>
      </w:r>
      <w:r>
        <w:rPr>
          <w:sz w:val="22"/>
          <w:szCs w:val="22"/>
          <w:lang w:val="en-US"/>
        </w:rPr>
        <w:t>may well</w:t>
      </w:r>
      <w:r w:rsidRPr="005D65EF">
        <w:rPr>
          <w:sz w:val="22"/>
          <w:szCs w:val="22"/>
          <w:lang w:val="en-US"/>
        </w:rPr>
        <w:t xml:space="preserve"> have prevented Darcie accompanying the Harveys in the first instance. The response of MMS to Darcie’s presence typifies objections raised to companion species. They are perceived (often </w:t>
      </w:r>
      <w:r>
        <w:rPr>
          <w:sz w:val="22"/>
          <w:szCs w:val="22"/>
          <w:lang w:val="en-US"/>
        </w:rPr>
        <w:t>without</w:t>
      </w:r>
      <w:r w:rsidRPr="005D65EF">
        <w:rPr>
          <w:sz w:val="22"/>
          <w:szCs w:val="22"/>
          <w:lang w:val="en-US"/>
        </w:rPr>
        <w:t xml:space="preserve"> evidence) to be troublesome and to pose a safety risk to other residents.  Such rhetoric demonstrates how dogs are seen as ‘out of place’ in care homes, </w:t>
      </w:r>
      <w:r w:rsidRPr="005D65EF">
        <w:rPr>
          <w:sz w:val="22"/>
          <w:szCs w:val="22"/>
        </w:rPr>
        <w:t>depicted as disruptive, unruly, ungovernable</w:t>
      </w:r>
      <w:r w:rsidRPr="005D65EF">
        <w:rPr>
          <w:sz w:val="22"/>
          <w:szCs w:val="22"/>
          <w:lang w:val="en-US"/>
        </w:rPr>
        <w:t xml:space="preserve">.  They exemplify </w:t>
      </w:r>
      <w:r w:rsidRPr="005D65EF">
        <w:rPr>
          <w:sz w:val="22"/>
          <w:szCs w:val="22"/>
        </w:rPr>
        <w:t>Mary Douglas’s</w:t>
      </w:r>
      <w:r>
        <w:rPr>
          <w:sz w:val="22"/>
          <w:szCs w:val="22"/>
        </w:rPr>
        <w:t xml:space="preserve"> influential</w:t>
      </w:r>
      <w:r w:rsidRPr="005D65EF">
        <w:rPr>
          <w:sz w:val="22"/>
          <w:szCs w:val="22"/>
        </w:rPr>
        <w:t xml:space="preserve"> association between dirt and “matter out of place”</w:t>
      </w:r>
      <w:r>
        <w:rPr>
          <w:sz w:val="22"/>
          <w:szCs w:val="22"/>
        </w:rPr>
        <w:t xml:space="preserve">, </w:t>
      </w:r>
      <w:r>
        <w:rPr>
          <w:rStyle w:val="EndnoteReference"/>
          <w:sz w:val="22"/>
          <w:szCs w:val="22"/>
        </w:rPr>
        <w:endnoteReference w:id="21"/>
      </w:r>
      <w:r>
        <w:rPr>
          <w:sz w:val="22"/>
          <w:szCs w:val="22"/>
        </w:rPr>
        <w:t xml:space="preserve"> with the dog’s</w:t>
      </w:r>
      <w:r w:rsidRPr="007813CE">
        <w:rPr>
          <w:sz w:val="22"/>
          <w:szCs w:val="22"/>
        </w:rPr>
        <w:t xml:space="preserve"> anomalous</w:t>
      </w:r>
      <w:r>
        <w:rPr>
          <w:sz w:val="22"/>
          <w:szCs w:val="22"/>
        </w:rPr>
        <w:t xml:space="preserve"> position in the care home</w:t>
      </w:r>
      <w:r w:rsidRPr="007813CE">
        <w:rPr>
          <w:sz w:val="22"/>
          <w:szCs w:val="22"/>
        </w:rPr>
        <w:t xml:space="preserve"> </w:t>
      </w:r>
      <w:r>
        <w:rPr>
          <w:sz w:val="22"/>
          <w:szCs w:val="22"/>
        </w:rPr>
        <w:t>‘</w:t>
      </w:r>
      <w:r w:rsidRPr="007813CE">
        <w:rPr>
          <w:sz w:val="22"/>
          <w:szCs w:val="22"/>
        </w:rPr>
        <w:t xml:space="preserve">causing anxiety </w:t>
      </w:r>
      <w:r w:rsidRPr="007813CE">
        <w:rPr>
          <w:sz w:val="22"/>
          <w:szCs w:val="22"/>
        </w:rPr>
        <w:lastRenderedPageBreak/>
        <w:t xml:space="preserve">through disrupting classification systems and the </w:t>
      </w:r>
      <w:r>
        <w:rPr>
          <w:sz w:val="22"/>
          <w:szCs w:val="22"/>
        </w:rPr>
        <w:t>“</w:t>
      </w:r>
      <w:r w:rsidRPr="007813CE">
        <w:rPr>
          <w:sz w:val="22"/>
          <w:szCs w:val="22"/>
        </w:rPr>
        <w:t>normal</w:t>
      </w:r>
      <w:r>
        <w:rPr>
          <w:sz w:val="22"/>
          <w:szCs w:val="22"/>
        </w:rPr>
        <w:t>”</w:t>
      </w:r>
      <w:r w:rsidRPr="007813CE">
        <w:rPr>
          <w:sz w:val="22"/>
          <w:szCs w:val="22"/>
        </w:rPr>
        <w:t xml:space="preserve"> ordered relations that one understands the world through</w:t>
      </w:r>
      <w:r>
        <w:rPr>
          <w:sz w:val="22"/>
          <w:szCs w:val="22"/>
        </w:rPr>
        <w:t>’.</w:t>
      </w:r>
      <w:r>
        <w:rPr>
          <w:rStyle w:val="EndnoteReference"/>
          <w:sz w:val="22"/>
          <w:szCs w:val="22"/>
        </w:rPr>
        <w:endnoteReference w:id="22"/>
      </w:r>
      <w:r>
        <w:rPr>
          <w:sz w:val="22"/>
          <w:szCs w:val="22"/>
        </w:rPr>
        <w:t xml:space="preserve">  The anxiety generated by the presence of the dog in this setting</w:t>
      </w:r>
      <w:r>
        <w:rPr>
          <w:rStyle w:val="EndnoteReference"/>
          <w:sz w:val="22"/>
          <w:szCs w:val="22"/>
        </w:rPr>
        <w:endnoteReference w:id="23"/>
      </w:r>
      <w:r w:rsidRPr="005D65EF">
        <w:rPr>
          <w:sz w:val="22"/>
          <w:szCs w:val="22"/>
        </w:rPr>
        <w:t xml:space="preserve"> taps into broader cultural understandings of  dogs as contaminating, polluting, unhygienic etc.</w:t>
      </w:r>
      <w:r>
        <w:rPr>
          <w:rStyle w:val="EndnoteReference"/>
          <w:sz w:val="22"/>
          <w:szCs w:val="22"/>
        </w:rPr>
        <w:endnoteReference w:id="24"/>
      </w:r>
      <w:r w:rsidRPr="005D65EF">
        <w:rPr>
          <w:sz w:val="22"/>
          <w:szCs w:val="22"/>
        </w:rPr>
        <w:t xml:space="preserve"> </w:t>
      </w:r>
      <w:r>
        <w:rPr>
          <w:sz w:val="22"/>
          <w:szCs w:val="22"/>
        </w:rPr>
        <w:t>Meanwhile, subject to a</w:t>
      </w:r>
      <w:r w:rsidRPr="00542DF2">
        <w:rPr>
          <w:sz w:val="22"/>
          <w:szCs w:val="22"/>
        </w:rPr>
        <w:t xml:space="preserve"> biomedicalised approach to</w:t>
      </w:r>
      <w:r>
        <w:rPr>
          <w:sz w:val="22"/>
          <w:szCs w:val="22"/>
        </w:rPr>
        <w:t xml:space="preserve"> ageing,</w:t>
      </w:r>
      <w:r w:rsidRPr="00542DF2">
        <w:rPr>
          <w:sz w:val="22"/>
          <w:szCs w:val="22"/>
        </w:rPr>
        <w:t xml:space="preserve"> </w:t>
      </w:r>
      <w:r>
        <w:rPr>
          <w:sz w:val="22"/>
          <w:szCs w:val="22"/>
        </w:rPr>
        <w:t>c</w:t>
      </w:r>
      <w:r w:rsidRPr="005D65EF">
        <w:rPr>
          <w:sz w:val="22"/>
          <w:szCs w:val="22"/>
          <w:lang w:val="en-US"/>
        </w:rPr>
        <w:t>are home</w:t>
      </w:r>
      <w:r>
        <w:rPr>
          <w:sz w:val="22"/>
          <w:szCs w:val="22"/>
          <w:lang w:val="en-US"/>
        </w:rPr>
        <w:t xml:space="preserve"> resident</w:t>
      </w:r>
      <w:r w:rsidRPr="005D65EF">
        <w:rPr>
          <w:sz w:val="22"/>
          <w:szCs w:val="22"/>
          <w:lang w:val="en-US"/>
        </w:rPr>
        <w:t>s are depicted as a homogenous vulnerable group requiring protection from harm.  This in turn allows the vulnerabilities of residents separated from their animals</w:t>
      </w:r>
      <w:r>
        <w:rPr>
          <w:sz w:val="22"/>
          <w:szCs w:val="22"/>
          <w:lang w:val="en-US"/>
        </w:rPr>
        <w:t>,</w:t>
      </w:r>
      <w:r w:rsidRPr="005D65EF">
        <w:rPr>
          <w:sz w:val="22"/>
          <w:szCs w:val="22"/>
          <w:lang w:val="en-US"/>
        </w:rPr>
        <w:t xml:space="preserve"> and of the animals themselves</w:t>
      </w:r>
      <w:r>
        <w:rPr>
          <w:sz w:val="22"/>
          <w:szCs w:val="22"/>
          <w:lang w:val="en-US"/>
        </w:rPr>
        <w:t>,</w:t>
      </w:r>
      <w:r w:rsidRPr="005D65EF">
        <w:rPr>
          <w:sz w:val="22"/>
          <w:szCs w:val="22"/>
          <w:lang w:val="en-US"/>
        </w:rPr>
        <w:t xml:space="preserve"> </w:t>
      </w:r>
      <w:r w:rsidRPr="005D65EF">
        <w:rPr>
          <w:sz w:val="22"/>
          <w:szCs w:val="22"/>
        </w:rPr>
        <w:t>to be</w:t>
      </w:r>
      <w:r w:rsidRPr="005D65EF">
        <w:rPr>
          <w:sz w:val="22"/>
          <w:szCs w:val="22"/>
          <w:lang w:val="en-US"/>
        </w:rPr>
        <w:t xml:space="preserve"> discounted.  More generally, Bob and Darcie’s story exemplifies the power exercised over the lives of older people in care contexts</w:t>
      </w:r>
      <w:r>
        <w:rPr>
          <w:sz w:val="22"/>
          <w:szCs w:val="22"/>
          <w:lang w:val="en-US"/>
        </w:rPr>
        <w:t>,</w:t>
      </w:r>
      <w:r>
        <w:rPr>
          <w:rStyle w:val="EndnoteReference"/>
          <w:sz w:val="22"/>
          <w:szCs w:val="22"/>
          <w:lang w:val="en-US"/>
        </w:rPr>
        <w:endnoteReference w:id="25"/>
      </w:r>
      <w:r w:rsidRPr="005D65EF">
        <w:rPr>
          <w:sz w:val="22"/>
          <w:szCs w:val="22"/>
          <w:lang w:val="en-US"/>
        </w:rPr>
        <w:t xml:space="preserve"> and testifies to what Martha Fineman calls ‘[t]he vulnerability of our embodied beings’</w:t>
      </w:r>
      <w:r>
        <w:rPr>
          <w:sz w:val="22"/>
          <w:szCs w:val="22"/>
          <w:lang w:val="en-US"/>
        </w:rPr>
        <w:t>.</w:t>
      </w:r>
      <w:r>
        <w:rPr>
          <w:rStyle w:val="EndnoteReference"/>
          <w:sz w:val="22"/>
          <w:szCs w:val="22"/>
          <w:lang w:val="en-US"/>
        </w:rPr>
        <w:endnoteReference w:id="26"/>
      </w:r>
    </w:p>
    <w:p w:rsidR="00785035" w:rsidRDefault="00785035" w:rsidP="00785035">
      <w:pPr>
        <w:spacing w:line="480" w:lineRule="auto"/>
        <w:ind w:firstLine="720"/>
        <w:rPr>
          <w:sz w:val="22"/>
          <w:szCs w:val="22"/>
          <w:lang w:val="en-US"/>
        </w:rPr>
      </w:pPr>
      <w:r w:rsidRPr="005D65EF">
        <w:rPr>
          <w:sz w:val="22"/>
          <w:szCs w:val="22"/>
          <w:lang w:val="en-US"/>
        </w:rPr>
        <w:t>Importantly, th</w:t>
      </w:r>
      <w:r>
        <w:rPr>
          <w:sz w:val="22"/>
          <w:szCs w:val="22"/>
          <w:lang w:val="en-US"/>
        </w:rPr>
        <w:t>e care home</w:t>
      </w:r>
      <w:r w:rsidRPr="005D65EF">
        <w:rPr>
          <w:sz w:val="22"/>
          <w:szCs w:val="22"/>
          <w:lang w:val="en-US"/>
        </w:rPr>
        <w:t xml:space="preserve"> </w:t>
      </w:r>
      <w:r>
        <w:rPr>
          <w:sz w:val="22"/>
          <w:szCs w:val="22"/>
          <w:lang w:val="en-US"/>
        </w:rPr>
        <w:t>i</w:t>
      </w:r>
      <w:r w:rsidRPr="005D65EF">
        <w:rPr>
          <w:sz w:val="22"/>
          <w:szCs w:val="22"/>
          <w:lang w:val="en-US"/>
        </w:rPr>
        <w:t xml:space="preserve">s </w:t>
      </w:r>
      <w:r w:rsidRPr="005D65EF">
        <w:rPr>
          <w:sz w:val="22"/>
          <w:szCs w:val="22"/>
        </w:rPr>
        <w:t xml:space="preserve">just one of many </w:t>
      </w:r>
      <w:r>
        <w:rPr>
          <w:sz w:val="22"/>
          <w:szCs w:val="22"/>
        </w:rPr>
        <w:t>site</w:t>
      </w:r>
      <w:r w:rsidRPr="005D65EF">
        <w:rPr>
          <w:sz w:val="22"/>
          <w:szCs w:val="22"/>
        </w:rPr>
        <w:t>s in which individuals risk separat</w:t>
      </w:r>
      <w:r>
        <w:rPr>
          <w:sz w:val="22"/>
          <w:szCs w:val="22"/>
        </w:rPr>
        <w:t>ion</w:t>
      </w:r>
      <w:r w:rsidRPr="005D65EF">
        <w:rPr>
          <w:sz w:val="22"/>
          <w:szCs w:val="22"/>
        </w:rPr>
        <w:t xml:space="preserve"> from companion animals.</w:t>
      </w:r>
      <w:r>
        <w:rPr>
          <w:rStyle w:val="EndnoteReference"/>
          <w:sz w:val="22"/>
          <w:szCs w:val="22"/>
        </w:rPr>
        <w:endnoteReference w:id="27"/>
      </w:r>
      <w:r w:rsidRPr="005D65EF">
        <w:rPr>
          <w:sz w:val="22"/>
          <w:szCs w:val="22"/>
        </w:rPr>
        <w:t xml:space="preserve">  </w:t>
      </w:r>
      <w:r>
        <w:rPr>
          <w:sz w:val="22"/>
          <w:szCs w:val="22"/>
        </w:rPr>
        <w:t>We argue that</w:t>
      </w:r>
      <w:r w:rsidRPr="005D65EF">
        <w:rPr>
          <w:sz w:val="22"/>
          <w:szCs w:val="22"/>
        </w:rPr>
        <w:t xml:space="preserve"> th</w:t>
      </w:r>
      <w:r>
        <w:rPr>
          <w:sz w:val="22"/>
          <w:szCs w:val="22"/>
        </w:rPr>
        <w:t>ese common-place separations</w:t>
      </w:r>
      <w:r w:rsidRPr="005D65EF">
        <w:rPr>
          <w:sz w:val="22"/>
          <w:szCs w:val="22"/>
        </w:rPr>
        <w:t xml:space="preserve"> should prompt reflection on </w:t>
      </w:r>
      <w:r>
        <w:rPr>
          <w:sz w:val="22"/>
          <w:szCs w:val="22"/>
        </w:rPr>
        <w:t>how</w:t>
      </w:r>
      <w:r w:rsidRPr="005D65EF">
        <w:rPr>
          <w:sz w:val="22"/>
          <w:szCs w:val="22"/>
        </w:rPr>
        <w:t xml:space="preserve"> ‘the family’ and ‘the home’ </w:t>
      </w:r>
      <w:r>
        <w:rPr>
          <w:sz w:val="22"/>
          <w:szCs w:val="22"/>
        </w:rPr>
        <w:t xml:space="preserve">are constructed </w:t>
      </w:r>
      <w:r w:rsidRPr="005D65EF">
        <w:rPr>
          <w:sz w:val="22"/>
          <w:szCs w:val="22"/>
        </w:rPr>
        <w:t>in law</w:t>
      </w:r>
      <w:r>
        <w:rPr>
          <w:sz w:val="22"/>
          <w:szCs w:val="22"/>
        </w:rPr>
        <w:t>,</w:t>
      </w:r>
      <w:r w:rsidRPr="005D65EF">
        <w:rPr>
          <w:sz w:val="22"/>
          <w:szCs w:val="22"/>
        </w:rPr>
        <w:t xml:space="preserve"> and the </w:t>
      </w:r>
      <w:r>
        <w:rPr>
          <w:sz w:val="22"/>
          <w:szCs w:val="22"/>
        </w:rPr>
        <w:t>implications</w:t>
      </w:r>
      <w:r w:rsidRPr="005D65EF">
        <w:rPr>
          <w:sz w:val="22"/>
          <w:szCs w:val="22"/>
        </w:rPr>
        <w:t xml:space="preserve"> of excluding non-humans from legal definitions of family</w:t>
      </w:r>
      <w:r>
        <w:rPr>
          <w:sz w:val="22"/>
          <w:szCs w:val="22"/>
        </w:rPr>
        <w:t>,</w:t>
      </w:r>
      <w:r w:rsidRPr="005D65EF">
        <w:rPr>
          <w:sz w:val="22"/>
          <w:szCs w:val="22"/>
        </w:rPr>
        <w:t xml:space="preserve"> w</w:t>
      </w:r>
      <w:r>
        <w:rPr>
          <w:sz w:val="22"/>
          <w:szCs w:val="22"/>
        </w:rPr>
        <w:t xml:space="preserve">ith </w:t>
      </w:r>
      <w:r w:rsidRPr="005D65EF">
        <w:rPr>
          <w:sz w:val="22"/>
          <w:szCs w:val="22"/>
        </w:rPr>
        <w:t xml:space="preserve">detrimental </w:t>
      </w:r>
      <w:r>
        <w:rPr>
          <w:sz w:val="22"/>
          <w:szCs w:val="22"/>
        </w:rPr>
        <w:t>consequences for</w:t>
      </w:r>
      <w:r w:rsidRPr="005D65EF">
        <w:rPr>
          <w:sz w:val="22"/>
          <w:szCs w:val="22"/>
        </w:rPr>
        <w:t xml:space="preserve"> the care and well-being of both </w:t>
      </w:r>
      <w:r>
        <w:rPr>
          <w:sz w:val="22"/>
          <w:szCs w:val="22"/>
        </w:rPr>
        <w:t>animal</w:t>
      </w:r>
      <w:r w:rsidRPr="005D65EF">
        <w:rPr>
          <w:sz w:val="22"/>
          <w:szCs w:val="22"/>
        </w:rPr>
        <w:t xml:space="preserve">s and </w:t>
      </w:r>
      <w:r>
        <w:rPr>
          <w:sz w:val="22"/>
          <w:szCs w:val="22"/>
        </w:rPr>
        <w:t>human</w:t>
      </w:r>
      <w:r w:rsidRPr="005D65EF">
        <w:rPr>
          <w:sz w:val="22"/>
          <w:szCs w:val="22"/>
        </w:rPr>
        <w:t xml:space="preserve">s.  Significantly, although Bob and Darcie’s case sparked a change.org petition to allow them to remain in the home, this challenge to care home policy was not couched in legal </w:t>
      </w:r>
      <w:r>
        <w:rPr>
          <w:sz w:val="22"/>
          <w:szCs w:val="22"/>
        </w:rPr>
        <w:t>term</w:t>
      </w:r>
      <w:r w:rsidRPr="005D65EF">
        <w:rPr>
          <w:sz w:val="22"/>
          <w:szCs w:val="22"/>
        </w:rPr>
        <w:t>s and it is unclear that any legal remedy would have been available to Bob Harvey.</w:t>
      </w:r>
    </w:p>
    <w:p w:rsidR="00785035" w:rsidRPr="00CC5FFA" w:rsidRDefault="00785035" w:rsidP="00785035">
      <w:pPr>
        <w:spacing w:line="480" w:lineRule="auto"/>
        <w:rPr>
          <w:sz w:val="22"/>
          <w:szCs w:val="22"/>
          <w:lang w:val="en-US"/>
        </w:rPr>
      </w:pPr>
    </w:p>
    <w:p w:rsidR="00785035" w:rsidRPr="005D65EF" w:rsidRDefault="00785035" w:rsidP="00785035">
      <w:pPr>
        <w:spacing w:line="480" w:lineRule="auto"/>
        <w:rPr>
          <w:b/>
          <w:sz w:val="22"/>
          <w:szCs w:val="22"/>
        </w:rPr>
      </w:pPr>
      <w:r w:rsidRPr="005D65EF">
        <w:rPr>
          <w:b/>
          <w:sz w:val="22"/>
          <w:szCs w:val="22"/>
        </w:rPr>
        <w:t>L</w:t>
      </w:r>
      <w:r>
        <w:rPr>
          <w:b/>
          <w:sz w:val="22"/>
          <w:szCs w:val="22"/>
        </w:rPr>
        <w:t>IMINAL</w:t>
      </w:r>
      <w:r w:rsidRPr="005D65EF">
        <w:rPr>
          <w:b/>
          <w:sz w:val="22"/>
          <w:szCs w:val="22"/>
        </w:rPr>
        <w:t xml:space="preserve"> </w:t>
      </w:r>
      <w:r>
        <w:rPr>
          <w:b/>
          <w:sz w:val="22"/>
          <w:szCs w:val="22"/>
        </w:rPr>
        <w:t>SPACES</w:t>
      </w:r>
      <w:r w:rsidRPr="005D65EF">
        <w:rPr>
          <w:b/>
          <w:sz w:val="22"/>
          <w:szCs w:val="22"/>
        </w:rPr>
        <w:t>/L</w:t>
      </w:r>
      <w:r>
        <w:rPr>
          <w:b/>
          <w:sz w:val="22"/>
          <w:szCs w:val="22"/>
        </w:rPr>
        <w:t>IMINAL</w:t>
      </w:r>
      <w:r w:rsidRPr="005D65EF">
        <w:rPr>
          <w:b/>
          <w:sz w:val="22"/>
          <w:szCs w:val="22"/>
        </w:rPr>
        <w:t xml:space="preserve"> C</w:t>
      </w:r>
      <w:r>
        <w:rPr>
          <w:b/>
          <w:sz w:val="22"/>
          <w:szCs w:val="22"/>
        </w:rPr>
        <w:t>REATURES</w:t>
      </w:r>
    </w:p>
    <w:p w:rsidR="00785035" w:rsidRPr="005D65EF" w:rsidRDefault="00785035" w:rsidP="00785035">
      <w:pPr>
        <w:spacing w:line="480" w:lineRule="auto"/>
        <w:rPr>
          <w:sz w:val="22"/>
          <w:szCs w:val="22"/>
          <w:lang w:val="en-US"/>
        </w:rPr>
      </w:pPr>
      <w:r w:rsidRPr="005D65EF">
        <w:rPr>
          <w:sz w:val="22"/>
          <w:szCs w:val="22"/>
        </w:rPr>
        <w:t xml:space="preserve">The lack of an </w:t>
      </w:r>
      <w:r>
        <w:rPr>
          <w:sz w:val="22"/>
          <w:szCs w:val="22"/>
        </w:rPr>
        <w:t>obvious</w:t>
      </w:r>
      <w:r w:rsidRPr="005D65EF">
        <w:rPr>
          <w:sz w:val="22"/>
          <w:szCs w:val="22"/>
        </w:rPr>
        <w:t xml:space="preserve"> legal remedy</w:t>
      </w:r>
      <w:r>
        <w:rPr>
          <w:sz w:val="22"/>
          <w:szCs w:val="22"/>
        </w:rPr>
        <w:t xml:space="preserve"> in this situation</w:t>
      </w:r>
      <w:r w:rsidRPr="005D65EF">
        <w:rPr>
          <w:sz w:val="22"/>
          <w:szCs w:val="22"/>
        </w:rPr>
        <w:t xml:space="preserve"> </w:t>
      </w:r>
      <w:r>
        <w:rPr>
          <w:sz w:val="22"/>
          <w:szCs w:val="22"/>
        </w:rPr>
        <w:t>highlight</w:t>
      </w:r>
      <w:r w:rsidRPr="005D65EF">
        <w:rPr>
          <w:sz w:val="22"/>
          <w:szCs w:val="22"/>
        </w:rPr>
        <w:t>s the precarity of ‘home</w:t>
      </w:r>
      <w:r>
        <w:rPr>
          <w:sz w:val="22"/>
          <w:szCs w:val="22"/>
        </w:rPr>
        <w:t>’</w:t>
      </w:r>
      <w:r w:rsidRPr="005D65EF">
        <w:rPr>
          <w:sz w:val="22"/>
          <w:szCs w:val="22"/>
        </w:rPr>
        <w:t xml:space="preserve"> for many older people. Highlighting the centrality and everyday importance of </w:t>
      </w:r>
      <w:r>
        <w:rPr>
          <w:sz w:val="22"/>
          <w:szCs w:val="22"/>
        </w:rPr>
        <w:t xml:space="preserve">the </w:t>
      </w:r>
      <w:r w:rsidRPr="005D65EF">
        <w:rPr>
          <w:sz w:val="22"/>
          <w:szCs w:val="22"/>
        </w:rPr>
        <w:t>home in law, Lorna Fox-O’Mahoney contends that law struggles to recognise that ‘home can encapsulate meanings beyond the physical structure of the house, or the capital value it represents’</w:t>
      </w:r>
      <w:r>
        <w:rPr>
          <w:sz w:val="22"/>
          <w:szCs w:val="22"/>
        </w:rPr>
        <w:t>.</w:t>
      </w:r>
      <w:r>
        <w:rPr>
          <w:rStyle w:val="EndnoteReference"/>
          <w:sz w:val="22"/>
          <w:szCs w:val="22"/>
        </w:rPr>
        <w:endnoteReference w:id="28"/>
      </w:r>
      <w:r w:rsidRPr="005D65EF">
        <w:rPr>
          <w:sz w:val="22"/>
          <w:szCs w:val="22"/>
        </w:rPr>
        <w:t xml:space="preserve"> </w:t>
      </w:r>
      <w:r>
        <w:rPr>
          <w:sz w:val="22"/>
          <w:szCs w:val="22"/>
        </w:rPr>
        <w:t>Writing</w:t>
      </w:r>
      <w:r w:rsidRPr="005D65EF">
        <w:rPr>
          <w:sz w:val="22"/>
          <w:szCs w:val="22"/>
        </w:rPr>
        <w:t xml:space="preserve"> with James Sweeney</w:t>
      </w:r>
      <w:r>
        <w:rPr>
          <w:sz w:val="22"/>
          <w:szCs w:val="22"/>
        </w:rPr>
        <w:t>,</w:t>
      </w:r>
      <w:r w:rsidRPr="005D65EF">
        <w:rPr>
          <w:sz w:val="22"/>
          <w:szCs w:val="22"/>
        </w:rPr>
        <w:t xml:space="preserve"> she underlines the</w:t>
      </w:r>
      <w:r w:rsidRPr="005D65EF">
        <w:rPr>
          <w:sz w:val="22"/>
          <w:szCs w:val="22"/>
          <w:lang w:val="en-US"/>
        </w:rPr>
        <w:t xml:space="preserve"> ‘importance of ‘being at home in the world’ for human flourishing, and the alienating  consequences when the connection with one’s home is lost, ‘particularly given our contemporary vulnerability to displacement and dispossession’</w:t>
      </w:r>
      <w:r>
        <w:rPr>
          <w:sz w:val="22"/>
          <w:szCs w:val="22"/>
          <w:lang w:val="en-US"/>
        </w:rPr>
        <w:t>.</w:t>
      </w:r>
      <w:r>
        <w:rPr>
          <w:rStyle w:val="EndnoteReference"/>
          <w:sz w:val="22"/>
          <w:szCs w:val="22"/>
          <w:lang w:val="en-US"/>
        </w:rPr>
        <w:endnoteReference w:id="29"/>
      </w:r>
      <w:r>
        <w:rPr>
          <w:sz w:val="22"/>
          <w:szCs w:val="22"/>
          <w:lang w:val="en-US"/>
        </w:rPr>
        <w:t xml:space="preserve"> </w:t>
      </w:r>
      <w:r w:rsidRPr="005D65EF">
        <w:rPr>
          <w:sz w:val="22"/>
          <w:szCs w:val="22"/>
          <w:lang w:val="en-US"/>
        </w:rPr>
        <w:t xml:space="preserve"> </w:t>
      </w:r>
      <w:r w:rsidRPr="005D65EF">
        <w:rPr>
          <w:sz w:val="22"/>
          <w:szCs w:val="22"/>
        </w:rPr>
        <w:t xml:space="preserve"> </w:t>
      </w:r>
      <w:r>
        <w:rPr>
          <w:sz w:val="22"/>
          <w:szCs w:val="22"/>
        </w:rPr>
        <w:t>There is much more to be said about the affective importance of home, which we aim to take up in a forthcoming article.  For now, it is sufficient to note that, i</w:t>
      </w:r>
      <w:r w:rsidRPr="005D65EF">
        <w:rPr>
          <w:sz w:val="22"/>
          <w:szCs w:val="22"/>
        </w:rPr>
        <w:t xml:space="preserve">n </w:t>
      </w:r>
      <w:r>
        <w:rPr>
          <w:sz w:val="22"/>
          <w:szCs w:val="22"/>
        </w:rPr>
        <w:t>this</w:t>
      </w:r>
      <w:r w:rsidRPr="005D65EF">
        <w:rPr>
          <w:sz w:val="22"/>
          <w:szCs w:val="22"/>
        </w:rPr>
        <w:t xml:space="preserve"> context, ‘the home’ is a particularly contested and precarious space for animals as well as older people. </w:t>
      </w:r>
      <w:r>
        <w:rPr>
          <w:sz w:val="22"/>
          <w:szCs w:val="22"/>
        </w:rPr>
        <w:t>Although</w:t>
      </w:r>
      <w:r w:rsidRPr="005D65EF">
        <w:rPr>
          <w:sz w:val="22"/>
          <w:szCs w:val="22"/>
        </w:rPr>
        <w:t xml:space="preserve"> this holds for all companion species, Philip Howell demonstrat</w:t>
      </w:r>
      <w:r>
        <w:rPr>
          <w:sz w:val="22"/>
          <w:szCs w:val="22"/>
        </w:rPr>
        <w:t>es that</w:t>
      </w:r>
      <w:r w:rsidRPr="005D65EF">
        <w:rPr>
          <w:sz w:val="22"/>
          <w:szCs w:val="22"/>
        </w:rPr>
        <w:t xml:space="preserve"> it is especially true of dogs.  </w:t>
      </w:r>
      <w:r>
        <w:rPr>
          <w:sz w:val="22"/>
          <w:szCs w:val="22"/>
        </w:rPr>
        <w:t>I</w:t>
      </w:r>
      <w:r w:rsidRPr="00CC5FFA">
        <w:rPr>
          <w:sz w:val="22"/>
          <w:szCs w:val="22"/>
        </w:rPr>
        <w:t>n his study of domestication</w:t>
      </w:r>
      <w:r>
        <w:rPr>
          <w:sz w:val="22"/>
          <w:szCs w:val="22"/>
        </w:rPr>
        <w:t>, he</w:t>
      </w:r>
      <w:r w:rsidRPr="005D65EF">
        <w:rPr>
          <w:sz w:val="22"/>
          <w:szCs w:val="22"/>
        </w:rPr>
        <w:t xml:space="preserve"> traces ‘the dog’s </w:t>
      </w:r>
      <w:r w:rsidRPr="005D65EF">
        <w:rPr>
          <w:i/>
          <w:sz w:val="22"/>
          <w:szCs w:val="22"/>
        </w:rPr>
        <w:t>inclusion</w:t>
      </w:r>
      <w:r w:rsidRPr="005D65EF">
        <w:rPr>
          <w:sz w:val="22"/>
          <w:szCs w:val="22"/>
        </w:rPr>
        <w:t xml:space="preserve"> in the home </w:t>
      </w:r>
      <w:r w:rsidRPr="005D65EF">
        <w:rPr>
          <w:sz w:val="22"/>
          <w:szCs w:val="22"/>
        </w:rPr>
        <w:lastRenderedPageBreak/>
        <w:t xml:space="preserve">and the household’ (coupled with ‘its putative </w:t>
      </w:r>
      <w:r w:rsidRPr="005D65EF">
        <w:rPr>
          <w:i/>
          <w:sz w:val="22"/>
          <w:szCs w:val="22"/>
        </w:rPr>
        <w:t>exclusion</w:t>
      </w:r>
      <w:r w:rsidRPr="005D65EF">
        <w:rPr>
          <w:sz w:val="22"/>
          <w:szCs w:val="22"/>
        </w:rPr>
        <w:t xml:space="preserve"> from public space’) and what he refers to as ‘the dog’s all-too-conditional citizenship in the homeland of Britain and “Britishness”’</w:t>
      </w:r>
      <w:r>
        <w:rPr>
          <w:sz w:val="22"/>
          <w:szCs w:val="22"/>
        </w:rPr>
        <w:t>.</w:t>
      </w:r>
      <w:r>
        <w:rPr>
          <w:rStyle w:val="EndnoteReference"/>
          <w:sz w:val="22"/>
          <w:szCs w:val="22"/>
        </w:rPr>
        <w:endnoteReference w:id="30"/>
      </w:r>
      <w:r w:rsidRPr="005D65EF">
        <w:rPr>
          <w:sz w:val="22"/>
          <w:szCs w:val="22"/>
        </w:rPr>
        <w:t xml:space="preserve"> As stories </w:t>
      </w:r>
      <w:r>
        <w:rPr>
          <w:sz w:val="22"/>
          <w:szCs w:val="22"/>
        </w:rPr>
        <w:t>like</w:t>
      </w:r>
      <w:r w:rsidRPr="005D65EF">
        <w:rPr>
          <w:sz w:val="22"/>
          <w:szCs w:val="22"/>
        </w:rPr>
        <w:t xml:space="preserve"> Bob and Darcie’s demonstrate</w:t>
      </w:r>
      <w:r>
        <w:rPr>
          <w:sz w:val="22"/>
          <w:szCs w:val="22"/>
        </w:rPr>
        <w:t>, the</w:t>
      </w:r>
      <w:r w:rsidRPr="005D65EF">
        <w:rPr>
          <w:sz w:val="22"/>
          <w:szCs w:val="22"/>
        </w:rPr>
        <w:t xml:space="preserve"> dog</w:t>
      </w:r>
      <w:r>
        <w:rPr>
          <w:sz w:val="22"/>
          <w:szCs w:val="22"/>
        </w:rPr>
        <w:t>’</w:t>
      </w:r>
      <w:r w:rsidRPr="005D65EF">
        <w:rPr>
          <w:sz w:val="22"/>
          <w:szCs w:val="22"/>
        </w:rPr>
        <w:t xml:space="preserve">s </w:t>
      </w:r>
      <w:r>
        <w:rPr>
          <w:sz w:val="22"/>
          <w:szCs w:val="22"/>
        </w:rPr>
        <w:t xml:space="preserve">status in the actual home is equally </w:t>
      </w:r>
      <w:r w:rsidRPr="005D65EF">
        <w:rPr>
          <w:sz w:val="22"/>
          <w:szCs w:val="22"/>
        </w:rPr>
        <w:t>conditional, reflect</w:t>
      </w:r>
      <w:r>
        <w:rPr>
          <w:sz w:val="22"/>
          <w:szCs w:val="22"/>
        </w:rPr>
        <w:t>ing</w:t>
      </w:r>
      <w:r w:rsidRPr="005D65EF">
        <w:rPr>
          <w:sz w:val="22"/>
          <w:szCs w:val="22"/>
        </w:rPr>
        <w:t xml:space="preserve"> the ambiguous </w:t>
      </w:r>
      <w:r>
        <w:rPr>
          <w:sz w:val="22"/>
          <w:szCs w:val="22"/>
        </w:rPr>
        <w:t>or liminal position</w:t>
      </w:r>
      <w:r w:rsidRPr="005D65EF">
        <w:rPr>
          <w:sz w:val="22"/>
          <w:szCs w:val="22"/>
        </w:rPr>
        <w:t xml:space="preserve"> of companion animals.  </w:t>
      </w:r>
      <w:r>
        <w:rPr>
          <w:sz w:val="22"/>
          <w:szCs w:val="22"/>
        </w:rPr>
        <w:t>Legally, as with the home, the dog is categorised as property, reduced to ‘legal thinghood’.</w:t>
      </w:r>
      <w:r>
        <w:rPr>
          <w:rStyle w:val="EndnoteReference"/>
          <w:sz w:val="22"/>
          <w:szCs w:val="22"/>
        </w:rPr>
        <w:endnoteReference w:id="31"/>
      </w:r>
      <w:r>
        <w:rPr>
          <w:sz w:val="22"/>
          <w:szCs w:val="22"/>
        </w:rPr>
        <w:t xml:space="preserve"> Again, t</w:t>
      </w:r>
      <w:r w:rsidRPr="005D65EF">
        <w:rPr>
          <w:sz w:val="22"/>
          <w:szCs w:val="22"/>
        </w:rPr>
        <w:t xml:space="preserve">his contrasts with how many of us </w:t>
      </w:r>
      <w:r>
        <w:rPr>
          <w:sz w:val="22"/>
          <w:szCs w:val="22"/>
        </w:rPr>
        <w:t>regard</w:t>
      </w:r>
      <w:r w:rsidRPr="005D65EF">
        <w:rPr>
          <w:sz w:val="22"/>
          <w:szCs w:val="22"/>
        </w:rPr>
        <w:t xml:space="preserve"> </w:t>
      </w:r>
      <w:r>
        <w:rPr>
          <w:sz w:val="22"/>
          <w:szCs w:val="22"/>
        </w:rPr>
        <w:t>dogs and other companion species</w:t>
      </w:r>
      <w:r w:rsidRPr="005D65EF">
        <w:rPr>
          <w:sz w:val="22"/>
          <w:szCs w:val="22"/>
        </w:rPr>
        <w:t xml:space="preserve"> </w:t>
      </w:r>
      <w:r w:rsidRPr="005D65EF">
        <w:rPr>
          <w:sz w:val="22"/>
          <w:szCs w:val="22"/>
          <w:lang w:val="en-US"/>
        </w:rPr>
        <w:t>as intimate family members,</w:t>
      </w:r>
      <w:r>
        <w:rPr>
          <w:sz w:val="22"/>
          <w:szCs w:val="22"/>
          <w:lang w:val="en-US"/>
        </w:rPr>
        <w:t xml:space="preserve"> with whom we even</w:t>
      </w:r>
      <w:r w:rsidRPr="005D65EF">
        <w:rPr>
          <w:sz w:val="22"/>
          <w:szCs w:val="22"/>
          <w:lang w:val="en-US"/>
        </w:rPr>
        <w:t xml:space="preserve"> shar</w:t>
      </w:r>
      <w:r>
        <w:rPr>
          <w:sz w:val="22"/>
          <w:szCs w:val="22"/>
          <w:lang w:val="en-US"/>
        </w:rPr>
        <w:t>e</w:t>
      </w:r>
      <w:r w:rsidRPr="005D65EF">
        <w:rPr>
          <w:sz w:val="22"/>
          <w:szCs w:val="22"/>
          <w:lang w:val="en-US"/>
        </w:rPr>
        <w:t xml:space="preserve"> our</w:t>
      </w:r>
      <w:r>
        <w:rPr>
          <w:sz w:val="22"/>
          <w:szCs w:val="22"/>
          <w:lang w:val="en-US"/>
        </w:rPr>
        <w:t xml:space="preserve"> bedrooms</w:t>
      </w:r>
      <w:r w:rsidRPr="005D65EF">
        <w:rPr>
          <w:sz w:val="22"/>
          <w:szCs w:val="22"/>
          <w:lang w:val="en-US"/>
        </w:rPr>
        <w:t>.  Thus, as Adrian Franklin notes in a seminal Australian study:</w:t>
      </w:r>
    </w:p>
    <w:p w:rsidR="00785035" w:rsidRPr="005D65EF" w:rsidRDefault="00785035" w:rsidP="00785035">
      <w:pPr>
        <w:spacing w:line="480" w:lineRule="auto"/>
        <w:ind w:left="720"/>
        <w:rPr>
          <w:sz w:val="22"/>
          <w:szCs w:val="22"/>
          <w:lang w:val="en-US"/>
        </w:rPr>
      </w:pPr>
      <w:r w:rsidRPr="005D65EF">
        <w:rPr>
          <w:sz w:val="22"/>
          <w:szCs w:val="22"/>
          <w:lang w:val="en-US"/>
        </w:rPr>
        <w:t>‘The symbolism of household space needs to be emphasised here…when people… stated that an animal was both a member of the family and allowed into their bedroom, it was a refined answer indicating that they were not just a member of the family but a very close intimate member... in the past when dogs were kept outside, or when they were allowed inside but not on furniture, their separate, inferior status was being marked. To discover that half of those interviewed allowed their animals on furniture is to uncover a major shift in their status and position relative to humans and human society</w:t>
      </w:r>
      <w:r>
        <w:rPr>
          <w:sz w:val="22"/>
          <w:szCs w:val="22"/>
          <w:lang w:val="en-US"/>
        </w:rPr>
        <w:t>’.</w:t>
      </w:r>
      <w:r>
        <w:rPr>
          <w:rStyle w:val="EndnoteReference"/>
          <w:sz w:val="22"/>
          <w:szCs w:val="22"/>
          <w:lang w:val="en-US"/>
        </w:rPr>
        <w:endnoteReference w:id="32"/>
      </w:r>
    </w:p>
    <w:p w:rsidR="00785035" w:rsidRPr="005D65EF" w:rsidRDefault="00785035" w:rsidP="00785035">
      <w:pPr>
        <w:spacing w:line="480" w:lineRule="auto"/>
        <w:rPr>
          <w:sz w:val="22"/>
          <w:szCs w:val="22"/>
          <w:lang w:val="en-US"/>
        </w:rPr>
      </w:pPr>
      <w:r w:rsidRPr="005D65EF">
        <w:rPr>
          <w:sz w:val="22"/>
          <w:szCs w:val="22"/>
          <w:lang w:val="en-US"/>
        </w:rPr>
        <w:t>In</w:t>
      </w:r>
      <w:r>
        <w:rPr>
          <w:sz w:val="22"/>
          <w:szCs w:val="22"/>
          <w:lang w:val="en-US"/>
        </w:rPr>
        <w:t>deed, in</w:t>
      </w:r>
      <w:r w:rsidRPr="005D65EF">
        <w:rPr>
          <w:sz w:val="22"/>
          <w:szCs w:val="22"/>
          <w:lang w:val="en-US"/>
        </w:rPr>
        <w:t xml:space="preserve"> later UK-based work</w:t>
      </w:r>
      <w:r>
        <w:rPr>
          <w:sz w:val="22"/>
          <w:szCs w:val="22"/>
          <w:lang w:val="en-US"/>
        </w:rPr>
        <w:t>,</w:t>
      </w:r>
      <w:r w:rsidRPr="005D65EF">
        <w:rPr>
          <w:sz w:val="22"/>
          <w:szCs w:val="22"/>
          <w:lang w:val="en-US"/>
        </w:rPr>
        <w:t xml:space="preserve"> Nickie Charles has observed that companion animals </w:t>
      </w:r>
      <w:r>
        <w:rPr>
          <w:sz w:val="22"/>
          <w:szCs w:val="22"/>
          <w:lang w:val="en-US"/>
        </w:rPr>
        <w:t xml:space="preserve">may be </w:t>
      </w:r>
      <w:r w:rsidRPr="005D65EF">
        <w:rPr>
          <w:sz w:val="22"/>
          <w:szCs w:val="22"/>
          <w:lang w:val="en-US"/>
        </w:rPr>
        <w:t>privileged over human family members:</w:t>
      </w:r>
    </w:p>
    <w:p w:rsidR="00785035" w:rsidRPr="005D65EF" w:rsidRDefault="00785035" w:rsidP="00785035">
      <w:pPr>
        <w:spacing w:line="480" w:lineRule="auto"/>
        <w:ind w:left="720"/>
        <w:rPr>
          <w:sz w:val="22"/>
          <w:szCs w:val="22"/>
          <w:lang w:val="en-US"/>
        </w:rPr>
      </w:pPr>
      <w:r w:rsidRPr="005D65EF">
        <w:rPr>
          <w:sz w:val="22"/>
          <w:szCs w:val="22"/>
          <w:lang w:val="en-US"/>
        </w:rPr>
        <w:t>‘Surveys consistently show that pet keepers see their pets as family members… Women are more likely than men to ascribe family membership to a dog or a cat and many people report feeling closer to their dogs than other family members... Research shows that, as with human family members, pets are defined as kin due to the quality of the relationship… Families may be ‘changing in structure’ but they still provide love and support for family members and kin. Moreover, there is growing evidence that the social relations constituting domestic groups incorporate animals as social actors… As well as being seen as family members animals are also included in friendship networks’</w:t>
      </w:r>
      <w:r>
        <w:rPr>
          <w:sz w:val="22"/>
          <w:szCs w:val="22"/>
          <w:lang w:val="en-US"/>
        </w:rPr>
        <w:t>.</w:t>
      </w:r>
      <w:r>
        <w:rPr>
          <w:rStyle w:val="EndnoteReference"/>
          <w:sz w:val="22"/>
          <w:szCs w:val="22"/>
          <w:lang w:val="en-US"/>
        </w:rPr>
        <w:endnoteReference w:id="33"/>
      </w:r>
    </w:p>
    <w:p w:rsidR="00785035" w:rsidRPr="005D65EF" w:rsidRDefault="00785035" w:rsidP="00785035">
      <w:pPr>
        <w:spacing w:line="480" w:lineRule="auto"/>
        <w:rPr>
          <w:color w:val="000000" w:themeColor="text1"/>
          <w:sz w:val="22"/>
          <w:szCs w:val="22"/>
        </w:rPr>
      </w:pPr>
      <w:r w:rsidRPr="005D65EF">
        <w:rPr>
          <w:color w:val="000000" w:themeColor="text1"/>
          <w:sz w:val="22"/>
          <w:szCs w:val="22"/>
        </w:rPr>
        <w:t>Significantly, evidence suggests that age and household structure</w:t>
      </w:r>
      <w:r>
        <w:rPr>
          <w:color w:val="000000" w:themeColor="text1"/>
          <w:sz w:val="22"/>
          <w:szCs w:val="22"/>
        </w:rPr>
        <w:t>,</w:t>
      </w:r>
      <w:r w:rsidRPr="005D65EF">
        <w:rPr>
          <w:color w:val="000000" w:themeColor="text1"/>
          <w:sz w:val="22"/>
          <w:szCs w:val="22"/>
        </w:rPr>
        <w:t xml:space="preserve"> as well as </w:t>
      </w:r>
      <w:r>
        <w:rPr>
          <w:color w:val="000000" w:themeColor="text1"/>
          <w:sz w:val="22"/>
          <w:szCs w:val="22"/>
        </w:rPr>
        <w:t xml:space="preserve">the </w:t>
      </w:r>
      <w:r w:rsidRPr="005D65EF">
        <w:rPr>
          <w:color w:val="000000" w:themeColor="text1"/>
          <w:sz w:val="22"/>
          <w:szCs w:val="22"/>
        </w:rPr>
        <w:t>gender</w:t>
      </w:r>
      <w:r>
        <w:rPr>
          <w:color w:val="000000" w:themeColor="text1"/>
          <w:sz w:val="22"/>
          <w:szCs w:val="22"/>
        </w:rPr>
        <w:t xml:space="preserve"> dimension that Charles highlights,</w:t>
      </w:r>
      <w:r w:rsidRPr="005D65EF">
        <w:rPr>
          <w:color w:val="000000" w:themeColor="text1"/>
          <w:sz w:val="22"/>
          <w:szCs w:val="22"/>
        </w:rPr>
        <w:t xml:space="preserve"> </w:t>
      </w:r>
      <w:r>
        <w:rPr>
          <w:color w:val="000000" w:themeColor="text1"/>
          <w:sz w:val="22"/>
          <w:szCs w:val="22"/>
        </w:rPr>
        <w:t>can</w:t>
      </w:r>
      <w:r w:rsidRPr="005D65EF">
        <w:rPr>
          <w:color w:val="000000" w:themeColor="text1"/>
          <w:sz w:val="22"/>
          <w:szCs w:val="22"/>
        </w:rPr>
        <w:t xml:space="preserve"> affect attachment to companion animals. Thus, Alexa Albert and Kris Bulcroft </w:t>
      </w:r>
      <w:r>
        <w:rPr>
          <w:color w:val="000000" w:themeColor="text1"/>
          <w:sz w:val="22"/>
          <w:szCs w:val="22"/>
        </w:rPr>
        <w:t>not</w:t>
      </w:r>
      <w:r w:rsidRPr="005D65EF">
        <w:rPr>
          <w:color w:val="000000" w:themeColor="text1"/>
          <w:sz w:val="22"/>
          <w:szCs w:val="22"/>
        </w:rPr>
        <w:t>e that:</w:t>
      </w:r>
    </w:p>
    <w:p w:rsidR="00785035" w:rsidRPr="005D65EF" w:rsidRDefault="00785035" w:rsidP="00785035">
      <w:pPr>
        <w:spacing w:line="480" w:lineRule="auto"/>
        <w:ind w:left="720"/>
        <w:rPr>
          <w:color w:val="000000" w:themeColor="text1"/>
          <w:sz w:val="22"/>
          <w:szCs w:val="22"/>
        </w:rPr>
      </w:pPr>
      <w:r w:rsidRPr="005D65EF">
        <w:rPr>
          <w:color w:val="000000" w:themeColor="text1"/>
          <w:sz w:val="22"/>
          <w:szCs w:val="22"/>
        </w:rPr>
        <w:lastRenderedPageBreak/>
        <w:t>‘[T]he importance of the pet as a source of affection and attachment is related to household structure and changes over the life cycle… attachment to pets is greatest in families where the</w:t>
      </w:r>
      <w:r>
        <w:rPr>
          <w:color w:val="000000" w:themeColor="text1"/>
          <w:sz w:val="22"/>
          <w:szCs w:val="22"/>
        </w:rPr>
        <w:t>r</w:t>
      </w:r>
      <w:r w:rsidRPr="005D65EF">
        <w:rPr>
          <w:color w:val="000000" w:themeColor="text1"/>
          <w:sz w:val="22"/>
          <w:szCs w:val="22"/>
        </w:rPr>
        <w:t>e is a limited number of significant others to function as source</w:t>
      </w:r>
      <w:r>
        <w:rPr>
          <w:color w:val="000000" w:themeColor="text1"/>
          <w:sz w:val="22"/>
          <w:szCs w:val="22"/>
        </w:rPr>
        <w:t>s</w:t>
      </w:r>
      <w:r w:rsidRPr="005D65EF">
        <w:rPr>
          <w:color w:val="000000" w:themeColor="text1"/>
          <w:sz w:val="22"/>
          <w:szCs w:val="22"/>
        </w:rPr>
        <w:t xml:space="preserve"> of support and affection</w:t>
      </w:r>
      <w:r>
        <w:rPr>
          <w:color w:val="000000" w:themeColor="text1"/>
          <w:sz w:val="22"/>
          <w:szCs w:val="22"/>
        </w:rPr>
        <w:t>’.</w:t>
      </w:r>
      <w:r>
        <w:rPr>
          <w:rStyle w:val="EndnoteReference"/>
          <w:color w:val="000000" w:themeColor="text1"/>
          <w:sz w:val="22"/>
          <w:szCs w:val="22"/>
        </w:rPr>
        <w:endnoteReference w:id="34"/>
      </w:r>
      <w:r w:rsidRPr="005D65EF">
        <w:rPr>
          <w:color w:val="000000" w:themeColor="text1"/>
          <w:sz w:val="22"/>
          <w:szCs w:val="22"/>
        </w:rPr>
        <w:t xml:space="preserve"> </w:t>
      </w:r>
    </w:p>
    <w:p w:rsidR="00785035" w:rsidRPr="00687B3F" w:rsidRDefault="00785035" w:rsidP="00785035">
      <w:pPr>
        <w:spacing w:line="480" w:lineRule="auto"/>
        <w:rPr>
          <w:color w:val="000000" w:themeColor="text1"/>
          <w:sz w:val="22"/>
          <w:szCs w:val="22"/>
        </w:rPr>
      </w:pPr>
      <w:r w:rsidRPr="005D65EF">
        <w:rPr>
          <w:color w:val="000000" w:themeColor="text1"/>
          <w:sz w:val="22"/>
          <w:szCs w:val="22"/>
        </w:rPr>
        <w:t xml:space="preserve">Below we take up the changing structure of the family that Charles identifies, but </w:t>
      </w:r>
      <w:r>
        <w:rPr>
          <w:color w:val="000000" w:themeColor="text1"/>
          <w:sz w:val="22"/>
          <w:szCs w:val="22"/>
        </w:rPr>
        <w:t>here the key point is the rupture between</w:t>
      </w:r>
      <w:r w:rsidRPr="005D65EF">
        <w:rPr>
          <w:color w:val="000000" w:themeColor="text1"/>
          <w:sz w:val="22"/>
          <w:szCs w:val="22"/>
        </w:rPr>
        <w:t xml:space="preserve"> social</w:t>
      </w:r>
      <w:r>
        <w:rPr>
          <w:color w:val="000000" w:themeColor="text1"/>
          <w:sz w:val="22"/>
          <w:szCs w:val="22"/>
        </w:rPr>
        <w:t xml:space="preserve"> and legal</w:t>
      </w:r>
      <w:r w:rsidRPr="005D65EF">
        <w:rPr>
          <w:color w:val="000000" w:themeColor="text1"/>
          <w:sz w:val="22"/>
          <w:szCs w:val="22"/>
        </w:rPr>
        <w:t xml:space="preserve"> understandings of companion animals</w:t>
      </w:r>
      <w:r>
        <w:rPr>
          <w:color w:val="000000" w:themeColor="text1"/>
          <w:sz w:val="22"/>
          <w:szCs w:val="22"/>
        </w:rPr>
        <w:t>.</w:t>
      </w:r>
      <w:r w:rsidRPr="005D65EF">
        <w:rPr>
          <w:color w:val="000000" w:themeColor="text1"/>
          <w:sz w:val="22"/>
          <w:szCs w:val="22"/>
        </w:rPr>
        <w:t xml:space="preserve"> </w:t>
      </w:r>
      <w:r>
        <w:rPr>
          <w:color w:val="000000" w:themeColor="text1"/>
          <w:sz w:val="22"/>
          <w:szCs w:val="22"/>
        </w:rPr>
        <w:t>Animal caregivers do not conceive of animals as property – a status which, a</w:t>
      </w:r>
      <w:r w:rsidRPr="005D65EF">
        <w:rPr>
          <w:sz w:val="22"/>
          <w:szCs w:val="22"/>
        </w:rPr>
        <w:t>s Gary Francione contend</w:t>
      </w:r>
      <w:r>
        <w:rPr>
          <w:sz w:val="22"/>
          <w:szCs w:val="22"/>
        </w:rPr>
        <w:t>s</w:t>
      </w:r>
      <w:r w:rsidRPr="005D65EF">
        <w:rPr>
          <w:sz w:val="22"/>
          <w:szCs w:val="22"/>
        </w:rPr>
        <w:t xml:space="preserve">, </w:t>
      </w:r>
      <w:r>
        <w:rPr>
          <w:sz w:val="22"/>
          <w:szCs w:val="22"/>
        </w:rPr>
        <w:t>underpins</w:t>
      </w:r>
      <w:r w:rsidRPr="005D65EF">
        <w:rPr>
          <w:sz w:val="22"/>
          <w:szCs w:val="22"/>
        </w:rPr>
        <w:t xml:space="preserve"> </w:t>
      </w:r>
      <w:r>
        <w:rPr>
          <w:sz w:val="22"/>
          <w:szCs w:val="22"/>
        </w:rPr>
        <w:t>their</w:t>
      </w:r>
      <w:r w:rsidRPr="005D65EF">
        <w:rPr>
          <w:sz w:val="22"/>
          <w:szCs w:val="22"/>
        </w:rPr>
        <w:t xml:space="preserve"> oppression </w:t>
      </w:r>
      <w:r>
        <w:rPr>
          <w:sz w:val="22"/>
          <w:szCs w:val="22"/>
        </w:rPr>
        <w:t>by human</w:t>
      </w:r>
      <w:r w:rsidRPr="005D65EF">
        <w:rPr>
          <w:sz w:val="22"/>
          <w:szCs w:val="22"/>
        </w:rPr>
        <w:t>s</w:t>
      </w:r>
      <w:r>
        <w:rPr>
          <w:sz w:val="22"/>
          <w:szCs w:val="22"/>
        </w:rPr>
        <w:t>.</w:t>
      </w:r>
      <w:r>
        <w:rPr>
          <w:rStyle w:val="EndnoteReference"/>
          <w:sz w:val="22"/>
          <w:szCs w:val="22"/>
        </w:rPr>
        <w:endnoteReference w:id="35"/>
      </w:r>
      <w:r w:rsidRPr="005D65EF">
        <w:rPr>
          <w:sz w:val="22"/>
          <w:szCs w:val="22"/>
        </w:rPr>
        <w:t xml:space="preserve"> This di</w:t>
      </w:r>
      <w:r>
        <w:rPr>
          <w:sz w:val="22"/>
          <w:szCs w:val="22"/>
        </w:rPr>
        <w:t>sjuncture between</w:t>
      </w:r>
      <w:r w:rsidRPr="005D65EF">
        <w:rPr>
          <w:sz w:val="22"/>
          <w:szCs w:val="22"/>
        </w:rPr>
        <w:t xml:space="preserve"> social and legal </w:t>
      </w:r>
      <w:r>
        <w:rPr>
          <w:sz w:val="22"/>
          <w:szCs w:val="22"/>
        </w:rPr>
        <w:t>attitude</w:t>
      </w:r>
      <w:r w:rsidRPr="005D65EF">
        <w:rPr>
          <w:sz w:val="22"/>
          <w:szCs w:val="22"/>
        </w:rPr>
        <w:t xml:space="preserve">s </w:t>
      </w:r>
      <w:r>
        <w:rPr>
          <w:sz w:val="22"/>
          <w:szCs w:val="22"/>
        </w:rPr>
        <w:t>entails</w:t>
      </w:r>
      <w:r w:rsidRPr="005D65EF">
        <w:rPr>
          <w:sz w:val="22"/>
          <w:szCs w:val="22"/>
        </w:rPr>
        <w:t xml:space="preserve"> </w:t>
      </w:r>
      <w:r>
        <w:rPr>
          <w:sz w:val="22"/>
          <w:szCs w:val="22"/>
        </w:rPr>
        <w:t xml:space="preserve">that </w:t>
      </w:r>
      <w:r w:rsidRPr="005D65EF">
        <w:rPr>
          <w:sz w:val="22"/>
          <w:szCs w:val="22"/>
        </w:rPr>
        <w:t xml:space="preserve">companion animals occupy a </w:t>
      </w:r>
      <w:r>
        <w:rPr>
          <w:sz w:val="22"/>
          <w:szCs w:val="22"/>
        </w:rPr>
        <w:t xml:space="preserve">particularly </w:t>
      </w:r>
      <w:r w:rsidRPr="005D65EF">
        <w:rPr>
          <w:sz w:val="22"/>
          <w:szCs w:val="22"/>
        </w:rPr>
        <w:t>contested zone between object and living being.</w:t>
      </w:r>
      <w:r>
        <w:rPr>
          <w:rStyle w:val="EndnoteReference"/>
          <w:sz w:val="22"/>
          <w:szCs w:val="22"/>
        </w:rPr>
        <w:endnoteReference w:id="36"/>
      </w:r>
      <w:r w:rsidRPr="005D65EF">
        <w:rPr>
          <w:sz w:val="22"/>
          <w:szCs w:val="22"/>
        </w:rPr>
        <w:t xml:space="preserve"> </w:t>
      </w:r>
      <w:r>
        <w:rPr>
          <w:sz w:val="22"/>
          <w:szCs w:val="22"/>
        </w:rPr>
        <w:t>In line with the surveys detailed above,</w:t>
      </w:r>
      <w:r w:rsidRPr="005D65EF">
        <w:rPr>
          <w:sz w:val="22"/>
          <w:szCs w:val="22"/>
        </w:rPr>
        <w:t xml:space="preserve"> Jessica Pierce suggests</w:t>
      </w:r>
      <w:r>
        <w:rPr>
          <w:sz w:val="22"/>
          <w:szCs w:val="22"/>
        </w:rPr>
        <w:t xml:space="preserve"> that</w:t>
      </w:r>
      <w:r w:rsidRPr="005D65EF">
        <w:rPr>
          <w:sz w:val="22"/>
          <w:szCs w:val="22"/>
        </w:rPr>
        <w:t xml:space="preserve"> those who live closely with animals come to know them as ‘persons’ </w:t>
      </w:r>
      <w:r>
        <w:rPr>
          <w:sz w:val="22"/>
          <w:szCs w:val="22"/>
        </w:rPr>
        <w:t>rather than</w:t>
      </w:r>
      <w:r w:rsidRPr="005D65EF">
        <w:rPr>
          <w:sz w:val="22"/>
          <w:szCs w:val="22"/>
        </w:rPr>
        <w:t xml:space="preserve"> objects.  Yet, she </w:t>
      </w:r>
      <w:r>
        <w:rPr>
          <w:sz w:val="22"/>
          <w:szCs w:val="22"/>
        </w:rPr>
        <w:t>demonstrate</w:t>
      </w:r>
      <w:r w:rsidRPr="005D65EF">
        <w:rPr>
          <w:sz w:val="22"/>
          <w:szCs w:val="22"/>
        </w:rPr>
        <w:t>s that the concept of ‘pet’ is ‘quite jumpy and slippery… “pet” is an arbitrary assignation, a social construct’</w:t>
      </w:r>
      <w:r w:rsidRPr="005D65EF">
        <w:rPr>
          <w:color w:val="000000" w:themeColor="text1"/>
          <w:sz w:val="22"/>
          <w:szCs w:val="22"/>
        </w:rPr>
        <w:t>.</w:t>
      </w:r>
      <w:r>
        <w:rPr>
          <w:rStyle w:val="EndnoteReference"/>
          <w:color w:val="000000" w:themeColor="text1"/>
          <w:sz w:val="22"/>
          <w:szCs w:val="22"/>
        </w:rPr>
        <w:endnoteReference w:id="37"/>
      </w:r>
      <w:r w:rsidRPr="005D65EF">
        <w:rPr>
          <w:color w:val="000000" w:themeColor="text1"/>
          <w:sz w:val="22"/>
          <w:szCs w:val="22"/>
        </w:rPr>
        <w:t xml:space="preserve"> </w:t>
      </w:r>
      <w:r>
        <w:rPr>
          <w:color w:val="000000" w:themeColor="text1"/>
          <w:sz w:val="22"/>
          <w:szCs w:val="22"/>
        </w:rPr>
        <w:t xml:space="preserve"> </w:t>
      </w:r>
      <w:r>
        <w:rPr>
          <w:sz w:val="22"/>
          <w:szCs w:val="22"/>
        </w:rPr>
        <w:t xml:space="preserve">Consequent upon this slipperiness,  we understand </w:t>
      </w:r>
      <w:r w:rsidRPr="005D65EF">
        <w:rPr>
          <w:sz w:val="22"/>
          <w:szCs w:val="22"/>
        </w:rPr>
        <w:t>companion species a</w:t>
      </w:r>
      <w:r>
        <w:rPr>
          <w:sz w:val="22"/>
          <w:szCs w:val="22"/>
        </w:rPr>
        <w:t>s</w:t>
      </w:r>
      <w:r w:rsidRPr="005D65EF">
        <w:rPr>
          <w:sz w:val="22"/>
          <w:szCs w:val="22"/>
        </w:rPr>
        <w:t xml:space="preserve"> liminal beings,</w:t>
      </w:r>
      <w:r>
        <w:rPr>
          <w:sz w:val="22"/>
          <w:szCs w:val="22"/>
        </w:rPr>
        <w:t xml:space="preserve"> in the sense that they occupy a threshold or interzone between personhood and objecthood, serving to blur  </w:t>
      </w:r>
      <w:r w:rsidRPr="005D65EF">
        <w:rPr>
          <w:sz w:val="22"/>
          <w:szCs w:val="22"/>
        </w:rPr>
        <w:t>the legal categories of person/property, subject/object etc, while calling into question associated concepts</w:t>
      </w:r>
      <w:r>
        <w:rPr>
          <w:sz w:val="22"/>
          <w:szCs w:val="22"/>
        </w:rPr>
        <w:t>,</w:t>
      </w:r>
      <w:r w:rsidRPr="005D65EF">
        <w:rPr>
          <w:sz w:val="22"/>
          <w:szCs w:val="22"/>
        </w:rPr>
        <w:t xml:space="preserve"> including</w:t>
      </w:r>
      <w:r>
        <w:rPr>
          <w:sz w:val="22"/>
          <w:szCs w:val="22"/>
        </w:rPr>
        <w:t xml:space="preserve"> ‘the human’ and ‘the family’.</w:t>
      </w:r>
      <w:r>
        <w:rPr>
          <w:rStyle w:val="EndnoteReference"/>
          <w:sz w:val="22"/>
          <w:szCs w:val="22"/>
        </w:rPr>
        <w:endnoteReference w:id="38"/>
      </w:r>
      <w:r>
        <w:rPr>
          <w:sz w:val="22"/>
          <w:szCs w:val="22"/>
        </w:rPr>
        <w:t xml:space="preserve"> As </w:t>
      </w:r>
      <w:r w:rsidRPr="005D65EF">
        <w:rPr>
          <w:sz w:val="22"/>
          <w:szCs w:val="22"/>
        </w:rPr>
        <w:t>Victor Turner</w:t>
      </w:r>
      <w:r>
        <w:rPr>
          <w:sz w:val="22"/>
          <w:szCs w:val="22"/>
        </w:rPr>
        <w:t xml:space="preserve"> observes of liminal beings</w:t>
      </w:r>
      <w:r w:rsidRPr="005D65EF">
        <w:rPr>
          <w:sz w:val="22"/>
          <w:szCs w:val="22"/>
        </w:rPr>
        <w:t>:</w:t>
      </w:r>
    </w:p>
    <w:p w:rsidR="00785035" w:rsidRPr="005D65EF" w:rsidRDefault="00785035" w:rsidP="00785035">
      <w:pPr>
        <w:spacing w:line="480" w:lineRule="auto"/>
        <w:ind w:left="720"/>
        <w:rPr>
          <w:sz w:val="22"/>
          <w:szCs w:val="22"/>
        </w:rPr>
      </w:pPr>
      <w:r w:rsidRPr="005D65EF">
        <w:rPr>
          <w:sz w:val="22"/>
          <w:szCs w:val="22"/>
        </w:rPr>
        <w:t xml:space="preserve">‘The attributes of liminality or liminal personae (threshold people) are necessarily ambiguous, since this condition and these people elude or slip through the network of classifications that normally locate states and positions in cultural space. Liminal entities are </w:t>
      </w:r>
      <w:r>
        <w:rPr>
          <w:sz w:val="22"/>
          <w:szCs w:val="22"/>
        </w:rPr>
        <w:t>n</w:t>
      </w:r>
      <w:r w:rsidRPr="005D65EF">
        <w:rPr>
          <w:sz w:val="22"/>
          <w:szCs w:val="22"/>
        </w:rPr>
        <w:t>either here nor there, they are betwixt and between the positions assigned and arrayed by law, custom, convention and ceremonial’</w:t>
      </w:r>
      <w:r>
        <w:rPr>
          <w:sz w:val="22"/>
          <w:szCs w:val="22"/>
        </w:rPr>
        <w:t>.</w:t>
      </w:r>
      <w:r>
        <w:rPr>
          <w:rStyle w:val="EndnoteReference"/>
          <w:sz w:val="22"/>
          <w:szCs w:val="22"/>
        </w:rPr>
        <w:endnoteReference w:id="39"/>
      </w:r>
    </w:p>
    <w:p w:rsidR="00785035" w:rsidRPr="005D65EF" w:rsidRDefault="00785035" w:rsidP="00785035">
      <w:pPr>
        <w:spacing w:line="480" w:lineRule="auto"/>
        <w:rPr>
          <w:sz w:val="22"/>
          <w:szCs w:val="22"/>
        </w:rPr>
      </w:pPr>
      <w:r>
        <w:rPr>
          <w:sz w:val="22"/>
          <w:szCs w:val="22"/>
        </w:rPr>
        <w:t>Thus, for instance, adolescents may occupy such a state</w:t>
      </w:r>
      <w:r w:rsidRPr="009F0D7B">
        <w:rPr>
          <w:sz w:val="22"/>
          <w:szCs w:val="22"/>
        </w:rPr>
        <w:t xml:space="preserve"> </w:t>
      </w:r>
      <w:r>
        <w:rPr>
          <w:sz w:val="22"/>
          <w:szCs w:val="22"/>
        </w:rPr>
        <w:t xml:space="preserve">of </w:t>
      </w:r>
      <w:r w:rsidRPr="009F0D7B">
        <w:rPr>
          <w:sz w:val="22"/>
          <w:szCs w:val="22"/>
        </w:rPr>
        <w:t>‘in betweenness’</w:t>
      </w:r>
      <w:r>
        <w:rPr>
          <w:sz w:val="22"/>
          <w:szCs w:val="22"/>
        </w:rPr>
        <w:t>,</w:t>
      </w:r>
      <w:r w:rsidRPr="009F0D7B">
        <w:rPr>
          <w:sz w:val="22"/>
          <w:szCs w:val="22"/>
        </w:rPr>
        <w:t xml:space="preserve"> simultaneously </w:t>
      </w:r>
      <w:r>
        <w:rPr>
          <w:sz w:val="22"/>
          <w:szCs w:val="22"/>
        </w:rPr>
        <w:t>inhabiting</w:t>
      </w:r>
      <w:r w:rsidRPr="009F0D7B">
        <w:rPr>
          <w:sz w:val="22"/>
          <w:szCs w:val="22"/>
        </w:rPr>
        <w:t xml:space="preserve"> </w:t>
      </w:r>
      <w:r>
        <w:rPr>
          <w:sz w:val="22"/>
          <w:szCs w:val="22"/>
        </w:rPr>
        <w:t xml:space="preserve">the </w:t>
      </w:r>
      <w:r w:rsidRPr="009F0D7B">
        <w:rPr>
          <w:sz w:val="22"/>
          <w:szCs w:val="22"/>
        </w:rPr>
        <w:t xml:space="preserve">different liminal spaces </w:t>
      </w:r>
      <w:r>
        <w:rPr>
          <w:sz w:val="22"/>
          <w:szCs w:val="22"/>
        </w:rPr>
        <w:t>of</w:t>
      </w:r>
      <w:r w:rsidRPr="009F0D7B">
        <w:rPr>
          <w:sz w:val="22"/>
          <w:szCs w:val="22"/>
        </w:rPr>
        <w:t xml:space="preserve"> childhood and adulthood</w:t>
      </w:r>
      <w:r>
        <w:rPr>
          <w:sz w:val="22"/>
          <w:szCs w:val="22"/>
        </w:rPr>
        <w:t>, thereby posing challenges for legal regulation.</w:t>
      </w:r>
      <w:r>
        <w:rPr>
          <w:rStyle w:val="EndnoteReference"/>
          <w:sz w:val="22"/>
          <w:szCs w:val="22"/>
        </w:rPr>
        <w:endnoteReference w:id="40"/>
      </w:r>
      <w:r w:rsidRPr="009F0D7B">
        <w:rPr>
          <w:sz w:val="22"/>
          <w:szCs w:val="22"/>
        </w:rPr>
        <w:t xml:space="preserve"> </w:t>
      </w:r>
      <w:r>
        <w:rPr>
          <w:sz w:val="22"/>
          <w:szCs w:val="22"/>
        </w:rPr>
        <w:t>G</w:t>
      </w:r>
      <w:r w:rsidRPr="005D65EF">
        <w:rPr>
          <w:sz w:val="22"/>
          <w:szCs w:val="22"/>
        </w:rPr>
        <w:t>iven their tenuous claim</w:t>
      </w:r>
      <w:r>
        <w:rPr>
          <w:sz w:val="22"/>
          <w:szCs w:val="22"/>
        </w:rPr>
        <w:t>s</w:t>
      </w:r>
      <w:r w:rsidRPr="005D65EF">
        <w:rPr>
          <w:sz w:val="22"/>
          <w:szCs w:val="22"/>
        </w:rPr>
        <w:t xml:space="preserve"> to </w:t>
      </w:r>
      <w:r>
        <w:rPr>
          <w:sz w:val="22"/>
          <w:szCs w:val="22"/>
        </w:rPr>
        <w:t>subject</w:t>
      </w:r>
      <w:r w:rsidRPr="005D65EF">
        <w:rPr>
          <w:sz w:val="22"/>
          <w:szCs w:val="22"/>
        </w:rPr>
        <w:t xml:space="preserve">hood </w:t>
      </w:r>
      <w:r>
        <w:rPr>
          <w:sz w:val="22"/>
          <w:szCs w:val="22"/>
        </w:rPr>
        <w:t>and their existence on the borders of the human, it is arguable that companion animals are especially liminal beings. Simultaneously they live lives intimately entangled with humans, in which attachment and detachment is constantly negotiated, yet they are defined in opposition to the human</w:t>
      </w:r>
      <w:r w:rsidRPr="005D65EF">
        <w:rPr>
          <w:sz w:val="22"/>
          <w:szCs w:val="22"/>
        </w:rPr>
        <w:t>.</w:t>
      </w:r>
      <w:r>
        <w:rPr>
          <w:rStyle w:val="EndnoteReference"/>
          <w:sz w:val="22"/>
          <w:szCs w:val="22"/>
        </w:rPr>
        <w:endnoteReference w:id="41"/>
      </w:r>
      <w:r w:rsidRPr="005D65EF">
        <w:rPr>
          <w:sz w:val="22"/>
          <w:szCs w:val="22"/>
        </w:rPr>
        <w:t xml:space="preserve">  </w:t>
      </w:r>
      <w:r>
        <w:rPr>
          <w:sz w:val="22"/>
          <w:szCs w:val="22"/>
        </w:rPr>
        <w:t>S</w:t>
      </w:r>
      <w:r w:rsidRPr="005D65EF">
        <w:rPr>
          <w:sz w:val="22"/>
          <w:szCs w:val="22"/>
        </w:rPr>
        <w:t>cholars have responded</w:t>
      </w:r>
      <w:r>
        <w:rPr>
          <w:sz w:val="22"/>
          <w:szCs w:val="22"/>
        </w:rPr>
        <w:t xml:space="preserve"> to this ‘in between’ status </w:t>
      </w:r>
      <w:r w:rsidRPr="005D65EF">
        <w:rPr>
          <w:sz w:val="22"/>
          <w:szCs w:val="22"/>
        </w:rPr>
        <w:t>by proposing special categories of property, such as ‘living’ or ‘constitutive’ property</w:t>
      </w:r>
      <w:r>
        <w:rPr>
          <w:sz w:val="22"/>
          <w:szCs w:val="22"/>
        </w:rPr>
        <w:t>,</w:t>
      </w:r>
      <w:r>
        <w:rPr>
          <w:rStyle w:val="EndnoteReference"/>
          <w:sz w:val="22"/>
          <w:szCs w:val="22"/>
        </w:rPr>
        <w:endnoteReference w:id="42"/>
      </w:r>
      <w:r w:rsidRPr="005D65EF">
        <w:rPr>
          <w:color w:val="000000" w:themeColor="text1"/>
          <w:sz w:val="22"/>
          <w:szCs w:val="22"/>
        </w:rPr>
        <w:t xml:space="preserve"> </w:t>
      </w:r>
      <w:r w:rsidRPr="005D65EF">
        <w:rPr>
          <w:sz w:val="22"/>
          <w:szCs w:val="22"/>
        </w:rPr>
        <w:t xml:space="preserve">which might </w:t>
      </w:r>
      <w:r w:rsidRPr="005D65EF">
        <w:rPr>
          <w:sz w:val="22"/>
          <w:szCs w:val="22"/>
        </w:rPr>
        <w:lastRenderedPageBreak/>
        <w:t>more accurately reflect t</w:t>
      </w:r>
      <w:r>
        <w:rPr>
          <w:sz w:val="22"/>
          <w:szCs w:val="22"/>
        </w:rPr>
        <w:t>he liminal</w:t>
      </w:r>
      <w:r w:rsidRPr="005D65EF">
        <w:rPr>
          <w:sz w:val="22"/>
          <w:szCs w:val="22"/>
        </w:rPr>
        <w:t xml:space="preserve"> status of companion animals.  Others have sought to cast animals</w:t>
      </w:r>
      <w:r w:rsidRPr="005D65EF">
        <w:rPr>
          <w:b/>
          <w:sz w:val="22"/>
          <w:szCs w:val="22"/>
          <w:lang w:val="en-US"/>
        </w:rPr>
        <w:t xml:space="preserve"> as</w:t>
      </w:r>
      <w:r w:rsidRPr="005D65EF">
        <w:rPr>
          <w:sz w:val="22"/>
          <w:szCs w:val="22"/>
          <w:lang w:val="en-US"/>
        </w:rPr>
        <w:t xml:space="preserve"> rights holders</w:t>
      </w:r>
      <w:r>
        <w:rPr>
          <w:sz w:val="22"/>
          <w:szCs w:val="22"/>
          <w:lang w:val="en-US"/>
        </w:rPr>
        <w:t>,</w:t>
      </w:r>
      <w:r>
        <w:rPr>
          <w:rStyle w:val="EndnoteReference"/>
          <w:sz w:val="22"/>
          <w:szCs w:val="22"/>
          <w:lang w:val="en-US"/>
        </w:rPr>
        <w:endnoteReference w:id="43"/>
      </w:r>
      <w:r w:rsidRPr="005D65EF">
        <w:rPr>
          <w:sz w:val="22"/>
          <w:szCs w:val="22"/>
          <w:lang w:val="en-US"/>
        </w:rPr>
        <w:t xml:space="preserve"> political subjects</w:t>
      </w:r>
      <w:r>
        <w:rPr>
          <w:rStyle w:val="EndnoteReference"/>
          <w:sz w:val="22"/>
          <w:szCs w:val="22"/>
          <w:lang w:val="en-US"/>
        </w:rPr>
        <w:endnoteReference w:id="44"/>
      </w:r>
      <w:r w:rsidRPr="005D65EF">
        <w:rPr>
          <w:sz w:val="22"/>
          <w:szCs w:val="22"/>
          <w:lang w:val="en-US"/>
        </w:rPr>
        <w:t xml:space="preserve"> or citizens</w:t>
      </w:r>
      <w:r>
        <w:rPr>
          <w:sz w:val="22"/>
          <w:szCs w:val="22"/>
          <w:lang w:val="en-US"/>
        </w:rPr>
        <w:t>.</w:t>
      </w:r>
      <w:r>
        <w:rPr>
          <w:rStyle w:val="EndnoteReference"/>
          <w:sz w:val="22"/>
          <w:szCs w:val="22"/>
          <w:lang w:val="en-US"/>
        </w:rPr>
        <w:endnoteReference w:id="45"/>
      </w:r>
      <w:r w:rsidRPr="005D65EF">
        <w:rPr>
          <w:sz w:val="22"/>
          <w:szCs w:val="22"/>
          <w:lang w:val="en-US"/>
        </w:rPr>
        <w:t xml:space="preserve"> </w:t>
      </w:r>
      <w:r>
        <w:rPr>
          <w:sz w:val="22"/>
          <w:szCs w:val="22"/>
          <w:lang w:val="en-US"/>
        </w:rPr>
        <w:t xml:space="preserve"> In this article we eschew such debates, recognising the force </w:t>
      </w:r>
      <w:r>
        <w:rPr>
          <w:sz w:val="22"/>
          <w:szCs w:val="22"/>
        </w:rPr>
        <w:t>of</w:t>
      </w:r>
      <w:r w:rsidRPr="005D65EF">
        <w:rPr>
          <w:sz w:val="22"/>
          <w:szCs w:val="22"/>
        </w:rPr>
        <w:t xml:space="preserve"> Ani Satz</w:t>
      </w:r>
      <w:r>
        <w:rPr>
          <w:sz w:val="22"/>
          <w:szCs w:val="22"/>
        </w:rPr>
        <w:t>’s</w:t>
      </w:r>
      <w:r w:rsidRPr="005D65EF">
        <w:rPr>
          <w:sz w:val="22"/>
          <w:szCs w:val="22"/>
        </w:rPr>
        <w:t xml:space="preserve"> conten</w:t>
      </w:r>
      <w:r>
        <w:rPr>
          <w:sz w:val="22"/>
          <w:szCs w:val="22"/>
        </w:rPr>
        <w:t>tion that wrangles over animal status have enmeshed</w:t>
      </w:r>
      <w:r w:rsidRPr="005D65EF">
        <w:rPr>
          <w:sz w:val="22"/>
          <w:szCs w:val="22"/>
        </w:rPr>
        <w:t xml:space="preserve"> legal scholarship </w:t>
      </w:r>
      <w:r>
        <w:rPr>
          <w:sz w:val="22"/>
          <w:szCs w:val="22"/>
        </w:rPr>
        <w:t>‘</w:t>
      </w:r>
      <w:r w:rsidRPr="005D65EF">
        <w:rPr>
          <w:sz w:val="22"/>
          <w:szCs w:val="22"/>
        </w:rPr>
        <w:t>in a paralyzing debate about whether categorizing  animals as ‘persons’ instead of ‘property’ will improve their legal protections’</w:t>
      </w:r>
      <w:r>
        <w:rPr>
          <w:sz w:val="22"/>
          <w:szCs w:val="22"/>
        </w:rPr>
        <w:t>.</w:t>
      </w:r>
      <w:r>
        <w:rPr>
          <w:rStyle w:val="EndnoteReference"/>
          <w:sz w:val="22"/>
          <w:szCs w:val="22"/>
        </w:rPr>
        <w:endnoteReference w:id="46"/>
      </w:r>
      <w:r w:rsidRPr="005D65EF">
        <w:rPr>
          <w:sz w:val="22"/>
          <w:szCs w:val="22"/>
        </w:rPr>
        <w:t xml:space="preserve">  </w:t>
      </w:r>
      <w:r>
        <w:rPr>
          <w:sz w:val="22"/>
          <w:szCs w:val="22"/>
        </w:rPr>
        <w:t>Thus, we merely note the ontological struggle that law faces when</w:t>
      </w:r>
      <w:r w:rsidRPr="00687B3F">
        <w:rPr>
          <w:sz w:val="22"/>
          <w:szCs w:val="22"/>
        </w:rPr>
        <w:t xml:space="preserve"> intervening</w:t>
      </w:r>
      <w:r>
        <w:rPr>
          <w:sz w:val="22"/>
          <w:szCs w:val="22"/>
        </w:rPr>
        <w:t xml:space="preserve"> in</w:t>
      </w:r>
      <w:r w:rsidRPr="00687B3F">
        <w:rPr>
          <w:sz w:val="22"/>
          <w:szCs w:val="22"/>
        </w:rPr>
        <w:t xml:space="preserve"> or governing situations whe</w:t>
      </w:r>
      <w:r>
        <w:rPr>
          <w:sz w:val="22"/>
          <w:szCs w:val="22"/>
        </w:rPr>
        <w:t>re</w:t>
      </w:r>
      <w:r w:rsidRPr="00687B3F">
        <w:rPr>
          <w:sz w:val="22"/>
          <w:szCs w:val="22"/>
        </w:rPr>
        <w:t xml:space="preserve"> the status of the object to be regulated </w:t>
      </w:r>
      <w:r>
        <w:rPr>
          <w:sz w:val="22"/>
          <w:szCs w:val="22"/>
        </w:rPr>
        <w:t xml:space="preserve">is hazy. Below, we propose a different legal strategy to negotiate this challenge, when we turn to human rights arguments which afford protection to family members.  We argue that this can be a productive alternative to typical legal regulatory approaches, which, rather than </w:t>
      </w:r>
      <w:r w:rsidRPr="005D65EF">
        <w:rPr>
          <w:sz w:val="22"/>
          <w:szCs w:val="22"/>
        </w:rPr>
        <w:t xml:space="preserve">accommodating ambiguity and </w:t>
      </w:r>
      <w:r>
        <w:rPr>
          <w:sz w:val="22"/>
          <w:szCs w:val="22"/>
        </w:rPr>
        <w:t>liminality-</w:t>
      </w:r>
      <w:r w:rsidRPr="005D65EF">
        <w:rPr>
          <w:sz w:val="22"/>
          <w:szCs w:val="22"/>
        </w:rPr>
        <w:t xml:space="preserve"> whether pertaining to animals, embryos or other research objects</w:t>
      </w:r>
      <w:r>
        <w:rPr>
          <w:sz w:val="22"/>
          <w:szCs w:val="22"/>
        </w:rPr>
        <w:t xml:space="preserve"> </w:t>
      </w:r>
      <w:r>
        <w:rPr>
          <w:rStyle w:val="EndnoteReference"/>
          <w:sz w:val="22"/>
          <w:szCs w:val="22"/>
        </w:rPr>
        <w:endnoteReference w:id="47"/>
      </w:r>
      <w:r>
        <w:rPr>
          <w:sz w:val="22"/>
          <w:szCs w:val="22"/>
        </w:rPr>
        <w:t xml:space="preserve"> - </w:t>
      </w:r>
      <w:r w:rsidRPr="005D65EF">
        <w:rPr>
          <w:sz w:val="22"/>
          <w:szCs w:val="22"/>
        </w:rPr>
        <w:t>typically take</w:t>
      </w:r>
      <w:r>
        <w:rPr>
          <w:sz w:val="22"/>
          <w:szCs w:val="22"/>
        </w:rPr>
        <w:t xml:space="preserve"> what Graeme Laurie calls </w:t>
      </w:r>
      <w:r w:rsidRPr="005D65EF">
        <w:rPr>
          <w:sz w:val="22"/>
          <w:szCs w:val="22"/>
        </w:rPr>
        <w:t>a ‘bounded object’ approach</w:t>
      </w:r>
      <w:r>
        <w:rPr>
          <w:sz w:val="22"/>
          <w:szCs w:val="22"/>
        </w:rPr>
        <w:t xml:space="preserve">. </w:t>
      </w:r>
      <w:r w:rsidRPr="005D65EF">
        <w:rPr>
          <w:sz w:val="22"/>
          <w:szCs w:val="22"/>
        </w:rPr>
        <w:t xml:space="preserve"> </w:t>
      </w:r>
      <w:r>
        <w:rPr>
          <w:sz w:val="22"/>
          <w:szCs w:val="22"/>
        </w:rPr>
        <w:t xml:space="preserve">This involves the </w:t>
      </w:r>
      <w:r w:rsidRPr="005D65EF">
        <w:rPr>
          <w:sz w:val="22"/>
          <w:szCs w:val="22"/>
        </w:rPr>
        <w:t>creat</w:t>
      </w:r>
      <w:r>
        <w:rPr>
          <w:sz w:val="22"/>
          <w:szCs w:val="22"/>
        </w:rPr>
        <w:t>ion of</w:t>
      </w:r>
      <w:r w:rsidRPr="005D65EF">
        <w:rPr>
          <w:sz w:val="22"/>
          <w:szCs w:val="22"/>
        </w:rPr>
        <w:t xml:space="preserve"> ‘artificial constructs that become the object of regulatory attention of dedicated regulators who operate within legally defined spheres of influence or “silos”’’.</w:t>
      </w:r>
      <w:r>
        <w:rPr>
          <w:rStyle w:val="EndnoteReference"/>
          <w:sz w:val="22"/>
          <w:szCs w:val="22"/>
        </w:rPr>
        <w:endnoteReference w:id="48"/>
      </w:r>
      <w:r w:rsidRPr="005D65EF">
        <w:rPr>
          <w:sz w:val="22"/>
          <w:szCs w:val="22"/>
        </w:rPr>
        <w:t xml:space="preserve"> </w:t>
      </w:r>
      <w:r>
        <w:rPr>
          <w:sz w:val="22"/>
          <w:szCs w:val="22"/>
        </w:rPr>
        <w:t>The problematic consequences of such approaches are evident in law’s</w:t>
      </w:r>
      <w:r w:rsidRPr="005D65EF">
        <w:rPr>
          <w:sz w:val="22"/>
          <w:szCs w:val="22"/>
        </w:rPr>
        <w:t xml:space="preserve"> attempts to artificially </w:t>
      </w:r>
      <w:r>
        <w:rPr>
          <w:sz w:val="22"/>
          <w:szCs w:val="22"/>
        </w:rPr>
        <w:t>group</w:t>
      </w:r>
      <w:r w:rsidRPr="005D65EF">
        <w:rPr>
          <w:sz w:val="22"/>
          <w:szCs w:val="22"/>
        </w:rPr>
        <w:t xml:space="preserve"> all non-human animals as property, </w:t>
      </w:r>
      <w:r>
        <w:rPr>
          <w:sz w:val="22"/>
          <w:szCs w:val="22"/>
        </w:rPr>
        <w:t>and then to subject humans and animals to distinct governance regimes, even though many forms of research and technology can be categorised as hybrid.</w:t>
      </w:r>
      <w:r>
        <w:rPr>
          <w:rStyle w:val="EndnoteReference"/>
          <w:sz w:val="22"/>
          <w:szCs w:val="22"/>
        </w:rPr>
        <w:endnoteReference w:id="49"/>
      </w:r>
      <w:r>
        <w:rPr>
          <w:sz w:val="22"/>
          <w:szCs w:val="22"/>
        </w:rPr>
        <w:t xml:space="preserve"> In any event, </w:t>
      </w:r>
      <w:r w:rsidRPr="005D65EF">
        <w:rPr>
          <w:sz w:val="22"/>
          <w:szCs w:val="22"/>
        </w:rPr>
        <w:t>c</w:t>
      </w:r>
      <w:r>
        <w:rPr>
          <w:sz w:val="22"/>
          <w:szCs w:val="22"/>
        </w:rPr>
        <w:t>o</w:t>
      </w:r>
      <w:r w:rsidRPr="005D65EF">
        <w:rPr>
          <w:sz w:val="22"/>
          <w:szCs w:val="22"/>
        </w:rPr>
        <w:t>m</w:t>
      </w:r>
      <w:r>
        <w:rPr>
          <w:sz w:val="22"/>
          <w:szCs w:val="22"/>
        </w:rPr>
        <w:t>p</w:t>
      </w:r>
      <w:r w:rsidRPr="005D65EF">
        <w:rPr>
          <w:sz w:val="22"/>
          <w:szCs w:val="22"/>
        </w:rPr>
        <w:t>a</w:t>
      </w:r>
      <w:r>
        <w:rPr>
          <w:sz w:val="22"/>
          <w:szCs w:val="22"/>
        </w:rPr>
        <w:t>n</w:t>
      </w:r>
      <w:r w:rsidRPr="005D65EF">
        <w:rPr>
          <w:sz w:val="22"/>
          <w:szCs w:val="22"/>
        </w:rPr>
        <w:t xml:space="preserve">ion species </w:t>
      </w:r>
      <w:r>
        <w:rPr>
          <w:sz w:val="22"/>
          <w:szCs w:val="22"/>
        </w:rPr>
        <w:t>continue to</w:t>
      </w:r>
      <w:r w:rsidRPr="005D65EF">
        <w:rPr>
          <w:sz w:val="22"/>
          <w:szCs w:val="22"/>
        </w:rPr>
        <w:t xml:space="preserve"> elud</w:t>
      </w:r>
      <w:r>
        <w:rPr>
          <w:sz w:val="22"/>
          <w:szCs w:val="22"/>
        </w:rPr>
        <w:t>e</w:t>
      </w:r>
      <w:r w:rsidRPr="005D65EF">
        <w:rPr>
          <w:sz w:val="22"/>
          <w:szCs w:val="22"/>
        </w:rPr>
        <w:t xml:space="preserve"> neat regulatory categorisation</w:t>
      </w:r>
      <w:r>
        <w:rPr>
          <w:sz w:val="22"/>
          <w:szCs w:val="22"/>
        </w:rPr>
        <w:t xml:space="preserve"> in practice. As Howell notes, over time</w:t>
      </w:r>
      <w:r w:rsidRPr="005D65EF">
        <w:rPr>
          <w:sz w:val="22"/>
          <w:szCs w:val="22"/>
        </w:rPr>
        <w:t>:</w:t>
      </w:r>
    </w:p>
    <w:p w:rsidR="00785035" w:rsidRPr="005D65EF" w:rsidRDefault="00785035" w:rsidP="00785035">
      <w:pPr>
        <w:spacing w:line="480" w:lineRule="auto"/>
        <w:ind w:left="720"/>
        <w:rPr>
          <w:sz w:val="22"/>
          <w:szCs w:val="22"/>
        </w:rPr>
      </w:pPr>
      <w:r w:rsidRPr="005D65EF">
        <w:rPr>
          <w:sz w:val="22"/>
          <w:szCs w:val="22"/>
        </w:rPr>
        <w:t>‘there was no settled conviction that the dog was fully accepted… [t]he dog was a companion, but neither a comrade no</w:t>
      </w:r>
      <w:r>
        <w:rPr>
          <w:sz w:val="22"/>
          <w:szCs w:val="22"/>
        </w:rPr>
        <w:t>r</w:t>
      </w:r>
      <w:r w:rsidRPr="005D65EF">
        <w:rPr>
          <w:sz w:val="22"/>
          <w:szCs w:val="22"/>
        </w:rPr>
        <w:t xml:space="preserve"> a citizen, nor even (yet) a respectable member of society… the struggle over the dog’s place was never decisively settled’</w:t>
      </w:r>
      <w:r>
        <w:rPr>
          <w:sz w:val="22"/>
          <w:szCs w:val="22"/>
        </w:rPr>
        <w:t>.</w:t>
      </w:r>
      <w:r>
        <w:rPr>
          <w:rStyle w:val="EndnoteReference"/>
          <w:sz w:val="22"/>
          <w:szCs w:val="22"/>
        </w:rPr>
        <w:endnoteReference w:id="50"/>
      </w:r>
      <w:r w:rsidRPr="005D65EF">
        <w:rPr>
          <w:sz w:val="22"/>
          <w:szCs w:val="22"/>
        </w:rPr>
        <w:t xml:space="preserve"> </w:t>
      </w:r>
    </w:p>
    <w:p w:rsidR="00785035" w:rsidRPr="005D65EF" w:rsidRDefault="00785035" w:rsidP="00785035">
      <w:pPr>
        <w:spacing w:line="480" w:lineRule="auto"/>
        <w:rPr>
          <w:sz w:val="22"/>
          <w:szCs w:val="22"/>
        </w:rPr>
      </w:pPr>
      <w:r>
        <w:rPr>
          <w:sz w:val="22"/>
          <w:szCs w:val="22"/>
        </w:rPr>
        <w:t>We argue that t</w:t>
      </w:r>
      <w:r w:rsidRPr="005D65EF">
        <w:rPr>
          <w:sz w:val="22"/>
          <w:szCs w:val="22"/>
        </w:rPr>
        <w:t xml:space="preserve">he </w:t>
      </w:r>
      <w:r>
        <w:rPr>
          <w:sz w:val="22"/>
          <w:szCs w:val="22"/>
        </w:rPr>
        <w:t>animal</w:t>
      </w:r>
      <w:r w:rsidRPr="005D65EF">
        <w:rPr>
          <w:sz w:val="22"/>
          <w:szCs w:val="22"/>
        </w:rPr>
        <w:t xml:space="preserve">’s place, literally, is also apposite </w:t>
      </w:r>
      <w:r>
        <w:rPr>
          <w:sz w:val="22"/>
          <w:szCs w:val="22"/>
        </w:rPr>
        <w:t>in this struggle</w:t>
      </w:r>
      <w:r w:rsidRPr="005D65EF">
        <w:rPr>
          <w:sz w:val="22"/>
          <w:szCs w:val="22"/>
        </w:rPr>
        <w:t xml:space="preserve">. The quality of legal protections accorded to animals </w:t>
      </w:r>
      <w:r>
        <w:rPr>
          <w:sz w:val="22"/>
          <w:szCs w:val="22"/>
        </w:rPr>
        <w:t>differ</w:t>
      </w:r>
      <w:r w:rsidRPr="005D65EF">
        <w:rPr>
          <w:sz w:val="22"/>
          <w:szCs w:val="22"/>
        </w:rPr>
        <w:t>s</w:t>
      </w:r>
      <w:r>
        <w:rPr>
          <w:sz w:val="22"/>
          <w:szCs w:val="22"/>
        </w:rPr>
        <w:t xml:space="preserve"> crucially </w:t>
      </w:r>
      <w:r w:rsidRPr="005D65EF">
        <w:rPr>
          <w:sz w:val="22"/>
          <w:szCs w:val="22"/>
        </w:rPr>
        <w:t>dependent on location</w:t>
      </w:r>
      <w:r>
        <w:rPr>
          <w:sz w:val="22"/>
          <w:szCs w:val="22"/>
        </w:rPr>
        <w:t>, as</w:t>
      </w:r>
      <w:r w:rsidRPr="005D65EF">
        <w:rPr>
          <w:sz w:val="22"/>
          <w:szCs w:val="22"/>
        </w:rPr>
        <w:t xml:space="preserve"> </w:t>
      </w:r>
      <w:r>
        <w:rPr>
          <w:sz w:val="22"/>
          <w:szCs w:val="22"/>
        </w:rPr>
        <w:t>t</w:t>
      </w:r>
      <w:r w:rsidRPr="005D65EF">
        <w:rPr>
          <w:sz w:val="22"/>
          <w:szCs w:val="22"/>
        </w:rPr>
        <w:t>he variable protection of rabbits - as laboratory artefacts, pets, food, pests etc - testifies</w:t>
      </w:r>
      <w:r>
        <w:rPr>
          <w:sz w:val="22"/>
          <w:szCs w:val="22"/>
        </w:rPr>
        <w:t>.</w:t>
      </w:r>
      <w:r>
        <w:rPr>
          <w:rStyle w:val="EndnoteReference"/>
          <w:sz w:val="22"/>
          <w:szCs w:val="22"/>
        </w:rPr>
        <w:endnoteReference w:id="51"/>
      </w:r>
      <w:r w:rsidRPr="005D65EF">
        <w:rPr>
          <w:sz w:val="22"/>
          <w:szCs w:val="22"/>
        </w:rPr>
        <w:t xml:space="preserve"> </w:t>
      </w:r>
      <w:r>
        <w:rPr>
          <w:sz w:val="22"/>
          <w:szCs w:val="22"/>
        </w:rPr>
        <w:t>I</w:t>
      </w:r>
      <w:r w:rsidRPr="005D65EF">
        <w:rPr>
          <w:sz w:val="22"/>
          <w:szCs w:val="22"/>
        </w:rPr>
        <w:t>n the case of dogs</w:t>
      </w:r>
      <w:r>
        <w:rPr>
          <w:sz w:val="22"/>
          <w:szCs w:val="22"/>
        </w:rPr>
        <w:t>,</w:t>
      </w:r>
      <w:r w:rsidRPr="005D65EF">
        <w:rPr>
          <w:sz w:val="22"/>
          <w:szCs w:val="22"/>
        </w:rPr>
        <w:t xml:space="preserve"> Howell </w:t>
      </w:r>
      <w:r>
        <w:rPr>
          <w:sz w:val="22"/>
          <w:szCs w:val="22"/>
        </w:rPr>
        <w:t xml:space="preserve">traces how, historically, </w:t>
      </w:r>
      <w:r w:rsidRPr="005D65EF">
        <w:rPr>
          <w:sz w:val="22"/>
          <w:szCs w:val="22"/>
        </w:rPr>
        <w:t xml:space="preserve">the domesticated or owned </w:t>
      </w:r>
      <w:r>
        <w:rPr>
          <w:sz w:val="22"/>
          <w:szCs w:val="22"/>
        </w:rPr>
        <w:t>animal</w:t>
      </w:r>
      <w:r w:rsidRPr="005D65EF">
        <w:rPr>
          <w:sz w:val="22"/>
          <w:szCs w:val="22"/>
        </w:rPr>
        <w:t xml:space="preserve"> </w:t>
      </w:r>
      <w:r>
        <w:rPr>
          <w:sz w:val="22"/>
          <w:szCs w:val="22"/>
        </w:rPr>
        <w:t xml:space="preserve">was distinguished </w:t>
      </w:r>
      <w:r w:rsidRPr="005D65EF">
        <w:rPr>
          <w:sz w:val="22"/>
          <w:szCs w:val="22"/>
        </w:rPr>
        <w:t>from the unowned or stray</w:t>
      </w:r>
      <w:r>
        <w:rPr>
          <w:rStyle w:val="EndnoteReference"/>
          <w:sz w:val="22"/>
          <w:szCs w:val="22"/>
        </w:rPr>
        <w:endnoteReference w:id="52"/>
      </w:r>
      <w:r w:rsidRPr="005D65EF">
        <w:rPr>
          <w:sz w:val="22"/>
          <w:szCs w:val="22"/>
        </w:rPr>
        <w:t xml:space="preserve"> </w:t>
      </w:r>
      <w:r>
        <w:rPr>
          <w:sz w:val="22"/>
          <w:szCs w:val="22"/>
        </w:rPr>
        <w:t>- a dichotomy which</w:t>
      </w:r>
      <w:r w:rsidRPr="005D65EF">
        <w:rPr>
          <w:sz w:val="22"/>
          <w:szCs w:val="22"/>
        </w:rPr>
        <w:t xml:space="preserve"> </w:t>
      </w:r>
      <w:r>
        <w:rPr>
          <w:sz w:val="22"/>
          <w:szCs w:val="22"/>
        </w:rPr>
        <w:t>still</w:t>
      </w:r>
      <w:r w:rsidRPr="005D65EF">
        <w:rPr>
          <w:sz w:val="22"/>
          <w:szCs w:val="22"/>
        </w:rPr>
        <w:t xml:space="preserve"> structure</w:t>
      </w:r>
      <w:r>
        <w:rPr>
          <w:sz w:val="22"/>
          <w:szCs w:val="22"/>
        </w:rPr>
        <w:t>s</w:t>
      </w:r>
      <w:r w:rsidRPr="005D65EF">
        <w:rPr>
          <w:sz w:val="22"/>
          <w:szCs w:val="22"/>
        </w:rPr>
        <w:t xml:space="preserve"> contemporary human/</w:t>
      </w:r>
      <w:r>
        <w:rPr>
          <w:sz w:val="22"/>
          <w:szCs w:val="22"/>
        </w:rPr>
        <w:t>canine</w:t>
      </w:r>
      <w:r w:rsidRPr="005D65EF">
        <w:rPr>
          <w:sz w:val="22"/>
          <w:szCs w:val="22"/>
        </w:rPr>
        <w:t xml:space="preserve"> relations. Thus, when an </w:t>
      </w:r>
      <w:r>
        <w:rPr>
          <w:sz w:val="22"/>
          <w:szCs w:val="22"/>
        </w:rPr>
        <w:t>animal caregiver</w:t>
      </w:r>
      <w:r w:rsidRPr="005D65EF">
        <w:rPr>
          <w:sz w:val="22"/>
          <w:szCs w:val="22"/>
        </w:rPr>
        <w:t xml:space="preserve"> moves to a care/nursing home, their animal </w:t>
      </w:r>
      <w:r>
        <w:rPr>
          <w:sz w:val="22"/>
          <w:szCs w:val="22"/>
        </w:rPr>
        <w:t>may</w:t>
      </w:r>
      <w:r w:rsidRPr="005D65EF">
        <w:rPr>
          <w:sz w:val="22"/>
          <w:szCs w:val="22"/>
        </w:rPr>
        <w:t xml:space="preserve"> transition from the</w:t>
      </w:r>
      <w:r>
        <w:rPr>
          <w:sz w:val="22"/>
          <w:szCs w:val="22"/>
        </w:rPr>
        <w:t xml:space="preserve"> relatively</w:t>
      </w:r>
      <w:r w:rsidRPr="005D65EF">
        <w:rPr>
          <w:sz w:val="22"/>
          <w:szCs w:val="22"/>
        </w:rPr>
        <w:t xml:space="preserve"> protected status of companion</w:t>
      </w:r>
      <w:r>
        <w:rPr>
          <w:sz w:val="22"/>
          <w:szCs w:val="22"/>
        </w:rPr>
        <w:t xml:space="preserve"> or ‘</w:t>
      </w:r>
      <w:r w:rsidRPr="005D65EF">
        <w:rPr>
          <w:sz w:val="22"/>
          <w:szCs w:val="22"/>
        </w:rPr>
        <w:t>pet</w:t>
      </w:r>
      <w:r>
        <w:rPr>
          <w:sz w:val="22"/>
          <w:szCs w:val="22"/>
        </w:rPr>
        <w:t>’</w:t>
      </w:r>
      <w:r w:rsidRPr="005D65EF">
        <w:rPr>
          <w:sz w:val="22"/>
          <w:szCs w:val="22"/>
        </w:rPr>
        <w:t xml:space="preserve"> to the precarious status of stray.  </w:t>
      </w:r>
      <w:r>
        <w:rPr>
          <w:sz w:val="22"/>
          <w:szCs w:val="22"/>
        </w:rPr>
        <w:t>Moreover, the</w:t>
      </w:r>
      <w:r w:rsidRPr="005D65EF">
        <w:rPr>
          <w:sz w:val="22"/>
          <w:szCs w:val="22"/>
        </w:rPr>
        <w:t xml:space="preserve"> liminality </w:t>
      </w:r>
      <w:r>
        <w:rPr>
          <w:sz w:val="22"/>
          <w:szCs w:val="22"/>
        </w:rPr>
        <w:t xml:space="preserve">of this </w:t>
      </w:r>
      <w:r>
        <w:rPr>
          <w:sz w:val="22"/>
          <w:szCs w:val="22"/>
        </w:rPr>
        <w:lastRenderedPageBreak/>
        <w:t>transition is amplified in</w:t>
      </w:r>
      <w:r w:rsidRPr="005D65EF">
        <w:rPr>
          <w:sz w:val="22"/>
          <w:szCs w:val="22"/>
        </w:rPr>
        <w:t xml:space="preserve"> the particular space of the care home</w:t>
      </w:r>
      <w:r>
        <w:rPr>
          <w:sz w:val="22"/>
          <w:szCs w:val="22"/>
        </w:rPr>
        <w:t>,</w:t>
      </w:r>
      <w:r w:rsidRPr="005D65EF">
        <w:rPr>
          <w:sz w:val="22"/>
          <w:szCs w:val="22"/>
        </w:rPr>
        <w:t xml:space="preserve"> which</w:t>
      </w:r>
      <w:r>
        <w:rPr>
          <w:sz w:val="22"/>
          <w:szCs w:val="22"/>
        </w:rPr>
        <w:t xml:space="preserve"> itself</w:t>
      </w:r>
      <w:r w:rsidRPr="005D65EF">
        <w:rPr>
          <w:sz w:val="22"/>
          <w:szCs w:val="22"/>
        </w:rPr>
        <w:t xml:space="preserve"> has been cast as </w:t>
      </w:r>
      <w:r>
        <w:rPr>
          <w:sz w:val="22"/>
          <w:szCs w:val="22"/>
        </w:rPr>
        <w:t xml:space="preserve">a </w:t>
      </w:r>
      <w:r w:rsidRPr="005D65EF">
        <w:rPr>
          <w:sz w:val="22"/>
          <w:szCs w:val="22"/>
        </w:rPr>
        <w:t>liminal</w:t>
      </w:r>
      <w:r>
        <w:rPr>
          <w:sz w:val="22"/>
          <w:szCs w:val="22"/>
        </w:rPr>
        <w:t xml:space="preserve"> institution</w:t>
      </w:r>
      <w:r w:rsidRPr="005D65EF">
        <w:rPr>
          <w:sz w:val="22"/>
          <w:szCs w:val="22"/>
        </w:rPr>
        <w:t xml:space="preserve">. </w:t>
      </w:r>
      <w:r>
        <w:rPr>
          <w:sz w:val="22"/>
          <w:szCs w:val="22"/>
        </w:rPr>
        <w:t>As</w:t>
      </w:r>
      <w:r w:rsidRPr="005D65EF">
        <w:rPr>
          <w:sz w:val="22"/>
          <w:szCs w:val="22"/>
        </w:rPr>
        <w:t>, Katy McMillan and Nayha Sethi note</w:t>
      </w:r>
      <w:r>
        <w:rPr>
          <w:sz w:val="22"/>
          <w:szCs w:val="22"/>
        </w:rPr>
        <w:t>,</w:t>
      </w:r>
      <w:r w:rsidRPr="005D65EF">
        <w:rPr>
          <w:sz w:val="22"/>
          <w:szCs w:val="22"/>
        </w:rPr>
        <w:t xml:space="preserve"> care homes are:</w:t>
      </w:r>
    </w:p>
    <w:p w:rsidR="00785035" w:rsidRPr="005D65EF" w:rsidRDefault="00785035" w:rsidP="00785035">
      <w:pPr>
        <w:spacing w:line="480" w:lineRule="auto"/>
        <w:ind w:left="720"/>
        <w:rPr>
          <w:sz w:val="22"/>
          <w:szCs w:val="22"/>
        </w:rPr>
      </w:pPr>
      <w:r w:rsidRPr="005D65EF">
        <w:rPr>
          <w:sz w:val="22"/>
          <w:szCs w:val="22"/>
        </w:rPr>
        <w:t>‘sites of liminality and flux, both as institutions, and for those who spend time there in their respective roles. Liminality is central to the lives of residents, care workers and families involved, albeit in different ways’.</w:t>
      </w:r>
      <w:r>
        <w:rPr>
          <w:rStyle w:val="EndnoteReference"/>
          <w:sz w:val="22"/>
          <w:szCs w:val="22"/>
        </w:rPr>
        <w:endnoteReference w:id="53"/>
      </w:r>
    </w:p>
    <w:p w:rsidR="00785035" w:rsidRPr="0063797D" w:rsidRDefault="00785035" w:rsidP="00785035">
      <w:pPr>
        <w:spacing w:line="480" w:lineRule="auto"/>
        <w:rPr>
          <w:sz w:val="22"/>
          <w:szCs w:val="22"/>
        </w:rPr>
      </w:pPr>
      <w:r>
        <w:rPr>
          <w:sz w:val="22"/>
          <w:szCs w:val="22"/>
        </w:rPr>
        <w:t>Thus, u</w:t>
      </w:r>
      <w:r w:rsidRPr="005D65EF">
        <w:rPr>
          <w:sz w:val="22"/>
          <w:szCs w:val="22"/>
        </w:rPr>
        <w:t xml:space="preserve">nderstood as liminal zones, care homes encompass liminal activities – caring – and liminal </w:t>
      </w:r>
      <w:r>
        <w:rPr>
          <w:sz w:val="22"/>
          <w:szCs w:val="22"/>
        </w:rPr>
        <w:t>being</w:t>
      </w:r>
      <w:r w:rsidRPr="005D65EF">
        <w:rPr>
          <w:sz w:val="22"/>
          <w:szCs w:val="22"/>
        </w:rPr>
        <w:t>s – the residents/carers etc who inhabit the</w:t>
      </w:r>
      <w:r>
        <w:rPr>
          <w:sz w:val="22"/>
          <w:szCs w:val="22"/>
        </w:rPr>
        <w:t>m</w:t>
      </w:r>
      <w:r w:rsidRPr="005D65EF">
        <w:rPr>
          <w:sz w:val="22"/>
          <w:szCs w:val="22"/>
        </w:rPr>
        <w:t xml:space="preserve">. </w:t>
      </w:r>
      <w:r>
        <w:rPr>
          <w:sz w:val="22"/>
          <w:szCs w:val="22"/>
        </w:rPr>
        <w:t xml:space="preserve"> S</w:t>
      </w:r>
      <w:r w:rsidRPr="005D65EF">
        <w:rPr>
          <w:sz w:val="22"/>
          <w:szCs w:val="22"/>
        </w:rPr>
        <w:t xml:space="preserve">uch spaces are simultaneously domestic and institutional, </w:t>
      </w:r>
      <w:r w:rsidRPr="004E5905">
        <w:rPr>
          <w:sz w:val="22"/>
          <w:szCs w:val="22"/>
        </w:rPr>
        <w:t xml:space="preserve">public and private, </w:t>
      </w:r>
      <w:r w:rsidRPr="005D65EF">
        <w:rPr>
          <w:sz w:val="22"/>
          <w:szCs w:val="22"/>
        </w:rPr>
        <w:t xml:space="preserve">‘home’ </w:t>
      </w:r>
      <w:r>
        <w:rPr>
          <w:sz w:val="22"/>
          <w:szCs w:val="22"/>
        </w:rPr>
        <w:t>but</w:t>
      </w:r>
      <w:r w:rsidRPr="005D65EF">
        <w:rPr>
          <w:sz w:val="22"/>
          <w:szCs w:val="22"/>
        </w:rPr>
        <w:t xml:space="preserve"> ‘not home</w:t>
      </w:r>
      <w:r>
        <w:rPr>
          <w:sz w:val="22"/>
          <w:szCs w:val="22"/>
        </w:rPr>
        <w:t>’, frequently</w:t>
      </w:r>
      <w:r w:rsidRPr="005D65EF">
        <w:rPr>
          <w:sz w:val="22"/>
          <w:szCs w:val="22"/>
        </w:rPr>
        <w:t xml:space="preserve"> an interzone between life and death</w:t>
      </w:r>
      <w:r>
        <w:rPr>
          <w:sz w:val="22"/>
          <w:szCs w:val="22"/>
        </w:rPr>
        <w:t>.  Indeed a</w:t>
      </w:r>
      <w:r w:rsidRPr="0063797D">
        <w:rPr>
          <w:sz w:val="22"/>
          <w:szCs w:val="22"/>
        </w:rPr>
        <w:t>s Squier has argued, ag</w:t>
      </w:r>
      <w:r>
        <w:rPr>
          <w:sz w:val="22"/>
          <w:szCs w:val="22"/>
        </w:rPr>
        <w:t>e</w:t>
      </w:r>
      <w:r w:rsidRPr="0063797D">
        <w:rPr>
          <w:sz w:val="22"/>
          <w:szCs w:val="22"/>
        </w:rPr>
        <w:t>ing itself is ‘the last liminal moment’.</w:t>
      </w:r>
      <w:r w:rsidRPr="0063797D">
        <w:rPr>
          <w:sz w:val="22"/>
          <w:szCs w:val="22"/>
          <w:vertAlign w:val="superscript"/>
        </w:rPr>
        <w:endnoteReference w:id="54"/>
      </w:r>
      <w:r>
        <w:rPr>
          <w:sz w:val="22"/>
          <w:szCs w:val="22"/>
        </w:rPr>
        <w:t xml:space="preserve"> T</w:t>
      </w:r>
      <w:r w:rsidRPr="005D65EF">
        <w:rPr>
          <w:sz w:val="22"/>
          <w:szCs w:val="22"/>
        </w:rPr>
        <w:t>hrough the lens of liminality</w:t>
      </w:r>
      <w:r>
        <w:rPr>
          <w:sz w:val="22"/>
          <w:szCs w:val="22"/>
        </w:rPr>
        <w:t>, then,</w:t>
      </w:r>
      <w:r w:rsidRPr="005D65EF">
        <w:rPr>
          <w:sz w:val="22"/>
          <w:szCs w:val="22"/>
        </w:rPr>
        <w:t xml:space="preserve"> </w:t>
      </w:r>
      <w:r>
        <w:rPr>
          <w:sz w:val="22"/>
          <w:szCs w:val="22"/>
        </w:rPr>
        <w:t>care/nursing homes</w:t>
      </w:r>
      <w:r w:rsidRPr="005D65EF">
        <w:rPr>
          <w:sz w:val="22"/>
          <w:szCs w:val="22"/>
        </w:rPr>
        <w:t xml:space="preserve"> </w:t>
      </w:r>
      <w:r>
        <w:rPr>
          <w:sz w:val="22"/>
          <w:szCs w:val="22"/>
        </w:rPr>
        <w:t>can be seen as</w:t>
      </w:r>
      <w:r w:rsidRPr="005D65EF">
        <w:rPr>
          <w:sz w:val="22"/>
          <w:szCs w:val="22"/>
        </w:rPr>
        <w:t xml:space="preserve"> contested regulatory spaces where relationships are governed, socio-spatial borderlines are drawn and hierarchies</w:t>
      </w:r>
      <w:r>
        <w:rPr>
          <w:sz w:val="22"/>
          <w:szCs w:val="22"/>
        </w:rPr>
        <w:t xml:space="preserve"> (</w:t>
      </w:r>
      <w:r w:rsidRPr="005D65EF">
        <w:rPr>
          <w:sz w:val="22"/>
          <w:szCs w:val="22"/>
        </w:rPr>
        <w:t>including species</w:t>
      </w:r>
      <w:r>
        <w:rPr>
          <w:sz w:val="22"/>
          <w:szCs w:val="22"/>
        </w:rPr>
        <w:t>)</w:t>
      </w:r>
      <w:r w:rsidRPr="005D65EF">
        <w:rPr>
          <w:sz w:val="22"/>
          <w:szCs w:val="22"/>
        </w:rPr>
        <w:t xml:space="preserve"> are maintained and perpetuated.</w:t>
      </w:r>
      <w:r>
        <w:rPr>
          <w:rStyle w:val="EndnoteReference"/>
          <w:sz w:val="22"/>
          <w:szCs w:val="22"/>
        </w:rPr>
        <w:endnoteReference w:id="55"/>
      </w:r>
      <w:r w:rsidRPr="005D65EF">
        <w:rPr>
          <w:sz w:val="22"/>
          <w:szCs w:val="22"/>
        </w:rPr>
        <w:t xml:space="preserve">  </w:t>
      </w:r>
      <w:r>
        <w:rPr>
          <w:sz w:val="22"/>
          <w:szCs w:val="22"/>
        </w:rPr>
        <w:t>T</w:t>
      </w:r>
      <w:r w:rsidRPr="005D65EF">
        <w:rPr>
          <w:sz w:val="22"/>
          <w:szCs w:val="22"/>
        </w:rPr>
        <w:t>hey are spaces where vulnerabilities can be realised</w:t>
      </w:r>
      <w:r>
        <w:rPr>
          <w:sz w:val="22"/>
          <w:szCs w:val="22"/>
        </w:rPr>
        <w:t xml:space="preserve">, but importantly for our argument where they can also be </w:t>
      </w:r>
      <w:r w:rsidRPr="005D65EF">
        <w:rPr>
          <w:sz w:val="22"/>
          <w:szCs w:val="22"/>
        </w:rPr>
        <w:t>mitigated.</w:t>
      </w:r>
      <w:r>
        <w:rPr>
          <w:sz w:val="22"/>
          <w:szCs w:val="22"/>
        </w:rPr>
        <w:t xml:space="preserve">  Congruent</w:t>
      </w:r>
      <w:r w:rsidRPr="005D65EF">
        <w:rPr>
          <w:sz w:val="22"/>
          <w:szCs w:val="22"/>
        </w:rPr>
        <w:t xml:space="preserve"> with Laurie’s observation that liminality can provide negative and positive group</w:t>
      </w:r>
      <w:r>
        <w:rPr>
          <w:sz w:val="22"/>
          <w:szCs w:val="22"/>
        </w:rPr>
        <w:t>-</w:t>
      </w:r>
      <w:r w:rsidRPr="005D65EF">
        <w:rPr>
          <w:sz w:val="22"/>
          <w:szCs w:val="22"/>
        </w:rPr>
        <w:t>based experiences</w:t>
      </w:r>
      <w:r>
        <w:rPr>
          <w:sz w:val="22"/>
          <w:szCs w:val="22"/>
        </w:rPr>
        <w:t>,</w:t>
      </w:r>
      <w:r>
        <w:rPr>
          <w:rStyle w:val="EndnoteReference"/>
          <w:sz w:val="22"/>
          <w:szCs w:val="22"/>
        </w:rPr>
        <w:endnoteReference w:id="56"/>
      </w:r>
      <w:r w:rsidRPr="005D65EF">
        <w:rPr>
          <w:sz w:val="22"/>
          <w:szCs w:val="22"/>
        </w:rPr>
        <w:t xml:space="preserve"> </w:t>
      </w:r>
      <w:r>
        <w:rPr>
          <w:sz w:val="22"/>
          <w:szCs w:val="22"/>
        </w:rPr>
        <w:t>we suggest that a</w:t>
      </w:r>
      <w:r w:rsidRPr="005D65EF">
        <w:rPr>
          <w:sz w:val="22"/>
          <w:szCs w:val="22"/>
        </w:rPr>
        <w:t xml:space="preserve"> collective liminal state of shared vulnerability can </w:t>
      </w:r>
      <w:r>
        <w:rPr>
          <w:sz w:val="22"/>
          <w:szCs w:val="22"/>
        </w:rPr>
        <w:t>serve as</w:t>
      </w:r>
      <w:r w:rsidRPr="005D65EF">
        <w:rPr>
          <w:sz w:val="22"/>
          <w:szCs w:val="22"/>
        </w:rPr>
        <w:t xml:space="preserve"> a vital resource for human</w:t>
      </w:r>
      <w:r>
        <w:rPr>
          <w:sz w:val="22"/>
          <w:szCs w:val="22"/>
        </w:rPr>
        <w:t>s</w:t>
      </w:r>
      <w:r w:rsidRPr="005D65EF">
        <w:rPr>
          <w:sz w:val="22"/>
          <w:szCs w:val="22"/>
        </w:rPr>
        <w:t xml:space="preserve"> and animal</w:t>
      </w:r>
      <w:r>
        <w:rPr>
          <w:sz w:val="22"/>
          <w:szCs w:val="22"/>
        </w:rPr>
        <w:t xml:space="preserve">s negotiating these spaces.  Clearly, our intimate entanglements with animals, and the </w:t>
      </w:r>
      <w:r w:rsidRPr="000B34C6">
        <w:rPr>
          <w:sz w:val="22"/>
          <w:szCs w:val="22"/>
        </w:rPr>
        <w:t>interdependency and ne</w:t>
      </w:r>
      <w:r>
        <w:rPr>
          <w:sz w:val="22"/>
          <w:szCs w:val="22"/>
        </w:rPr>
        <w:t>cessity</w:t>
      </w:r>
      <w:r w:rsidRPr="000B34C6">
        <w:rPr>
          <w:sz w:val="22"/>
          <w:szCs w:val="22"/>
        </w:rPr>
        <w:t xml:space="preserve"> for care </w:t>
      </w:r>
      <w:r>
        <w:rPr>
          <w:sz w:val="22"/>
          <w:szCs w:val="22"/>
        </w:rPr>
        <w:t xml:space="preserve">this </w:t>
      </w:r>
      <w:r w:rsidRPr="000B34C6">
        <w:rPr>
          <w:sz w:val="22"/>
          <w:szCs w:val="22"/>
        </w:rPr>
        <w:t xml:space="preserve">can </w:t>
      </w:r>
      <w:r>
        <w:rPr>
          <w:sz w:val="22"/>
          <w:szCs w:val="22"/>
        </w:rPr>
        <w:t xml:space="preserve">entail in older age, </w:t>
      </w:r>
      <w:r w:rsidRPr="000B34C6">
        <w:rPr>
          <w:sz w:val="22"/>
          <w:szCs w:val="22"/>
        </w:rPr>
        <w:t>render both parties vulnerable to dispossession and displacement.</w:t>
      </w:r>
      <w:r w:rsidRPr="000B34C6">
        <w:rPr>
          <w:sz w:val="22"/>
          <w:szCs w:val="22"/>
          <w:vertAlign w:val="superscript"/>
        </w:rPr>
        <w:endnoteReference w:id="57"/>
      </w:r>
      <w:r w:rsidRPr="000B34C6">
        <w:rPr>
          <w:sz w:val="22"/>
          <w:szCs w:val="22"/>
        </w:rPr>
        <w:t xml:space="preserve">  </w:t>
      </w:r>
      <w:r w:rsidRPr="005D65EF">
        <w:rPr>
          <w:sz w:val="22"/>
          <w:szCs w:val="22"/>
        </w:rPr>
        <w:t>Bob and Darcie</w:t>
      </w:r>
      <w:r>
        <w:rPr>
          <w:sz w:val="22"/>
          <w:szCs w:val="22"/>
        </w:rPr>
        <w:t>’s case</w:t>
      </w:r>
      <w:r w:rsidRPr="005D65EF">
        <w:rPr>
          <w:sz w:val="22"/>
          <w:szCs w:val="22"/>
        </w:rPr>
        <w:t xml:space="preserve"> vividly highlights </w:t>
      </w:r>
      <w:r>
        <w:rPr>
          <w:sz w:val="22"/>
          <w:szCs w:val="22"/>
        </w:rPr>
        <w:t xml:space="preserve">how </w:t>
      </w:r>
      <w:r w:rsidRPr="005D65EF">
        <w:rPr>
          <w:sz w:val="22"/>
          <w:szCs w:val="22"/>
        </w:rPr>
        <w:t>those entering the ‘fourth age’</w:t>
      </w:r>
      <w:r>
        <w:rPr>
          <w:rStyle w:val="EndnoteReference"/>
          <w:sz w:val="22"/>
          <w:szCs w:val="22"/>
        </w:rPr>
        <w:endnoteReference w:id="58"/>
      </w:r>
      <w:r w:rsidRPr="005D65EF">
        <w:rPr>
          <w:sz w:val="22"/>
          <w:szCs w:val="22"/>
        </w:rPr>
        <w:t xml:space="preserve"> may</w:t>
      </w:r>
      <w:r>
        <w:rPr>
          <w:sz w:val="22"/>
          <w:szCs w:val="22"/>
        </w:rPr>
        <w:t>,</w:t>
      </w:r>
      <w:r w:rsidRPr="005D65EF">
        <w:rPr>
          <w:sz w:val="22"/>
          <w:szCs w:val="22"/>
        </w:rPr>
        <w:t xml:space="preserve"> in the absence of other resources</w:t>
      </w:r>
      <w:r>
        <w:rPr>
          <w:sz w:val="22"/>
          <w:szCs w:val="22"/>
        </w:rPr>
        <w:t>,</w:t>
      </w:r>
      <w:r w:rsidRPr="005D65EF">
        <w:rPr>
          <w:sz w:val="22"/>
          <w:szCs w:val="22"/>
        </w:rPr>
        <w:t xml:space="preserve"> become dependent on care home provision</w:t>
      </w:r>
      <w:r>
        <w:rPr>
          <w:sz w:val="22"/>
          <w:szCs w:val="22"/>
        </w:rPr>
        <w:t xml:space="preserve">. Their living arrangements become </w:t>
      </w:r>
      <w:r w:rsidRPr="000B34C6">
        <w:rPr>
          <w:sz w:val="22"/>
          <w:szCs w:val="22"/>
        </w:rPr>
        <w:t>susceptible to the vagaries of management policies</w:t>
      </w:r>
      <w:r>
        <w:rPr>
          <w:sz w:val="22"/>
          <w:szCs w:val="22"/>
        </w:rPr>
        <w:t xml:space="preserve"> and may be</w:t>
      </w:r>
      <w:r w:rsidRPr="000B34C6">
        <w:rPr>
          <w:sz w:val="22"/>
          <w:szCs w:val="22"/>
        </w:rPr>
        <w:t xml:space="preserve"> </w:t>
      </w:r>
      <w:r w:rsidRPr="005D65EF">
        <w:rPr>
          <w:sz w:val="22"/>
          <w:szCs w:val="22"/>
        </w:rPr>
        <w:t xml:space="preserve">conditional </w:t>
      </w:r>
      <w:r>
        <w:rPr>
          <w:sz w:val="22"/>
          <w:szCs w:val="22"/>
        </w:rPr>
        <w:t>on them (as well as their families/animals)</w:t>
      </w:r>
      <w:r w:rsidRPr="005D65EF">
        <w:rPr>
          <w:sz w:val="22"/>
          <w:szCs w:val="22"/>
        </w:rPr>
        <w:t xml:space="preserve"> </w:t>
      </w:r>
      <w:r w:rsidRPr="00523EBB">
        <w:rPr>
          <w:sz w:val="22"/>
          <w:szCs w:val="22"/>
        </w:rPr>
        <w:t>conform</w:t>
      </w:r>
      <w:r>
        <w:rPr>
          <w:sz w:val="22"/>
          <w:szCs w:val="22"/>
        </w:rPr>
        <w:t>ing</w:t>
      </w:r>
      <w:r w:rsidRPr="00523EBB">
        <w:rPr>
          <w:sz w:val="22"/>
          <w:szCs w:val="22"/>
        </w:rPr>
        <w:t xml:space="preserve"> to norms of acceptable behaviour.</w:t>
      </w:r>
      <w:r>
        <w:rPr>
          <w:rStyle w:val="EndnoteReference"/>
          <w:sz w:val="22"/>
          <w:szCs w:val="22"/>
        </w:rPr>
        <w:endnoteReference w:id="59"/>
      </w:r>
      <w:r w:rsidRPr="005D65EF">
        <w:rPr>
          <w:sz w:val="22"/>
          <w:szCs w:val="22"/>
        </w:rPr>
        <w:t xml:space="preserve"> </w:t>
      </w:r>
      <w:r>
        <w:rPr>
          <w:sz w:val="22"/>
          <w:szCs w:val="22"/>
        </w:rPr>
        <w:t xml:space="preserve"> </w:t>
      </w:r>
      <w:r w:rsidRPr="005D65EF">
        <w:rPr>
          <w:sz w:val="22"/>
          <w:szCs w:val="22"/>
        </w:rPr>
        <w:t xml:space="preserve">Older people whose condition deteriorates may be </w:t>
      </w:r>
      <w:r>
        <w:rPr>
          <w:sz w:val="22"/>
          <w:szCs w:val="22"/>
        </w:rPr>
        <w:t>deemed</w:t>
      </w:r>
      <w:r w:rsidRPr="005D65EF">
        <w:rPr>
          <w:sz w:val="22"/>
          <w:szCs w:val="22"/>
        </w:rPr>
        <w:t xml:space="preserve"> to have needs too complex to be cared for in that site and may, like their animals, be de</w:t>
      </w:r>
      <w:r>
        <w:rPr>
          <w:sz w:val="22"/>
          <w:szCs w:val="22"/>
        </w:rPr>
        <w:t>signated</w:t>
      </w:r>
      <w:r w:rsidRPr="005D65EF">
        <w:rPr>
          <w:sz w:val="22"/>
          <w:szCs w:val="22"/>
        </w:rPr>
        <w:t xml:space="preserve"> </w:t>
      </w:r>
      <w:r>
        <w:rPr>
          <w:sz w:val="22"/>
          <w:szCs w:val="22"/>
        </w:rPr>
        <w:t>‘</w:t>
      </w:r>
      <w:r w:rsidRPr="005D65EF">
        <w:rPr>
          <w:sz w:val="22"/>
          <w:szCs w:val="22"/>
        </w:rPr>
        <w:t>out of place</w:t>
      </w:r>
      <w:r>
        <w:rPr>
          <w:sz w:val="22"/>
          <w:szCs w:val="22"/>
        </w:rPr>
        <w:t>’</w:t>
      </w:r>
      <w:r w:rsidRPr="005D65EF">
        <w:rPr>
          <w:sz w:val="22"/>
          <w:szCs w:val="22"/>
        </w:rPr>
        <w:t xml:space="preserve">.  </w:t>
      </w:r>
      <w:r w:rsidRPr="000B34C6">
        <w:rPr>
          <w:sz w:val="22"/>
          <w:szCs w:val="22"/>
        </w:rPr>
        <w:t>Yet limin</w:t>
      </w:r>
      <w:r>
        <w:rPr>
          <w:sz w:val="22"/>
          <w:szCs w:val="22"/>
        </w:rPr>
        <w:t xml:space="preserve">al </w:t>
      </w:r>
      <w:r w:rsidRPr="000B34C6">
        <w:rPr>
          <w:sz w:val="22"/>
          <w:szCs w:val="22"/>
        </w:rPr>
        <w:t xml:space="preserve">states can </w:t>
      </w:r>
      <w:r>
        <w:rPr>
          <w:sz w:val="22"/>
          <w:szCs w:val="22"/>
        </w:rPr>
        <w:t xml:space="preserve">simultaneously </w:t>
      </w:r>
      <w:r w:rsidRPr="000B34C6">
        <w:rPr>
          <w:sz w:val="22"/>
          <w:szCs w:val="22"/>
        </w:rPr>
        <w:t>foster an open</w:t>
      </w:r>
      <w:r>
        <w:rPr>
          <w:sz w:val="22"/>
          <w:szCs w:val="22"/>
        </w:rPr>
        <w:t>ness</w:t>
      </w:r>
      <w:r w:rsidRPr="000B34C6">
        <w:rPr>
          <w:sz w:val="22"/>
          <w:szCs w:val="22"/>
        </w:rPr>
        <w:t xml:space="preserve"> to </w:t>
      </w:r>
      <w:r>
        <w:rPr>
          <w:sz w:val="22"/>
          <w:szCs w:val="22"/>
        </w:rPr>
        <w:t xml:space="preserve">intimate </w:t>
      </w:r>
      <w:r w:rsidRPr="000B34C6">
        <w:rPr>
          <w:sz w:val="22"/>
          <w:szCs w:val="22"/>
        </w:rPr>
        <w:t xml:space="preserve">relationships </w:t>
      </w:r>
      <w:r>
        <w:rPr>
          <w:sz w:val="22"/>
          <w:szCs w:val="22"/>
        </w:rPr>
        <w:t xml:space="preserve">and </w:t>
      </w:r>
      <w:r w:rsidRPr="005D65EF">
        <w:rPr>
          <w:sz w:val="22"/>
          <w:szCs w:val="22"/>
        </w:rPr>
        <w:t xml:space="preserve">generate a </w:t>
      </w:r>
      <w:r>
        <w:rPr>
          <w:sz w:val="22"/>
          <w:szCs w:val="22"/>
        </w:rPr>
        <w:t>collective</w:t>
      </w:r>
      <w:r w:rsidRPr="005D65EF">
        <w:rPr>
          <w:sz w:val="22"/>
          <w:szCs w:val="22"/>
        </w:rPr>
        <w:t xml:space="preserve"> sense </w:t>
      </w:r>
      <w:r>
        <w:rPr>
          <w:sz w:val="22"/>
          <w:szCs w:val="22"/>
        </w:rPr>
        <w:t>that</w:t>
      </w:r>
      <w:r w:rsidRPr="005D65EF">
        <w:rPr>
          <w:sz w:val="22"/>
          <w:szCs w:val="22"/>
        </w:rPr>
        <w:t xml:space="preserve"> Turner has </w:t>
      </w:r>
      <w:r>
        <w:rPr>
          <w:sz w:val="22"/>
          <w:szCs w:val="22"/>
        </w:rPr>
        <w:t>term</w:t>
      </w:r>
      <w:r w:rsidRPr="005D65EF">
        <w:rPr>
          <w:sz w:val="22"/>
          <w:szCs w:val="22"/>
        </w:rPr>
        <w:t>ed ‘communitas’</w:t>
      </w:r>
      <w:r>
        <w:rPr>
          <w:sz w:val="22"/>
          <w:szCs w:val="22"/>
        </w:rPr>
        <w:t>.</w:t>
      </w:r>
      <w:r>
        <w:rPr>
          <w:rStyle w:val="EndnoteReference"/>
          <w:sz w:val="22"/>
          <w:szCs w:val="22"/>
        </w:rPr>
        <w:endnoteReference w:id="60"/>
      </w:r>
      <w:r>
        <w:rPr>
          <w:sz w:val="22"/>
          <w:szCs w:val="22"/>
        </w:rPr>
        <w:t xml:space="preserve"> Susan Squier explains communitas as ‘a symbolically en</w:t>
      </w:r>
      <w:r w:rsidRPr="006917D0">
        <w:rPr>
          <w:sz w:val="22"/>
          <w:szCs w:val="22"/>
        </w:rPr>
        <w:t>coded</w:t>
      </w:r>
      <w:r>
        <w:rPr>
          <w:sz w:val="22"/>
          <w:szCs w:val="22"/>
        </w:rPr>
        <w:t xml:space="preserve"> set of behaviors and experiences that are </w:t>
      </w:r>
      <w:r>
        <w:rPr>
          <w:i/>
          <w:sz w:val="22"/>
          <w:szCs w:val="22"/>
        </w:rPr>
        <w:t>in between</w:t>
      </w:r>
      <w:r>
        <w:rPr>
          <w:sz w:val="22"/>
          <w:szCs w:val="22"/>
        </w:rPr>
        <w:t xml:space="preserve"> in the sense both of being in transition and being held in common’.</w:t>
      </w:r>
      <w:r>
        <w:rPr>
          <w:rStyle w:val="EndnoteReference"/>
          <w:sz w:val="22"/>
          <w:szCs w:val="22"/>
        </w:rPr>
        <w:endnoteReference w:id="61"/>
      </w:r>
      <w:r>
        <w:rPr>
          <w:sz w:val="22"/>
          <w:szCs w:val="22"/>
        </w:rPr>
        <w:t xml:space="preserve"> For Paul </w:t>
      </w:r>
      <w:r w:rsidRPr="005D65EF">
        <w:rPr>
          <w:sz w:val="22"/>
          <w:szCs w:val="22"/>
        </w:rPr>
        <w:t>Stoller</w:t>
      </w:r>
      <w:r>
        <w:rPr>
          <w:sz w:val="22"/>
          <w:szCs w:val="22"/>
        </w:rPr>
        <w:t>,</w:t>
      </w:r>
      <w:r w:rsidRPr="005D65EF">
        <w:rPr>
          <w:sz w:val="22"/>
          <w:szCs w:val="22"/>
        </w:rPr>
        <w:t xml:space="preserve"> </w:t>
      </w:r>
      <w:r>
        <w:rPr>
          <w:sz w:val="22"/>
          <w:szCs w:val="22"/>
        </w:rPr>
        <w:t>this state may</w:t>
      </w:r>
      <w:r w:rsidRPr="005D65EF">
        <w:rPr>
          <w:sz w:val="22"/>
          <w:szCs w:val="22"/>
        </w:rPr>
        <w:t xml:space="preserve"> </w:t>
      </w:r>
      <w:r>
        <w:rPr>
          <w:sz w:val="22"/>
          <w:szCs w:val="22"/>
        </w:rPr>
        <w:t>engender</w:t>
      </w:r>
      <w:r w:rsidRPr="005D65EF">
        <w:rPr>
          <w:sz w:val="22"/>
          <w:szCs w:val="22"/>
        </w:rPr>
        <w:t xml:space="preserve"> a form of camaraderie</w:t>
      </w:r>
      <w:r>
        <w:rPr>
          <w:sz w:val="22"/>
          <w:szCs w:val="22"/>
        </w:rPr>
        <w:t xml:space="preserve"> between liminal, and often submissive, beings</w:t>
      </w:r>
      <w:r w:rsidRPr="005D65EF">
        <w:rPr>
          <w:sz w:val="22"/>
          <w:szCs w:val="22"/>
        </w:rPr>
        <w:t>:</w:t>
      </w:r>
    </w:p>
    <w:p w:rsidR="00785035" w:rsidRPr="005D65EF" w:rsidRDefault="00785035" w:rsidP="00785035">
      <w:pPr>
        <w:spacing w:line="480" w:lineRule="auto"/>
        <w:ind w:left="720"/>
        <w:rPr>
          <w:sz w:val="22"/>
          <w:szCs w:val="22"/>
        </w:rPr>
      </w:pPr>
      <w:r>
        <w:rPr>
          <w:sz w:val="22"/>
          <w:szCs w:val="22"/>
        </w:rPr>
        <w:lastRenderedPageBreak/>
        <w:t>‘</w:t>
      </w:r>
      <w:r w:rsidRPr="005D65EF">
        <w:rPr>
          <w:sz w:val="22"/>
          <w:szCs w:val="22"/>
        </w:rPr>
        <w:t>People in liminal states tend to be humble. They usually do what they are told – often without complaint. They accept regimes of pain. They are reduced to a common denominator so that they might be reconstituted. These processes create an intense camaraderie, which washes away differences in age, social status and ethnicity</w:t>
      </w:r>
      <w:r>
        <w:rPr>
          <w:sz w:val="22"/>
          <w:szCs w:val="22"/>
        </w:rPr>
        <w:t>’.</w:t>
      </w:r>
      <w:r>
        <w:rPr>
          <w:rStyle w:val="EndnoteReference"/>
          <w:sz w:val="22"/>
          <w:szCs w:val="22"/>
        </w:rPr>
        <w:endnoteReference w:id="62"/>
      </w:r>
    </w:p>
    <w:p w:rsidR="00785035" w:rsidRDefault="00785035" w:rsidP="00785035">
      <w:pPr>
        <w:spacing w:line="480" w:lineRule="auto"/>
        <w:rPr>
          <w:sz w:val="22"/>
          <w:szCs w:val="22"/>
          <w:lang w:val="en-US"/>
        </w:rPr>
      </w:pPr>
      <w:r>
        <w:rPr>
          <w:sz w:val="22"/>
          <w:szCs w:val="22"/>
        </w:rPr>
        <w:t>We suggest that s</w:t>
      </w:r>
      <w:r w:rsidRPr="005D65EF">
        <w:rPr>
          <w:sz w:val="22"/>
          <w:szCs w:val="22"/>
        </w:rPr>
        <w:t>pecies differences too may be eliminated or rendered unimportant in liminal spaces</w:t>
      </w:r>
      <w:r>
        <w:rPr>
          <w:sz w:val="22"/>
          <w:szCs w:val="22"/>
        </w:rPr>
        <w:t xml:space="preserve"> such as care homes, where status distinctions are erased as social structures break down. </w:t>
      </w:r>
      <w:r w:rsidRPr="005D65EF">
        <w:rPr>
          <w:sz w:val="22"/>
          <w:szCs w:val="22"/>
        </w:rPr>
        <w:t xml:space="preserve"> </w:t>
      </w:r>
      <w:r>
        <w:rPr>
          <w:sz w:val="22"/>
          <w:szCs w:val="22"/>
        </w:rPr>
        <w:t xml:space="preserve">In similar vein, </w:t>
      </w:r>
      <w:r w:rsidRPr="0028446F">
        <w:rPr>
          <w:sz w:val="22"/>
          <w:szCs w:val="22"/>
          <w:lang w:val="en-US"/>
        </w:rPr>
        <w:t>Fineman argue</w:t>
      </w:r>
      <w:r>
        <w:rPr>
          <w:sz w:val="22"/>
          <w:szCs w:val="22"/>
          <w:lang w:val="en-US"/>
        </w:rPr>
        <w:t>s</w:t>
      </w:r>
      <w:r w:rsidRPr="0028446F">
        <w:rPr>
          <w:sz w:val="22"/>
          <w:szCs w:val="22"/>
          <w:lang w:val="en-US"/>
        </w:rPr>
        <w:t xml:space="preserve"> </w:t>
      </w:r>
      <w:r>
        <w:rPr>
          <w:sz w:val="22"/>
          <w:szCs w:val="22"/>
          <w:lang w:val="en-US"/>
        </w:rPr>
        <w:t xml:space="preserve">persuasively that </w:t>
      </w:r>
      <w:r>
        <w:rPr>
          <w:sz w:val="22"/>
          <w:szCs w:val="22"/>
        </w:rPr>
        <w:t>vulnerability can be experienced as productive:</w:t>
      </w:r>
    </w:p>
    <w:p w:rsidR="00785035" w:rsidRDefault="00785035" w:rsidP="00785035">
      <w:pPr>
        <w:spacing w:line="480" w:lineRule="auto"/>
        <w:ind w:left="720"/>
        <w:rPr>
          <w:sz w:val="22"/>
          <w:szCs w:val="22"/>
          <w:lang w:val="en-US"/>
        </w:rPr>
      </w:pPr>
      <w:r w:rsidRPr="00D26AB4">
        <w:rPr>
          <w:sz w:val="22"/>
          <w:szCs w:val="22"/>
        </w:rPr>
        <w:t xml:space="preserve"> ‘</w:t>
      </w:r>
      <w:r w:rsidRPr="00D26AB4">
        <w:rPr>
          <w:sz w:val="22"/>
          <w:szCs w:val="22"/>
          <w:lang w:val="en-US"/>
        </w:rPr>
        <w:t>our vulnerability presents opportunities for innovation and growth, creativity, and fulfillment. It makes us reach out to others, form relationships, and build institutions</w:t>
      </w:r>
      <w:r>
        <w:rPr>
          <w:sz w:val="22"/>
          <w:szCs w:val="22"/>
          <w:lang w:val="en-US"/>
        </w:rPr>
        <w:t>.</w:t>
      </w:r>
      <w:r>
        <w:rPr>
          <w:rStyle w:val="EndnoteReference"/>
          <w:sz w:val="22"/>
          <w:szCs w:val="22"/>
          <w:lang w:val="en-US"/>
        </w:rPr>
        <w:endnoteReference w:id="63"/>
      </w:r>
    </w:p>
    <w:p w:rsidR="00785035" w:rsidRPr="00406A9A" w:rsidRDefault="00785035" w:rsidP="00785035">
      <w:pPr>
        <w:spacing w:line="480" w:lineRule="auto"/>
        <w:rPr>
          <w:sz w:val="22"/>
          <w:szCs w:val="22"/>
        </w:rPr>
      </w:pPr>
      <w:r>
        <w:rPr>
          <w:sz w:val="22"/>
          <w:szCs w:val="22"/>
          <w:lang w:val="en-US"/>
        </w:rPr>
        <w:t>In our view, discounting the benefits of animal companionship in liminal care settings and failing to sustain these relationships is one instance of current policy failing to respond positively to vulnerability and relationality.  To address this, and realise law’s potential to intervene productively in these settings,</w:t>
      </w:r>
      <w:r w:rsidRPr="005D65EF">
        <w:rPr>
          <w:sz w:val="22"/>
          <w:szCs w:val="22"/>
        </w:rPr>
        <w:t xml:space="preserve"> we would follow </w:t>
      </w:r>
      <w:r>
        <w:rPr>
          <w:sz w:val="22"/>
          <w:szCs w:val="22"/>
        </w:rPr>
        <w:t>Taylor-Alexander et al</w:t>
      </w:r>
      <w:r w:rsidRPr="005D65EF">
        <w:rPr>
          <w:sz w:val="22"/>
          <w:szCs w:val="22"/>
        </w:rPr>
        <w:t xml:space="preserve"> in </w:t>
      </w:r>
      <w:r>
        <w:rPr>
          <w:sz w:val="22"/>
          <w:szCs w:val="22"/>
        </w:rPr>
        <w:t>advocating</w:t>
      </w:r>
      <w:r w:rsidRPr="005D65EF">
        <w:rPr>
          <w:sz w:val="22"/>
          <w:szCs w:val="22"/>
        </w:rPr>
        <w:t xml:space="preserve"> </w:t>
      </w:r>
      <w:r>
        <w:rPr>
          <w:sz w:val="22"/>
          <w:szCs w:val="22"/>
        </w:rPr>
        <w:t>new</w:t>
      </w:r>
      <w:r w:rsidRPr="005D65EF">
        <w:rPr>
          <w:sz w:val="22"/>
          <w:szCs w:val="22"/>
        </w:rPr>
        <w:t xml:space="preserve"> </w:t>
      </w:r>
      <w:r>
        <w:rPr>
          <w:sz w:val="22"/>
          <w:szCs w:val="22"/>
        </w:rPr>
        <w:t xml:space="preserve">legal </w:t>
      </w:r>
      <w:r w:rsidRPr="005D65EF">
        <w:rPr>
          <w:sz w:val="22"/>
          <w:szCs w:val="22"/>
        </w:rPr>
        <w:t>framework</w:t>
      </w:r>
      <w:r>
        <w:rPr>
          <w:sz w:val="22"/>
          <w:szCs w:val="22"/>
        </w:rPr>
        <w:t>s</w:t>
      </w:r>
      <w:r w:rsidRPr="005D65EF">
        <w:rPr>
          <w:sz w:val="22"/>
          <w:szCs w:val="22"/>
        </w:rPr>
        <w:t xml:space="preserve"> </w:t>
      </w:r>
      <w:r>
        <w:rPr>
          <w:sz w:val="22"/>
          <w:szCs w:val="22"/>
        </w:rPr>
        <w:t>anchored in</w:t>
      </w:r>
      <w:r w:rsidRPr="005D65EF">
        <w:rPr>
          <w:sz w:val="22"/>
          <w:szCs w:val="22"/>
        </w:rPr>
        <w:t xml:space="preserve"> </w:t>
      </w:r>
      <w:r>
        <w:rPr>
          <w:sz w:val="22"/>
          <w:szCs w:val="22"/>
        </w:rPr>
        <w:t>‘</w:t>
      </w:r>
      <w:r w:rsidRPr="005D65EF">
        <w:rPr>
          <w:sz w:val="22"/>
          <w:szCs w:val="22"/>
        </w:rPr>
        <w:t>temporal-spatial examination of regulatory spaces and practices as these are experienced by all actors, including the relationship of actors with the objects of regulation’</w:t>
      </w:r>
      <w:r>
        <w:rPr>
          <w:sz w:val="22"/>
          <w:szCs w:val="22"/>
        </w:rPr>
        <w:t>.</w:t>
      </w:r>
      <w:r>
        <w:rPr>
          <w:rStyle w:val="EndnoteReference"/>
          <w:sz w:val="22"/>
          <w:szCs w:val="22"/>
        </w:rPr>
        <w:endnoteReference w:id="64"/>
      </w:r>
      <w:r w:rsidRPr="005D65EF">
        <w:rPr>
          <w:sz w:val="22"/>
          <w:szCs w:val="22"/>
        </w:rPr>
        <w:t xml:space="preserve"> </w:t>
      </w:r>
      <w:r>
        <w:rPr>
          <w:sz w:val="22"/>
          <w:szCs w:val="22"/>
        </w:rPr>
        <w:t xml:space="preserve">For us, relevant actors would include older people and their animals, who are too readily deemed incapable of such agency. We argue that taking account of their lived experiences of caring practices would help us shape better social and legal policies. </w:t>
      </w:r>
      <w:r w:rsidRPr="005D65EF">
        <w:rPr>
          <w:sz w:val="22"/>
          <w:szCs w:val="22"/>
        </w:rPr>
        <w:t>Below</w:t>
      </w:r>
      <w:r>
        <w:rPr>
          <w:sz w:val="22"/>
          <w:szCs w:val="22"/>
        </w:rPr>
        <w:t>,</w:t>
      </w:r>
      <w:r w:rsidRPr="005D65EF">
        <w:rPr>
          <w:sz w:val="22"/>
          <w:szCs w:val="22"/>
        </w:rPr>
        <w:t xml:space="preserve"> we address the implications of this analysis for legisla</w:t>
      </w:r>
      <w:r>
        <w:rPr>
          <w:sz w:val="22"/>
          <w:szCs w:val="22"/>
        </w:rPr>
        <w:t>ting</w:t>
      </w:r>
      <w:r w:rsidRPr="005D65EF">
        <w:rPr>
          <w:sz w:val="22"/>
          <w:szCs w:val="22"/>
        </w:rPr>
        <w:t>, but first we turn to one instance where law has attempted, albeit within limits, to recognise human-animal relationality.</w:t>
      </w:r>
    </w:p>
    <w:p w:rsidR="00785035" w:rsidRPr="00BB5AD1" w:rsidRDefault="00785035" w:rsidP="00785035">
      <w:pPr>
        <w:spacing w:line="480" w:lineRule="auto"/>
        <w:rPr>
          <w:sz w:val="22"/>
          <w:szCs w:val="22"/>
          <w:lang w:val="en-US"/>
        </w:rPr>
      </w:pPr>
    </w:p>
    <w:p w:rsidR="00785035" w:rsidRPr="005D65EF" w:rsidRDefault="00785035" w:rsidP="00785035">
      <w:pPr>
        <w:spacing w:after="160" w:line="480" w:lineRule="auto"/>
        <w:rPr>
          <w:b/>
          <w:sz w:val="22"/>
          <w:szCs w:val="22"/>
        </w:rPr>
      </w:pPr>
      <w:r w:rsidRPr="005D65EF">
        <w:rPr>
          <w:b/>
          <w:sz w:val="22"/>
          <w:szCs w:val="22"/>
        </w:rPr>
        <w:t>T</w:t>
      </w:r>
      <w:r>
        <w:rPr>
          <w:b/>
          <w:sz w:val="22"/>
          <w:szCs w:val="22"/>
        </w:rPr>
        <w:t>OWARDS</w:t>
      </w:r>
      <w:r w:rsidRPr="005D65EF">
        <w:rPr>
          <w:b/>
          <w:sz w:val="22"/>
          <w:szCs w:val="22"/>
        </w:rPr>
        <w:t xml:space="preserve"> L</w:t>
      </w:r>
      <w:r>
        <w:rPr>
          <w:b/>
          <w:sz w:val="22"/>
          <w:szCs w:val="22"/>
        </w:rPr>
        <w:t>EGAL</w:t>
      </w:r>
      <w:r w:rsidRPr="005D65EF">
        <w:rPr>
          <w:b/>
          <w:sz w:val="22"/>
          <w:szCs w:val="22"/>
        </w:rPr>
        <w:t xml:space="preserve"> R</w:t>
      </w:r>
      <w:r>
        <w:rPr>
          <w:b/>
          <w:sz w:val="22"/>
          <w:szCs w:val="22"/>
        </w:rPr>
        <w:t>ECOGNITION</w:t>
      </w:r>
      <w:r w:rsidRPr="005D65EF">
        <w:rPr>
          <w:b/>
          <w:sz w:val="22"/>
          <w:szCs w:val="22"/>
        </w:rPr>
        <w:t xml:space="preserve"> </w:t>
      </w:r>
      <w:r>
        <w:rPr>
          <w:b/>
          <w:sz w:val="22"/>
          <w:szCs w:val="22"/>
        </w:rPr>
        <w:t>OF</w:t>
      </w:r>
      <w:r w:rsidRPr="005D65EF">
        <w:rPr>
          <w:b/>
          <w:sz w:val="22"/>
          <w:szCs w:val="22"/>
        </w:rPr>
        <w:t xml:space="preserve"> I</w:t>
      </w:r>
      <w:r>
        <w:rPr>
          <w:b/>
          <w:sz w:val="22"/>
          <w:szCs w:val="22"/>
        </w:rPr>
        <w:t>NTERSPECIES</w:t>
      </w:r>
      <w:r w:rsidRPr="005D65EF">
        <w:rPr>
          <w:b/>
          <w:sz w:val="22"/>
          <w:szCs w:val="22"/>
        </w:rPr>
        <w:t xml:space="preserve"> R</w:t>
      </w:r>
      <w:r>
        <w:rPr>
          <w:b/>
          <w:sz w:val="22"/>
          <w:szCs w:val="22"/>
        </w:rPr>
        <w:t>ELATIONALITY</w:t>
      </w:r>
      <w:r w:rsidRPr="005D65EF">
        <w:rPr>
          <w:b/>
          <w:sz w:val="22"/>
          <w:szCs w:val="22"/>
        </w:rPr>
        <w:t>?</w:t>
      </w:r>
    </w:p>
    <w:p w:rsidR="00785035" w:rsidRPr="005D65EF" w:rsidRDefault="00785035" w:rsidP="00785035">
      <w:pPr>
        <w:spacing w:line="480" w:lineRule="auto"/>
        <w:rPr>
          <w:sz w:val="22"/>
          <w:szCs w:val="22"/>
          <w:lang w:val="en-US"/>
        </w:rPr>
      </w:pPr>
      <w:r w:rsidRPr="005D65EF">
        <w:rPr>
          <w:i/>
          <w:sz w:val="22"/>
          <w:szCs w:val="22"/>
          <w:lang w:val="en-US"/>
        </w:rPr>
        <w:t>Mrs P v Rochdale Borough Council and NHS North, Central, and South Manchester Clinical Commissioning Groups</w:t>
      </w:r>
      <w:r w:rsidRPr="005D65EF">
        <w:rPr>
          <w:sz w:val="22"/>
          <w:szCs w:val="22"/>
          <w:lang w:val="en-US"/>
        </w:rPr>
        <w:t xml:space="preserve"> was a</w:t>
      </w:r>
      <w:r>
        <w:rPr>
          <w:sz w:val="22"/>
          <w:szCs w:val="22"/>
          <w:lang w:val="en-US"/>
        </w:rPr>
        <w:t xml:space="preserve"> 2016 </w:t>
      </w:r>
      <w:r w:rsidRPr="005D65EF">
        <w:rPr>
          <w:sz w:val="22"/>
          <w:szCs w:val="22"/>
          <w:lang w:val="en-US"/>
        </w:rPr>
        <w:t xml:space="preserve"> English District Court ruling</w:t>
      </w:r>
      <w:r>
        <w:rPr>
          <w:sz w:val="22"/>
          <w:szCs w:val="22"/>
          <w:lang w:val="en-US"/>
        </w:rPr>
        <w:t>.</w:t>
      </w:r>
      <w:r>
        <w:rPr>
          <w:rStyle w:val="EndnoteReference"/>
          <w:sz w:val="22"/>
          <w:szCs w:val="22"/>
          <w:lang w:val="en-US"/>
        </w:rPr>
        <w:endnoteReference w:id="65"/>
      </w:r>
      <w:r w:rsidRPr="005D65EF">
        <w:rPr>
          <w:sz w:val="22"/>
          <w:szCs w:val="22"/>
          <w:lang w:val="en-US"/>
        </w:rPr>
        <w:t xml:space="preserve"> </w:t>
      </w:r>
      <w:r>
        <w:rPr>
          <w:sz w:val="22"/>
          <w:szCs w:val="22"/>
          <w:lang w:val="en-US"/>
        </w:rPr>
        <w:t xml:space="preserve"> </w:t>
      </w:r>
      <w:r w:rsidRPr="005D65EF">
        <w:rPr>
          <w:sz w:val="22"/>
          <w:szCs w:val="22"/>
          <w:lang w:val="en-US"/>
        </w:rPr>
        <w:t>It con</w:t>
      </w:r>
      <w:r>
        <w:rPr>
          <w:sz w:val="22"/>
          <w:szCs w:val="22"/>
          <w:lang w:val="en-US"/>
        </w:rPr>
        <w:t>sid</w:t>
      </w:r>
      <w:r w:rsidRPr="005D65EF">
        <w:rPr>
          <w:sz w:val="22"/>
          <w:szCs w:val="22"/>
          <w:lang w:val="en-US"/>
        </w:rPr>
        <w:t>e</w:t>
      </w:r>
      <w:r>
        <w:rPr>
          <w:sz w:val="22"/>
          <w:szCs w:val="22"/>
          <w:lang w:val="en-US"/>
        </w:rPr>
        <w:t>re</w:t>
      </w:r>
      <w:r w:rsidRPr="005D65EF">
        <w:rPr>
          <w:sz w:val="22"/>
          <w:szCs w:val="22"/>
          <w:lang w:val="en-US"/>
        </w:rPr>
        <w:t xml:space="preserve">d </w:t>
      </w:r>
      <w:r>
        <w:rPr>
          <w:sz w:val="22"/>
          <w:szCs w:val="22"/>
          <w:lang w:val="en-US"/>
        </w:rPr>
        <w:t xml:space="preserve">whether care </w:t>
      </w:r>
      <w:r w:rsidRPr="005D65EF">
        <w:rPr>
          <w:sz w:val="22"/>
          <w:szCs w:val="22"/>
          <w:lang w:val="en-US"/>
        </w:rPr>
        <w:t xml:space="preserve">arrangements </w:t>
      </w:r>
      <w:r w:rsidRPr="001B122D">
        <w:rPr>
          <w:sz w:val="22"/>
          <w:szCs w:val="22"/>
          <w:lang w:val="en-US"/>
        </w:rPr>
        <w:t>amount</w:t>
      </w:r>
      <w:r>
        <w:rPr>
          <w:sz w:val="22"/>
          <w:szCs w:val="22"/>
          <w:lang w:val="en-US"/>
        </w:rPr>
        <w:t>ing</w:t>
      </w:r>
      <w:r w:rsidRPr="001B122D">
        <w:rPr>
          <w:sz w:val="22"/>
          <w:szCs w:val="22"/>
          <w:lang w:val="en-US"/>
        </w:rPr>
        <w:t xml:space="preserve"> to a deprivation of Mrs P’s liberty </w:t>
      </w:r>
      <w:r w:rsidRPr="005D65EF">
        <w:rPr>
          <w:sz w:val="22"/>
          <w:szCs w:val="22"/>
          <w:lang w:val="en-US"/>
        </w:rPr>
        <w:t>under the Mental Capacity Act 2005</w:t>
      </w:r>
      <w:r>
        <w:rPr>
          <w:sz w:val="22"/>
          <w:szCs w:val="22"/>
          <w:lang w:val="en-US"/>
        </w:rPr>
        <w:t xml:space="preserve"> (MCA)</w:t>
      </w:r>
      <w:r w:rsidRPr="005D65EF">
        <w:rPr>
          <w:sz w:val="22"/>
          <w:szCs w:val="22"/>
          <w:lang w:val="en-US"/>
        </w:rPr>
        <w:t xml:space="preserve"> s. 21A</w:t>
      </w:r>
      <w:r>
        <w:rPr>
          <w:sz w:val="22"/>
          <w:szCs w:val="22"/>
          <w:lang w:val="en-US"/>
        </w:rPr>
        <w:t xml:space="preserve"> </w:t>
      </w:r>
      <w:r w:rsidRPr="005D65EF">
        <w:rPr>
          <w:sz w:val="22"/>
          <w:szCs w:val="22"/>
          <w:lang w:val="en-US"/>
        </w:rPr>
        <w:t>were in her best interests.</w:t>
      </w:r>
      <w:r>
        <w:rPr>
          <w:rStyle w:val="EndnoteReference"/>
          <w:sz w:val="22"/>
          <w:szCs w:val="22"/>
          <w:lang w:val="en-US"/>
        </w:rPr>
        <w:endnoteReference w:id="66"/>
      </w:r>
      <w:r w:rsidRPr="005D65EF">
        <w:rPr>
          <w:sz w:val="22"/>
          <w:szCs w:val="22"/>
          <w:lang w:val="en-US"/>
        </w:rPr>
        <w:t xml:space="preserve"> </w:t>
      </w:r>
      <w:r w:rsidRPr="005D65EF">
        <w:rPr>
          <w:sz w:val="22"/>
          <w:szCs w:val="22"/>
        </w:rPr>
        <w:t xml:space="preserve"> The court’s assessment of best </w:t>
      </w:r>
      <w:r w:rsidRPr="005D65EF">
        <w:rPr>
          <w:sz w:val="22"/>
          <w:szCs w:val="22"/>
          <w:lang w:val="en-US"/>
        </w:rPr>
        <w:t xml:space="preserve">interests was inextricably linked </w:t>
      </w:r>
      <w:r>
        <w:rPr>
          <w:sz w:val="22"/>
          <w:szCs w:val="22"/>
          <w:lang w:val="en-US"/>
        </w:rPr>
        <w:t>to</w:t>
      </w:r>
      <w:r w:rsidRPr="005D65EF">
        <w:rPr>
          <w:sz w:val="22"/>
          <w:szCs w:val="22"/>
          <w:lang w:val="en-US"/>
        </w:rPr>
        <w:t xml:space="preserve"> the appointment of a financial deputy to deal with</w:t>
      </w:r>
      <w:r>
        <w:rPr>
          <w:sz w:val="22"/>
          <w:szCs w:val="22"/>
          <w:lang w:val="en-US"/>
        </w:rPr>
        <w:t xml:space="preserve"> her</w:t>
      </w:r>
      <w:r w:rsidRPr="005D65EF">
        <w:rPr>
          <w:sz w:val="22"/>
          <w:szCs w:val="22"/>
          <w:lang w:val="en-US"/>
        </w:rPr>
        <w:t xml:space="preserve"> property and affairs.  Mrs P had </w:t>
      </w:r>
      <w:r w:rsidRPr="005D65EF">
        <w:rPr>
          <w:sz w:val="22"/>
          <w:szCs w:val="22"/>
          <w:lang w:val="en-US"/>
        </w:rPr>
        <w:lastRenderedPageBreak/>
        <w:t>moved to a nursing home following two strokes and loss of capacity. Matharu J. revoked the deputy</w:t>
      </w:r>
      <w:r>
        <w:rPr>
          <w:sz w:val="22"/>
          <w:szCs w:val="22"/>
          <w:lang w:val="en-US"/>
        </w:rPr>
        <w:t>’s appointment,</w:t>
      </w:r>
      <w:r w:rsidRPr="005D65EF">
        <w:rPr>
          <w:sz w:val="22"/>
          <w:szCs w:val="22"/>
          <w:lang w:val="en-US"/>
        </w:rPr>
        <w:t xml:space="preserve"> which had been made in March 2015 by a different District Judge. </w:t>
      </w:r>
      <w:r>
        <w:rPr>
          <w:sz w:val="22"/>
          <w:szCs w:val="22"/>
          <w:lang w:val="en-US"/>
        </w:rPr>
        <w:t>The deputy</w:t>
      </w:r>
      <w:r w:rsidRPr="005D65EF">
        <w:rPr>
          <w:sz w:val="22"/>
          <w:szCs w:val="22"/>
          <w:lang w:val="en-US"/>
        </w:rPr>
        <w:t xml:space="preserve"> was a solicitor with a firm which asserted a ‘long standing’ relationship with Mrs P. </w:t>
      </w:r>
      <w:r>
        <w:rPr>
          <w:sz w:val="22"/>
          <w:szCs w:val="22"/>
          <w:lang w:val="en-US"/>
        </w:rPr>
        <w:t>Following</w:t>
      </w:r>
      <w:r w:rsidRPr="005D65EF">
        <w:rPr>
          <w:sz w:val="22"/>
          <w:szCs w:val="22"/>
          <w:lang w:val="en-US"/>
        </w:rPr>
        <w:t xml:space="preserve"> his appointment</w:t>
      </w:r>
      <w:r>
        <w:rPr>
          <w:sz w:val="22"/>
          <w:szCs w:val="22"/>
          <w:lang w:val="en-US"/>
        </w:rPr>
        <w:t>,</w:t>
      </w:r>
      <w:r w:rsidRPr="005D65EF">
        <w:rPr>
          <w:sz w:val="22"/>
          <w:szCs w:val="22"/>
          <w:lang w:val="en-US"/>
        </w:rPr>
        <w:t xml:space="preserve"> various care plans and assessments took place regarding her welfare, ‘which repeatedly raised the need to reappraise her needs and to financially provide for her in relation to her diet </w:t>
      </w:r>
      <w:r>
        <w:rPr>
          <w:sz w:val="22"/>
          <w:szCs w:val="22"/>
          <w:lang w:val="en-US"/>
        </w:rPr>
        <w:t>[</w:t>
      </w:r>
      <w:r w:rsidRPr="005D65EF">
        <w:rPr>
          <w:sz w:val="22"/>
          <w:szCs w:val="22"/>
          <w:lang w:val="en-US"/>
        </w:rPr>
        <w:t>she was a coeliac sufferer], weight loss and new clothes’ (</w:t>
      </w:r>
      <w:r w:rsidRPr="005D65EF">
        <w:rPr>
          <w:sz w:val="22"/>
          <w:szCs w:val="22"/>
        </w:rPr>
        <w:t>at para. 13)</w:t>
      </w:r>
      <w:r w:rsidRPr="005D65EF">
        <w:rPr>
          <w:sz w:val="22"/>
          <w:szCs w:val="22"/>
          <w:lang w:val="en-US"/>
        </w:rPr>
        <w:t>.  In assessing best interests Matharu J’s attempts to understand what was and continued to be important to Mrs P are instructive. Acknowledging that she was a woman with specific health and dietary needs who</w:t>
      </w:r>
      <w:r>
        <w:rPr>
          <w:sz w:val="22"/>
          <w:szCs w:val="22"/>
          <w:lang w:val="en-US"/>
        </w:rPr>
        <w:t>se condition</w:t>
      </w:r>
      <w:r w:rsidRPr="005D65EF">
        <w:rPr>
          <w:sz w:val="22"/>
          <w:szCs w:val="22"/>
          <w:lang w:val="en-US"/>
        </w:rPr>
        <w:t xml:space="preserve"> had </w:t>
      </w:r>
      <w:r>
        <w:rPr>
          <w:sz w:val="22"/>
          <w:szCs w:val="22"/>
          <w:lang w:val="en-US"/>
        </w:rPr>
        <w:t>caused</w:t>
      </w:r>
      <w:r w:rsidRPr="005D65EF">
        <w:rPr>
          <w:sz w:val="22"/>
          <w:szCs w:val="22"/>
          <w:lang w:val="en-US"/>
        </w:rPr>
        <w:t xml:space="preserve"> bodily change, Matharu J noted the importance to </w:t>
      </w:r>
      <w:r>
        <w:rPr>
          <w:sz w:val="22"/>
          <w:szCs w:val="22"/>
          <w:lang w:val="en-US"/>
        </w:rPr>
        <w:t>Mrs P</w:t>
      </w:r>
      <w:r w:rsidRPr="005D65EF">
        <w:rPr>
          <w:sz w:val="22"/>
          <w:szCs w:val="22"/>
          <w:lang w:val="en-US"/>
        </w:rPr>
        <w:t xml:space="preserve"> of an appropriate diet</w:t>
      </w:r>
      <w:r>
        <w:rPr>
          <w:sz w:val="22"/>
          <w:szCs w:val="22"/>
          <w:lang w:val="en-US"/>
        </w:rPr>
        <w:t xml:space="preserve"> and</w:t>
      </w:r>
      <w:r w:rsidRPr="005D65EF">
        <w:rPr>
          <w:sz w:val="22"/>
          <w:szCs w:val="22"/>
          <w:lang w:val="en-US"/>
        </w:rPr>
        <w:t xml:space="preserve"> dressing in the glamorous, well-fitting clothes she had always enjoyed. However, most s</w:t>
      </w:r>
      <w:r>
        <w:rPr>
          <w:sz w:val="22"/>
          <w:szCs w:val="22"/>
          <w:lang w:val="en-US"/>
        </w:rPr>
        <w:t>trikingly</w:t>
      </w:r>
      <w:r w:rsidRPr="005D65EF">
        <w:rPr>
          <w:sz w:val="22"/>
          <w:szCs w:val="22"/>
          <w:lang w:val="en-US"/>
        </w:rPr>
        <w:t>, the judge recognised that</w:t>
      </w:r>
      <w:r>
        <w:rPr>
          <w:sz w:val="22"/>
          <w:szCs w:val="22"/>
          <w:lang w:val="en-US"/>
        </w:rPr>
        <w:t xml:space="preserve"> her</w:t>
      </w:r>
      <w:r w:rsidRPr="005D65EF">
        <w:rPr>
          <w:sz w:val="22"/>
          <w:szCs w:val="22"/>
          <w:lang w:val="en-US"/>
        </w:rPr>
        <w:t xml:space="preserve"> quality of life had been significantly impacted by the </w:t>
      </w:r>
      <w:r>
        <w:rPr>
          <w:sz w:val="22"/>
          <w:szCs w:val="22"/>
          <w:lang w:val="en-US"/>
        </w:rPr>
        <w:t>d</w:t>
      </w:r>
      <w:r w:rsidRPr="005D65EF">
        <w:rPr>
          <w:sz w:val="22"/>
          <w:szCs w:val="22"/>
          <w:lang w:val="en-US"/>
        </w:rPr>
        <w:t xml:space="preserve">eputy’s failure to ensure contact with </w:t>
      </w:r>
      <w:r>
        <w:rPr>
          <w:sz w:val="22"/>
          <w:szCs w:val="22"/>
          <w:lang w:val="en-US"/>
        </w:rPr>
        <w:t>h</w:t>
      </w:r>
      <w:r w:rsidRPr="001B122D">
        <w:rPr>
          <w:sz w:val="22"/>
          <w:szCs w:val="22"/>
          <w:lang w:val="en-US"/>
        </w:rPr>
        <w:t>er dog, Bobby, who had not been allowed to accompany her</w:t>
      </w:r>
      <w:r w:rsidRPr="005D65EF">
        <w:rPr>
          <w:sz w:val="22"/>
          <w:szCs w:val="22"/>
          <w:lang w:val="en-US"/>
        </w:rPr>
        <w:t xml:space="preserve">. </w:t>
      </w:r>
      <w:r>
        <w:rPr>
          <w:sz w:val="22"/>
          <w:szCs w:val="22"/>
          <w:lang w:val="en-US"/>
        </w:rPr>
        <w:t xml:space="preserve"> Matharu J </w:t>
      </w:r>
      <w:r w:rsidRPr="005D65EF">
        <w:rPr>
          <w:sz w:val="22"/>
          <w:szCs w:val="22"/>
          <w:lang w:val="en-US"/>
        </w:rPr>
        <w:t xml:space="preserve">expressed concern that </w:t>
      </w:r>
      <w:r>
        <w:rPr>
          <w:sz w:val="22"/>
          <w:szCs w:val="22"/>
          <w:lang w:val="en-US"/>
        </w:rPr>
        <w:t>the deputy had not</w:t>
      </w:r>
      <w:r w:rsidRPr="005D65EF">
        <w:rPr>
          <w:sz w:val="22"/>
          <w:szCs w:val="22"/>
          <w:lang w:val="en-US"/>
        </w:rPr>
        <w:t xml:space="preserve"> respond</w:t>
      </w:r>
      <w:r>
        <w:rPr>
          <w:sz w:val="22"/>
          <w:szCs w:val="22"/>
          <w:lang w:val="en-US"/>
        </w:rPr>
        <w:t>ed</w:t>
      </w:r>
      <w:r w:rsidRPr="005D65EF">
        <w:rPr>
          <w:sz w:val="22"/>
          <w:szCs w:val="22"/>
          <w:lang w:val="en-US"/>
        </w:rPr>
        <w:t xml:space="preserve"> to a written request by</w:t>
      </w:r>
      <w:r>
        <w:rPr>
          <w:sz w:val="22"/>
          <w:szCs w:val="22"/>
          <w:lang w:val="en-US"/>
        </w:rPr>
        <w:t xml:space="preserve"> </w:t>
      </w:r>
      <w:r w:rsidRPr="001B122D">
        <w:rPr>
          <w:sz w:val="22"/>
          <w:szCs w:val="22"/>
          <w:lang w:val="en-US"/>
        </w:rPr>
        <w:t>solicitors acting on behalf of</w:t>
      </w:r>
      <w:r w:rsidRPr="005D65EF">
        <w:rPr>
          <w:sz w:val="22"/>
          <w:szCs w:val="22"/>
          <w:lang w:val="en-US"/>
        </w:rPr>
        <w:t xml:space="preserve"> the Official Solicitor that Bobby be brought to visit her</w:t>
      </w:r>
      <w:r>
        <w:rPr>
          <w:sz w:val="22"/>
          <w:szCs w:val="22"/>
          <w:lang w:val="en-US"/>
        </w:rPr>
        <w:t>,</w:t>
      </w:r>
      <w:r w:rsidRPr="005D65EF">
        <w:rPr>
          <w:sz w:val="22"/>
          <w:szCs w:val="22"/>
          <w:lang w:val="en-US"/>
        </w:rPr>
        <w:t xml:space="preserve"> </w:t>
      </w:r>
      <w:r>
        <w:rPr>
          <w:sz w:val="22"/>
          <w:szCs w:val="22"/>
          <w:lang w:val="en-US"/>
        </w:rPr>
        <w:t xml:space="preserve">while </w:t>
      </w:r>
      <w:r w:rsidRPr="005D65EF">
        <w:rPr>
          <w:sz w:val="22"/>
          <w:szCs w:val="22"/>
          <w:lang w:val="en-US"/>
        </w:rPr>
        <w:t xml:space="preserve">a </w:t>
      </w:r>
      <w:r>
        <w:rPr>
          <w:sz w:val="22"/>
          <w:szCs w:val="22"/>
          <w:lang w:val="en-US"/>
        </w:rPr>
        <w:t xml:space="preserve">subsequent </w:t>
      </w:r>
      <w:r w:rsidRPr="005D65EF">
        <w:rPr>
          <w:sz w:val="22"/>
          <w:szCs w:val="22"/>
          <w:lang w:val="en-US"/>
        </w:rPr>
        <w:t xml:space="preserve">letter from his practice stated that it was ‘unrealistic to expect the lady to bring the dog to [the Nursing Home]’. In July 2016 </w:t>
      </w:r>
      <w:r>
        <w:rPr>
          <w:sz w:val="22"/>
          <w:szCs w:val="22"/>
          <w:lang w:val="en-US"/>
        </w:rPr>
        <w:t>the deputy’s</w:t>
      </w:r>
      <w:r w:rsidRPr="005D65EF">
        <w:rPr>
          <w:sz w:val="22"/>
          <w:szCs w:val="22"/>
          <w:lang w:val="en-US"/>
        </w:rPr>
        <w:t xml:space="preserve"> secretary </w:t>
      </w:r>
      <w:r>
        <w:rPr>
          <w:sz w:val="22"/>
          <w:szCs w:val="22"/>
          <w:lang w:val="en-US"/>
        </w:rPr>
        <w:t>commented</w:t>
      </w:r>
      <w:r w:rsidRPr="005D65EF">
        <w:rPr>
          <w:sz w:val="22"/>
          <w:szCs w:val="22"/>
          <w:lang w:val="en-US"/>
        </w:rPr>
        <w:t xml:space="preserve"> in an email that:</w:t>
      </w:r>
    </w:p>
    <w:p w:rsidR="00785035" w:rsidRPr="005D65EF" w:rsidRDefault="00785035" w:rsidP="00785035">
      <w:pPr>
        <w:spacing w:line="480" w:lineRule="auto"/>
        <w:ind w:left="720"/>
        <w:rPr>
          <w:sz w:val="22"/>
          <w:szCs w:val="22"/>
          <w:lang w:val="en-US"/>
        </w:rPr>
      </w:pPr>
      <w:r w:rsidRPr="005D65EF">
        <w:rPr>
          <w:sz w:val="22"/>
          <w:szCs w:val="22"/>
          <w:lang w:val="en-US"/>
        </w:rPr>
        <w:t>‘</w:t>
      </w:r>
      <w:r>
        <w:rPr>
          <w:sz w:val="22"/>
          <w:szCs w:val="22"/>
          <w:lang w:val="en-US"/>
        </w:rPr>
        <w:t>[W]</w:t>
      </w:r>
      <w:r w:rsidRPr="005D65EF">
        <w:rPr>
          <w:sz w:val="22"/>
          <w:szCs w:val="22"/>
          <w:lang w:val="en-US"/>
        </w:rPr>
        <w:t xml:space="preserve">e would say that possession of Bobby has passed to his new owners… in the absence of any factual information about Bobby, his owner or the home’s policy on animals, it would seem </w:t>
      </w:r>
      <w:r w:rsidRPr="005D65EF">
        <w:rPr>
          <w:i/>
          <w:sz w:val="22"/>
          <w:szCs w:val="22"/>
          <w:lang w:val="en-US"/>
        </w:rPr>
        <w:t>irresponsible in the extreme</w:t>
      </w:r>
      <w:r w:rsidRPr="005D65EF">
        <w:rPr>
          <w:sz w:val="22"/>
          <w:szCs w:val="22"/>
          <w:lang w:val="en-US"/>
        </w:rPr>
        <w:t xml:space="preserve"> to suggest that a dog visits a care home for elderly and frail</w:t>
      </w:r>
      <w:r w:rsidRPr="005D65EF">
        <w:rPr>
          <w:i/>
          <w:sz w:val="22"/>
          <w:szCs w:val="22"/>
          <w:lang w:val="en-US"/>
        </w:rPr>
        <w:t xml:space="preserve"> </w:t>
      </w:r>
      <w:r w:rsidRPr="005D65EF">
        <w:rPr>
          <w:sz w:val="22"/>
          <w:szCs w:val="22"/>
          <w:lang w:val="en-US"/>
        </w:rPr>
        <w:t>people</w:t>
      </w:r>
      <w:r>
        <w:rPr>
          <w:sz w:val="22"/>
          <w:szCs w:val="22"/>
          <w:lang w:val="en-US"/>
        </w:rPr>
        <w:t>’</w:t>
      </w:r>
      <w:r w:rsidRPr="005D65EF">
        <w:rPr>
          <w:sz w:val="22"/>
          <w:szCs w:val="22"/>
          <w:lang w:val="en-US"/>
        </w:rPr>
        <w:t xml:space="preserve"> (at para 24).</w:t>
      </w:r>
    </w:p>
    <w:p w:rsidR="00785035" w:rsidRPr="005D65EF" w:rsidRDefault="00785035" w:rsidP="00785035">
      <w:pPr>
        <w:spacing w:line="480" w:lineRule="auto"/>
        <w:rPr>
          <w:sz w:val="22"/>
          <w:szCs w:val="22"/>
          <w:lang w:val="en-US"/>
        </w:rPr>
      </w:pPr>
      <w:r>
        <w:rPr>
          <w:sz w:val="22"/>
          <w:szCs w:val="22"/>
          <w:lang w:val="en-US"/>
        </w:rPr>
        <w:t>In addition to demonstrating a failure to make relevant enquiries, t</w:t>
      </w:r>
      <w:r w:rsidRPr="005D65EF">
        <w:rPr>
          <w:sz w:val="22"/>
          <w:szCs w:val="22"/>
          <w:lang w:val="en-US"/>
        </w:rPr>
        <w:t xml:space="preserve">his claim echoes many of the myths </w:t>
      </w:r>
      <w:r>
        <w:rPr>
          <w:sz w:val="22"/>
          <w:szCs w:val="22"/>
          <w:lang w:val="en-US"/>
        </w:rPr>
        <w:t>about</w:t>
      </w:r>
      <w:r w:rsidRPr="005D65EF">
        <w:rPr>
          <w:sz w:val="22"/>
          <w:szCs w:val="22"/>
          <w:lang w:val="en-US"/>
        </w:rPr>
        <w:t xml:space="preserve"> accommodating animals that were </w:t>
      </w:r>
      <w:r>
        <w:rPr>
          <w:sz w:val="22"/>
          <w:szCs w:val="22"/>
          <w:lang w:val="en-US"/>
        </w:rPr>
        <w:t>apparen</w:t>
      </w:r>
      <w:r w:rsidRPr="005D65EF">
        <w:rPr>
          <w:sz w:val="22"/>
          <w:szCs w:val="22"/>
          <w:lang w:val="en-US"/>
        </w:rPr>
        <w:t>t in Bob and Darcie’s case. It</w:t>
      </w:r>
      <w:r w:rsidRPr="005D65EF">
        <w:rPr>
          <w:sz w:val="22"/>
          <w:szCs w:val="22"/>
        </w:rPr>
        <w:t xml:space="preserve"> exemplifies the same problematic assumptions about loss of agency</w:t>
      </w:r>
      <w:r>
        <w:rPr>
          <w:sz w:val="22"/>
          <w:szCs w:val="22"/>
        </w:rPr>
        <w:t>, submissiveness</w:t>
      </w:r>
      <w:r w:rsidRPr="005D65EF">
        <w:rPr>
          <w:sz w:val="22"/>
          <w:szCs w:val="22"/>
        </w:rPr>
        <w:t xml:space="preserve"> and what ‘frail’ older people can/cannot manage, should/should not do/have/be etc.  Such rhetoric reinforces a culture of care grounded in binary perspectives on vulnerability/dependency which casts dependency as a ‘total’ state</w:t>
      </w:r>
      <w:r>
        <w:rPr>
          <w:sz w:val="22"/>
          <w:szCs w:val="22"/>
        </w:rPr>
        <w:t xml:space="preserve"> and fails to recognise the productive aspects of vulnerability</w:t>
      </w:r>
      <w:r w:rsidRPr="005D65EF">
        <w:rPr>
          <w:sz w:val="22"/>
          <w:szCs w:val="22"/>
        </w:rPr>
        <w:t xml:space="preserve">. </w:t>
      </w:r>
      <w:r w:rsidRPr="005D65EF">
        <w:rPr>
          <w:sz w:val="22"/>
          <w:szCs w:val="22"/>
          <w:lang w:val="en-US"/>
        </w:rPr>
        <w:t xml:space="preserve"> It also highlights a tendency</w:t>
      </w:r>
      <w:r>
        <w:rPr>
          <w:sz w:val="22"/>
          <w:szCs w:val="22"/>
          <w:lang w:val="en-US"/>
        </w:rPr>
        <w:t xml:space="preserve"> on the part of</w:t>
      </w:r>
      <w:r w:rsidRPr="005D65EF">
        <w:rPr>
          <w:sz w:val="22"/>
          <w:szCs w:val="22"/>
          <w:lang w:val="en-US"/>
        </w:rPr>
        <w:t xml:space="preserve"> professionals managing the care of older people to devalue animal-human attachments and their </w:t>
      </w:r>
      <w:r w:rsidRPr="005D65EF">
        <w:rPr>
          <w:sz w:val="22"/>
          <w:szCs w:val="22"/>
          <w:lang w:val="en-US"/>
        </w:rPr>
        <w:lastRenderedPageBreak/>
        <w:t xml:space="preserve">role in building resilience and </w:t>
      </w:r>
      <w:r>
        <w:rPr>
          <w:sz w:val="22"/>
          <w:szCs w:val="22"/>
          <w:lang w:val="en-US"/>
        </w:rPr>
        <w:t>fostering</w:t>
      </w:r>
      <w:r w:rsidRPr="005D65EF">
        <w:rPr>
          <w:sz w:val="22"/>
          <w:szCs w:val="22"/>
          <w:lang w:val="en-US"/>
        </w:rPr>
        <w:t xml:space="preserve"> health and well-being. Acceding to the application to </w:t>
      </w:r>
      <w:r>
        <w:rPr>
          <w:sz w:val="22"/>
          <w:szCs w:val="22"/>
          <w:lang w:val="en-US"/>
        </w:rPr>
        <w:t>remove</w:t>
      </w:r>
      <w:r w:rsidRPr="005D65EF">
        <w:rPr>
          <w:sz w:val="22"/>
          <w:szCs w:val="22"/>
          <w:lang w:val="en-US"/>
        </w:rPr>
        <w:t xml:space="preserve"> the </w:t>
      </w:r>
      <w:r>
        <w:rPr>
          <w:sz w:val="22"/>
          <w:szCs w:val="22"/>
          <w:lang w:val="en-US"/>
        </w:rPr>
        <w:t>d</w:t>
      </w:r>
      <w:r w:rsidRPr="005D65EF">
        <w:rPr>
          <w:sz w:val="22"/>
          <w:szCs w:val="22"/>
          <w:lang w:val="en-US"/>
        </w:rPr>
        <w:t>eputy, Matharu J</w:t>
      </w:r>
      <w:r>
        <w:rPr>
          <w:sz w:val="22"/>
          <w:szCs w:val="22"/>
          <w:lang w:val="en-US"/>
        </w:rPr>
        <w:t>.</w:t>
      </w:r>
      <w:r w:rsidRPr="005D65EF">
        <w:rPr>
          <w:sz w:val="22"/>
          <w:szCs w:val="22"/>
          <w:lang w:val="en-US"/>
        </w:rPr>
        <w:t xml:space="preserve"> was satisfied that </w:t>
      </w:r>
      <w:r>
        <w:rPr>
          <w:sz w:val="22"/>
          <w:szCs w:val="22"/>
          <w:lang w:val="en-US"/>
        </w:rPr>
        <w:t>he</w:t>
      </w:r>
      <w:r w:rsidRPr="005D65EF">
        <w:rPr>
          <w:sz w:val="22"/>
          <w:szCs w:val="22"/>
          <w:lang w:val="en-US"/>
        </w:rPr>
        <w:t xml:space="preserve"> had not been acting in Mrs P’s interests</w:t>
      </w:r>
      <w:r>
        <w:rPr>
          <w:sz w:val="22"/>
          <w:szCs w:val="22"/>
          <w:lang w:val="en-US"/>
        </w:rPr>
        <w:t>:</w:t>
      </w:r>
    </w:p>
    <w:p w:rsidR="00785035" w:rsidRPr="005D65EF" w:rsidRDefault="00785035" w:rsidP="00785035">
      <w:pPr>
        <w:spacing w:line="480" w:lineRule="auto"/>
        <w:ind w:left="720"/>
        <w:rPr>
          <w:sz w:val="22"/>
          <w:szCs w:val="22"/>
          <w:lang w:val="en-US"/>
        </w:rPr>
      </w:pPr>
      <w:r w:rsidRPr="005D65EF">
        <w:rPr>
          <w:sz w:val="22"/>
          <w:szCs w:val="22"/>
          <w:lang w:val="en-US"/>
        </w:rPr>
        <w:t>‘The court is particularly troubled about how</w:t>
      </w:r>
      <w:r>
        <w:rPr>
          <w:sz w:val="22"/>
          <w:szCs w:val="22"/>
          <w:lang w:val="en-US"/>
        </w:rPr>
        <w:t>…</w:t>
      </w:r>
      <w:r w:rsidRPr="005D65EF">
        <w:rPr>
          <w:sz w:val="22"/>
          <w:szCs w:val="22"/>
          <w:lang w:val="en-US"/>
        </w:rPr>
        <w:t xml:space="preserve"> the things that she needs are to be provided for. What is known is that her wishes and feelings before her second stroke were very clear, she enjoyed a good quality of life, she loved her dog, she likes to be made to feel glamorous’ (para 27).</w:t>
      </w:r>
      <w:r>
        <w:rPr>
          <w:rStyle w:val="EndnoteReference"/>
          <w:sz w:val="22"/>
          <w:szCs w:val="22"/>
          <w:lang w:val="en-US"/>
        </w:rPr>
        <w:endnoteReference w:id="67"/>
      </w:r>
    </w:p>
    <w:p w:rsidR="00785035" w:rsidRPr="005D65EF" w:rsidRDefault="00785035" w:rsidP="00785035">
      <w:pPr>
        <w:spacing w:line="480" w:lineRule="auto"/>
        <w:rPr>
          <w:sz w:val="22"/>
          <w:szCs w:val="22"/>
        </w:rPr>
      </w:pPr>
      <w:r>
        <w:rPr>
          <w:sz w:val="22"/>
          <w:szCs w:val="22"/>
          <w:lang w:val="en-US"/>
        </w:rPr>
        <w:t>Such</w:t>
      </w:r>
      <w:r w:rsidRPr="005D65EF">
        <w:rPr>
          <w:sz w:val="22"/>
          <w:szCs w:val="22"/>
          <w:lang w:val="en-US"/>
        </w:rPr>
        <w:t xml:space="preserve"> reasoning can be </w:t>
      </w:r>
      <w:r>
        <w:rPr>
          <w:sz w:val="22"/>
          <w:szCs w:val="22"/>
          <w:lang w:val="en-US"/>
        </w:rPr>
        <w:t>situat</w:t>
      </w:r>
      <w:r w:rsidRPr="005D65EF">
        <w:rPr>
          <w:sz w:val="22"/>
          <w:szCs w:val="22"/>
          <w:lang w:val="en-US"/>
        </w:rPr>
        <w:t>ed in</w:t>
      </w:r>
      <w:r>
        <w:rPr>
          <w:sz w:val="22"/>
          <w:szCs w:val="22"/>
          <w:lang w:val="en-US"/>
        </w:rPr>
        <w:t xml:space="preserve"> broader</w:t>
      </w:r>
      <w:r w:rsidRPr="005D65EF">
        <w:rPr>
          <w:sz w:val="22"/>
          <w:szCs w:val="22"/>
          <w:lang w:val="en-US"/>
        </w:rPr>
        <w:t xml:space="preserve"> jurisprudence under the MCA</w:t>
      </w:r>
      <w:r>
        <w:rPr>
          <w:sz w:val="22"/>
          <w:szCs w:val="22"/>
          <w:lang w:val="en-US"/>
        </w:rPr>
        <w:t>,</w:t>
      </w:r>
      <w:r w:rsidRPr="005D65EF">
        <w:rPr>
          <w:sz w:val="22"/>
          <w:szCs w:val="22"/>
          <w:lang w:val="en-US"/>
        </w:rPr>
        <w:t xml:space="preserve"> where judges have endeavoured to place adults who lack capacity at the centre of medical treatment decisions</w:t>
      </w:r>
      <w:r>
        <w:rPr>
          <w:sz w:val="22"/>
          <w:szCs w:val="22"/>
          <w:lang w:val="en-US"/>
        </w:rPr>
        <w:t>.</w:t>
      </w:r>
      <w:r>
        <w:rPr>
          <w:rStyle w:val="EndnoteReference"/>
          <w:sz w:val="22"/>
          <w:szCs w:val="22"/>
          <w:lang w:val="en-US"/>
        </w:rPr>
        <w:endnoteReference w:id="68"/>
      </w:r>
      <w:r w:rsidRPr="005D65EF">
        <w:rPr>
          <w:sz w:val="22"/>
          <w:szCs w:val="22"/>
          <w:lang w:val="en-US"/>
        </w:rPr>
        <w:t xml:space="preserve"> For instance, </w:t>
      </w:r>
      <w:r>
        <w:rPr>
          <w:sz w:val="22"/>
          <w:szCs w:val="22"/>
          <w:lang w:val="en-US"/>
        </w:rPr>
        <w:t xml:space="preserve">in an influential Supreme Court decision, </w:t>
      </w:r>
      <w:r w:rsidRPr="005D65EF">
        <w:rPr>
          <w:sz w:val="22"/>
          <w:szCs w:val="22"/>
          <w:lang w:val="en-US"/>
        </w:rPr>
        <w:t>Baroness Hale ruled</w:t>
      </w:r>
      <w:r>
        <w:rPr>
          <w:sz w:val="22"/>
          <w:szCs w:val="22"/>
          <w:lang w:val="en-US"/>
        </w:rPr>
        <w:t>,</w:t>
      </w:r>
      <w:r w:rsidRPr="005D65EF">
        <w:rPr>
          <w:sz w:val="22"/>
          <w:szCs w:val="22"/>
          <w:lang w:val="en-US"/>
        </w:rPr>
        <w:t xml:space="preserve"> in </w:t>
      </w:r>
      <w:r w:rsidRPr="005D65EF">
        <w:rPr>
          <w:i/>
          <w:sz w:val="22"/>
          <w:szCs w:val="22"/>
          <w:lang w:val="en-US"/>
        </w:rPr>
        <w:t>Aintree University NHS Hospitals Trust v James</w:t>
      </w:r>
      <w:r>
        <w:rPr>
          <w:i/>
          <w:sz w:val="22"/>
          <w:szCs w:val="22"/>
          <w:lang w:val="en-US"/>
        </w:rPr>
        <w:t>,</w:t>
      </w:r>
      <w:r w:rsidRPr="005D65EF">
        <w:rPr>
          <w:sz w:val="22"/>
          <w:szCs w:val="22"/>
          <w:lang w:val="en-US"/>
        </w:rPr>
        <w:t xml:space="preserve"> that:</w:t>
      </w:r>
    </w:p>
    <w:p w:rsidR="00785035" w:rsidRPr="005D65EF" w:rsidRDefault="00785035" w:rsidP="00785035">
      <w:pPr>
        <w:spacing w:line="480" w:lineRule="auto"/>
        <w:ind w:left="720"/>
        <w:rPr>
          <w:sz w:val="22"/>
          <w:szCs w:val="22"/>
          <w:lang w:val="en-US"/>
        </w:rPr>
      </w:pPr>
      <w:r w:rsidRPr="005D65EF">
        <w:rPr>
          <w:sz w:val="22"/>
          <w:szCs w:val="22"/>
          <w:lang w:val="en-US"/>
        </w:rPr>
        <w:t>‘Insofar as it is possible to ascertain the patient’s wishes and feelings, his beliefs and values or the things which were important to him, it is those which should be taken into account because they are a component in making the choice which is right for him as an individual human being’ ([</w:t>
      </w:r>
      <w:r w:rsidRPr="005D65EF">
        <w:rPr>
          <w:sz w:val="22"/>
          <w:szCs w:val="22"/>
        </w:rPr>
        <w:t>2014] UKSC 67)</w:t>
      </w:r>
      <w:r w:rsidRPr="005D65EF">
        <w:rPr>
          <w:sz w:val="22"/>
          <w:szCs w:val="22"/>
          <w:lang w:val="en-US"/>
        </w:rPr>
        <w:t>.</w:t>
      </w:r>
    </w:p>
    <w:p w:rsidR="00785035" w:rsidRPr="005D65EF" w:rsidRDefault="00785035" w:rsidP="00785035">
      <w:pPr>
        <w:spacing w:line="480" w:lineRule="auto"/>
        <w:rPr>
          <w:sz w:val="22"/>
          <w:szCs w:val="22"/>
          <w:lang w:val="en-US"/>
        </w:rPr>
      </w:pPr>
      <w:r w:rsidRPr="005D65EF">
        <w:rPr>
          <w:sz w:val="22"/>
          <w:szCs w:val="22"/>
          <w:lang w:val="en-US"/>
        </w:rPr>
        <w:t xml:space="preserve">This centering of the person, and not the professional system engaging with </w:t>
      </w:r>
      <w:r>
        <w:rPr>
          <w:sz w:val="22"/>
          <w:szCs w:val="22"/>
          <w:lang w:val="en-US"/>
        </w:rPr>
        <w:t>her</w:t>
      </w:r>
      <w:r w:rsidRPr="005D65EF">
        <w:rPr>
          <w:sz w:val="22"/>
          <w:szCs w:val="22"/>
          <w:lang w:val="en-US"/>
        </w:rPr>
        <w:t xml:space="preserve">, is paramount.  As Ruck Keene et al </w:t>
      </w:r>
      <w:r>
        <w:rPr>
          <w:sz w:val="22"/>
          <w:szCs w:val="22"/>
          <w:lang w:val="en-US"/>
        </w:rPr>
        <w:t>stress</w:t>
      </w:r>
      <w:r w:rsidRPr="005D65EF">
        <w:rPr>
          <w:sz w:val="22"/>
          <w:szCs w:val="22"/>
          <w:lang w:val="en-US"/>
        </w:rPr>
        <w:t>:</w:t>
      </w:r>
    </w:p>
    <w:p w:rsidR="00785035" w:rsidRPr="005D65EF" w:rsidRDefault="00785035" w:rsidP="00785035">
      <w:pPr>
        <w:spacing w:line="480" w:lineRule="auto"/>
        <w:ind w:left="720"/>
        <w:rPr>
          <w:sz w:val="22"/>
          <w:szCs w:val="22"/>
          <w:lang w:val="en-US"/>
        </w:rPr>
      </w:pPr>
      <w:r w:rsidRPr="005D65EF">
        <w:rPr>
          <w:sz w:val="22"/>
          <w:szCs w:val="22"/>
          <w:lang w:val="en-US"/>
        </w:rPr>
        <w:t>‘It is critically important to understand that the purpose of the process is to arrive at the decision that health and social professionals reasonably believe is the right decision for the person themselves, as an individual human being – not the decision that best fits with the outcome that the professionals desire’</w:t>
      </w:r>
      <w:r>
        <w:rPr>
          <w:sz w:val="22"/>
          <w:szCs w:val="22"/>
          <w:lang w:val="en-US"/>
        </w:rPr>
        <w:t>.</w:t>
      </w:r>
      <w:r>
        <w:rPr>
          <w:rStyle w:val="EndnoteReference"/>
          <w:sz w:val="22"/>
          <w:szCs w:val="22"/>
          <w:lang w:val="en-US"/>
        </w:rPr>
        <w:endnoteReference w:id="69"/>
      </w:r>
      <w:r w:rsidRPr="005D65EF">
        <w:rPr>
          <w:sz w:val="22"/>
          <w:szCs w:val="22"/>
          <w:lang w:val="en-US"/>
        </w:rPr>
        <w:t xml:space="preserve"> </w:t>
      </w:r>
    </w:p>
    <w:p w:rsidR="00785035" w:rsidRPr="00486F5B" w:rsidRDefault="00785035" w:rsidP="00785035">
      <w:pPr>
        <w:spacing w:line="480" w:lineRule="auto"/>
        <w:rPr>
          <w:sz w:val="22"/>
          <w:szCs w:val="22"/>
        </w:rPr>
      </w:pPr>
      <w:r w:rsidRPr="00486F5B">
        <w:rPr>
          <w:sz w:val="22"/>
          <w:szCs w:val="22"/>
          <w:lang w:val="en-US"/>
        </w:rPr>
        <w:t>The MCA’s codification of best interests, coupled with the checklist of factors contained in s.4, has certainly add</w:t>
      </w:r>
      <w:r w:rsidRPr="005D65EF">
        <w:rPr>
          <w:sz w:val="22"/>
          <w:szCs w:val="22"/>
          <w:lang w:val="en-US"/>
        </w:rPr>
        <w:t>ed</w:t>
      </w:r>
      <w:r w:rsidRPr="00486F5B">
        <w:rPr>
          <w:sz w:val="22"/>
          <w:szCs w:val="22"/>
          <w:lang w:val="en-US"/>
        </w:rPr>
        <w:t xml:space="preserve"> content to </w:t>
      </w:r>
      <w:r>
        <w:rPr>
          <w:sz w:val="22"/>
          <w:szCs w:val="22"/>
          <w:lang w:val="en-US"/>
        </w:rPr>
        <w:t>the</w:t>
      </w:r>
      <w:r w:rsidRPr="00486F5B">
        <w:rPr>
          <w:sz w:val="22"/>
          <w:szCs w:val="22"/>
          <w:lang w:val="en-US"/>
        </w:rPr>
        <w:t xml:space="preserve"> best interests test</w:t>
      </w:r>
      <w:r>
        <w:rPr>
          <w:sz w:val="22"/>
          <w:szCs w:val="22"/>
          <w:lang w:val="en-US"/>
        </w:rPr>
        <w:t>,</w:t>
      </w:r>
      <w:r w:rsidRPr="00486F5B">
        <w:rPr>
          <w:sz w:val="22"/>
          <w:szCs w:val="22"/>
          <w:lang w:val="en-US"/>
        </w:rPr>
        <w:t xml:space="preserve"> which ha</w:t>
      </w:r>
      <w:r>
        <w:rPr>
          <w:sz w:val="22"/>
          <w:szCs w:val="22"/>
          <w:lang w:val="en-US"/>
        </w:rPr>
        <w:t>s</w:t>
      </w:r>
      <w:r w:rsidRPr="00486F5B">
        <w:rPr>
          <w:sz w:val="22"/>
          <w:szCs w:val="22"/>
          <w:lang w:val="en-US"/>
        </w:rPr>
        <w:t xml:space="preserve"> been subject to trenchant critique (Donnelly 2016). </w:t>
      </w:r>
      <w:r w:rsidRPr="005D65EF">
        <w:rPr>
          <w:sz w:val="22"/>
          <w:szCs w:val="22"/>
          <w:lang w:val="en-US"/>
        </w:rPr>
        <w:t xml:space="preserve">Indeed, </w:t>
      </w:r>
      <w:r w:rsidRPr="00486F5B">
        <w:rPr>
          <w:sz w:val="22"/>
          <w:szCs w:val="22"/>
          <w:lang w:val="en-US"/>
        </w:rPr>
        <w:t>Jackson argue</w:t>
      </w:r>
      <w:r w:rsidRPr="005D65EF">
        <w:rPr>
          <w:sz w:val="22"/>
          <w:szCs w:val="22"/>
          <w:lang w:val="en-US"/>
        </w:rPr>
        <w:t>s</w:t>
      </w:r>
      <w:r w:rsidRPr="00486F5B">
        <w:rPr>
          <w:sz w:val="22"/>
          <w:szCs w:val="22"/>
          <w:lang w:val="en-US"/>
        </w:rPr>
        <w:t xml:space="preserve"> that judges hearing recent Court of Protection cases are according patients’ wishes a primacy that goes beyond the </w:t>
      </w:r>
      <w:r>
        <w:rPr>
          <w:sz w:val="22"/>
          <w:szCs w:val="22"/>
          <w:lang w:val="en-US"/>
        </w:rPr>
        <w:t xml:space="preserve">strict </w:t>
      </w:r>
      <w:r w:rsidRPr="00486F5B">
        <w:rPr>
          <w:sz w:val="22"/>
          <w:szCs w:val="22"/>
          <w:lang w:val="en-US"/>
        </w:rPr>
        <w:t>legislative requirements of the MCA</w:t>
      </w:r>
      <w:r>
        <w:rPr>
          <w:sz w:val="22"/>
          <w:szCs w:val="22"/>
          <w:lang w:val="en-US"/>
        </w:rPr>
        <w:t>,</w:t>
      </w:r>
      <w:r w:rsidRPr="005D65EF">
        <w:rPr>
          <w:sz w:val="22"/>
          <w:szCs w:val="22"/>
          <w:lang w:val="en-US"/>
        </w:rPr>
        <w:t xml:space="preserve"> </w:t>
      </w:r>
      <w:r>
        <w:rPr>
          <w:sz w:val="22"/>
          <w:szCs w:val="22"/>
          <w:lang w:val="en-US"/>
        </w:rPr>
        <w:t>thereby</w:t>
      </w:r>
      <w:r w:rsidRPr="00486F5B">
        <w:rPr>
          <w:sz w:val="22"/>
          <w:szCs w:val="22"/>
          <w:lang w:val="en-US"/>
        </w:rPr>
        <w:t xml:space="preserve"> promot</w:t>
      </w:r>
      <w:r>
        <w:rPr>
          <w:sz w:val="22"/>
          <w:szCs w:val="22"/>
          <w:lang w:val="en-US"/>
        </w:rPr>
        <w:t>ing</w:t>
      </w:r>
      <w:r w:rsidRPr="00486F5B">
        <w:rPr>
          <w:sz w:val="22"/>
          <w:szCs w:val="22"/>
          <w:lang w:val="en-US"/>
        </w:rPr>
        <w:t xml:space="preserve"> </w:t>
      </w:r>
      <w:r w:rsidRPr="005D65EF">
        <w:rPr>
          <w:sz w:val="22"/>
          <w:szCs w:val="22"/>
          <w:lang w:val="en-US"/>
        </w:rPr>
        <w:t>a</w:t>
      </w:r>
      <w:r w:rsidRPr="00486F5B">
        <w:rPr>
          <w:sz w:val="22"/>
          <w:szCs w:val="22"/>
          <w:lang w:val="en-US"/>
        </w:rPr>
        <w:t xml:space="preserve"> patient-centred and participative approach:</w:t>
      </w:r>
    </w:p>
    <w:p w:rsidR="00785035" w:rsidRPr="004E5905" w:rsidRDefault="00785035" w:rsidP="00785035">
      <w:pPr>
        <w:spacing w:line="480" w:lineRule="auto"/>
        <w:ind w:left="720"/>
        <w:rPr>
          <w:sz w:val="22"/>
          <w:szCs w:val="22"/>
        </w:rPr>
      </w:pPr>
      <w:r w:rsidRPr="005D65EF">
        <w:rPr>
          <w:sz w:val="22"/>
          <w:szCs w:val="22"/>
        </w:rPr>
        <w:t>‘Post-</w:t>
      </w:r>
      <w:r w:rsidRPr="005D65EF">
        <w:rPr>
          <w:i/>
          <w:iCs/>
          <w:sz w:val="22"/>
          <w:szCs w:val="22"/>
        </w:rPr>
        <w:t>Aintree</w:t>
      </w:r>
      <w:r w:rsidRPr="005D65EF">
        <w:rPr>
          <w:sz w:val="22"/>
          <w:szCs w:val="22"/>
        </w:rPr>
        <w:t xml:space="preserve">… if the patient’s wishes can be ascertained, they should be central to the decision as to what is in her best interests. And in cases that have followed </w:t>
      </w:r>
      <w:r w:rsidRPr="005D65EF">
        <w:rPr>
          <w:i/>
          <w:iCs/>
          <w:sz w:val="22"/>
          <w:szCs w:val="22"/>
        </w:rPr>
        <w:t>Aintree</w:t>
      </w:r>
      <w:r w:rsidRPr="005D65EF">
        <w:rPr>
          <w:sz w:val="22"/>
          <w:szCs w:val="22"/>
        </w:rPr>
        <w:t>, judges</w:t>
      </w:r>
      <w:r>
        <w:rPr>
          <w:sz w:val="22"/>
          <w:szCs w:val="22"/>
        </w:rPr>
        <w:t>…</w:t>
      </w:r>
      <w:r w:rsidRPr="005D65EF">
        <w:rPr>
          <w:sz w:val="22"/>
          <w:szCs w:val="22"/>
        </w:rPr>
        <w:t xml:space="preserve"> </w:t>
      </w:r>
      <w:r w:rsidRPr="005D65EF">
        <w:rPr>
          <w:sz w:val="22"/>
          <w:szCs w:val="22"/>
        </w:rPr>
        <w:lastRenderedPageBreak/>
        <w:t>have been emboldened to take P’s wishes very seriously indeed, even when they are contrary to an ‘objective’ view of what is in P’s clinical best interests’</w:t>
      </w:r>
      <w:r>
        <w:rPr>
          <w:sz w:val="22"/>
          <w:szCs w:val="22"/>
        </w:rPr>
        <w:t>.</w:t>
      </w:r>
      <w:r>
        <w:rPr>
          <w:rStyle w:val="EndnoteReference"/>
          <w:sz w:val="22"/>
          <w:szCs w:val="22"/>
        </w:rPr>
        <w:endnoteReference w:id="70"/>
      </w:r>
      <w:r w:rsidRPr="005D65EF">
        <w:rPr>
          <w:sz w:val="22"/>
          <w:szCs w:val="22"/>
        </w:rPr>
        <w:t xml:space="preserve"> </w:t>
      </w:r>
    </w:p>
    <w:p w:rsidR="00785035" w:rsidRPr="005D65EF" w:rsidRDefault="00785035" w:rsidP="00785035">
      <w:pPr>
        <w:spacing w:line="480" w:lineRule="auto"/>
        <w:rPr>
          <w:sz w:val="22"/>
          <w:szCs w:val="22"/>
          <w:lang w:val="en-US"/>
        </w:rPr>
      </w:pPr>
      <w:r w:rsidRPr="005D65EF">
        <w:rPr>
          <w:sz w:val="22"/>
          <w:szCs w:val="22"/>
          <w:lang w:val="en-US"/>
        </w:rPr>
        <w:t xml:space="preserve">In Mrs P’s case, the limited factual knowledge to be gleaned from the short transcript amply demonstrates her dependency upon her carers and </w:t>
      </w:r>
      <w:r>
        <w:rPr>
          <w:sz w:val="22"/>
          <w:szCs w:val="22"/>
          <w:lang w:val="en-US"/>
        </w:rPr>
        <w:t>professionals</w:t>
      </w:r>
      <w:r w:rsidRPr="005D65EF">
        <w:rPr>
          <w:sz w:val="22"/>
          <w:szCs w:val="22"/>
          <w:lang w:val="en-US"/>
        </w:rPr>
        <w:t xml:space="preserve"> appointed by the courts to deal with her affairs. </w:t>
      </w:r>
      <w:r>
        <w:rPr>
          <w:sz w:val="22"/>
          <w:szCs w:val="22"/>
          <w:lang w:val="en-US"/>
        </w:rPr>
        <w:t>Evidently,</w:t>
      </w:r>
      <w:r w:rsidRPr="005D65EF">
        <w:rPr>
          <w:sz w:val="22"/>
          <w:szCs w:val="22"/>
          <w:lang w:val="en-US"/>
        </w:rPr>
        <w:t xml:space="preserve"> she is unable to conform to the mandates of </w:t>
      </w:r>
      <w:r>
        <w:rPr>
          <w:sz w:val="22"/>
          <w:szCs w:val="22"/>
          <w:lang w:val="en-US"/>
        </w:rPr>
        <w:t xml:space="preserve">autonomy, </w:t>
      </w:r>
      <w:r w:rsidRPr="005D65EF">
        <w:rPr>
          <w:sz w:val="22"/>
          <w:szCs w:val="22"/>
          <w:lang w:val="en-US"/>
        </w:rPr>
        <w:t>self-sufficiency and independence expected of decision-makers</w:t>
      </w:r>
      <w:r>
        <w:rPr>
          <w:sz w:val="22"/>
          <w:szCs w:val="22"/>
          <w:lang w:val="en-US"/>
        </w:rPr>
        <w:t>.</w:t>
      </w:r>
      <w:r>
        <w:rPr>
          <w:rStyle w:val="EndnoteReference"/>
          <w:sz w:val="22"/>
          <w:szCs w:val="22"/>
          <w:lang w:val="en-US"/>
        </w:rPr>
        <w:endnoteReference w:id="71"/>
      </w:r>
      <w:r w:rsidRPr="005D65EF">
        <w:rPr>
          <w:sz w:val="22"/>
          <w:szCs w:val="22"/>
          <w:lang w:val="en-US"/>
        </w:rPr>
        <w:t xml:space="preserve"> Yet, </w:t>
      </w:r>
      <w:r>
        <w:rPr>
          <w:sz w:val="22"/>
          <w:szCs w:val="22"/>
          <w:lang w:val="en-US"/>
        </w:rPr>
        <w:t>while arguably displaying some of the submissive tendencies that Stoller argues are associated with liminal states,</w:t>
      </w:r>
      <w:r>
        <w:rPr>
          <w:rStyle w:val="EndnoteReference"/>
          <w:sz w:val="22"/>
          <w:szCs w:val="22"/>
          <w:lang w:val="en-US"/>
        </w:rPr>
        <w:endnoteReference w:id="72"/>
      </w:r>
      <w:r>
        <w:rPr>
          <w:sz w:val="22"/>
          <w:szCs w:val="22"/>
          <w:lang w:val="en-US"/>
        </w:rPr>
        <w:t xml:space="preserve"> </w:t>
      </w:r>
      <w:r w:rsidRPr="005D65EF">
        <w:rPr>
          <w:sz w:val="22"/>
          <w:szCs w:val="22"/>
          <w:lang w:val="en-US"/>
        </w:rPr>
        <w:t xml:space="preserve">crucially, </w:t>
      </w:r>
      <w:r>
        <w:rPr>
          <w:sz w:val="22"/>
          <w:szCs w:val="22"/>
          <w:lang w:val="en-US"/>
        </w:rPr>
        <w:t>it</w:t>
      </w:r>
      <w:r w:rsidRPr="005D65EF">
        <w:rPr>
          <w:sz w:val="22"/>
          <w:szCs w:val="22"/>
          <w:lang w:val="en-US"/>
        </w:rPr>
        <w:t xml:space="preserve"> does not </w:t>
      </w:r>
      <w:r>
        <w:rPr>
          <w:sz w:val="22"/>
          <w:szCs w:val="22"/>
          <w:lang w:val="en-US"/>
        </w:rPr>
        <w:t>follow</w:t>
      </w:r>
      <w:r w:rsidRPr="005D65EF">
        <w:rPr>
          <w:sz w:val="22"/>
          <w:szCs w:val="22"/>
          <w:lang w:val="en-US"/>
        </w:rPr>
        <w:t xml:space="preserve"> that Mrs P is incapable of agency. </w:t>
      </w:r>
      <w:r>
        <w:rPr>
          <w:sz w:val="22"/>
          <w:szCs w:val="22"/>
          <w:lang w:val="en-US"/>
        </w:rPr>
        <w:t>Thus, h</w:t>
      </w:r>
      <w:r w:rsidRPr="005D65EF">
        <w:rPr>
          <w:sz w:val="22"/>
          <w:szCs w:val="22"/>
          <w:lang w:val="en-US"/>
        </w:rPr>
        <w:t>aving heard that ‘the only living being with whom she shares any love or devotion is her dog Bobby’ (para 14), and that ‘her face lights up’ when she sees dogs, Matharu J observed:</w:t>
      </w:r>
    </w:p>
    <w:p w:rsidR="00785035" w:rsidRPr="005D65EF" w:rsidRDefault="00785035" w:rsidP="00785035">
      <w:pPr>
        <w:spacing w:line="480" w:lineRule="auto"/>
        <w:ind w:left="720"/>
        <w:rPr>
          <w:sz w:val="22"/>
          <w:szCs w:val="22"/>
          <w:lang w:val="en-US"/>
        </w:rPr>
      </w:pPr>
      <w:r w:rsidRPr="005D65EF">
        <w:rPr>
          <w:sz w:val="22"/>
          <w:szCs w:val="22"/>
          <w:lang w:val="en-US"/>
        </w:rPr>
        <w:t>‘It may seem to those not well rehearsed in the needs of a person who owns a pet, in this case a person who no longer has capacity to make decisions about various matters, what the importance of a pet is in their life. The deputy only has to read any single reference in reports, assessments or statements of Mrs P of how important Bobby is to her’ (para 14).</w:t>
      </w:r>
    </w:p>
    <w:p w:rsidR="00785035" w:rsidRPr="005D65EF" w:rsidRDefault="00785035" w:rsidP="00785035">
      <w:pPr>
        <w:spacing w:line="480" w:lineRule="auto"/>
        <w:rPr>
          <w:sz w:val="22"/>
          <w:szCs w:val="22"/>
          <w:lang w:val="en-US"/>
        </w:rPr>
      </w:pPr>
      <w:r w:rsidRPr="005D65EF">
        <w:rPr>
          <w:sz w:val="22"/>
          <w:szCs w:val="22"/>
          <w:lang w:val="en-US"/>
        </w:rPr>
        <w:t>The judge’s attentiveness to Mrs P’s embodied gestures and expressions allowed her to recognise th</w:t>
      </w:r>
      <w:r>
        <w:rPr>
          <w:sz w:val="22"/>
          <w:szCs w:val="22"/>
          <w:lang w:val="en-US"/>
        </w:rPr>
        <w:t xml:space="preserve">e pleasure Mrs P derived </w:t>
      </w:r>
      <w:r w:rsidRPr="005D65EF">
        <w:rPr>
          <w:sz w:val="22"/>
          <w:szCs w:val="22"/>
          <w:lang w:val="en-US"/>
        </w:rPr>
        <w:t>from being around dogs</w:t>
      </w:r>
      <w:r>
        <w:rPr>
          <w:sz w:val="22"/>
          <w:szCs w:val="22"/>
          <w:lang w:val="en-US"/>
        </w:rPr>
        <w:t xml:space="preserve"> and</w:t>
      </w:r>
      <w:r w:rsidRPr="005D65EF">
        <w:rPr>
          <w:sz w:val="22"/>
          <w:szCs w:val="22"/>
          <w:lang w:val="en-US"/>
        </w:rPr>
        <w:t xml:space="preserve"> </w:t>
      </w:r>
      <w:r>
        <w:rPr>
          <w:sz w:val="22"/>
          <w:szCs w:val="22"/>
          <w:lang w:val="en-US"/>
        </w:rPr>
        <w:t xml:space="preserve">persuaded her that </w:t>
      </w:r>
      <w:r w:rsidRPr="005D65EF">
        <w:rPr>
          <w:sz w:val="22"/>
          <w:szCs w:val="22"/>
          <w:lang w:val="en-US"/>
        </w:rPr>
        <w:t xml:space="preserve">simply being visited by Bobby would likely enhance her </w:t>
      </w:r>
      <w:r>
        <w:rPr>
          <w:sz w:val="22"/>
          <w:szCs w:val="22"/>
          <w:lang w:val="en-US"/>
        </w:rPr>
        <w:t xml:space="preserve">quality of </w:t>
      </w:r>
      <w:r w:rsidRPr="005D65EF">
        <w:rPr>
          <w:sz w:val="22"/>
          <w:szCs w:val="22"/>
          <w:lang w:val="en-US"/>
        </w:rPr>
        <w:t xml:space="preserve">life. </w:t>
      </w:r>
      <w:r>
        <w:rPr>
          <w:sz w:val="22"/>
          <w:szCs w:val="22"/>
          <w:lang w:val="en-US"/>
        </w:rPr>
        <w:t>T</w:t>
      </w:r>
      <w:r w:rsidRPr="005D65EF">
        <w:rPr>
          <w:sz w:val="22"/>
          <w:szCs w:val="22"/>
          <w:lang w:val="en-US"/>
        </w:rPr>
        <w:t xml:space="preserve">he </w:t>
      </w:r>
      <w:r w:rsidRPr="005D65EF">
        <w:rPr>
          <w:i/>
          <w:sz w:val="22"/>
          <w:szCs w:val="22"/>
          <w:lang w:val="en-US"/>
        </w:rPr>
        <w:t>Rochdale</w:t>
      </w:r>
      <w:r w:rsidRPr="005D65EF">
        <w:rPr>
          <w:sz w:val="22"/>
          <w:szCs w:val="22"/>
          <w:lang w:val="en-US"/>
        </w:rPr>
        <w:t xml:space="preserve"> case </w:t>
      </w:r>
      <w:r>
        <w:rPr>
          <w:sz w:val="22"/>
          <w:szCs w:val="22"/>
          <w:lang w:val="en-US"/>
        </w:rPr>
        <w:t xml:space="preserve">thus </w:t>
      </w:r>
      <w:r w:rsidRPr="005D65EF">
        <w:rPr>
          <w:sz w:val="22"/>
          <w:szCs w:val="22"/>
          <w:lang w:val="en-US"/>
        </w:rPr>
        <w:t xml:space="preserve">demonstrates </w:t>
      </w:r>
      <w:r>
        <w:rPr>
          <w:sz w:val="22"/>
          <w:szCs w:val="22"/>
          <w:lang w:val="en-US"/>
        </w:rPr>
        <w:t>the importance of</w:t>
      </w:r>
      <w:r w:rsidRPr="005D65EF">
        <w:rPr>
          <w:sz w:val="22"/>
          <w:szCs w:val="22"/>
          <w:lang w:val="en-US"/>
        </w:rPr>
        <w:t xml:space="preserve"> decision-makers</w:t>
      </w:r>
      <w:r>
        <w:rPr>
          <w:sz w:val="22"/>
          <w:szCs w:val="22"/>
          <w:lang w:val="en-US"/>
        </w:rPr>
        <w:t xml:space="preserve"> </w:t>
      </w:r>
      <w:r w:rsidRPr="005D65EF">
        <w:rPr>
          <w:sz w:val="22"/>
          <w:szCs w:val="22"/>
          <w:lang w:val="en-US"/>
        </w:rPr>
        <w:t>seek</w:t>
      </w:r>
      <w:r>
        <w:rPr>
          <w:sz w:val="22"/>
          <w:szCs w:val="22"/>
          <w:lang w:val="en-US"/>
        </w:rPr>
        <w:t>ing</w:t>
      </w:r>
      <w:r w:rsidRPr="005D65EF">
        <w:rPr>
          <w:sz w:val="22"/>
          <w:szCs w:val="22"/>
          <w:lang w:val="en-US"/>
        </w:rPr>
        <w:t xml:space="preserve"> signs of agency</w:t>
      </w:r>
      <w:r>
        <w:rPr>
          <w:sz w:val="22"/>
          <w:szCs w:val="22"/>
          <w:lang w:val="en-US"/>
        </w:rPr>
        <w:t>,</w:t>
      </w:r>
      <w:r w:rsidRPr="005D65EF">
        <w:rPr>
          <w:sz w:val="22"/>
          <w:szCs w:val="22"/>
          <w:lang w:val="en-US"/>
        </w:rPr>
        <w:t xml:space="preserve"> rather than assuming that older people </w:t>
      </w:r>
      <w:r>
        <w:rPr>
          <w:sz w:val="22"/>
          <w:szCs w:val="22"/>
          <w:lang w:val="en-US"/>
        </w:rPr>
        <w:t>lack agency</w:t>
      </w:r>
      <w:r w:rsidRPr="005D65EF">
        <w:rPr>
          <w:sz w:val="22"/>
          <w:szCs w:val="22"/>
          <w:lang w:val="en-US"/>
        </w:rPr>
        <w:t xml:space="preserve">. It also </w:t>
      </w:r>
      <w:r>
        <w:rPr>
          <w:sz w:val="22"/>
          <w:szCs w:val="22"/>
          <w:lang w:val="en-US"/>
        </w:rPr>
        <w:t>suggests that</w:t>
      </w:r>
      <w:r w:rsidRPr="005D65EF">
        <w:rPr>
          <w:sz w:val="22"/>
          <w:szCs w:val="22"/>
          <w:lang w:val="en-US"/>
        </w:rPr>
        <w:t xml:space="preserve"> animal </w:t>
      </w:r>
      <w:r>
        <w:rPr>
          <w:sz w:val="22"/>
          <w:szCs w:val="22"/>
          <w:lang w:val="en-US"/>
        </w:rPr>
        <w:t>attachments</w:t>
      </w:r>
      <w:r w:rsidRPr="005D65EF">
        <w:rPr>
          <w:sz w:val="22"/>
          <w:szCs w:val="22"/>
          <w:lang w:val="en-US"/>
        </w:rPr>
        <w:t xml:space="preserve"> </w:t>
      </w:r>
      <w:r>
        <w:rPr>
          <w:sz w:val="22"/>
          <w:szCs w:val="22"/>
          <w:lang w:val="en-US"/>
        </w:rPr>
        <w:t>may be still more</w:t>
      </w:r>
      <w:r w:rsidRPr="005D65EF">
        <w:rPr>
          <w:sz w:val="22"/>
          <w:szCs w:val="22"/>
          <w:lang w:val="en-US"/>
        </w:rPr>
        <w:t xml:space="preserve"> integral </w:t>
      </w:r>
      <w:r>
        <w:rPr>
          <w:sz w:val="22"/>
          <w:szCs w:val="22"/>
          <w:lang w:val="en-US"/>
        </w:rPr>
        <w:t>in</w:t>
      </w:r>
      <w:r w:rsidRPr="005D65EF">
        <w:rPr>
          <w:sz w:val="22"/>
          <w:szCs w:val="22"/>
          <w:lang w:val="en-US"/>
        </w:rPr>
        <w:t xml:space="preserve"> the lives of those lack</w:t>
      </w:r>
      <w:r>
        <w:rPr>
          <w:sz w:val="22"/>
          <w:szCs w:val="22"/>
          <w:lang w:val="en-US"/>
        </w:rPr>
        <w:t>ing</w:t>
      </w:r>
      <w:r w:rsidRPr="005D65EF">
        <w:rPr>
          <w:sz w:val="22"/>
          <w:szCs w:val="22"/>
          <w:lang w:val="en-US"/>
        </w:rPr>
        <w:t xml:space="preserve"> capacity, given the role of companion </w:t>
      </w:r>
      <w:r>
        <w:rPr>
          <w:sz w:val="22"/>
          <w:szCs w:val="22"/>
          <w:lang w:val="en-US"/>
        </w:rPr>
        <w:t>species</w:t>
      </w:r>
      <w:r w:rsidRPr="005D65EF">
        <w:rPr>
          <w:sz w:val="22"/>
          <w:szCs w:val="22"/>
          <w:lang w:val="en-US"/>
        </w:rPr>
        <w:t xml:space="preserve"> in maintaining social connections and continuity.</w:t>
      </w:r>
      <w:r>
        <w:rPr>
          <w:rStyle w:val="EndnoteReference"/>
          <w:sz w:val="22"/>
          <w:szCs w:val="22"/>
          <w:lang w:val="en-US"/>
        </w:rPr>
        <w:endnoteReference w:id="73"/>
      </w:r>
      <w:r w:rsidRPr="005D65EF">
        <w:rPr>
          <w:sz w:val="22"/>
          <w:szCs w:val="22"/>
          <w:lang w:val="en-US"/>
        </w:rPr>
        <w:t xml:space="preserve"> In Mrs P’s case</w:t>
      </w:r>
      <w:r>
        <w:rPr>
          <w:sz w:val="22"/>
          <w:szCs w:val="22"/>
          <w:lang w:val="en-US"/>
        </w:rPr>
        <w:t>,</w:t>
      </w:r>
      <w:r w:rsidRPr="005D65EF">
        <w:rPr>
          <w:sz w:val="22"/>
          <w:szCs w:val="22"/>
          <w:lang w:val="en-US"/>
        </w:rPr>
        <w:t xml:space="preserve"> her social worker </w:t>
      </w:r>
      <w:r>
        <w:rPr>
          <w:sz w:val="22"/>
          <w:szCs w:val="22"/>
          <w:lang w:val="en-US"/>
        </w:rPr>
        <w:t>indicated in</w:t>
      </w:r>
      <w:r w:rsidRPr="005D65EF">
        <w:rPr>
          <w:sz w:val="22"/>
          <w:szCs w:val="22"/>
          <w:lang w:val="en-US"/>
        </w:rPr>
        <w:t xml:space="preserve"> court ‘that of single most importance in her life is her dog and having some form of contact with her dog in the future if possible’ (at para 29).</w:t>
      </w:r>
    </w:p>
    <w:p w:rsidR="00785035" w:rsidRDefault="00785035" w:rsidP="00785035">
      <w:pPr>
        <w:spacing w:line="480" w:lineRule="auto"/>
        <w:ind w:firstLine="720"/>
        <w:rPr>
          <w:sz w:val="22"/>
          <w:szCs w:val="22"/>
          <w:lang w:val="en-US"/>
        </w:rPr>
      </w:pPr>
      <w:r w:rsidRPr="005D65EF">
        <w:rPr>
          <w:sz w:val="22"/>
          <w:szCs w:val="22"/>
          <w:lang w:val="en-US"/>
        </w:rPr>
        <w:t xml:space="preserve">Matharu J’s </w:t>
      </w:r>
      <w:r>
        <w:rPr>
          <w:sz w:val="22"/>
          <w:szCs w:val="22"/>
          <w:lang w:val="en-US"/>
        </w:rPr>
        <w:t>recognition</w:t>
      </w:r>
      <w:r w:rsidRPr="005D65EF">
        <w:rPr>
          <w:sz w:val="22"/>
          <w:szCs w:val="22"/>
          <w:lang w:val="en-US"/>
        </w:rPr>
        <w:t xml:space="preserve"> that Bobby’s companionship could play </w:t>
      </w:r>
      <w:r>
        <w:rPr>
          <w:sz w:val="22"/>
          <w:szCs w:val="22"/>
          <w:lang w:val="en-US"/>
        </w:rPr>
        <w:t xml:space="preserve">a crucial role </w:t>
      </w:r>
      <w:r w:rsidRPr="005D65EF">
        <w:rPr>
          <w:sz w:val="22"/>
          <w:szCs w:val="22"/>
          <w:lang w:val="en-US"/>
        </w:rPr>
        <w:t>in promoting Mrs P’s well-being is significant</w:t>
      </w:r>
      <w:r>
        <w:rPr>
          <w:sz w:val="22"/>
          <w:szCs w:val="22"/>
          <w:lang w:val="en-US"/>
        </w:rPr>
        <w:t xml:space="preserve">, and extends well </w:t>
      </w:r>
      <w:r w:rsidRPr="00A27174">
        <w:rPr>
          <w:sz w:val="22"/>
          <w:szCs w:val="22"/>
          <w:lang w:val="en-US"/>
        </w:rPr>
        <w:t>beyond a narrow medical conception of best interests</w:t>
      </w:r>
      <w:r w:rsidRPr="005D65EF">
        <w:rPr>
          <w:sz w:val="22"/>
          <w:szCs w:val="22"/>
          <w:lang w:val="en-US"/>
        </w:rPr>
        <w:t xml:space="preserve">.  Similar questions about the </w:t>
      </w:r>
      <w:r>
        <w:rPr>
          <w:sz w:val="22"/>
          <w:szCs w:val="22"/>
          <w:lang w:val="en-US"/>
        </w:rPr>
        <w:t>role</w:t>
      </w:r>
      <w:r w:rsidRPr="005D65EF">
        <w:rPr>
          <w:sz w:val="22"/>
          <w:szCs w:val="22"/>
          <w:lang w:val="en-US"/>
        </w:rPr>
        <w:t xml:space="preserve"> of companion animals in ensuring person-centred care are potentially raised by the Care Act 2014</w:t>
      </w:r>
      <w:r>
        <w:rPr>
          <w:sz w:val="22"/>
          <w:szCs w:val="22"/>
          <w:lang w:val="en-US"/>
        </w:rPr>
        <w:t>,</w:t>
      </w:r>
      <w:r w:rsidRPr="005D65EF">
        <w:rPr>
          <w:sz w:val="22"/>
          <w:szCs w:val="22"/>
          <w:lang w:val="en-US"/>
        </w:rPr>
        <w:t xml:space="preserve"> which imposes obligations on local authorities to ensure that </w:t>
      </w:r>
      <w:r w:rsidRPr="005D65EF">
        <w:rPr>
          <w:sz w:val="22"/>
          <w:szCs w:val="22"/>
        </w:rPr>
        <w:t>individual need</w:t>
      </w:r>
      <w:r>
        <w:rPr>
          <w:sz w:val="22"/>
          <w:szCs w:val="22"/>
        </w:rPr>
        <w:t>s and well-being</w:t>
      </w:r>
      <w:r w:rsidRPr="005D65EF">
        <w:rPr>
          <w:sz w:val="22"/>
          <w:szCs w:val="22"/>
        </w:rPr>
        <w:t xml:space="preserve"> are at the heart of health and social care provision</w:t>
      </w:r>
      <w:r w:rsidRPr="007E2485">
        <w:rPr>
          <w:sz w:val="22"/>
          <w:szCs w:val="22"/>
        </w:rPr>
        <w:t>.</w:t>
      </w:r>
      <w:r>
        <w:rPr>
          <w:rStyle w:val="EndnoteReference"/>
          <w:sz w:val="22"/>
          <w:szCs w:val="22"/>
        </w:rPr>
        <w:endnoteReference w:id="74"/>
      </w:r>
      <w:r w:rsidRPr="005D65EF">
        <w:rPr>
          <w:sz w:val="22"/>
          <w:szCs w:val="22"/>
          <w:lang w:val="en-US"/>
        </w:rPr>
        <w:t xml:space="preserve"> </w:t>
      </w:r>
      <w:r w:rsidRPr="005D65EF">
        <w:rPr>
          <w:sz w:val="22"/>
          <w:szCs w:val="22"/>
        </w:rPr>
        <w:t>Th</w:t>
      </w:r>
      <w:r>
        <w:rPr>
          <w:sz w:val="22"/>
          <w:szCs w:val="22"/>
        </w:rPr>
        <w:t>e</w:t>
      </w:r>
      <w:r w:rsidRPr="005D65EF">
        <w:rPr>
          <w:sz w:val="22"/>
          <w:szCs w:val="22"/>
        </w:rPr>
        <w:t xml:space="preserve"> legislative injunction to give people more control over their lives and</w:t>
      </w:r>
      <w:r w:rsidRPr="005D65EF">
        <w:rPr>
          <w:sz w:val="22"/>
          <w:szCs w:val="22"/>
          <w:lang w:val="en-US"/>
        </w:rPr>
        <w:t xml:space="preserve"> family circumstances </w:t>
      </w:r>
      <w:r w:rsidRPr="005D65EF">
        <w:rPr>
          <w:sz w:val="22"/>
          <w:szCs w:val="22"/>
        </w:rPr>
        <w:t xml:space="preserve">could further </w:t>
      </w:r>
      <w:r w:rsidRPr="005D65EF">
        <w:rPr>
          <w:sz w:val="22"/>
          <w:szCs w:val="22"/>
        </w:rPr>
        <w:lastRenderedPageBreak/>
        <w:t xml:space="preserve">empower older people to identify </w:t>
      </w:r>
      <w:r>
        <w:rPr>
          <w:sz w:val="22"/>
          <w:szCs w:val="22"/>
          <w:lang w:val="en-US"/>
        </w:rPr>
        <w:t>inter</w:t>
      </w:r>
      <w:r w:rsidRPr="005D65EF">
        <w:rPr>
          <w:sz w:val="22"/>
          <w:szCs w:val="22"/>
          <w:lang w:val="en-US"/>
        </w:rPr>
        <w:t>-species companionship</w:t>
      </w:r>
      <w:r w:rsidRPr="005D65EF">
        <w:rPr>
          <w:sz w:val="22"/>
          <w:szCs w:val="22"/>
        </w:rPr>
        <w:t xml:space="preserve"> as </w:t>
      </w:r>
      <w:r>
        <w:rPr>
          <w:sz w:val="22"/>
          <w:szCs w:val="22"/>
        </w:rPr>
        <w:t>centr</w:t>
      </w:r>
      <w:r w:rsidRPr="005D65EF">
        <w:rPr>
          <w:sz w:val="22"/>
          <w:szCs w:val="22"/>
        </w:rPr>
        <w:t>al to their</w:t>
      </w:r>
      <w:r w:rsidRPr="005D65EF">
        <w:rPr>
          <w:noProof/>
          <w:sz w:val="22"/>
          <w:szCs w:val="22"/>
          <w:lang w:val="en-US"/>
        </w:rPr>
        <w:t xml:space="preserve"> physical, mental and emotional well-being</w:t>
      </w:r>
      <w:r>
        <w:rPr>
          <w:noProof/>
          <w:sz w:val="22"/>
          <w:szCs w:val="22"/>
          <w:lang w:val="en-US"/>
        </w:rPr>
        <w:t>.  This is why legal recognition of the relationship</w:t>
      </w:r>
      <w:r w:rsidRPr="005D65EF">
        <w:rPr>
          <w:noProof/>
          <w:sz w:val="22"/>
          <w:szCs w:val="22"/>
          <w:lang w:val="en-US"/>
        </w:rPr>
        <w:t xml:space="preserve"> in </w:t>
      </w:r>
      <w:r w:rsidRPr="005D65EF">
        <w:rPr>
          <w:i/>
          <w:sz w:val="22"/>
          <w:szCs w:val="22"/>
          <w:lang w:val="en-US"/>
        </w:rPr>
        <w:t>P v Rochdale</w:t>
      </w:r>
      <w:r>
        <w:rPr>
          <w:sz w:val="22"/>
          <w:szCs w:val="22"/>
          <w:lang w:val="en-US"/>
        </w:rPr>
        <w:t xml:space="preserve"> is so important.</w:t>
      </w:r>
      <w:r w:rsidRPr="005D65EF">
        <w:rPr>
          <w:sz w:val="22"/>
          <w:szCs w:val="22"/>
          <w:lang w:val="en-US"/>
        </w:rPr>
        <w:t xml:space="preserve"> </w:t>
      </w:r>
      <w:r>
        <w:rPr>
          <w:sz w:val="22"/>
          <w:szCs w:val="22"/>
          <w:lang w:val="en-US"/>
        </w:rPr>
        <w:t>Of course,</w:t>
      </w:r>
      <w:r w:rsidRPr="005D65EF">
        <w:rPr>
          <w:sz w:val="22"/>
          <w:szCs w:val="22"/>
          <w:lang w:val="en-US"/>
        </w:rPr>
        <w:t xml:space="preserve"> </w:t>
      </w:r>
      <w:r>
        <w:rPr>
          <w:sz w:val="22"/>
          <w:szCs w:val="22"/>
          <w:lang w:val="en-US"/>
        </w:rPr>
        <w:t>in other respects such</w:t>
      </w:r>
      <w:r w:rsidRPr="005D65EF">
        <w:rPr>
          <w:sz w:val="22"/>
          <w:szCs w:val="22"/>
          <w:lang w:val="en-US"/>
        </w:rPr>
        <w:t xml:space="preserve"> </w:t>
      </w:r>
      <w:r>
        <w:rPr>
          <w:sz w:val="22"/>
          <w:szCs w:val="22"/>
          <w:lang w:val="en-US"/>
        </w:rPr>
        <w:t>a ruling</w:t>
      </w:r>
      <w:r w:rsidRPr="005D65EF">
        <w:rPr>
          <w:sz w:val="22"/>
          <w:szCs w:val="22"/>
          <w:lang w:val="en-US"/>
        </w:rPr>
        <w:t xml:space="preserve"> </w:t>
      </w:r>
      <w:r>
        <w:rPr>
          <w:sz w:val="22"/>
          <w:szCs w:val="22"/>
          <w:lang w:val="en-US"/>
        </w:rPr>
        <w:t xml:space="preserve">is </w:t>
      </w:r>
      <w:r w:rsidRPr="005D65EF">
        <w:rPr>
          <w:sz w:val="22"/>
          <w:szCs w:val="22"/>
          <w:lang w:val="en-US"/>
        </w:rPr>
        <w:t>limit</w:t>
      </w:r>
      <w:r>
        <w:rPr>
          <w:sz w:val="22"/>
          <w:szCs w:val="22"/>
          <w:lang w:val="en-US"/>
        </w:rPr>
        <w:t>ed</w:t>
      </w:r>
      <w:r w:rsidRPr="005D65EF">
        <w:rPr>
          <w:sz w:val="22"/>
          <w:szCs w:val="22"/>
          <w:lang w:val="en-US"/>
        </w:rPr>
        <w:t>.  Matharu J</w:t>
      </w:r>
      <w:r w:rsidRPr="005D65EF">
        <w:rPr>
          <w:i/>
          <w:sz w:val="22"/>
          <w:szCs w:val="22"/>
          <w:lang w:val="en-US"/>
        </w:rPr>
        <w:t xml:space="preserve"> </w:t>
      </w:r>
      <w:r w:rsidRPr="005D65EF">
        <w:rPr>
          <w:sz w:val="22"/>
          <w:szCs w:val="22"/>
          <w:lang w:val="en-US"/>
        </w:rPr>
        <w:t xml:space="preserve">addressed only the implications of the </w:t>
      </w:r>
      <w:r>
        <w:rPr>
          <w:sz w:val="22"/>
          <w:szCs w:val="22"/>
          <w:lang w:val="en-US"/>
        </w:rPr>
        <w:t>d</w:t>
      </w:r>
      <w:r w:rsidRPr="005D65EF">
        <w:rPr>
          <w:sz w:val="22"/>
          <w:szCs w:val="22"/>
          <w:lang w:val="en-US"/>
        </w:rPr>
        <w:t xml:space="preserve">eputy’s failure to bring Bobby to visit Mrs P, rather than the more fundamental question of her dog having been given away when she moved to the home.  Furthermore, she was able to </w:t>
      </w:r>
      <w:r>
        <w:rPr>
          <w:sz w:val="22"/>
          <w:szCs w:val="22"/>
          <w:lang w:val="en-US"/>
        </w:rPr>
        <w:t>consider</w:t>
      </w:r>
      <w:r w:rsidRPr="005D65EF">
        <w:rPr>
          <w:sz w:val="22"/>
          <w:szCs w:val="22"/>
          <w:lang w:val="en-US"/>
        </w:rPr>
        <w:t xml:space="preserve"> the </w:t>
      </w:r>
      <w:r>
        <w:rPr>
          <w:sz w:val="22"/>
          <w:szCs w:val="22"/>
          <w:lang w:val="en-US"/>
        </w:rPr>
        <w:t>dog’s position</w:t>
      </w:r>
      <w:r w:rsidRPr="005D65EF">
        <w:rPr>
          <w:sz w:val="22"/>
          <w:szCs w:val="22"/>
          <w:lang w:val="en-US"/>
        </w:rPr>
        <w:t xml:space="preserve"> only in the context of the application to remove the </w:t>
      </w:r>
      <w:r>
        <w:rPr>
          <w:sz w:val="22"/>
          <w:szCs w:val="22"/>
          <w:lang w:val="en-US"/>
        </w:rPr>
        <w:t>d</w:t>
      </w:r>
      <w:r w:rsidRPr="005D65EF">
        <w:rPr>
          <w:sz w:val="22"/>
          <w:szCs w:val="22"/>
          <w:lang w:val="en-US"/>
        </w:rPr>
        <w:t xml:space="preserve">eputy; absent the other factors which </w:t>
      </w:r>
      <w:r>
        <w:rPr>
          <w:sz w:val="22"/>
          <w:szCs w:val="22"/>
          <w:lang w:val="en-US"/>
        </w:rPr>
        <w:t>prompted</w:t>
      </w:r>
      <w:r w:rsidRPr="005D65EF">
        <w:rPr>
          <w:sz w:val="22"/>
          <w:szCs w:val="22"/>
          <w:lang w:val="en-US"/>
        </w:rPr>
        <w:t xml:space="preserve"> concern about his behaviour it is unlikely that the case would ever have come to court</w:t>
      </w:r>
      <w:r>
        <w:rPr>
          <w:sz w:val="22"/>
          <w:szCs w:val="22"/>
          <w:lang w:val="en-US"/>
        </w:rPr>
        <w:t xml:space="preserve"> and it was decided only by a District court</w:t>
      </w:r>
      <w:r w:rsidRPr="005D65EF">
        <w:rPr>
          <w:sz w:val="22"/>
          <w:szCs w:val="22"/>
          <w:lang w:val="en-US"/>
        </w:rPr>
        <w:t xml:space="preserve">. </w:t>
      </w:r>
      <w:r w:rsidRPr="00397335">
        <w:rPr>
          <w:sz w:val="22"/>
          <w:szCs w:val="22"/>
          <w:lang w:val="en-US"/>
        </w:rPr>
        <w:t xml:space="preserve">This suggests that a more radical legal strategy is needed </w:t>
      </w:r>
      <w:r>
        <w:rPr>
          <w:sz w:val="22"/>
          <w:szCs w:val="22"/>
          <w:lang w:val="en-US"/>
        </w:rPr>
        <w:t>than</w:t>
      </w:r>
      <w:r w:rsidRPr="00397335">
        <w:rPr>
          <w:sz w:val="22"/>
          <w:szCs w:val="22"/>
          <w:lang w:val="en-US"/>
        </w:rPr>
        <w:t xml:space="preserve"> relying on empathetic judges to address th</w:t>
      </w:r>
      <w:r>
        <w:rPr>
          <w:sz w:val="22"/>
          <w:szCs w:val="22"/>
          <w:lang w:val="en-US"/>
        </w:rPr>
        <w:t>e importance of animal companionship</w:t>
      </w:r>
      <w:r w:rsidRPr="00397335">
        <w:rPr>
          <w:sz w:val="22"/>
          <w:szCs w:val="22"/>
          <w:lang w:val="en-US"/>
        </w:rPr>
        <w:t xml:space="preserve"> in</w:t>
      </w:r>
      <w:r w:rsidRPr="00397335">
        <w:rPr>
          <w:sz w:val="22"/>
          <w:szCs w:val="22"/>
        </w:rPr>
        <w:t xml:space="preserve"> sensitive, fact-specific judgments</w:t>
      </w:r>
      <w:r>
        <w:rPr>
          <w:sz w:val="22"/>
          <w:szCs w:val="22"/>
        </w:rPr>
        <w:t xml:space="preserve"> if and when such cases come before them.</w:t>
      </w:r>
    </w:p>
    <w:p w:rsidR="00785035" w:rsidRPr="00397335" w:rsidRDefault="00785035" w:rsidP="00785035">
      <w:pPr>
        <w:spacing w:line="480" w:lineRule="auto"/>
        <w:ind w:firstLine="720"/>
        <w:rPr>
          <w:sz w:val="22"/>
          <w:szCs w:val="22"/>
          <w:lang w:val="en-US"/>
        </w:rPr>
      </w:pPr>
      <w:r>
        <w:rPr>
          <w:sz w:val="22"/>
          <w:szCs w:val="22"/>
          <w:lang w:val="en-US"/>
        </w:rPr>
        <w:t xml:space="preserve">However, promisingly, other areas of law also display </w:t>
      </w:r>
      <w:r w:rsidRPr="00B52303">
        <w:rPr>
          <w:sz w:val="22"/>
          <w:szCs w:val="22"/>
          <w:lang w:val="en-US"/>
        </w:rPr>
        <w:t xml:space="preserve">tentative signs </w:t>
      </w:r>
      <w:r>
        <w:rPr>
          <w:sz w:val="22"/>
          <w:szCs w:val="22"/>
          <w:lang w:val="en-US"/>
        </w:rPr>
        <w:t>of changing</w:t>
      </w:r>
      <w:r w:rsidRPr="00B52303">
        <w:rPr>
          <w:sz w:val="22"/>
          <w:szCs w:val="22"/>
          <w:lang w:val="en-US"/>
        </w:rPr>
        <w:t xml:space="preserve"> </w:t>
      </w:r>
      <w:r>
        <w:rPr>
          <w:sz w:val="22"/>
          <w:szCs w:val="22"/>
          <w:lang w:val="en-US"/>
        </w:rPr>
        <w:t>judicial attitudes to inter-species relationality</w:t>
      </w:r>
      <w:r w:rsidRPr="00B52303">
        <w:rPr>
          <w:sz w:val="22"/>
          <w:szCs w:val="22"/>
          <w:lang w:val="en-US"/>
        </w:rPr>
        <w:t>. For i</w:t>
      </w:r>
      <w:r>
        <w:rPr>
          <w:sz w:val="22"/>
          <w:szCs w:val="22"/>
          <w:lang w:val="en-US"/>
        </w:rPr>
        <w:t>n</w:t>
      </w:r>
      <w:r w:rsidRPr="00B52303">
        <w:rPr>
          <w:sz w:val="22"/>
          <w:szCs w:val="22"/>
          <w:lang w:val="en-US"/>
        </w:rPr>
        <w:t>stance, analysing tort litigation in the US</w:t>
      </w:r>
      <w:r>
        <w:rPr>
          <w:sz w:val="22"/>
          <w:szCs w:val="22"/>
          <w:lang w:val="en-US"/>
        </w:rPr>
        <w:t>,</w:t>
      </w:r>
      <w:r w:rsidRPr="00B52303">
        <w:rPr>
          <w:sz w:val="22"/>
          <w:szCs w:val="22"/>
          <w:lang w:val="en-US"/>
        </w:rPr>
        <w:t xml:space="preserve"> where judges have</w:t>
      </w:r>
      <w:r>
        <w:rPr>
          <w:sz w:val="22"/>
          <w:szCs w:val="22"/>
          <w:lang w:val="en-US"/>
        </w:rPr>
        <w:t xml:space="preserve"> occasionally </w:t>
      </w:r>
      <w:r w:rsidRPr="00B52303">
        <w:rPr>
          <w:sz w:val="22"/>
          <w:szCs w:val="22"/>
          <w:lang w:val="en-US"/>
        </w:rPr>
        <w:t>awarded damages for emotional distress and loss of companionship consequent upon the death of a companion animal, Deckha has noted that:</w:t>
      </w:r>
    </w:p>
    <w:p w:rsidR="00785035" w:rsidRPr="00B52303" w:rsidRDefault="00785035" w:rsidP="00785035">
      <w:pPr>
        <w:spacing w:line="480" w:lineRule="auto"/>
        <w:ind w:left="720"/>
        <w:rPr>
          <w:sz w:val="22"/>
          <w:szCs w:val="22"/>
          <w:lang w:val="en-US"/>
        </w:rPr>
      </w:pPr>
      <w:r w:rsidRPr="00B52303">
        <w:rPr>
          <w:sz w:val="22"/>
          <w:szCs w:val="22"/>
          <w:lang w:val="en-US"/>
        </w:rPr>
        <w:t>‘Although these decisions are focused on the value of the animal</w:t>
      </w:r>
      <w:r>
        <w:rPr>
          <w:sz w:val="22"/>
          <w:szCs w:val="22"/>
          <w:lang w:val="en-US"/>
        </w:rPr>
        <w:t xml:space="preserve"> </w:t>
      </w:r>
      <w:r w:rsidRPr="00B52303">
        <w:rPr>
          <w:sz w:val="22"/>
          <w:szCs w:val="22"/>
          <w:lang w:val="en-US"/>
        </w:rPr>
        <w:t>to the owner or on the emotions of the owner, they also acknowledge the legitimacy of human bonds with companion animals and often theorize animals as family members,</w:t>
      </w:r>
      <w:r>
        <w:rPr>
          <w:sz w:val="22"/>
          <w:szCs w:val="22"/>
          <w:lang w:val="en-US"/>
        </w:rPr>
        <w:t xml:space="preserve"> </w:t>
      </w:r>
      <w:r w:rsidRPr="00B52303">
        <w:rPr>
          <w:sz w:val="22"/>
          <w:szCs w:val="22"/>
          <w:lang w:val="en-US"/>
        </w:rPr>
        <w:t>rather than as possessions’</w:t>
      </w:r>
      <w:r>
        <w:rPr>
          <w:sz w:val="22"/>
          <w:szCs w:val="22"/>
          <w:lang w:val="en-US"/>
        </w:rPr>
        <w:t>.</w:t>
      </w:r>
      <w:r>
        <w:rPr>
          <w:rStyle w:val="EndnoteReference"/>
          <w:sz w:val="22"/>
          <w:szCs w:val="22"/>
          <w:lang w:val="en-US"/>
        </w:rPr>
        <w:endnoteReference w:id="75"/>
      </w:r>
    </w:p>
    <w:p w:rsidR="00785035" w:rsidRPr="00B52303" w:rsidRDefault="00785035" w:rsidP="00785035">
      <w:pPr>
        <w:spacing w:line="480" w:lineRule="auto"/>
        <w:rPr>
          <w:sz w:val="22"/>
          <w:szCs w:val="22"/>
          <w:lang w:val="en-US"/>
        </w:rPr>
      </w:pPr>
      <w:r w:rsidRPr="00B52303">
        <w:rPr>
          <w:sz w:val="22"/>
          <w:szCs w:val="22"/>
          <w:lang w:val="en-US"/>
        </w:rPr>
        <w:t>Similarly, in disputes</w:t>
      </w:r>
      <w:r>
        <w:rPr>
          <w:sz w:val="22"/>
          <w:szCs w:val="22"/>
          <w:lang w:val="en-US"/>
        </w:rPr>
        <w:t xml:space="preserve"> over pet custody</w:t>
      </w:r>
      <w:r w:rsidRPr="00B52303">
        <w:rPr>
          <w:sz w:val="22"/>
          <w:szCs w:val="22"/>
          <w:lang w:val="en-US"/>
        </w:rPr>
        <w:t xml:space="preserve"> </w:t>
      </w:r>
      <w:r>
        <w:rPr>
          <w:sz w:val="22"/>
          <w:szCs w:val="22"/>
          <w:lang w:val="en-US"/>
        </w:rPr>
        <w:t>following</w:t>
      </w:r>
      <w:r w:rsidRPr="00B52303">
        <w:rPr>
          <w:sz w:val="22"/>
          <w:szCs w:val="22"/>
          <w:lang w:val="en-US"/>
        </w:rPr>
        <w:t xml:space="preserve"> family breakdown</w:t>
      </w:r>
      <w:r>
        <w:rPr>
          <w:sz w:val="22"/>
          <w:szCs w:val="22"/>
          <w:lang w:val="en-US"/>
        </w:rPr>
        <w:t>,</w:t>
      </w:r>
      <w:r w:rsidRPr="00B52303">
        <w:rPr>
          <w:sz w:val="22"/>
          <w:szCs w:val="22"/>
          <w:lang w:val="en-US"/>
        </w:rPr>
        <w:t xml:space="preserve"> </w:t>
      </w:r>
      <w:r>
        <w:rPr>
          <w:sz w:val="22"/>
          <w:szCs w:val="22"/>
          <w:lang w:val="en-US"/>
        </w:rPr>
        <w:t>Deckha</w:t>
      </w:r>
      <w:r w:rsidRPr="00B52303">
        <w:rPr>
          <w:sz w:val="22"/>
          <w:szCs w:val="22"/>
          <w:lang w:val="en-US"/>
        </w:rPr>
        <w:t xml:space="preserve"> demonstrates how US </w:t>
      </w:r>
      <w:r>
        <w:rPr>
          <w:sz w:val="22"/>
          <w:szCs w:val="22"/>
          <w:lang w:val="en-US"/>
        </w:rPr>
        <w:t>judges</w:t>
      </w:r>
      <w:r w:rsidRPr="00B52303">
        <w:rPr>
          <w:sz w:val="22"/>
          <w:szCs w:val="22"/>
          <w:lang w:val="en-US"/>
        </w:rPr>
        <w:t xml:space="preserve"> have </w:t>
      </w:r>
      <w:r>
        <w:rPr>
          <w:sz w:val="22"/>
          <w:szCs w:val="22"/>
          <w:lang w:val="en-US"/>
        </w:rPr>
        <w:t xml:space="preserve">on occasion </w:t>
      </w:r>
      <w:r w:rsidRPr="00B52303">
        <w:rPr>
          <w:sz w:val="22"/>
          <w:szCs w:val="22"/>
          <w:lang w:val="en-US"/>
        </w:rPr>
        <w:t xml:space="preserve">been sympathetic to </w:t>
      </w:r>
      <w:r>
        <w:rPr>
          <w:sz w:val="22"/>
          <w:szCs w:val="22"/>
          <w:lang w:val="en-US"/>
        </w:rPr>
        <w:t xml:space="preserve">the claims of </w:t>
      </w:r>
      <w:r w:rsidRPr="00B52303">
        <w:rPr>
          <w:sz w:val="22"/>
          <w:szCs w:val="22"/>
          <w:lang w:val="en-US"/>
        </w:rPr>
        <w:t>animal caregivers</w:t>
      </w:r>
      <w:r>
        <w:rPr>
          <w:sz w:val="22"/>
          <w:szCs w:val="22"/>
          <w:lang w:val="en-US"/>
        </w:rPr>
        <w:t>,</w:t>
      </w:r>
      <w:r w:rsidRPr="00B52303">
        <w:rPr>
          <w:sz w:val="22"/>
          <w:szCs w:val="22"/>
          <w:lang w:val="en-US"/>
        </w:rPr>
        <w:t xml:space="preserve"> appl</w:t>
      </w:r>
      <w:r>
        <w:rPr>
          <w:sz w:val="22"/>
          <w:szCs w:val="22"/>
          <w:lang w:val="en-US"/>
        </w:rPr>
        <w:t xml:space="preserve">ying </w:t>
      </w:r>
      <w:r w:rsidRPr="00B52303">
        <w:rPr>
          <w:sz w:val="22"/>
          <w:szCs w:val="22"/>
          <w:lang w:val="en-US"/>
        </w:rPr>
        <w:t xml:space="preserve">the ‘best interests’ standard from child custody </w:t>
      </w:r>
      <w:r>
        <w:rPr>
          <w:sz w:val="22"/>
          <w:szCs w:val="22"/>
          <w:lang w:val="en-US"/>
        </w:rPr>
        <w:t>dispute</w:t>
      </w:r>
      <w:r w:rsidRPr="00B52303">
        <w:rPr>
          <w:sz w:val="22"/>
          <w:szCs w:val="22"/>
          <w:lang w:val="en-US"/>
        </w:rPr>
        <w:t>s to de</w:t>
      </w:r>
      <w:r>
        <w:rPr>
          <w:sz w:val="22"/>
          <w:szCs w:val="22"/>
          <w:lang w:val="en-US"/>
        </w:rPr>
        <w:t>termine</w:t>
      </w:r>
      <w:r w:rsidRPr="00B52303">
        <w:rPr>
          <w:sz w:val="22"/>
          <w:szCs w:val="22"/>
          <w:lang w:val="en-US"/>
        </w:rPr>
        <w:t xml:space="preserve"> the disposition of a companion animal. </w:t>
      </w:r>
      <w:r w:rsidRPr="00B570C6">
        <w:rPr>
          <w:sz w:val="22"/>
          <w:szCs w:val="22"/>
          <w:lang w:val="en-US"/>
        </w:rPr>
        <w:t>Tom Bogdanoski has argued</w:t>
      </w:r>
      <w:r>
        <w:rPr>
          <w:sz w:val="22"/>
          <w:szCs w:val="22"/>
          <w:lang w:val="en-US"/>
        </w:rPr>
        <w:t>,</w:t>
      </w:r>
      <w:r w:rsidRPr="00B570C6">
        <w:rPr>
          <w:sz w:val="22"/>
          <w:szCs w:val="22"/>
          <w:lang w:val="en-US"/>
        </w:rPr>
        <w:t xml:space="preserve"> </w:t>
      </w:r>
      <w:r>
        <w:rPr>
          <w:sz w:val="22"/>
          <w:szCs w:val="22"/>
          <w:lang w:val="en-US"/>
        </w:rPr>
        <w:t xml:space="preserve">in similar vein, </w:t>
      </w:r>
      <w:r w:rsidRPr="00B570C6">
        <w:rPr>
          <w:sz w:val="22"/>
          <w:szCs w:val="22"/>
          <w:lang w:val="en-US"/>
        </w:rPr>
        <w:t>that parallels</w:t>
      </w:r>
      <w:r>
        <w:rPr>
          <w:sz w:val="22"/>
          <w:szCs w:val="22"/>
          <w:lang w:val="en-US"/>
        </w:rPr>
        <w:t xml:space="preserve"> exist</w:t>
      </w:r>
      <w:r w:rsidRPr="00B570C6">
        <w:rPr>
          <w:sz w:val="22"/>
          <w:szCs w:val="22"/>
          <w:lang w:val="en-US"/>
        </w:rPr>
        <w:t xml:space="preserve"> between the position of children and animals in child cust</w:t>
      </w:r>
      <w:r>
        <w:rPr>
          <w:sz w:val="22"/>
          <w:szCs w:val="22"/>
          <w:lang w:val="en-US"/>
        </w:rPr>
        <w:t>od</w:t>
      </w:r>
      <w:r w:rsidRPr="00B570C6">
        <w:rPr>
          <w:sz w:val="22"/>
          <w:szCs w:val="22"/>
          <w:lang w:val="en-US"/>
        </w:rPr>
        <w:t>y dispute</w:t>
      </w:r>
      <w:r>
        <w:rPr>
          <w:sz w:val="22"/>
          <w:szCs w:val="22"/>
          <w:lang w:val="en-US"/>
        </w:rPr>
        <w:t>s</w:t>
      </w:r>
      <w:r w:rsidRPr="00B570C6">
        <w:rPr>
          <w:sz w:val="22"/>
          <w:szCs w:val="22"/>
          <w:lang w:val="en-US"/>
        </w:rPr>
        <w:t xml:space="preserve"> and has pointed to laws in certain Australian states which recog</w:t>
      </w:r>
      <w:r>
        <w:rPr>
          <w:sz w:val="22"/>
          <w:szCs w:val="22"/>
          <w:lang w:val="en-US"/>
        </w:rPr>
        <w:t>n</w:t>
      </w:r>
      <w:r w:rsidRPr="00B570C6">
        <w:rPr>
          <w:sz w:val="22"/>
          <w:szCs w:val="22"/>
          <w:lang w:val="en-US"/>
        </w:rPr>
        <w:t>ise ‘pets’ as victims of domestic violence.</w:t>
      </w:r>
      <w:r w:rsidRPr="00B570C6">
        <w:rPr>
          <w:sz w:val="22"/>
          <w:szCs w:val="22"/>
          <w:vertAlign w:val="superscript"/>
          <w:lang w:val="en-US"/>
        </w:rPr>
        <w:endnoteReference w:id="76"/>
      </w:r>
      <w:r>
        <w:rPr>
          <w:sz w:val="22"/>
          <w:szCs w:val="22"/>
          <w:lang w:val="en-US"/>
        </w:rPr>
        <w:t xml:space="preserve"> </w:t>
      </w:r>
      <w:r w:rsidRPr="00B52303">
        <w:rPr>
          <w:sz w:val="22"/>
          <w:szCs w:val="22"/>
          <w:lang w:val="en-US"/>
        </w:rPr>
        <w:t xml:space="preserve">In </w:t>
      </w:r>
      <w:r>
        <w:rPr>
          <w:sz w:val="22"/>
          <w:szCs w:val="22"/>
          <w:lang w:val="en-US"/>
        </w:rPr>
        <w:t>the</w:t>
      </w:r>
      <w:r w:rsidRPr="00B52303">
        <w:rPr>
          <w:sz w:val="22"/>
          <w:szCs w:val="22"/>
          <w:lang w:val="en-US"/>
        </w:rPr>
        <w:t xml:space="preserve"> UK</w:t>
      </w:r>
      <w:r>
        <w:rPr>
          <w:sz w:val="22"/>
          <w:szCs w:val="22"/>
          <w:lang w:val="en-US"/>
        </w:rPr>
        <w:t xml:space="preserve"> too</w:t>
      </w:r>
      <w:r w:rsidRPr="00B52303">
        <w:rPr>
          <w:sz w:val="22"/>
          <w:szCs w:val="22"/>
          <w:lang w:val="en-US"/>
        </w:rPr>
        <w:t xml:space="preserve"> </w:t>
      </w:r>
      <w:r>
        <w:rPr>
          <w:sz w:val="22"/>
          <w:szCs w:val="22"/>
          <w:lang w:val="en-US"/>
        </w:rPr>
        <w:t>animal</w:t>
      </w:r>
      <w:r w:rsidRPr="00B52303">
        <w:rPr>
          <w:sz w:val="22"/>
          <w:szCs w:val="22"/>
          <w:lang w:val="en-US"/>
        </w:rPr>
        <w:t xml:space="preserve"> custody disputes</w:t>
      </w:r>
      <w:r>
        <w:rPr>
          <w:sz w:val="22"/>
          <w:szCs w:val="22"/>
          <w:lang w:val="en-US"/>
        </w:rPr>
        <w:t xml:space="preserve"> are growing in number, prompting Rook to</w:t>
      </w:r>
      <w:r w:rsidRPr="00B52303">
        <w:rPr>
          <w:sz w:val="22"/>
          <w:szCs w:val="22"/>
          <w:lang w:val="en-US"/>
        </w:rPr>
        <w:t xml:space="preserve"> suggest that:</w:t>
      </w:r>
    </w:p>
    <w:p w:rsidR="00785035" w:rsidRDefault="00785035" w:rsidP="00785035">
      <w:pPr>
        <w:spacing w:line="480" w:lineRule="auto"/>
        <w:ind w:left="720"/>
        <w:rPr>
          <w:sz w:val="22"/>
          <w:szCs w:val="22"/>
          <w:lang w:val="en-US"/>
        </w:rPr>
      </w:pPr>
      <w:r w:rsidRPr="00B52303">
        <w:rPr>
          <w:sz w:val="22"/>
          <w:szCs w:val="22"/>
          <w:lang w:val="en-US"/>
        </w:rPr>
        <w:t>‘</w:t>
      </w:r>
      <w:r>
        <w:rPr>
          <w:sz w:val="22"/>
          <w:szCs w:val="22"/>
          <w:lang w:val="en-US"/>
        </w:rPr>
        <w:t>[W]</w:t>
      </w:r>
      <w:r w:rsidRPr="00B52303">
        <w:rPr>
          <w:sz w:val="22"/>
          <w:szCs w:val="22"/>
          <w:lang w:val="en-US"/>
        </w:rPr>
        <w:t>e are currently on the verge of a shift in approach in resolving pet custody disputes – a move away from the application of pure property law towards an approach that recognises the interests of animals’</w:t>
      </w:r>
      <w:r>
        <w:rPr>
          <w:sz w:val="22"/>
          <w:szCs w:val="22"/>
          <w:lang w:val="en-US"/>
        </w:rPr>
        <w:t>.</w:t>
      </w:r>
      <w:r>
        <w:rPr>
          <w:rStyle w:val="EndnoteReference"/>
          <w:sz w:val="22"/>
          <w:szCs w:val="22"/>
          <w:lang w:val="en-US"/>
        </w:rPr>
        <w:endnoteReference w:id="77"/>
      </w:r>
    </w:p>
    <w:p w:rsidR="00785035" w:rsidRDefault="00785035" w:rsidP="00785035">
      <w:pPr>
        <w:spacing w:line="480" w:lineRule="auto"/>
        <w:rPr>
          <w:sz w:val="22"/>
          <w:szCs w:val="22"/>
          <w:lang w:val="en-US"/>
        </w:rPr>
      </w:pPr>
      <w:r w:rsidRPr="00B570C6">
        <w:rPr>
          <w:sz w:val="22"/>
          <w:szCs w:val="22"/>
          <w:lang w:val="en-US"/>
        </w:rPr>
        <w:lastRenderedPageBreak/>
        <w:t>While Deckha rightly cautions that such developments remain ‘minor, new and still precarious,’ they seem to signal an understanding of companion animals as more akin to children or other human family members than objects.</w:t>
      </w:r>
      <w:r w:rsidRPr="00B570C6">
        <w:rPr>
          <w:sz w:val="22"/>
          <w:szCs w:val="22"/>
          <w:vertAlign w:val="superscript"/>
          <w:lang w:val="en-US"/>
        </w:rPr>
        <w:endnoteReference w:id="78"/>
      </w:r>
    </w:p>
    <w:p w:rsidR="00785035" w:rsidRPr="009771F9" w:rsidRDefault="00785035" w:rsidP="00785035">
      <w:pPr>
        <w:spacing w:line="480" w:lineRule="auto"/>
        <w:rPr>
          <w:sz w:val="22"/>
          <w:szCs w:val="22"/>
          <w:lang w:val="en-US"/>
        </w:rPr>
      </w:pPr>
    </w:p>
    <w:p w:rsidR="00785035" w:rsidRPr="00397335" w:rsidRDefault="00785035" w:rsidP="00785035">
      <w:pPr>
        <w:spacing w:line="480" w:lineRule="auto"/>
        <w:rPr>
          <w:sz w:val="22"/>
          <w:szCs w:val="22"/>
          <w:lang w:val="en-US"/>
        </w:rPr>
      </w:pPr>
      <w:r w:rsidRPr="00397335">
        <w:rPr>
          <w:b/>
          <w:sz w:val="22"/>
          <w:szCs w:val="22"/>
          <w:lang w:val="en-US"/>
        </w:rPr>
        <w:t>R</w:t>
      </w:r>
      <w:r>
        <w:rPr>
          <w:b/>
          <w:sz w:val="22"/>
          <w:szCs w:val="22"/>
          <w:lang w:val="en-US"/>
        </w:rPr>
        <w:t>ECONCEPTUALISING THE LEGAL FAMILY</w:t>
      </w:r>
    </w:p>
    <w:p w:rsidR="00785035" w:rsidRDefault="00785035" w:rsidP="00785035">
      <w:pPr>
        <w:spacing w:line="480" w:lineRule="auto"/>
        <w:rPr>
          <w:sz w:val="22"/>
          <w:szCs w:val="22"/>
          <w:lang w:val="en-US"/>
        </w:rPr>
      </w:pPr>
      <w:r>
        <w:rPr>
          <w:sz w:val="22"/>
          <w:szCs w:val="22"/>
          <w:lang w:val="en-US"/>
        </w:rPr>
        <w:t>In this section we advocate capitalising on these legal developments to theorise animals as vulnerable subjects and family members.  In contrast to approaches that favour extending legal rights to animals, constitut</w:t>
      </w:r>
      <w:r w:rsidRPr="000A6475">
        <w:rPr>
          <w:sz w:val="22"/>
          <w:szCs w:val="22"/>
          <w:lang w:val="en-US"/>
        </w:rPr>
        <w:t>ing</w:t>
      </w:r>
      <w:r>
        <w:rPr>
          <w:sz w:val="22"/>
          <w:szCs w:val="22"/>
          <w:lang w:val="en-US"/>
        </w:rPr>
        <w:t xml:space="preserve"> them</w:t>
      </w:r>
      <w:r w:rsidRPr="000A6475">
        <w:rPr>
          <w:sz w:val="22"/>
          <w:szCs w:val="22"/>
          <w:lang w:val="en-US"/>
        </w:rPr>
        <w:t xml:space="preserve"> as </w:t>
      </w:r>
      <w:r>
        <w:rPr>
          <w:sz w:val="22"/>
          <w:szCs w:val="22"/>
          <w:lang w:val="en-US"/>
        </w:rPr>
        <w:t xml:space="preserve">vulnerable </w:t>
      </w:r>
      <w:r w:rsidRPr="000A6475">
        <w:rPr>
          <w:sz w:val="22"/>
          <w:szCs w:val="22"/>
          <w:lang w:val="en-US"/>
        </w:rPr>
        <w:t>family members cohere</w:t>
      </w:r>
      <w:r>
        <w:rPr>
          <w:sz w:val="22"/>
          <w:szCs w:val="22"/>
          <w:lang w:val="en-US"/>
        </w:rPr>
        <w:t>s</w:t>
      </w:r>
      <w:r w:rsidRPr="000A6475">
        <w:rPr>
          <w:sz w:val="22"/>
          <w:szCs w:val="22"/>
          <w:lang w:val="en-US"/>
        </w:rPr>
        <w:t xml:space="preserve"> with</w:t>
      </w:r>
      <w:r>
        <w:rPr>
          <w:sz w:val="22"/>
          <w:szCs w:val="22"/>
          <w:lang w:val="en-US"/>
        </w:rPr>
        <w:t xml:space="preserve"> </w:t>
      </w:r>
      <w:r w:rsidRPr="000A6475">
        <w:rPr>
          <w:sz w:val="22"/>
          <w:szCs w:val="22"/>
          <w:lang w:val="en-US"/>
        </w:rPr>
        <w:t>widely shared popular views of companion species outlined above</w:t>
      </w:r>
      <w:r>
        <w:rPr>
          <w:sz w:val="22"/>
          <w:szCs w:val="22"/>
          <w:lang w:val="en-US"/>
        </w:rPr>
        <w:t>.  In our view this strategy also avoids the quagmire in which debates over animal status have become entrapped, and at least partially accommodates the inherent liminality of companion species</w:t>
      </w:r>
      <w:r w:rsidRPr="000A6475">
        <w:rPr>
          <w:sz w:val="22"/>
          <w:szCs w:val="22"/>
          <w:lang w:val="en-US"/>
        </w:rPr>
        <w:t xml:space="preserve">. </w:t>
      </w:r>
      <w:r>
        <w:rPr>
          <w:sz w:val="22"/>
          <w:szCs w:val="22"/>
          <w:lang w:val="en-US"/>
        </w:rPr>
        <w:t xml:space="preserve"> Of course, </w:t>
      </w:r>
      <w:r w:rsidRPr="000A6475">
        <w:rPr>
          <w:sz w:val="22"/>
          <w:szCs w:val="22"/>
          <w:lang w:val="en-US"/>
        </w:rPr>
        <w:t>law</w:t>
      </w:r>
      <w:r>
        <w:rPr>
          <w:sz w:val="22"/>
          <w:szCs w:val="22"/>
          <w:lang w:val="en-US"/>
        </w:rPr>
        <w:t xml:space="preserve"> remains</w:t>
      </w:r>
      <w:r w:rsidRPr="000A6475">
        <w:rPr>
          <w:sz w:val="22"/>
          <w:szCs w:val="22"/>
          <w:lang w:val="en-US"/>
        </w:rPr>
        <w:t xml:space="preserve"> steadfastly</w:t>
      </w:r>
      <w:r>
        <w:rPr>
          <w:sz w:val="22"/>
          <w:szCs w:val="22"/>
          <w:lang w:val="en-US"/>
        </w:rPr>
        <w:t xml:space="preserve"> wedded to the idea of</w:t>
      </w:r>
      <w:r w:rsidRPr="000A6475">
        <w:rPr>
          <w:sz w:val="22"/>
          <w:szCs w:val="22"/>
          <w:lang w:val="en-US"/>
        </w:rPr>
        <w:t xml:space="preserve"> family as an exclusively human domain</w:t>
      </w:r>
      <w:r>
        <w:rPr>
          <w:sz w:val="22"/>
          <w:szCs w:val="22"/>
          <w:lang w:val="en-US"/>
        </w:rPr>
        <w:t>,</w:t>
      </w:r>
      <w:r>
        <w:rPr>
          <w:rStyle w:val="EndnoteReference"/>
          <w:sz w:val="22"/>
          <w:szCs w:val="22"/>
          <w:lang w:val="en-US"/>
        </w:rPr>
        <w:endnoteReference w:id="79"/>
      </w:r>
      <w:r w:rsidRPr="000A6475">
        <w:rPr>
          <w:sz w:val="22"/>
          <w:szCs w:val="22"/>
          <w:lang w:val="en-US"/>
        </w:rPr>
        <w:t xml:space="preserve"> </w:t>
      </w:r>
      <w:r>
        <w:rPr>
          <w:sz w:val="22"/>
          <w:szCs w:val="22"/>
          <w:lang w:val="en-US"/>
        </w:rPr>
        <w:t>heavily laden with human associations,</w:t>
      </w:r>
      <w:r>
        <w:rPr>
          <w:rStyle w:val="EndnoteReference"/>
          <w:sz w:val="22"/>
          <w:szCs w:val="22"/>
          <w:lang w:val="en-US"/>
        </w:rPr>
        <w:endnoteReference w:id="80"/>
      </w:r>
      <w:r>
        <w:rPr>
          <w:sz w:val="22"/>
          <w:szCs w:val="22"/>
          <w:lang w:val="en-US"/>
        </w:rPr>
        <w:t xml:space="preserve"> and currently understands </w:t>
      </w:r>
      <w:r>
        <w:rPr>
          <w:sz w:val="22"/>
          <w:szCs w:val="22"/>
        </w:rPr>
        <w:t xml:space="preserve">the associated human </w:t>
      </w:r>
      <w:r w:rsidRPr="000A6475">
        <w:rPr>
          <w:sz w:val="22"/>
          <w:szCs w:val="22"/>
          <w:lang w:val="en-US"/>
        </w:rPr>
        <w:t>r</w:t>
      </w:r>
      <w:r>
        <w:rPr>
          <w:sz w:val="22"/>
          <w:szCs w:val="22"/>
          <w:lang w:val="en-US"/>
        </w:rPr>
        <w:t>ights protections</w:t>
      </w:r>
      <w:r w:rsidRPr="000A6475">
        <w:rPr>
          <w:sz w:val="22"/>
          <w:szCs w:val="22"/>
          <w:lang w:val="en-US"/>
        </w:rPr>
        <w:t xml:space="preserve"> </w:t>
      </w:r>
      <w:r>
        <w:rPr>
          <w:sz w:val="22"/>
          <w:szCs w:val="22"/>
          <w:lang w:val="en-US"/>
        </w:rPr>
        <w:t>as</w:t>
      </w:r>
      <w:r w:rsidRPr="000A6475">
        <w:rPr>
          <w:sz w:val="22"/>
          <w:szCs w:val="22"/>
          <w:lang w:val="en-US"/>
        </w:rPr>
        <w:t xml:space="preserve"> </w:t>
      </w:r>
      <w:r>
        <w:rPr>
          <w:sz w:val="22"/>
          <w:szCs w:val="22"/>
          <w:lang w:val="en-US"/>
        </w:rPr>
        <w:t>pertaining</w:t>
      </w:r>
      <w:r w:rsidRPr="000A6475">
        <w:rPr>
          <w:sz w:val="22"/>
          <w:szCs w:val="22"/>
          <w:lang w:val="en-US"/>
        </w:rPr>
        <w:t xml:space="preserve"> to </w:t>
      </w:r>
      <w:r w:rsidRPr="005F4FFF">
        <w:rPr>
          <w:sz w:val="22"/>
          <w:szCs w:val="22"/>
          <w:lang w:val="en-US"/>
        </w:rPr>
        <w:t xml:space="preserve">human </w:t>
      </w:r>
      <w:r w:rsidRPr="000A6475">
        <w:rPr>
          <w:sz w:val="22"/>
          <w:szCs w:val="22"/>
          <w:lang w:val="en-US"/>
        </w:rPr>
        <w:t>family lif</w:t>
      </w:r>
      <w:r>
        <w:rPr>
          <w:sz w:val="22"/>
          <w:szCs w:val="22"/>
          <w:lang w:val="en-US"/>
        </w:rPr>
        <w:t>e. However,</w:t>
      </w:r>
      <w:r w:rsidRPr="00D5347F">
        <w:rPr>
          <w:sz w:val="22"/>
          <w:szCs w:val="22"/>
          <w:lang w:val="en-US"/>
        </w:rPr>
        <w:t xml:space="preserve"> the right to family life </w:t>
      </w:r>
      <w:r>
        <w:rPr>
          <w:sz w:val="22"/>
          <w:szCs w:val="22"/>
          <w:lang w:val="en-US"/>
        </w:rPr>
        <w:t>‘</w:t>
      </w:r>
      <w:r w:rsidRPr="00D5347F">
        <w:rPr>
          <w:sz w:val="22"/>
          <w:szCs w:val="22"/>
          <w:lang w:val="en-US"/>
        </w:rPr>
        <w:t>covers close and personal ties of a family kind. It does not just cover blood or formalised relationships</w:t>
      </w:r>
      <w:r>
        <w:rPr>
          <w:sz w:val="22"/>
          <w:szCs w:val="22"/>
          <w:lang w:val="en-US"/>
        </w:rPr>
        <w:t>’.</w:t>
      </w:r>
      <w:r>
        <w:rPr>
          <w:rStyle w:val="EndnoteReference"/>
          <w:sz w:val="22"/>
          <w:szCs w:val="22"/>
          <w:lang w:val="en-US"/>
        </w:rPr>
        <w:endnoteReference w:id="81"/>
      </w:r>
      <w:r w:rsidRPr="00D5347F">
        <w:rPr>
          <w:sz w:val="22"/>
          <w:szCs w:val="22"/>
          <w:lang w:val="en-US"/>
        </w:rPr>
        <w:t xml:space="preserve"> </w:t>
      </w:r>
      <w:r>
        <w:rPr>
          <w:sz w:val="22"/>
          <w:szCs w:val="22"/>
          <w:lang w:val="en-US"/>
        </w:rPr>
        <w:t>Moreover,</w:t>
      </w:r>
      <w:r w:rsidRPr="000A6475">
        <w:rPr>
          <w:sz w:val="22"/>
          <w:szCs w:val="22"/>
          <w:lang w:val="en-US"/>
        </w:rPr>
        <w:t xml:space="preserve"> </w:t>
      </w:r>
      <w:r>
        <w:rPr>
          <w:sz w:val="22"/>
          <w:szCs w:val="22"/>
          <w:lang w:val="en-US"/>
        </w:rPr>
        <w:t>exclusionary</w:t>
      </w:r>
      <w:r w:rsidRPr="000A6475">
        <w:rPr>
          <w:sz w:val="22"/>
          <w:szCs w:val="22"/>
          <w:lang w:val="en-US"/>
        </w:rPr>
        <w:t xml:space="preserve"> definitions of the legal family</w:t>
      </w:r>
      <w:r>
        <w:rPr>
          <w:sz w:val="22"/>
          <w:szCs w:val="22"/>
          <w:lang w:val="en-US"/>
        </w:rPr>
        <w:t xml:space="preserve"> </w:t>
      </w:r>
      <w:r>
        <w:rPr>
          <w:sz w:val="22"/>
          <w:szCs w:val="22"/>
        </w:rPr>
        <w:t>which privilege</w:t>
      </w:r>
      <w:r w:rsidRPr="00D5347F">
        <w:rPr>
          <w:sz w:val="22"/>
          <w:szCs w:val="22"/>
          <w:lang w:val="en-US"/>
        </w:rPr>
        <w:t xml:space="preserve"> conjugal, biological and filial</w:t>
      </w:r>
      <w:r>
        <w:rPr>
          <w:sz w:val="22"/>
          <w:szCs w:val="22"/>
        </w:rPr>
        <w:t xml:space="preserve"> relationships have</w:t>
      </w:r>
      <w:r w:rsidRPr="000A6475">
        <w:rPr>
          <w:sz w:val="22"/>
          <w:szCs w:val="22"/>
        </w:rPr>
        <w:t xml:space="preserve"> </w:t>
      </w:r>
      <w:r>
        <w:rPr>
          <w:sz w:val="22"/>
          <w:szCs w:val="22"/>
        </w:rPr>
        <w:t>attracted</w:t>
      </w:r>
      <w:r w:rsidRPr="000A6475">
        <w:rPr>
          <w:sz w:val="22"/>
          <w:szCs w:val="22"/>
        </w:rPr>
        <w:t xml:space="preserve"> sustained </w:t>
      </w:r>
      <w:r>
        <w:rPr>
          <w:sz w:val="22"/>
          <w:szCs w:val="22"/>
        </w:rPr>
        <w:t>critique</w:t>
      </w:r>
      <w:r w:rsidRPr="000A6475">
        <w:rPr>
          <w:sz w:val="22"/>
          <w:szCs w:val="22"/>
        </w:rPr>
        <w:t xml:space="preserve">.  </w:t>
      </w:r>
      <w:r>
        <w:rPr>
          <w:sz w:val="22"/>
          <w:szCs w:val="22"/>
        </w:rPr>
        <w:t>While s</w:t>
      </w:r>
      <w:r w:rsidRPr="000A6475">
        <w:rPr>
          <w:sz w:val="22"/>
          <w:szCs w:val="22"/>
        </w:rPr>
        <w:t xml:space="preserve">pace </w:t>
      </w:r>
      <w:r>
        <w:rPr>
          <w:sz w:val="22"/>
          <w:szCs w:val="22"/>
        </w:rPr>
        <w:t xml:space="preserve">precludes </w:t>
      </w:r>
      <w:r w:rsidRPr="000A6475">
        <w:rPr>
          <w:sz w:val="22"/>
          <w:szCs w:val="22"/>
        </w:rPr>
        <w:t>a full examination</w:t>
      </w:r>
      <w:r>
        <w:rPr>
          <w:sz w:val="22"/>
          <w:szCs w:val="22"/>
        </w:rPr>
        <w:t xml:space="preserve"> of this issue here</w:t>
      </w:r>
      <w:r w:rsidRPr="000A6475">
        <w:rPr>
          <w:sz w:val="22"/>
          <w:szCs w:val="22"/>
        </w:rPr>
        <w:t xml:space="preserve">, </w:t>
      </w:r>
      <w:r>
        <w:rPr>
          <w:sz w:val="22"/>
          <w:szCs w:val="22"/>
        </w:rPr>
        <w:t>it is worth noting</w:t>
      </w:r>
      <w:r w:rsidRPr="000A6475">
        <w:rPr>
          <w:sz w:val="22"/>
          <w:szCs w:val="22"/>
        </w:rPr>
        <w:t xml:space="preserve"> </w:t>
      </w:r>
      <w:r>
        <w:rPr>
          <w:sz w:val="22"/>
          <w:szCs w:val="22"/>
        </w:rPr>
        <w:t xml:space="preserve">some </w:t>
      </w:r>
      <w:r w:rsidRPr="000A6475">
        <w:rPr>
          <w:sz w:val="22"/>
          <w:szCs w:val="22"/>
        </w:rPr>
        <w:t>attempts to reframe</w:t>
      </w:r>
      <w:r w:rsidRPr="002B301E">
        <w:rPr>
          <w:sz w:val="22"/>
          <w:szCs w:val="22"/>
        </w:rPr>
        <w:t xml:space="preserve"> the ‘sexual family’</w:t>
      </w:r>
      <w:r>
        <w:rPr>
          <w:rStyle w:val="EndnoteReference"/>
          <w:sz w:val="22"/>
          <w:szCs w:val="22"/>
        </w:rPr>
        <w:endnoteReference w:id="82"/>
      </w:r>
      <w:r w:rsidRPr="002B301E">
        <w:rPr>
          <w:sz w:val="22"/>
          <w:szCs w:val="22"/>
        </w:rPr>
        <w:t xml:space="preserve"> </w:t>
      </w:r>
      <w:r w:rsidRPr="000A6475">
        <w:rPr>
          <w:sz w:val="22"/>
          <w:szCs w:val="22"/>
        </w:rPr>
        <w:t xml:space="preserve">in more inclusive ways. </w:t>
      </w:r>
      <w:r>
        <w:rPr>
          <w:sz w:val="22"/>
          <w:szCs w:val="22"/>
        </w:rPr>
        <w:t>For instance</w:t>
      </w:r>
      <w:r w:rsidRPr="000A6475">
        <w:rPr>
          <w:sz w:val="22"/>
          <w:szCs w:val="22"/>
        </w:rPr>
        <w:t>, normalisation of assi</w:t>
      </w:r>
      <w:r>
        <w:rPr>
          <w:sz w:val="22"/>
          <w:szCs w:val="22"/>
        </w:rPr>
        <w:t>st</w:t>
      </w:r>
      <w:r w:rsidRPr="000A6475">
        <w:rPr>
          <w:sz w:val="22"/>
          <w:szCs w:val="22"/>
        </w:rPr>
        <w:t>ed conception</w:t>
      </w:r>
      <w:r>
        <w:rPr>
          <w:sz w:val="22"/>
          <w:szCs w:val="22"/>
        </w:rPr>
        <w:t xml:space="preserve"> and same sex parenthood in the UK has resulted in a</w:t>
      </w:r>
      <w:r w:rsidRPr="000A6475">
        <w:rPr>
          <w:sz w:val="22"/>
          <w:szCs w:val="22"/>
        </w:rPr>
        <w:t xml:space="preserve"> broadening of </w:t>
      </w:r>
      <w:r>
        <w:rPr>
          <w:sz w:val="22"/>
          <w:szCs w:val="22"/>
        </w:rPr>
        <w:t>the</w:t>
      </w:r>
      <w:r w:rsidRPr="000A6475">
        <w:rPr>
          <w:sz w:val="22"/>
          <w:szCs w:val="22"/>
        </w:rPr>
        <w:t xml:space="preserve"> ambit</w:t>
      </w:r>
      <w:r>
        <w:rPr>
          <w:sz w:val="22"/>
          <w:szCs w:val="22"/>
        </w:rPr>
        <w:t xml:space="preserve"> of the legal family</w:t>
      </w:r>
      <w:r w:rsidRPr="000A6475">
        <w:rPr>
          <w:sz w:val="22"/>
          <w:szCs w:val="22"/>
        </w:rPr>
        <w:t xml:space="preserve"> to </w:t>
      </w:r>
      <w:r>
        <w:rPr>
          <w:sz w:val="22"/>
          <w:szCs w:val="22"/>
        </w:rPr>
        <w:t>encompass</w:t>
      </w:r>
      <w:r w:rsidRPr="000A6475">
        <w:rPr>
          <w:sz w:val="22"/>
          <w:szCs w:val="22"/>
        </w:rPr>
        <w:t xml:space="preserve"> ‘female parents’</w:t>
      </w:r>
      <w:r>
        <w:rPr>
          <w:rStyle w:val="EndnoteReference"/>
          <w:sz w:val="22"/>
          <w:szCs w:val="22"/>
        </w:rPr>
        <w:endnoteReference w:id="83"/>
      </w:r>
      <w:r w:rsidRPr="000A6475">
        <w:rPr>
          <w:sz w:val="22"/>
          <w:szCs w:val="22"/>
        </w:rPr>
        <w:t xml:space="preserve"> in the Human Fertilisation and Embryology Act 2008</w:t>
      </w:r>
      <w:r>
        <w:rPr>
          <w:sz w:val="22"/>
          <w:szCs w:val="22"/>
        </w:rPr>
        <w:t>.</w:t>
      </w:r>
      <w:r>
        <w:rPr>
          <w:rStyle w:val="EndnoteReference"/>
          <w:sz w:val="22"/>
          <w:szCs w:val="22"/>
        </w:rPr>
        <w:endnoteReference w:id="84"/>
      </w:r>
      <w:r>
        <w:rPr>
          <w:sz w:val="22"/>
          <w:szCs w:val="22"/>
        </w:rPr>
        <w:t xml:space="preserve"> </w:t>
      </w:r>
      <w:r w:rsidRPr="000A6475">
        <w:rPr>
          <w:sz w:val="22"/>
          <w:szCs w:val="22"/>
        </w:rPr>
        <w:t>In Australia and Canada more radical initiatives have sought to remove conjugality as the basis for legal recognition of family relationships</w:t>
      </w:r>
      <w:r>
        <w:rPr>
          <w:sz w:val="22"/>
          <w:szCs w:val="22"/>
        </w:rPr>
        <w:t>,</w:t>
      </w:r>
      <w:r>
        <w:rPr>
          <w:rStyle w:val="EndnoteReference"/>
          <w:sz w:val="22"/>
          <w:szCs w:val="22"/>
        </w:rPr>
        <w:endnoteReference w:id="85"/>
      </w:r>
      <w:r w:rsidRPr="000A6475">
        <w:rPr>
          <w:sz w:val="22"/>
          <w:szCs w:val="22"/>
        </w:rPr>
        <w:t xml:space="preserve"> and </w:t>
      </w:r>
      <w:r>
        <w:rPr>
          <w:sz w:val="22"/>
          <w:szCs w:val="22"/>
        </w:rPr>
        <w:t>prompted</w:t>
      </w:r>
      <w:r w:rsidRPr="000A6475">
        <w:rPr>
          <w:sz w:val="22"/>
          <w:szCs w:val="22"/>
        </w:rPr>
        <w:t xml:space="preserve"> </w:t>
      </w:r>
      <w:r>
        <w:rPr>
          <w:sz w:val="22"/>
          <w:szCs w:val="22"/>
        </w:rPr>
        <w:t>legal schola</w:t>
      </w:r>
      <w:r w:rsidRPr="000A6475">
        <w:rPr>
          <w:sz w:val="22"/>
          <w:szCs w:val="22"/>
        </w:rPr>
        <w:t xml:space="preserve">rs </w:t>
      </w:r>
      <w:r>
        <w:rPr>
          <w:sz w:val="22"/>
          <w:szCs w:val="22"/>
        </w:rPr>
        <w:t xml:space="preserve">to </w:t>
      </w:r>
      <w:r w:rsidRPr="000A6475">
        <w:rPr>
          <w:sz w:val="22"/>
          <w:szCs w:val="22"/>
        </w:rPr>
        <w:t>advocate new family structures based on friendship</w:t>
      </w:r>
      <w:r>
        <w:rPr>
          <w:rStyle w:val="EndnoteReference"/>
          <w:sz w:val="22"/>
          <w:szCs w:val="22"/>
        </w:rPr>
        <w:endnoteReference w:id="86"/>
      </w:r>
      <w:r>
        <w:rPr>
          <w:sz w:val="22"/>
          <w:szCs w:val="22"/>
        </w:rPr>
        <w:t xml:space="preserve"> </w:t>
      </w:r>
      <w:r w:rsidRPr="000A6475">
        <w:rPr>
          <w:sz w:val="22"/>
          <w:szCs w:val="22"/>
        </w:rPr>
        <w:t>or care</w:t>
      </w:r>
      <w:r>
        <w:rPr>
          <w:sz w:val="22"/>
          <w:szCs w:val="22"/>
        </w:rPr>
        <w:t>.</w:t>
      </w:r>
      <w:r>
        <w:rPr>
          <w:rStyle w:val="EndnoteReference"/>
          <w:sz w:val="22"/>
          <w:szCs w:val="22"/>
        </w:rPr>
        <w:endnoteReference w:id="87"/>
      </w:r>
      <w:r>
        <w:rPr>
          <w:sz w:val="22"/>
          <w:szCs w:val="22"/>
        </w:rPr>
        <w:t xml:space="preserve"> </w:t>
      </w:r>
      <w:r>
        <w:rPr>
          <w:sz w:val="22"/>
          <w:szCs w:val="22"/>
          <w:lang w:val="en-US"/>
        </w:rPr>
        <w:t>Given the capacity of companion animals to provide</w:t>
      </w:r>
      <w:r w:rsidRPr="000A6475">
        <w:rPr>
          <w:sz w:val="22"/>
          <w:szCs w:val="22"/>
          <w:lang w:val="en-US"/>
        </w:rPr>
        <w:t xml:space="preserve"> care </w:t>
      </w:r>
      <w:r>
        <w:rPr>
          <w:sz w:val="22"/>
          <w:szCs w:val="22"/>
          <w:lang w:val="en-US"/>
        </w:rPr>
        <w:t>and</w:t>
      </w:r>
      <w:r w:rsidRPr="000A6475">
        <w:rPr>
          <w:sz w:val="22"/>
          <w:szCs w:val="22"/>
          <w:lang w:val="en-US"/>
        </w:rPr>
        <w:t xml:space="preserve"> companionship</w:t>
      </w:r>
      <w:r>
        <w:rPr>
          <w:sz w:val="22"/>
          <w:szCs w:val="22"/>
          <w:lang w:val="en-US"/>
        </w:rPr>
        <w:t>, if such attributes are accepted as constitutive of</w:t>
      </w:r>
      <w:r w:rsidRPr="000A6475">
        <w:rPr>
          <w:sz w:val="22"/>
          <w:szCs w:val="22"/>
          <w:lang w:val="en-US"/>
        </w:rPr>
        <w:t xml:space="preserve"> family life, </w:t>
      </w:r>
      <w:r>
        <w:rPr>
          <w:sz w:val="22"/>
          <w:szCs w:val="22"/>
          <w:lang w:val="en-US"/>
        </w:rPr>
        <w:t>we would contend that</w:t>
      </w:r>
      <w:r w:rsidRPr="000A6475">
        <w:rPr>
          <w:sz w:val="22"/>
          <w:szCs w:val="22"/>
          <w:lang w:val="en-US"/>
        </w:rPr>
        <w:t xml:space="preserve"> a compelling claim </w:t>
      </w:r>
      <w:r>
        <w:rPr>
          <w:sz w:val="22"/>
          <w:szCs w:val="22"/>
          <w:lang w:val="en-US"/>
        </w:rPr>
        <w:t xml:space="preserve">can be made </w:t>
      </w:r>
      <w:r w:rsidRPr="000A6475">
        <w:rPr>
          <w:sz w:val="22"/>
          <w:szCs w:val="22"/>
          <w:lang w:val="en-US"/>
        </w:rPr>
        <w:t>to legal</w:t>
      </w:r>
      <w:r>
        <w:rPr>
          <w:sz w:val="22"/>
          <w:szCs w:val="22"/>
          <w:lang w:val="en-US"/>
        </w:rPr>
        <w:t>ly</w:t>
      </w:r>
      <w:r w:rsidRPr="000A6475">
        <w:rPr>
          <w:sz w:val="22"/>
          <w:szCs w:val="22"/>
          <w:lang w:val="en-US"/>
        </w:rPr>
        <w:t xml:space="preserve"> recogni</w:t>
      </w:r>
      <w:r>
        <w:rPr>
          <w:sz w:val="22"/>
          <w:szCs w:val="22"/>
          <w:lang w:val="en-US"/>
        </w:rPr>
        <w:t>se them</w:t>
      </w:r>
      <w:r w:rsidRPr="000A6475">
        <w:rPr>
          <w:sz w:val="22"/>
          <w:szCs w:val="22"/>
          <w:lang w:val="en-US"/>
        </w:rPr>
        <w:t xml:space="preserve"> as family members.  </w:t>
      </w:r>
      <w:r>
        <w:rPr>
          <w:sz w:val="22"/>
          <w:szCs w:val="22"/>
          <w:lang w:val="en-US"/>
        </w:rPr>
        <w:t>Deckha has suggested that arguments for legal recognition for animals are most productively grounded in vulnerability theory, rather than more traditional equality-based approaches which have tended to become enmeshed in unproductive sameness/difference debates:</w:t>
      </w:r>
    </w:p>
    <w:p w:rsidR="00785035" w:rsidRPr="00DA50BB" w:rsidRDefault="00785035" w:rsidP="00785035">
      <w:pPr>
        <w:spacing w:line="480" w:lineRule="auto"/>
        <w:ind w:left="720"/>
        <w:rPr>
          <w:sz w:val="22"/>
          <w:szCs w:val="22"/>
        </w:rPr>
      </w:pPr>
      <w:r w:rsidRPr="00DA50BB">
        <w:rPr>
          <w:sz w:val="22"/>
          <w:szCs w:val="22"/>
          <w:lang w:val="en-US"/>
        </w:rPr>
        <w:lastRenderedPageBreak/>
        <w:t>‘…a shift towards the language of vulnerability and its related concepts of embodiment, corporeality, and relationality in the articulation of claims about animals… can recognize animals without sublimating or devaluing their differences or insisting that they approximate what are presumed to be human traits in order to receive legal recognition’.</w:t>
      </w:r>
      <w:r>
        <w:rPr>
          <w:rStyle w:val="EndnoteReference"/>
          <w:sz w:val="22"/>
          <w:szCs w:val="22"/>
          <w:lang w:val="en-US"/>
        </w:rPr>
        <w:endnoteReference w:id="88"/>
      </w:r>
    </w:p>
    <w:p w:rsidR="00785035" w:rsidRDefault="00785035" w:rsidP="00785035">
      <w:pPr>
        <w:spacing w:line="480" w:lineRule="auto"/>
        <w:rPr>
          <w:sz w:val="22"/>
          <w:szCs w:val="22"/>
          <w:lang w:val="en-US"/>
        </w:rPr>
      </w:pPr>
    </w:p>
    <w:p w:rsidR="00785035" w:rsidRPr="005D65EF" w:rsidRDefault="00785035" w:rsidP="00785035">
      <w:pPr>
        <w:spacing w:line="480" w:lineRule="auto"/>
        <w:rPr>
          <w:sz w:val="22"/>
          <w:szCs w:val="22"/>
          <w:lang w:val="en-US"/>
        </w:rPr>
      </w:pPr>
      <w:r>
        <w:rPr>
          <w:sz w:val="22"/>
          <w:szCs w:val="22"/>
          <w:lang w:val="en-US"/>
        </w:rPr>
        <w:t>In contrast to equality arguments, which are undoubtedly hard to substantiate for animals given the suffusion of equality discourse with human values and criteria, it is indisputable that companion animals, together with older people, are rendered vulnerable in the transition from home.  Fineman’s universal vulnerability thesis therefore offers an apt foundation for legal recognition.</w:t>
      </w:r>
      <w:r>
        <w:rPr>
          <w:rStyle w:val="EndnoteReference"/>
          <w:sz w:val="22"/>
          <w:szCs w:val="22"/>
          <w:lang w:val="en-US"/>
        </w:rPr>
        <w:endnoteReference w:id="89"/>
      </w:r>
      <w:r>
        <w:rPr>
          <w:sz w:val="22"/>
          <w:szCs w:val="22"/>
          <w:lang w:val="en-US"/>
        </w:rPr>
        <w:t xml:space="preserve">  She argues that, since</w:t>
      </w:r>
      <w:r w:rsidRPr="002E5438">
        <w:rPr>
          <w:sz w:val="22"/>
          <w:szCs w:val="22"/>
          <w:lang w:val="en-US"/>
        </w:rPr>
        <w:t xml:space="preserve"> all humans will experience </w:t>
      </w:r>
      <w:r>
        <w:rPr>
          <w:sz w:val="22"/>
          <w:szCs w:val="22"/>
          <w:lang w:val="en-US"/>
        </w:rPr>
        <w:t xml:space="preserve">vulnerability </w:t>
      </w:r>
      <w:r w:rsidRPr="002E5438">
        <w:rPr>
          <w:sz w:val="22"/>
          <w:szCs w:val="22"/>
          <w:lang w:val="en-US"/>
        </w:rPr>
        <w:t>across their lifespans</w:t>
      </w:r>
      <w:r>
        <w:rPr>
          <w:sz w:val="22"/>
          <w:szCs w:val="22"/>
          <w:lang w:val="en-US"/>
        </w:rPr>
        <w:t>, vulnerability is a more appropriate concept than autonomy around which to frame social and legal policy.</w:t>
      </w:r>
      <w:r>
        <w:rPr>
          <w:rStyle w:val="EndnoteReference"/>
          <w:sz w:val="22"/>
          <w:szCs w:val="22"/>
          <w:lang w:val="en-US"/>
        </w:rPr>
        <w:endnoteReference w:id="90"/>
      </w:r>
      <w:r>
        <w:rPr>
          <w:sz w:val="22"/>
          <w:szCs w:val="22"/>
          <w:lang w:val="en-US"/>
        </w:rPr>
        <w:t xml:space="preserve">  Consequently, she advocates replacing the autonomous subject of liberal law with the vulnerable legal subject.  On this approach vulnerability is posited as a ‘fundamental characteristic that positions individuals in relation to each other as human beings and also suggests an appropriate relationship of shared responsibility as between state, societal institutions and individuals’.</w:t>
      </w:r>
      <w:r>
        <w:rPr>
          <w:rStyle w:val="EndnoteReference"/>
          <w:sz w:val="22"/>
          <w:szCs w:val="22"/>
          <w:lang w:val="en-US"/>
        </w:rPr>
        <w:endnoteReference w:id="91"/>
      </w:r>
      <w:r>
        <w:rPr>
          <w:sz w:val="22"/>
          <w:szCs w:val="22"/>
          <w:lang w:val="en-US"/>
        </w:rPr>
        <w:t xml:space="preserve"> Notwithstanding Fineman’s emphasis on human subjectivity and human relationships, her thesis is readily extendable to animals. As</w:t>
      </w:r>
      <w:r w:rsidRPr="005D65EF">
        <w:rPr>
          <w:sz w:val="22"/>
          <w:szCs w:val="22"/>
          <w:lang w:val="en-US"/>
        </w:rPr>
        <w:t xml:space="preserve"> Ani Satz </w:t>
      </w:r>
      <w:r>
        <w:rPr>
          <w:sz w:val="22"/>
          <w:szCs w:val="22"/>
          <w:lang w:val="en-US"/>
        </w:rPr>
        <w:t>contends</w:t>
      </w:r>
      <w:r w:rsidRPr="005D65EF">
        <w:rPr>
          <w:sz w:val="22"/>
          <w:szCs w:val="22"/>
          <w:lang w:val="en-US"/>
        </w:rPr>
        <w:t>:</w:t>
      </w:r>
    </w:p>
    <w:p w:rsidR="00785035" w:rsidRDefault="00785035" w:rsidP="00785035">
      <w:pPr>
        <w:spacing w:after="160" w:line="480" w:lineRule="auto"/>
        <w:ind w:left="720"/>
        <w:rPr>
          <w:sz w:val="22"/>
          <w:szCs w:val="22"/>
          <w:lang w:val="en-US"/>
        </w:rPr>
      </w:pPr>
      <w:r>
        <w:rPr>
          <w:sz w:val="22"/>
          <w:szCs w:val="22"/>
          <w:lang w:val="en-US"/>
        </w:rPr>
        <w:t>‘</w:t>
      </w:r>
      <w:r w:rsidRPr="005D65EF">
        <w:rPr>
          <w:sz w:val="22"/>
          <w:szCs w:val="22"/>
          <w:lang w:val="en-US"/>
        </w:rPr>
        <w:t>Unlike most human animals, the dependence of non-human domestic animals is permanent.  Throughout their lives domestic animals rely on humans to provide them with nourishment, shelter and other care. The permanent dependency of domestic animals is created and controlled by humans, rendering them uniquely vulnerable to exploitation.  Domestic nonhuman animals are, for this reason perhaps the most vulnerable of all sentient beings</w:t>
      </w:r>
      <w:r>
        <w:rPr>
          <w:sz w:val="22"/>
          <w:szCs w:val="22"/>
          <w:lang w:val="en-US"/>
        </w:rPr>
        <w:t>’.</w:t>
      </w:r>
      <w:r>
        <w:rPr>
          <w:rStyle w:val="EndnoteReference"/>
          <w:sz w:val="22"/>
          <w:szCs w:val="22"/>
          <w:lang w:val="en-US"/>
        </w:rPr>
        <w:endnoteReference w:id="92"/>
      </w:r>
      <w:r w:rsidRPr="005D65EF">
        <w:rPr>
          <w:sz w:val="22"/>
          <w:szCs w:val="22"/>
          <w:lang w:val="en-US"/>
        </w:rPr>
        <w:t xml:space="preserve"> </w:t>
      </w:r>
    </w:p>
    <w:p w:rsidR="00785035" w:rsidRPr="00EC467E" w:rsidRDefault="00785035" w:rsidP="00785035">
      <w:pPr>
        <w:spacing w:after="160" w:line="480" w:lineRule="auto"/>
        <w:rPr>
          <w:sz w:val="22"/>
          <w:szCs w:val="22"/>
          <w:lang w:val="en-US"/>
        </w:rPr>
      </w:pPr>
      <w:r>
        <w:rPr>
          <w:sz w:val="22"/>
          <w:szCs w:val="22"/>
          <w:lang w:val="en-US"/>
        </w:rPr>
        <w:t xml:space="preserve">We have some reservations about creating such a hierarchy of vulnerability, but certainly agree that grounding subjecthood in vulnerability allows for animal subjectivity in a way that is simply not conceivable when autonomy is deemed constitutive of the legal subject. Yet, even if animals are accepted as vulnerable subjects and family members, this is not a complete solution to the frequent erasure of their interests in care settings. </w:t>
      </w:r>
      <w:r>
        <w:rPr>
          <w:sz w:val="22"/>
          <w:szCs w:val="22"/>
        </w:rPr>
        <w:t xml:space="preserve">For instance, and notwithstanding the crucial role of all types </w:t>
      </w:r>
      <w:r>
        <w:rPr>
          <w:sz w:val="22"/>
          <w:szCs w:val="22"/>
        </w:rPr>
        <w:lastRenderedPageBreak/>
        <w:t>of family members in facilitating and supporting the</w:t>
      </w:r>
      <w:r w:rsidRPr="00F868B0">
        <w:rPr>
          <w:sz w:val="22"/>
          <w:szCs w:val="22"/>
        </w:rPr>
        <w:t xml:space="preserve"> transition </w:t>
      </w:r>
      <w:r>
        <w:rPr>
          <w:sz w:val="22"/>
          <w:szCs w:val="22"/>
        </w:rPr>
        <w:t xml:space="preserve">of an </w:t>
      </w:r>
      <w:r w:rsidRPr="00F868B0">
        <w:rPr>
          <w:sz w:val="22"/>
          <w:szCs w:val="22"/>
        </w:rPr>
        <w:t>older relative to a care/nursing home</w:t>
      </w:r>
      <w:r>
        <w:rPr>
          <w:sz w:val="22"/>
          <w:szCs w:val="22"/>
        </w:rPr>
        <w:t xml:space="preserve">, </w:t>
      </w:r>
      <w:r w:rsidRPr="00F868B0">
        <w:rPr>
          <w:sz w:val="22"/>
          <w:szCs w:val="22"/>
        </w:rPr>
        <w:t>McMillan and Sethi remind us</w:t>
      </w:r>
      <w:r>
        <w:rPr>
          <w:sz w:val="22"/>
          <w:szCs w:val="22"/>
        </w:rPr>
        <w:t xml:space="preserve"> that human</w:t>
      </w:r>
      <w:r>
        <w:rPr>
          <w:sz w:val="22"/>
          <w:szCs w:val="22"/>
          <w:lang w:val="en-US"/>
        </w:rPr>
        <w:t xml:space="preserve"> relatives </w:t>
      </w:r>
      <w:r>
        <w:rPr>
          <w:sz w:val="22"/>
          <w:szCs w:val="22"/>
        </w:rPr>
        <w:t>occupy</w:t>
      </w:r>
      <w:r w:rsidRPr="008A21CB">
        <w:rPr>
          <w:sz w:val="22"/>
          <w:szCs w:val="22"/>
        </w:rPr>
        <w:t xml:space="preserve"> </w:t>
      </w:r>
      <w:r>
        <w:rPr>
          <w:sz w:val="22"/>
          <w:szCs w:val="22"/>
        </w:rPr>
        <w:t xml:space="preserve">a </w:t>
      </w:r>
      <w:r w:rsidRPr="008A21CB">
        <w:rPr>
          <w:sz w:val="22"/>
          <w:szCs w:val="22"/>
        </w:rPr>
        <w:t xml:space="preserve">liminal </w:t>
      </w:r>
      <w:r>
        <w:rPr>
          <w:sz w:val="22"/>
          <w:szCs w:val="22"/>
        </w:rPr>
        <w:t>and precarious position during this time</w:t>
      </w:r>
      <w:r w:rsidRPr="008A21CB">
        <w:rPr>
          <w:sz w:val="22"/>
          <w:szCs w:val="22"/>
        </w:rPr>
        <w:t>:</w:t>
      </w:r>
    </w:p>
    <w:p w:rsidR="00785035" w:rsidRDefault="00785035" w:rsidP="00785035">
      <w:pPr>
        <w:spacing w:after="160" w:line="480" w:lineRule="auto"/>
        <w:ind w:left="720"/>
        <w:rPr>
          <w:sz w:val="22"/>
          <w:szCs w:val="22"/>
        </w:rPr>
      </w:pPr>
      <w:r w:rsidRPr="008A21CB">
        <w:rPr>
          <w:sz w:val="22"/>
          <w:szCs w:val="22"/>
          <w:lang w:val="en-US"/>
        </w:rPr>
        <w:t>‘</w:t>
      </w:r>
      <w:r w:rsidRPr="008A21CB">
        <w:rPr>
          <w:sz w:val="22"/>
          <w:szCs w:val="22"/>
        </w:rPr>
        <w:t>visiting family members can experience flux, particularly in an emotional sense… What are the rights of family members? How do we avoid the practice of relatives being banned from visiting their family members/fearing exclusion if they complain?’</w:t>
      </w:r>
      <w:r>
        <w:rPr>
          <w:rStyle w:val="EndnoteReference"/>
          <w:sz w:val="22"/>
          <w:szCs w:val="22"/>
        </w:rPr>
        <w:endnoteReference w:id="93"/>
      </w:r>
      <w:r>
        <w:rPr>
          <w:sz w:val="22"/>
          <w:szCs w:val="22"/>
        </w:rPr>
        <w:t xml:space="preserve"> </w:t>
      </w:r>
    </w:p>
    <w:p w:rsidR="00785035" w:rsidRPr="006C377E" w:rsidRDefault="00785035" w:rsidP="00785035">
      <w:pPr>
        <w:spacing w:after="160" w:line="480" w:lineRule="auto"/>
        <w:rPr>
          <w:sz w:val="22"/>
          <w:szCs w:val="22"/>
          <w:lang w:val="en-US"/>
        </w:rPr>
      </w:pPr>
      <w:r>
        <w:rPr>
          <w:sz w:val="22"/>
          <w:szCs w:val="22"/>
        </w:rPr>
        <w:t>The crucial difference, however, for humans, is that their status as family member brings them within the ambit of human rights law and holds out the possibility of legal redress.  It is for this reason that we contend that recognition of multi-species families is a crucial step in pressing for legal change</w:t>
      </w:r>
      <w:r>
        <w:rPr>
          <w:sz w:val="22"/>
          <w:szCs w:val="22"/>
          <w:lang w:val="en-US"/>
        </w:rPr>
        <w:t xml:space="preserve">. We hope to have demonstrated that companion animals occupy a liminal position given the disjuncture between how they are regarded socially as companions and family, but legally deemed to be property that can readily be discarded.  Challenging exclusionary care home polices by </w:t>
      </w:r>
      <w:r w:rsidRPr="00763E5B">
        <w:rPr>
          <w:sz w:val="22"/>
          <w:szCs w:val="22"/>
          <w:lang w:val="en-US"/>
        </w:rPr>
        <w:t xml:space="preserve">couching claims in the discourse of </w:t>
      </w:r>
      <w:r>
        <w:rPr>
          <w:sz w:val="22"/>
          <w:szCs w:val="22"/>
          <w:lang w:val="en-US"/>
        </w:rPr>
        <w:t xml:space="preserve">the older person’s </w:t>
      </w:r>
      <w:r w:rsidRPr="00763E5B">
        <w:rPr>
          <w:sz w:val="22"/>
          <w:szCs w:val="22"/>
          <w:lang w:val="en-US"/>
        </w:rPr>
        <w:t xml:space="preserve">human rights </w:t>
      </w:r>
      <w:r>
        <w:rPr>
          <w:sz w:val="22"/>
          <w:szCs w:val="22"/>
          <w:lang w:val="en-US"/>
        </w:rPr>
        <w:t xml:space="preserve">is undoubtedly anthropocentric and, to some extent, reinforces the instrumentalisation of animals by recognising them for their value to humans. However, we suggest that according legal recognition to the animal-human relationship as familial is likely to prove a more viable strategy for protecting animals in practice than tactics focused on changing the animal’s legal status, which we see as more likely to generate resistance.  </w:t>
      </w:r>
      <w:r w:rsidRPr="005F2406">
        <w:rPr>
          <w:sz w:val="22"/>
          <w:szCs w:val="22"/>
          <w:lang w:val="en-US"/>
        </w:rPr>
        <w:t>As Deckha argues, vulnerability theory readily accommodates animals as beings leading precarious lives intertwined with those of humans</w:t>
      </w:r>
      <w:r>
        <w:rPr>
          <w:sz w:val="22"/>
          <w:szCs w:val="22"/>
          <w:lang w:val="en-US"/>
        </w:rPr>
        <w:t>,</w:t>
      </w:r>
      <w:r w:rsidRPr="005F2406">
        <w:rPr>
          <w:sz w:val="22"/>
          <w:szCs w:val="22"/>
          <w:vertAlign w:val="superscript"/>
          <w:lang w:val="en-US"/>
        </w:rPr>
        <w:endnoteReference w:id="94"/>
      </w:r>
      <w:r w:rsidRPr="005F2406">
        <w:rPr>
          <w:sz w:val="22"/>
          <w:szCs w:val="22"/>
          <w:lang w:val="en-US"/>
        </w:rPr>
        <w:t xml:space="preserve"> </w:t>
      </w:r>
      <w:r>
        <w:rPr>
          <w:sz w:val="22"/>
          <w:szCs w:val="22"/>
          <w:lang w:val="en-US"/>
        </w:rPr>
        <w:t xml:space="preserve"> while positing the human-animal  relationship as one of shared vulnerability</w:t>
      </w:r>
      <w:r w:rsidRPr="00763E5B">
        <w:rPr>
          <w:sz w:val="22"/>
          <w:szCs w:val="22"/>
          <w:lang w:val="en-US"/>
        </w:rPr>
        <w:t xml:space="preserve"> </w:t>
      </w:r>
      <w:r>
        <w:rPr>
          <w:sz w:val="22"/>
          <w:szCs w:val="22"/>
          <w:lang w:val="en-US"/>
        </w:rPr>
        <w:t>taps into a discourse</w:t>
      </w:r>
      <w:r w:rsidRPr="00763E5B">
        <w:rPr>
          <w:sz w:val="22"/>
          <w:szCs w:val="22"/>
          <w:lang w:val="en-US"/>
        </w:rPr>
        <w:t xml:space="preserve"> in some contexts been taken up by judges</w:t>
      </w:r>
      <w:r>
        <w:rPr>
          <w:sz w:val="22"/>
          <w:szCs w:val="22"/>
          <w:lang w:val="en-US"/>
        </w:rPr>
        <w:t>.</w:t>
      </w:r>
      <w:r w:rsidRPr="00763E5B">
        <w:rPr>
          <w:sz w:val="22"/>
          <w:szCs w:val="22"/>
          <w:vertAlign w:val="superscript"/>
          <w:lang w:val="en-US"/>
        </w:rPr>
        <w:endnoteReference w:id="95"/>
      </w:r>
      <w:r w:rsidRPr="00763E5B">
        <w:rPr>
          <w:sz w:val="22"/>
          <w:szCs w:val="22"/>
          <w:lang w:val="en-US"/>
        </w:rPr>
        <w:t xml:space="preserve"> </w:t>
      </w:r>
      <w:r>
        <w:rPr>
          <w:sz w:val="22"/>
          <w:szCs w:val="22"/>
          <w:lang w:val="en-US"/>
        </w:rPr>
        <w:t>Similarly,</w:t>
      </w:r>
      <w:r w:rsidRPr="00763E5B">
        <w:rPr>
          <w:sz w:val="22"/>
          <w:szCs w:val="22"/>
          <w:lang w:val="en-US"/>
        </w:rPr>
        <w:t xml:space="preserve"> construing inter-species relationships as familial has, as we have seen, secured a high degree of social acceptance</w:t>
      </w:r>
      <w:r>
        <w:rPr>
          <w:sz w:val="22"/>
          <w:szCs w:val="22"/>
          <w:lang w:val="en-US"/>
        </w:rPr>
        <w:t>, and some degree of legal recognition</w:t>
      </w:r>
      <w:r w:rsidRPr="00763E5B">
        <w:rPr>
          <w:sz w:val="22"/>
          <w:szCs w:val="22"/>
          <w:lang w:val="en-US"/>
        </w:rPr>
        <w:t xml:space="preserve">. </w:t>
      </w:r>
      <w:r>
        <w:rPr>
          <w:sz w:val="22"/>
          <w:szCs w:val="22"/>
          <w:lang w:val="en-US"/>
        </w:rPr>
        <w:t xml:space="preserve"> </w:t>
      </w:r>
      <w:r w:rsidRPr="007D4F8F">
        <w:rPr>
          <w:sz w:val="22"/>
          <w:szCs w:val="22"/>
          <w:lang w:val="en-US"/>
        </w:rPr>
        <w:t>Article 8 of the European Convention on Human Rights</w:t>
      </w:r>
      <w:r>
        <w:rPr>
          <w:sz w:val="22"/>
          <w:szCs w:val="22"/>
          <w:lang w:val="en-US"/>
        </w:rPr>
        <w:t xml:space="preserve"> (</w:t>
      </w:r>
      <w:r w:rsidRPr="007D4F8F">
        <w:rPr>
          <w:sz w:val="22"/>
          <w:szCs w:val="22"/>
          <w:lang w:val="en-US"/>
        </w:rPr>
        <w:t>enshrined in UK law as a result of the Human Rights Act 1998</w:t>
      </w:r>
      <w:r>
        <w:rPr>
          <w:sz w:val="22"/>
          <w:szCs w:val="22"/>
          <w:lang w:val="en-US"/>
        </w:rPr>
        <w:t>) represents the most promising avenue for bringing interspecies relationships within the ambit of human rights protections.</w:t>
      </w:r>
      <w:r w:rsidRPr="004A6AD8">
        <w:rPr>
          <w:sz w:val="22"/>
          <w:szCs w:val="22"/>
          <w:vertAlign w:val="superscript"/>
          <w:lang w:val="en-US"/>
        </w:rPr>
        <w:endnoteReference w:id="96"/>
      </w:r>
      <w:r>
        <w:rPr>
          <w:sz w:val="22"/>
          <w:szCs w:val="22"/>
          <w:lang w:val="en-US"/>
        </w:rPr>
        <w:t xml:space="preserve">  Article 8 protects private and family life and the European Court of Human Rights (ECrtHR)</w:t>
      </w:r>
      <w:r>
        <w:rPr>
          <w:sz w:val="22"/>
          <w:szCs w:val="22"/>
        </w:rPr>
        <w:t xml:space="preserve"> </w:t>
      </w:r>
      <w:r w:rsidRPr="00053536">
        <w:rPr>
          <w:sz w:val="22"/>
          <w:szCs w:val="22"/>
        </w:rPr>
        <w:t xml:space="preserve">has </w:t>
      </w:r>
      <w:r>
        <w:rPr>
          <w:sz w:val="22"/>
          <w:szCs w:val="22"/>
        </w:rPr>
        <w:t>taken</w:t>
      </w:r>
      <w:r w:rsidRPr="00053536">
        <w:rPr>
          <w:sz w:val="22"/>
          <w:szCs w:val="22"/>
        </w:rPr>
        <w:t xml:space="preserve"> </w:t>
      </w:r>
      <w:r>
        <w:rPr>
          <w:sz w:val="22"/>
          <w:szCs w:val="22"/>
        </w:rPr>
        <w:t xml:space="preserve">an </w:t>
      </w:r>
      <w:r w:rsidRPr="00053536">
        <w:rPr>
          <w:sz w:val="22"/>
          <w:szCs w:val="22"/>
        </w:rPr>
        <w:t>expan</w:t>
      </w:r>
      <w:r>
        <w:rPr>
          <w:sz w:val="22"/>
          <w:szCs w:val="22"/>
        </w:rPr>
        <w:t>s</w:t>
      </w:r>
      <w:r w:rsidRPr="00053536">
        <w:rPr>
          <w:sz w:val="22"/>
          <w:szCs w:val="22"/>
        </w:rPr>
        <w:t>i</w:t>
      </w:r>
      <w:r>
        <w:rPr>
          <w:sz w:val="22"/>
          <w:szCs w:val="22"/>
        </w:rPr>
        <w:t>ve approach to deciding</w:t>
      </w:r>
      <w:r w:rsidRPr="00053536">
        <w:rPr>
          <w:sz w:val="22"/>
          <w:szCs w:val="22"/>
        </w:rPr>
        <w:t xml:space="preserve"> </w:t>
      </w:r>
      <w:r>
        <w:rPr>
          <w:sz w:val="22"/>
          <w:szCs w:val="22"/>
        </w:rPr>
        <w:t>A</w:t>
      </w:r>
      <w:r w:rsidRPr="00053536">
        <w:rPr>
          <w:sz w:val="22"/>
          <w:szCs w:val="22"/>
        </w:rPr>
        <w:t>rt</w:t>
      </w:r>
      <w:r>
        <w:rPr>
          <w:sz w:val="22"/>
          <w:szCs w:val="22"/>
        </w:rPr>
        <w:t>i</w:t>
      </w:r>
      <w:r w:rsidRPr="00053536">
        <w:rPr>
          <w:sz w:val="22"/>
          <w:szCs w:val="22"/>
        </w:rPr>
        <w:t xml:space="preserve">cle 8 </w:t>
      </w:r>
      <w:r>
        <w:rPr>
          <w:sz w:val="22"/>
          <w:szCs w:val="22"/>
        </w:rPr>
        <w:t xml:space="preserve">cases </w:t>
      </w:r>
      <w:r w:rsidRPr="00053536">
        <w:rPr>
          <w:sz w:val="22"/>
          <w:szCs w:val="22"/>
        </w:rPr>
        <w:t xml:space="preserve">in the light of </w:t>
      </w:r>
      <w:r>
        <w:rPr>
          <w:sz w:val="22"/>
          <w:szCs w:val="22"/>
        </w:rPr>
        <w:t>its long established ‘interpretative ethic’.</w:t>
      </w:r>
      <w:r>
        <w:rPr>
          <w:rStyle w:val="EndnoteReference"/>
          <w:sz w:val="22"/>
          <w:szCs w:val="22"/>
        </w:rPr>
        <w:endnoteReference w:id="97"/>
      </w:r>
      <w:r>
        <w:rPr>
          <w:sz w:val="22"/>
          <w:szCs w:val="22"/>
        </w:rPr>
        <w:t xml:space="preserve"> </w:t>
      </w:r>
      <w:r w:rsidRPr="004477B3">
        <w:rPr>
          <w:sz w:val="22"/>
          <w:szCs w:val="22"/>
        </w:rPr>
        <w:t xml:space="preserve">As one leading </w:t>
      </w:r>
      <w:r>
        <w:rPr>
          <w:sz w:val="22"/>
          <w:szCs w:val="22"/>
        </w:rPr>
        <w:t>commentary</w:t>
      </w:r>
      <w:r w:rsidRPr="004477B3">
        <w:rPr>
          <w:sz w:val="22"/>
          <w:szCs w:val="22"/>
        </w:rPr>
        <w:t xml:space="preserve"> </w:t>
      </w:r>
      <w:r>
        <w:rPr>
          <w:sz w:val="22"/>
          <w:szCs w:val="22"/>
        </w:rPr>
        <w:t>observe</w:t>
      </w:r>
      <w:r w:rsidRPr="004477B3">
        <w:rPr>
          <w:sz w:val="22"/>
          <w:szCs w:val="22"/>
        </w:rPr>
        <w:t xml:space="preserve">s, </w:t>
      </w:r>
      <w:r>
        <w:rPr>
          <w:sz w:val="22"/>
          <w:szCs w:val="22"/>
        </w:rPr>
        <w:t>it</w:t>
      </w:r>
      <w:r w:rsidRPr="004477B3">
        <w:rPr>
          <w:sz w:val="22"/>
          <w:szCs w:val="22"/>
        </w:rPr>
        <w:t>s:</w:t>
      </w:r>
    </w:p>
    <w:p w:rsidR="00785035" w:rsidRPr="004477B3" w:rsidRDefault="00785035" w:rsidP="00785035">
      <w:pPr>
        <w:spacing w:after="160" w:line="480" w:lineRule="auto"/>
        <w:ind w:left="720"/>
        <w:rPr>
          <w:sz w:val="22"/>
          <w:szCs w:val="22"/>
        </w:rPr>
      </w:pPr>
      <w:r w:rsidRPr="004477B3">
        <w:rPr>
          <w:sz w:val="22"/>
          <w:szCs w:val="22"/>
        </w:rPr>
        <w:lastRenderedPageBreak/>
        <w:t>‘…overall approach can perhaps best be summarised as an evolutive approach based upon its understanding of the object and purpose of the Convention, but also reflective of its own role as an international human rights court conscious of its subsidiary role in the protection of human rights’.</w:t>
      </w:r>
      <w:r w:rsidRPr="004477B3">
        <w:rPr>
          <w:sz w:val="22"/>
          <w:szCs w:val="22"/>
          <w:vertAlign w:val="superscript"/>
        </w:rPr>
        <w:endnoteReference w:id="98"/>
      </w:r>
    </w:p>
    <w:p w:rsidR="00785035" w:rsidRPr="00DB3B61" w:rsidRDefault="00785035" w:rsidP="00785035">
      <w:pPr>
        <w:spacing w:after="160" w:line="480" w:lineRule="auto"/>
        <w:rPr>
          <w:sz w:val="22"/>
          <w:szCs w:val="22"/>
          <w:lang w:val="en-US"/>
        </w:rPr>
      </w:pPr>
      <w:r>
        <w:rPr>
          <w:sz w:val="22"/>
          <w:szCs w:val="22"/>
        </w:rPr>
        <w:t>The ECrtHR’s approach to interpretation thus r</w:t>
      </w:r>
      <w:r w:rsidRPr="00313968">
        <w:rPr>
          <w:sz w:val="22"/>
          <w:szCs w:val="22"/>
        </w:rPr>
        <w:t>ecognis</w:t>
      </w:r>
      <w:r>
        <w:rPr>
          <w:sz w:val="22"/>
          <w:szCs w:val="22"/>
        </w:rPr>
        <w:t>es</w:t>
      </w:r>
      <w:r w:rsidRPr="00313968">
        <w:rPr>
          <w:sz w:val="22"/>
          <w:szCs w:val="22"/>
        </w:rPr>
        <w:t xml:space="preserve"> </w:t>
      </w:r>
      <w:r>
        <w:rPr>
          <w:sz w:val="22"/>
          <w:szCs w:val="22"/>
          <w:lang w:val="en-US"/>
        </w:rPr>
        <w:t>the Convention as</w:t>
      </w:r>
      <w:r w:rsidRPr="00CF79DB">
        <w:rPr>
          <w:sz w:val="22"/>
          <w:szCs w:val="22"/>
          <w:lang w:val="en-US"/>
        </w:rPr>
        <w:t xml:space="preserve"> a living instrument </w:t>
      </w:r>
      <w:r>
        <w:rPr>
          <w:sz w:val="22"/>
          <w:szCs w:val="22"/>
        </w:rPr>
        <w:t>whose</w:t>
      </w:r>
      <w:r w:rsidRPr="00313968">
        <w:rPr>
          <w:sz w:val="22"/>
          <w:szCs w:val="22"/>
        </w:rPr>
        <w:t xml:space="preserve"> short and skeletal</w:t>
      </w:r>
      <w:r>
        <w:rPr>
          <w:sz w:val="22"/>
          <w:szCs w:val="22"/>
        </w:rPr>
        <w:t xml:space="preserve"> provisions</w:t>
      </w:r>
      <w:r w:rsidRPr="00CF79DB">
        <w:rPr>
          <w:sz w:val="22"/>
          <w:szCs w:val="22"/>
          <w:lang w:val="en-US"/>
        </w:rPr>
        <w:t xml:space="preserve"> </w:t>
      </w:r>
      <w:r>
        <w:rPr>
          <w:sz w:val="22"/>
          <w:szCs w:val="22"/>
          <w:lang w:val="en-US"/>
        </w:rPr>
        <w:t xml:space="preserve">must </w:t>
      </w:r>
      <w:r w:rsidRPr="00CF79DB">
        <w:rPr>
          <w:sz w:val="22"/>
          <w:szCs w:val="22"/>
          <w:lang w:val="en-US"/>
        </w:rPr>
        <w:t xml:space="preserve">be fleshed out </w:t>
      </w:r>
      <w:r>
        <w:rPr>
          <w:sz w:val="22"/>
          <w:szCs w:val="22"/>
          <w:lang w:val="en-US"/>
        </w:rPr>
        <w:t>by judges</w:t>
      </w:r>
      <w:r w:rsidRPr="00CF79DB">
        <w:rPr>
          <w:sz w:val="22"/>
          <w:szCs w:val="22"/>
          <w:lang w:val="en-US"/>
        </w:rPr>
        <w:t xml:space="preserve"> and interpreted</w:t>
      </w:r>
      <w:r w:rsidRPr="00CF79DB">
        <w:rPr>
          <w:sz w:val="22"/>
          <w:szCs w:val="22"/>
        </w:rPr>
        <w:t xml:space="preserve"> in the light of changing societal values</w:t>
      </w:r>
      <w:r>
        <w:rPr>
          <w:sz w:val="22"/>
          <w:szCs w:val="22"/>
        </w:rPr>
        <w:t>.  As we have seen,</w:t>
      </w:r>
      <w:r w:rsidRPr="00313968">
        <w:rPr>
          <w:sz w:val="22"/>
          <w:szCs w:val="22"/>
        </w:rPr>
        <w:t xml:space="preserve"> the meaning of ‘family’ has </w:t>
      </w:r>
      <w:r>
        <w:rPr>
          <w:sz w:val="22"/>
          <w:szCs w:val="22"/>
        </w:rPr>
        <w:t xml:space="preserve">evolved </w:t>
      </w:r>
      <w:r w:rsidRPr="00313968">
        <w:rPr>
          <w:sz w:val="22"/>
          <w:szCs w:val="22"/>
        </w:rPr>
        <w:t>radically</w:t>
      </w:r>
      <w:r>
        <w:rPr>
          <w:sz w:val="22"/>
          <w:szCs w:val="22"/>
        </w:rPr>
        <w:t xml:space="preserve"> - both socially and legally - </w:t>
      </w:r>
      <w:r w:rsidRPr="00313968">
        <w:rPr>
          <w:sz w:val="22"/>
          <w:szCs w:val="22"/>
        </w:rPr>
        <w:t xml:space="preserve">since </w:t>
      </w:r>
      <w:r>
        <w:rPr>
          <w:sz w:val="22"/>
          <w:szCs w:val="22"/>
        </w:rPr>
        <w:t xml:space="preserve">the Convention was drafted in </w:t>
      </w:r>
      <w:r w:rsidRPr="00313968">
        <w:rPr>
          <w:sz w:val="22"/>
          <w:szCs w:val="22"/>
        </w:rPr>
        <w:t>1950</w:t>
      </w:r>
      <w:r>
        <w:rPr>
          <w:sz w:val="22"/>
          <w:szCs w:val="22"/>
        </w:rPr>
        <w:t>, and this impacts on judicial reasoning</w:t>
      </w:r>
      <w:r w:rsidRPr="00313968">
        <w:rPr>
          <w:sz w:val="22"/>
          <w:szCs w:val="22"/>
        </w:rPr>
        <w:t>.</w:t>
      </w:r>
      <w:r>
        <w:rPr>
          <w:sz w:val="22"/>
          <w:szCs w:val="22"/>
        </w:rPr>
        <w:t xml:space="preserve">  </w:t>
      </w:r>
      <w:r w:rsidRPr="00DB3B61">
        <w:rPr>
          <w:sz w:val="22"/>
          <w:szCs w:val="22"/>
        </w:rPr>
        <w:t>Space precludes an examination of the ECHR jurisprudence on this issue,</w:t>
      </w:r>
      <w:r>
        <w:rPr>
          <w:sz w:val="22"/>
          <w:szCs w:val="22"/>
        </w:rPr>
        <w:t xml:space="preserve"> but the ECrtHR has been clear that</w:t>
      </w:r>
      <w:r w:rsidRPr="00973B5C">
        <w:rPr>
          <w:sz w:val="22"/>
          <w:szCs w:val="22"/>
        </w:rPr>
        <w:t xml:space="preserve"> the existence or non-existence of “family life” is essentially a question of fact </w:t>
      </w:r>
      <w:r w:rsidRPr="0082189D">
        <w:rPr>
          <w:sz w:val="22"/>
          <w:szCs w:val="22"/>
        </w:rPr>
        <w:t>depending upon the real existence in practice of close personal ties</w:t>
      </w:r>
      <w:r>
        <w:rPr>
          <w:sz w:val="22"/>
          <w:szCs w:val="22"/>
        </w:rPr>
        <w:t>.</w:t>
      </w:r>
      <w:r>
        <w:rPr>
          <w:rStyle w:val="EndnoteReference"/>
          <w:sz w:val="22"/>
          <w:szCs w:val="22"/>
        </w:rPr>
        <w:endnoteReference w:id="99"/>
      </w:r>
      <w:r>
        <w:rPr>
          <w:sz w:val="22"/>
          <w:szCs w:val="22"/>
        </w:rPr>
        <w:t xml:space="preserve"> While the case law to date has been concerned with exclusively human relationships,</w:t>
      </w:r>
      <w:r>
        <w:rPr>
          <w:sz w:val="22"/>
          <w:szCs w:val="22"/>
          <w:lang w:val="en-US"/>
        </w:rPr>
        <w:t xml:space="preserve"> as George Letsas has argued,</w:t>
      </w:r>
      <w:r w:rsidRPr="008A6389">
        <w:rPr>
          <w:sz w:val="22"/>
          <w:szCs w:val="22"/>
          <w:lang w:val="en-US"/>
        </w:rPr>
        <w:t xml:space="preserve"> </w:t>
      </w:r>
      <w:r>
        <w:rPr>
          <w:sz w:val="22"/>
          <w:szCs w:val="22"/>
          <w:lang w:val="en-US"/>
        </w:rPr>
        <w:t>‘the ECrtHR</w:t>
      </w:r>
      <w:r w:rsidRPr="008A6389">
        <w:rPr>
          <w:sz w:val="22"/>
          <w:szCs w:val="22"/>
          <w:lang w:val="en-US"/>
        </w:rPr>
        <w:t xml:space="preserve"> </w:t>
      </w:r>
      <w:r>
        <w:rPr>
          <w:sz w:val="22"/>
          <w:szCs w:val="22"/>
          <w:lang w:val="en-US"/>
        </w:rPr>
        <w:t xml:space="preserve">has </w:t>
      </w:r>
      <w:r w:rsidRPr="008A6389">
        <w:rPr>
          <w:sz w:val="22"/>
          <w:szCs w:val="22"/>
          <w:lang w:val="en-US"/>
        </w:rPr>
        <w:t>recognise</w:t>
      </w:r>
      <w:r>
        <w:rPr>
          <w:sz w:val="22"/>
          <w:szCs w:val="22"/>
          <w:lang w:val="en-US"/>
        </w:rPr>
        <w:t>[d]</w:t>
      </w:r>
      <w:r w:rsidRPr="008A6389">
        <w:rPr>
          <w:sz w:val="22"/>
          <w:szCs w:val="22"/>
          <w:lang w:val="en-US"/>
        </w:rPr>
        <w:t xml:space="preserve"> rights under the ECHR that would have been</w:t>
      </w:r>
      <w:r>
        <w:rPr>
          <w:sz w:val="22"/>
          <w:szCs w:val="22"/>
          <w:lang w:val="en-US"/>
        </w:rPr>
        <w:t xml:space="preserve"> </w:t>
      </w:r>
      <w:r w:rsidRPr="008A6389">
        <w:rPr>
          <w:sz w:val="22"/>
          <w:szCs w:val="22"/>
          <w:lang w:val="en-US"/>
        </w:rPr>
        <w:t>unimaginable thirty or forty years ago</w:t>
      </w:r>
      <w:r>
        <w:rPr>
          <w:sz w:val="22"/>
          <w:szCs w:val="22"/>
          <w:lang w:val="en-US"/>
        </w:rPr>
        <w:t>’.</w:t>
      </w:r>
      <w:r>
        <w:rPr>
          <w:rStyle w:val="EndnoteReference"/>
          <w:sz w:val="22"/>
          <w:szCs w:val="22"/>
          <w:lang w:val="en-US"/>
        </w:rPr>
        <w:endnoteReference w:id="100"/>
      </w:r>
      <w:r>
        <w:rPr>
          <w:sz w:val="22"/>
          <w:szCs w:val="22"/>
          <w:lang w:val="en-US"/>
        </w:rPr>
        <w:t xml:space="preserve">  Given the </w:t>
      </w:r>
      <w:r w:rsidRPr="00DD19BF">
        <w:rPr>
          <w:sz w:val="22"/>
          <w:szCs w:val="22"/>
        </w:rPr>
        <w:t xml:space="preserve">Court’s openness to expanding Article 8 in the light of </w:t>
      </w:r>
      <w:r>
        <w:rPr>
          <w:sz w:val="22"/>
          <w:szCs w:val="22"/>
        </w:rPr>
        <w:t>d</w:t>
      </w:r>
      <w:r w:rsidRPr="00DD19BF">
        <w:rPr>
          <w:sz w:val="22"/>
          <w:szCs w:val="22"/>
        </w:rPr>
        <w:t>ev</w:t>
      </w:r>
      <w:r>
        <w:rPr>
          <w:sz w:val="22"/>
          <w:szCs w:val="22"/>
        </w:rPr>
        <w:t>e</w:t>
      </w:r>
      <w:r w:rsidRPr="00DD19BF">
        <w:rPr>
          <w:sz w:val="22"/>
          <w:szCs w:val="22"/>
        </w:rPr>
        <w:t>l</w:t>
      </w:r>
      <w:r>
        <w:rPr>
          <w:sz w:val="22"/>
          <w:szCs w:val="22"/>
        </w:rPr>
        <w:t>op</w:t>
      </w:r>
      <w:r w:rsidRPr="00DD19BF">
        <w:rPr>
          <w:sz w:val="22"/>
          <w:szCs w:val="22"/>
        </w:rPr>
        <w:t>ing international standards</w:t>
      </w:r>
      <w:r>
        <w:rPr>
          <w:sz w:val="22"/>
          <w:szCs w:val="22"/>
        </w:rPr>
        <w:t>, and</w:t>
      </w:r>
      <w:r w:rsidRPr="00763E5B">
        <w:rPr>
          <w:sz w:val="22"/>
          <w:szCs w:val="22"/>
        </w:rPr>
        <w:t xml:space="preserve"> historical willingness to take account of novelty, </w:t>
      </w:r>
      <w:r>
        <w:rPr>
          <w:sz w:val="22"/>
          <w:szCs w:val="22"/>
          <w:lang w:val="en-US"/>
        </w:rPr>
        <w:t>we suggest that there are persuasive reasons for it to accept that ‘family’ should be defined in terms of its function in providing companionship and care, and that inter-species relationships can fulfil these functions</w:t>
      </w:r>
      <w:r>
        <w:rPr>
          <w:sz w:val="22"/>
          <w:szCs w:val="22"/>
        </w:rPr>
        <w:t>.  Should this contention prove too radical</w:t>
      </w:r>
      <w:r>
        <w:rPr>
          <w:sz w:val="22"/>
          <w:szCs w:val="22"/>
          <w:lang w:val="en-US"/>
        </w:rPr>
        <w:t>, the Court has also accepted that</w:t>
      </w:r>
      <w:r w:rsidRPr="00DB3B61">
        <w:rPr>
          <w:sz w:val="22"/>
          <w:szCs w:val="22"/>
          <w:lang w:val="en-US"/>
        </w:rPr>
        <w:t xml:space="preserve"> close relationships </w:t>
      </w:r>
      <w:r>
        <w:rPr>
          <w:sz w:val="22"/>
          <w:szCs w:val="22"/>
          <w:lang w:val="en-US"/>
        </w:rPr>
        <w:t xml:space="preserve">deemed to fall </w:t>
      </w:r>
      <w:r w:rsidRPr="00DB3B61">
        <w:rPr>
          <w:sz w:val="22"/>
          <w:szCs w:val="22"/>
          <w:lang w:val="en-US"/>
        </w:rPr>
        <w:t xml:space="preserve">short of </w:t>
      </w:r>
      <w:r>
        <w:rPr>
          <w:sz w:val="22"/>
          <w:szCs w:val="22"/>
          <w:lang w:val="en-US"/>
        </w:rPr>
        <w:t>‘</w:t>
      </w:r>
      <w:r w:rsidRPr="00DB3B61">
        <w:rPr>
          <w:sz w:val="22"/>
          <w:szCs w:val="22"/>
          <w:lang w:val="en-US"/>
        </w:rPr>
        <w:t>family life</w:t>
      </w:r>
      <w:r>
        <w:rPr>
          <w:sz w:val="22"/>
          <w:szCs w:val="22"/>
          <w:lang w:val="en-US"/>
        </w:rPr>
        <w:t>’</w:t>
      </w:r>
      <w:r w:rsidRPr="00DB3B61">
        <w:rPr>
          <w:sz w:val="22"/>
          <w:szCs w:val="22"/>
          <w:lang w:val="en-US"/>
        </w:rPr>
        <w:t xml:space="preserve"> generally fall within the scope of private life</w:t>
      </w:r>
      <w:r>
        <w:rPr>
          <w:sz w:val="22"/>
          <w:szCs w:val="22"/>
          <w:lang w:val="en-US"/>
        </w:rPr>
        <w:t xml:space="preserve"> protections under Article 8.</w:t>
      </w:r>
      <w:r>
        <w:rPr>
          <w:rStyle w:val="EndnoteReference"/>
          <w:sz w:val="22"/>
          <w:szCs w:val="22"/>
          <w:lang w:val="en-US"/>
        </w:rPr>
        <w:endnoteReference w:id="101"/>
      </w:r>
    </w:p>
    <w:p w:rsidR="00785035" w:rsidRDefault="00785035" w:rsidP="00785035">
      <w:pPr>
        <w:spacing w:after="160" w:line="480" w:lineRule="auto"/>
        <w:rPr>
          <w:sz w:val="22"/>
          <w:szCs w:val="22"/>
          <w:lang w:val="en-US"/>
        </w:rPr>
      </w:pPr>
      <w:r>
        <w:rPr>
          <w:sz w:val="22"/>
          <w:szCs w:val="22"/>
        </w:rPr>
        <w:t xml:space="preserve">Of course, such relationships will have to be managed in practice in the case home setting.  However, </w:t>
      </w:r>
      <w:r>
        <w:rPr>
          <w:sz w:val="22"/>
          <w:szCs w:val="22"/>
          <w:lang w:val="en-US"/>
        </w:rPr>
        <w:t>Rook has suggested that under Article 8 a ban on companion animals cannot be regarded as proportionate to other objectives care home managers may have, such as protecting interests of other residents</w:t>
      </w:r>
      <w:r>
        <w:rPr>
          <w:rStyle w:val="EndnoteReference"/>
          <w:sz w:val="22"/>
          <w:szCs w:val="22"/>
          <w:lang w:val="en-US"/>
        </w:rPr>
        <w:endnoteReference w:id="102"/>
      </w:r>
      <w:r>
        <w:rPr>
          <w:sz w:val="22"/>
          <w:szCs w:val="22"/>
          <w:lang w:val="en-US"/>
        </w:rPr>
        <w:t xml:space="preserve"> or carers.  Thus, if a situation arose whe</w:t>
      </w:r>
      <w:r w:rsidRPr="00AE7FCF">
        <w:rPr>
          <w:sz w:val="22"/>
          <w:szCs w:val="22"/>
        </w:rPr>
        <w:t>r</w:t>
      </w:r>
      <w:r>
        <w:rPr>
          <w:sz w:val="22"/>
          <w:szCs w:val="22"/>
        </w:rPr>
        <w:t>e, for instance,</w:t>
      </w:r>
      <w:r w:rsidRPr="00AE7FCF">
        <w:rPr>
          <w:sz w:val="22"/>
          <w:szCs w:val="22"/>
        </w:rPr>
        <w:t xml:space="preserve"> </w:t>
      </w:r>
      <w:r>
        <w:rPr>
          <w:sz w:val="22"/>
          <w:szCs w:val="22"/>
        </w:rPr>
        <w:t>other residents or employees</w:t>
      </w:r>
      <w:r w:rsidRPr="00AE7FCF">
        <w:rPr>
          <w:sz w:val="22"/>
          <w:szCs w:val="22"/>
        </w:rPr>
        <w:t xml:space="preserve"> </w:t>
      </w:r>
      <w:r>
        <w:rPr>
          <w:sz w:val="22"/>
          <w:szCs w:val="22"/>
        </w:rPr>
        <w:t xml:space="preserve">had an </w:t>
      </w:r>
      <w:r w:rsidRPr="00AE7FCF">
        <w:rPr>
          <w:sz w:val="22"/>
          <w:szCs w:val="22"/>
        </w:rPr>
        <w:t>allerg</w:t>
      </w:r>
      <w:r>
        <w:rPr>
          <w:sz w:val="22"/>
          <w:szCs w:val="22"/>
        </w:rPr>
        <w:t xml:space="preserve">y or </w:t>
      </w:r>
      <w:r w:rsidRPr="00AE7FCF">
        <w:rPr>
          <w:sz w:val="22"/>
          <w:szCs w:val="22"/>
        </w:rPr>
        <w:t xml:space="preserve">fear of dogs, </w:t>
      </w:r>
      <w:r>
        <w:rPr>
          <w:sz w:val="22"/>
          <w:szCs w:val="22"/>
        </w:rPr>
        <w:t xml:space="preserve">this would simply entail that </w:t>
      </w:r>
      <w:r w:rsidRPr="00AE7FCF">
        <w:rPr>
          <w:sz w:val="22"/>
          <w:szCs w:val="22"/>
        </w:rPr>
        <w:t xml:space="preserve">the care home </w:t>
      </w:r>
      <w:r>
        <w:rPr>
          <w:sz w:val="22"/>
          <w:szCs w:val="22"/>
        </w:rPr>
        <w:t>would have to</w:t>
      </w:r>
      <w:r w:rsidRPr="00AE7FCF">
        <w:rPr>
          <w:sz w:val="22"/>
          <w:szCs w:val="22"/>
        </w:rPr>
        <w:t xml:space="preserve"> </w:t>
      </w:r>
      <w:r>
        <w:rPr>
          <w:sz w:val="22"/>
          <w:szCs w:val="22"/>
        </w:rPr>
        <w:t>accommodate</w:t>
      </w:r>
      <w:r w:rsidRPr="00AE7FCF">
        <w:rPr>
          <w:sz w:val="22"/>
          <w:szCs w:val="22"/>
        </w:rPr>
        <w:t xml:space="preserve"> both sets of interests. </w:t>
      </w:r>
      <w:r>
        <w:rPr>
          <w:sz w:val="22"/>
          <w:szCs w:val="22"/>
        </w:rPr>
        <w:t xml:space="preserve"> Indeed, a greater receptivity to interspecies relations may serve to call attention to issues of </w:t>
      </w:r>
      <w:r w:rsidRPr="00B73BE4">
        <w:rPr>
          <w:sz w:val="22"/>
          <w:szCs w:val="22"/>
        </w:rPr>
        <w:t xml:space="preserve">difference and diversity </w:t>
      </w:r>
      <w:r>
        <w:rPr>
          <w:sz w:val="22"/>
          <w:szCs w:val="22"/>
        </w:rPr>
        <w:t xml:space="preserve">that are often not </w:t>
      </w:r>
      <w:r w:rsidRPr="00B73BE4">
        <w:rPr>
          <w:sz w:val="22"/>
          <w:szCs w:val="22"/>
        </w:rPr>
        <w:t>consciously considered in care homes</w:t>
      </w:r>
      <w:r>
        <w:rPr>
          <w:sz w:val="22"/>
          <w:szCs w:val="22"/>
        </w:rPr>
        <w:t>.</w:t>
      </w:r>
      <w:r>
        <w:rPr>
          <w:rStyle w:val="EndnoteReference"/>
          <w:sz w:val="22"/>
          <w:szCs w:val="22"/>
        </w:rPr>
        <w:endnoteReference w:id="103"/>
      </w:r>
      <w:r w:rsidRPr="00B73BE4">
        <w:rPr>
          <w:sz w:val="22"/>
          <w:szCs w:val="22"/>
        </w:rPr>
        <w:t xml:space="preserve"> </w:t>
      </w:r>
      <w:r>
        <w:rPr>
          <w:sz w:val="22"/>
          <w:szCs w:val="22"/>
        </w:rPr>
        <w:t xml:space="preserve"> Clearly, as with exclusively human families, not all interspecies families will be harmonious. Nor will</w:t>
      </w:r>
      <w:r w:rsidRPr="00472B27">
        <w:rPr>
          <w:sz w:val="22"/>
          <w:szCs w:val="22"/>
        </w:rPr>
        <w:t xml:space="preserve"> </w:t>
      </w:r>
      <w:r w:rsidRPr="00472B27">
        <w:rPr>
          <w:sz w:val="22"/>
          <w:szCs w:val="22"/>
        </w:rPr>
        <w:lastRenderedPageBreak/>
        <w:t>all older people be ideal animal caretakers</w:t>
      </w:r>
      <w:r>
        <w:rPr>
          <w:sz w:val="22"/>
          <w:szCs w:val="22"/>
        </w:rPr>
        <w:t>,</w:t>
      </w:r>
      <w:r w:rsidRPr="00472B27">
        <w:rPr>
          <w:sz w:val="22"/>
          <w:szCs w:val="22"/>
        </w:rPr>
        <w:t xml:space="preserve"> </w:t>
      </w:r>
      <w:r>
        <w:rPr>
          <w:sz w:val="22"/>
          <w:szCs w:val="22"/>
        </w:rPr>
        <w:t>and</w:t>
      </w:r>
      <w:r w:rsidRPr="00472B27">
        <w:rPr>
          <w:sz w:val="22"/>
          <w:szCs w:val="22"/>
        </w:rPr>
        <w:t xml:space="preserve"> </w:t>
      </w:r>
      <w:r>
        <w:rPr>
          <w:sz w:val="22"/>
          <w:szCs w:val="22"/>
        </w:rPr>
        <w:t xml:space="preserve">not all animals will be suited to life </w:t>
      </w:r>
      <w:r w:rsidRPr="00472B27">
        <w:rPr>
          <w:sz w:val="22"/>
          <w:szCs w:val="22"/>
        </w:rPr>
        <w:t>in care settings</w:t>
      </w:r>
      <w:r>
        <w:rPr>
          <w:sz w:val="22"/>
          <w:szCs w:val="22"/>
        </w:rPr>
        <w:t>.  As with any familial attachment,</w:t>
      </w:r>
      <w:r w:rsidRPr="00472B27">
        <w:rPr>
          <w:sz w:val="22"/>
          <w:szCs w:val="22"/>
        </w:rPr>
        <w:t xml:space="preserve"> the relationship itself may render the animal </w:t>
      </w:r>
      <w:r>
        <w:rPr>
          <w:sz w:val="22"/>
          <w:szCs w:val="22"/>
        </w:rPr>
        <w:t>vulnerab</w:t>
      </w:r>
      <w:r w:rsidRPr="00472B27">
        <w:rPr>
          <w:sz w:val="22"/>
          <w:szCs w:val="22"/>
        </w:rPr>
        <w:t>le to abuse.</w:t>
      </w:r>
      <w:r w:rsidRPr="00472B27">
        <w:rPr>
          <w:sz w:val="22"/>
          <w:szCs w:val="22"/>
          <w:lang w:val="en-US"/>
        </w:rPr>
        <w:t xml:space="preserve"> </w:t>
      </w:r>
      <w:r>
        <w:rPr>
          <w:sz w:val="22"/>
          <w:szCs w:val="22"/>
          <w:lang w:val="en-US"/>
        </w:rPr>
        <w:t>S</w:t>
      </w:r>
      <w:r w:rsidRPr="00472B27">
        <w:rPr>
          <w:sz w:val="22"/>
          <w:szCs w:val="22"/>
          <w:lang w:val="en-US"/>
        </w:rPr>
        <w:t>ince all familial relationships hold th</w:t>
      </w:r>
      <w:r>
        <w:rPr>
          <w:sz w:val="22"/>
          <w:szCs w:val="22"/>
          <w:lang w:val="en-US"/>
        </w:rPr>
        <w:t>is</w:t>
      </w:r>
      <w:r w:rsidRPr="00472B27">
        <w:rPr>
          <w:sz w:val="22"/>
          <w:szCs w:val="22"/>
          <w:lang w:val="en-US"/>
        </w:rPr>
        <w:t xml:space="preserve"> potential for abuse</w:t>
      </w:r>
      <w:r>
        <w:rPr>
          <w:sz w:val="22"/>
          <w:szCs w:val="22"/>
          <w:lang w:val="en-US"/>
        </w:rPr>
        <w:t>, and since caring relations can always be oppressive or have a dark side</w:t>
      </w:r>
      <w:r>
        <w:rPr>
          <w:rStyle w:val="EndnoteReference"/>
          <w:sz w:val="22"/>
          <w:szCs w:val="22"/>
          <w:lang w:val="en-US"/>
        </w:rPr>
        <w:endnoteReference w:id="104"/>
      </w:r>
      <w:r>
        <w:rPr>
          <w:sz w:val="22"/>
          <w:szCs w:val="22"/>
          <w:lang w:val="en-US"/>
        </w:rPr>
        <w:t xml:space="preserve"> these practical considerations are </w:t>
      </w:r>
      <w:r w:rsidRPr="00472B27">
        <w:rPr>
          <w:sz w:val="22"/>
          <w:szCs w:val="22"/>
          <w:lang w:val="en-US"/>
        </w:rPr>
        <w:t>an inadequate basis for</w:t>
      </w:r>
      <w:r>
        <w:rPr>
          <w:sz w:val="22"/>
          <w:szCs w:val="22"/>
          <w:lang w:val="en-US"/>
        </w:rPr>
        <w:t xml:space="preserve"> wholly</w:t>
      </w:r>
      <w:r w:rsidRPr="00472B27">
        <w:rPr>
          <w:sz w:val="22"/>
          <w:szCs w:val="22"/>
          <w:lang w:val="en-US"/>
        </w:rPr>
        <w:t xml:space="preserve"> excluding animals from the terrain of family.</w:t>
      </w:r>
      <w:r>
        <w:rPr>
          <w:sz w:val="22"/>
          <w:szCs w:val="22"/>
          <w:lang w:val="en-US"/>
        </w:rPr>
        <w:t xml:space="preserve"> As Rosie Harding has observed, we must always be attentive to “the potential for pathogenic vulnerability when relational contexts are not supportive of vulnerable people”,</w:t>
      </w:r>
      <w:r>
        <w:rPr>
          <w:rStyle w:val="EndnoteReference"/>
          <w:sz w:val="22"/>
          <w:szCs w:val="22"/>
          <w:lang w:val="en-US"/>
        </w:rPr>
        <w:endnoteReference w:id="105"/>
      </w:r>
      <w:r>
        <w:rPr>
          <w:sz w:val="22"/>
          <w:szCs w:val="22"/>
          <w:lang w:val="en-US"/>
        </w:rPr>
        <w:t xml:space="preserve"> or, we would add, animals. Hence, in our view vulnerability, with its emphasis on valuing relationships, offers a promising basis for articulating claims on behalf of groups, </w:t>
      </w:r>
      <w:r w:rsidRPr="00D71CE2">
        <w:rPr>
          <w:sz w:val="22"/>
          <w:szCs w:val="22"/>
          <w:lang w:val="en-US"/>
        </w:rPr>
        <w:t>including older people and animals</w:t>
      </w:r>
      <w:r>
        <w:rPr>
          <w:sz w:val="22"/>
          <w:szCs w:val="22"/>
          <w:lang w:val="en-US"/>
        </w:rPr>
        <w:t>,</w:t>
      </w:r>
      <w:r w:rsidRPr="00D71CE2">
        <w:rPr>
          <w:sz w:val="22"/>
          <w:szCs w:val="22"/>
          <w:lang w:val="en-US"/>
        </w:rPr>
        <w:t xml:space="preserve"> </w:t>
      </w:r>
      <w:r>
        <w:rPr>
          <w:sz w:val="22"/>
          <w:szCs w:val="22"/>
          <w:lang w:val="en-US"/>
        </w:rPr>
        <w:t>who have traditionally been marginalised by law for failure to conform to the autonomous liberal ideal.  A</w:t>
      </w:r>
      <w:r w:rsidRPr="003E57FB">
        <w:rPr>
          <w:sz w:val="22"/>
          <w:szCs w:val="22"/>
          <w:lang w:val="en-US"/>
        </w:rPr>
        <w:t>pproaches grounded in shared vulnerability and family membership</w:t>
      </w:r>
      <w:r>
        <w:rPr>
          <w:sz w:val="22"/>
          <w:szCs w:val="22"/>
          <w:lang w:val="en-US"/>
        </w:rPr>
        <w:t xml:space="preserve">, not only provide a basis for asserting human rights claims, </w:t>
      </w:r>
      <w:r w:rsidRPr="003E57FB">
        <w:rPr>
          <w:sz w:val="22"/>
          <w:szCs w:val="22"/>
          <w:lang w:val="en-US"/>
        </w:rPr>
        <w:t>but</w:t>
      </w:r>
      <w:r>
        <w:rPr>
          <w:sz w:val="22"/>
          <w:szCs w:val="22"/>
          <w:lang w:val="en-US"/>
        </w:rPr>
        <w:t xml:space="preserve"> serve to </w:t>
      </w:r>
      <w:r w:rsidRPr="003E57FB">
        <w:rPr>
          <w:sz w:val="22"/>
          <w:szCs w:val="22"/>
          <w:lang w:val="en-US"/>
        </w:rPr>
        <w:t xml:space="preserve">direct attention to common vulnerabilities </w:t>
      </w:r>
      <w:r>
        <w:rPr>
          <w:sz w:val="22"/>
          <w:szCs w:val="22"/>
          <w:lang w:val="en-US"/>
        </w:rPr>
        <w:t xml:space="preserve">that </w:t>
      </w:r>
      <w:r w:rsidRPr="003E57FB">
        <w:rPr>
          <w:sz w:val="22"/>
          <w:szCs w:val="22"/>
          <w:lang w:val="en-US"/>
        </w:rPr>
        <w:t>exist within our social structures and to our individual, collective and state responsibility for addressing them</w:t>
      </w:r>
      <w:r>
        <w:rPr>
          <w:sz w:val="22"/>
          <w:szCs w:val="22"/>
          <w:lang w:val="en-US"/>
        </w:rPr>
        <w:t>.</w:t>
      </w:r>
      <w:r>
        <w:rPr>
          <w:rStyle w:val="EndnoteReference"/>
          <w:sz w:val="22"/>
          <w:szCs w:val="22"/>
          <w:lang w:val="en-US"/>
        </w:rPr>
        <w:endnoteReference w:id="106"/>
      </w:r>
      <w:r w:rsidRPr="003E57FB">
        <w:rPr>
          <w:sz w:val="22"/>
          <w:szCs w:val="22"/>
          <w:lang w:val="en-US"/>
        </w:rPr>
        <w:t xml:space="preserve"> </w:t>
      </w:r>
      <w:r>
        <w:rPr>
          <w:sz w:val="22"/>
          <w:szCs w:val="22"/>
          <w:lang w:val="en-US"/>
        </w:rPr>
        <w:t>It is to this issue of state responsibility that we now turn.</w:t>
      </w:r>
    </w:p>
    <w:p w:rsidR="00785035" w:rsidRDefault="00785035" w:rsidP="00785035">
      <w:pPr>
        <w:spacing w:after="160" w:line="480" w:lineRule="auto"/>
        <w:rPr>
          <w:b/>
          <w:sz w:val="22"/>
          <w:szCs w:val="22"/>
          <w:lang w:val="en-US"/>
        </w:rPr>
      </w:pPr>
      <w:r w:rsidRPr="005D65EF">
        <w:rPr>
          <w:b/>
          <w:sz w:val="22"/>
          <w:szCs w:val="22"/>
          <w:lang w:val="en-US"/>
        </w:rPr>
        <w:t>L</w:t>
      </w:r>
      <w:r>
        <w:rPr>
          <w:b/>
          <w:sz w:val="22"/>
          <w:szCs w:val="22"/>
          <w:lang w:val="en-US"/>
        </w:rPr>
        <w:t>EGISLATING FOR LIMINAL SPACES</w:t>
      </w:r>
    </w:p>
    <w:p w:rsidR="00785035" w:rsidRPr="008E0618" w:rsidRDefault="00785035" w:rsidP="00785035">
      <w:pPr>
        <w:spacing w:after="160" w:line="480" w:lineRule="auto"/>
        <w:rPr>
          <w:sz w:val="22"/>
          <w:szCs w:val="22"/>
          <w:lang w:val="en-US"/>
        </w:rPr>
      </w:pPr>
      <w:r>
        <w:rPr>
          <w:sz w:val="22"/>
          <w:szCs w:val="22"/>
        </w:rPr>
        <w:t xml:space="preserve">To summarise, we have argued that animals should be understood as vulnerable legal subjects with a compelling claim to legal recognition as family members, given the reciprocal care-giving and companionship that characterises many relationships between humans and their animal companions. This opens up the possibility of human rights litigation as an avenue for redress for older persons forced to relinquish their animals. The importance of this relationship to the older person’s well-being entails that a failure on the part of care/nursing homes to accommodate it potentially breaches the right to family life protected under Article 8 and the Human Rights Act.  As we have argued, the Care Act 2014 can also be interpreted as requiring local authorities to take this relationship into account, while its significance to an incapacitated person may be a factor in assessing their best interests under the Mental Capacity Act 2005.  Yet, as we have seen, professionals managing the care and affairs of older people often fail to recognise the value to them of cross-species relationships. Moreover, vindicating these rights and entitlements obviously requires someone to have the necessary will and resources to take legal action. Arguably, therefore, an express statutory obligation setting out an </w:t>
      </w:r>
      <w:r>
        <w:rPr>
          <w:sz w:val="22"/>
          <w:szCs w:val="22"/>
        </w:rPr>
        <w:lastRenderedPageBreak/>
        <w:t xml:space="preserve">explicit form of redress may be necessary to </w:t>
      </w:r>
      <w:r w:rsidRPr="008E0618">
        <w:rPr>
          <w:sz w:val="22"/>
          <w:szCs w:val="22"/>
          <w:lang w:val="en-US"/>
        </w:rPr>
        <w:t>fill th</w:t>
      </w:r>
      <w:r>
        <w:rPr>
          <w:sz w:val="22"/>
          <w:szCs w:val="22"/>
          <w:lang w:val="en-US"/>
        </w:rPr>
        <w:t xml:space="preserve">e current </w:t>
      </w:r>
      <w:r w:rsidRPr="008E0618">
        <w:rPr>
          <w:sz w:val="22"/>
          <w:szCs w:val="22"/>
          <w:lang w:val="en-US"/>
        </w:rPr>
        <w:t xml:space="preserve">regulatory gap </w:t>
      </w:r>
      <w:r>
        <w:rPr>
          <w:sz w:val="22"/>
          <w:szCs w:val="22"/>
          <w:lang w:val="en-US"/>
        </w:rPr>
        <w:t xml:space="preserve">and </w:t>
      </w:r>
      <w:r>
        <w:rPr>
          <w:sz w:val="22"/>
          <w:szCs w:val="22"/>
        </w:rPr>
        <w:t>compel institutions to take their obligations seriously.  The argument in favour of legislation is reinforced by the commonplace nature of this issue. For instance</w:t>
      </w:r>
      <w:r>
        <w:rPr>
          <w:sz w:val="22"/>
          <w:szCs w:val="22"/>
          <w:lang w:val="en-US"/>
        </w:rPr>
        <w:t xml:space="preserve">, </w:t>
      </w:r>
      <w:r w:rsidRPr="008E0618">
        <w:rPr>
          <w:sz w:val="22"/>
          <w:szCs w:val="22"/>
          <w:lang w:val="en-US"/>
        </w:rPr>
        <w:t xml:space="preserve">Nigel Waterson </w:t>
      </w:r>
      <w:r>
        <w:rPr>
          <w:sz w:val="22"/>
          <w:szCs w:val="22"/>
          <w:lang w:val="en-US"/>
        </w:rPr>
        <w:t>(</w:t>
      </w:r>
      <w:r w:rsidRPr="008E0618">
        <w:rPr>
          <w:sz w:val="22"/>
          <w:szCs w:val="22"/>
          <w:lang w:val="en-US"/>
        </w:rPr>
        <w:t>then shadow Minister for Work and Pensions</w:t>
      </w:r>
      <w:r>
        <w:rPr>
          <w:sz w:val="22"/>
          <w:szCs w:val="22"/>
          <w:lang w:val="en-US"/>
        </w:rPr>
        <w:t>)</w:t>
      </w:r>
      <w:r w:rsidRPr="008E0618">
        <w:rPr>
          <w:sz w:val="22"/>
          <w:szCs w:val="22"/>
          <w:lang w:val="en-US"/>
        </w:rPr>
        <w:t xml:space="preserve"> </w:t>
      </w:r>
      <w:r>
        <w:rPr>
          <w:sz w:val="22"/>
          <w:szCs w:val="22"/>
          <w:lang w:val="en-US"/>
        </w:rPr>
        <w:t xml:space="preserve">noted when </w:t>
      </w:r>
      <w:r w:rsidRPr="008E0618">
        <w:rPr>
          <w:sz w:val="22"/>
          <w:szCs w:val="22"/>
          <w:lang w:val="en-US"/>
        </w:rPr>
        <w:t>introduc</w:t>
      </w:r>
      <w:r>
        <w:rPr>
          <w:sz w:val="22"/>
          <w:szCs w:val="22"/>
          <w:lang w:val="en-US"/>
        </w:rPr>
        <w:t>ing</w:t>
      </w:r>
      <w:r w:rsidRPr="008E0618">
        <w:rPr>
          <w:sz w:val="22"/>
          <w:szCs w:val="22"/>
          <w:lang w:val="en-US"/>
        </w:rPr>
        <w:t xml:space="preserve"> a private member</w:t>
      </w:r>
      <w:r>
        <w:rPr>
          <w:sz w:val="22"/>
          <w:szCs w:val="22"/>
          <w:lang w:val="en-US"/>
        </w:rPr>
        <w:t>’</w:t>
      </w:r>
      <w:r w:rsidRPr="008E0618">
        <w:rPr>
          <w:sz w:val="22"/>
          <w:szCs w:val="22"/>
          <w:lang w:val="en-US"/>
        </w:rPr>
        <w:t xml:space="preserve">s </w:t>
      </w:r>
      <w:r>
        <w:rPr>
          <w:sz w:val="22"/>
          <w:szCs w:val="22"/>
          <w:lang w:val="en-US"/>
        </w:rPr>
        <w:t>(</w:t>
      </w:r>
      <w:r w:rsidRPr="008E0618">
        <w:rPr>
          <w:sz w:val="22"/>
          <w:szCs w:val="22"/>
          <w:lang w:val="en-US"/>
        </w:rPr>
        <w:t>Care Homes and Sheltered Accommodation (Domestic Pets)</w:t>
      </w:r>
      <w:r>
        <w:rPr>
          <w:sz w:val="22"/>
          <w:szCs w:val="22"/>
          <w:lang w:val="en-US"/>
        </w:rPr>
        <w:t>)</w:t>
      </w:r>
      <w:r w:rsidRPr="008E0618">
        <w:rPr>
          <w:sz w:val="22"/>
          <w:szCs w:val="22"/>
          <w:lang w:val="en-US"/>
        </w:rPr>
        <w:t xml:space="preserve"> Bill to the House of Commons in 2009-10</w:t>
      </w:r>
      <w:r>
        <w:rPr>
          <w:sz w:val="22"/>
          <w:szCs w:val="22"/>
          <w:lang w:val="en-US"/>
        </w:rPr>
        <w:t>:</w:t>
      </w:r>
    </w:p>
    <w:p w:rsidR="00785035" w:rsidRDefault="00785035" w:rsidP="00785035">
      <w:pPr>
        <w:spacing w:after="160" w:line="480" w:lineRule="auto"/>
        <w:ind w:left="720"/>
        <w:rPr>
          <w:sz w:val="22"/>
          <w:szCs w:val="22"/>
          <w:lang w:val="en-US"/>
        </w:rPr>
      </w:pPr>
      <w:r w:rsidRPr="008E0618">
        <w:rPr>
          <w:sz w:val="22"/>
          <w:szCs w:val="22"/>
          <w:lang w:val="en-US"/>
        </w:rPr>
        <w:t>‘It is a staggering and depressing fact that about 38,000 healthy animals are put down every year simply because their owners are going into a care home or sheltered housing project and the rules do not allow them to take their pet with them. That is bad enough, but it is also estimated that a further 100,000 pets have to be given up for adoption for the same reason. Many become so distressed because of being abandoned by their owners that they eventually have to be put down. That is totally unacceptable in a civilised country’ (</w:t>
      </w:r>
      <w:r w:rsidRPr="008E0618">
        <w:rPr>
          <w:sz w:val="22"/>
          <w:szCs w:val="22"/>
        </w:rPr>
        <w:t>HC Deb, 5 March 2010, c 1167)</w:t>
      </w:r>
      <w:r w:rsidRPr="008E0618">
        <w:rPr>
          <w:sz w:val="22"/>
          <w:szCs w:val="22"/>
          <w:lang w:val="en-US"/>
        </w:rPr>
        <w:t>.</w:t>
      </w:r>
    </w:p>
    <w:p w:rsidR="00785035" w:rsidRDefault="00785035" w:rsidP="00785035">
      <w:pPr>
        <w:spacing w:after="160" w:line="480" w:lineRule="auto"/>
        <w:rPr>
          <w:sz w:val="22"/>
          <w:szCs w:val="22"/>
          <w:lang w:val="en-US"/>
        </w:rPr>
      </w:pPr>
      <w:r w:rsidRPr="00CE3DF1">
        <w:rPr>
          <w:sz w:val="22"/>
          <w:szCs w:val="22"/>
          <w:lang w:val="en-US"/>
        </w:rPr>
        <w:t xml:space="preserve">If enacted, </w:t>
      </w:r>
      <w:r>
        <w:rPr>
          <w:sz w:val="22"/>
          <w:szCs w:val="22"/>
          <w:lang w:val="en-US"/>
        </w:rPr>
        <w:t>Waterson’s bill</w:t>
      </w:r>
      <w:r w:rsidRPr="00CE3DF1">
        <w:rPr>
          <w:sz w:val="22"/>
          <w:szCs w:val="22"/>
          <w:lang w:val="en-US"/>
        </w:rPr>
        <w:t xml:space="preserve"> would have </w:t>
      </w:r>
      <w:r>
        <w:rPr>
          <w:sz w:val="22"/>
          <w:szCs w:val="22"/>
          <w:lang w:val="en-US"/>
        </w:rPr>
        <w:t>stipulated</w:t>
      </w:r>
      <w:r w:rsidRPr="00CE3DF1">
        <w:rPr>
          <w:sz w:val="22"/>
          <w:szCs w:val="22"/>
          <w:lang w:val="en-US"/>
        </w:rPr>
        <w:t xml:space="preserve"> that ‘Operators of a care home or sheltered accommodation must [subject to certain exceptions] grant permission to a resident to keep an authorised domestic pet within their accommodation’</w:t>
      </w:r>
      <w:r>
        <w:rPr>
          <w:sz w:val="22"/>
          <w:szCs w:val="22"/>
          <w:lang w:val="en-US"/>
        </w:rPr>
        <w:t xml:space="preserve">. </w:t>
      </w:r>
      <w:r w:rsidRPr="00C73001">
        <w:rPr>
          <w:sz w:val="22"/>
          <w:szCs w:val="22"/>
          <w:lang w:val="en-US"/>
        </w:rPr>
        <w:t xml:space="preserve">Rook </w:t>
      </w:r>
      <w:r>
        <w:rPr>
          <w:sz w:val="22"/>
          <w:szCs w:val="22"/>
          <w:lang w:val="en-US"/>
        </w:rPr>
        <w:t>contend</w:t>
      </w:r>
      <w:r w:rsidRPr="00C73001">
        <w:rPr>
          <w:sz w:val="22"/>
          <w:szCs w:val="22"/>
          <w:lang w:val="en-US"/>
        </w:rPr>
        <w:t>s that the positive</w:t>
      </w:r>
      <w:r>
        <w:rPr>
          <w:sz w:val="22"/>
          <w:szCs w:val="22"/>
          <w:lang w:val="en-US"/>
        </w:rPr>
        <w:t xml:space="preserve"> Parliamentary</w:t>
      </w:r>
      <w:r w:rsidRPr="00C73001">
        <w:rPr>
          <w:sz w:val="22"/>
          <w:szCs w:val="22"/>
          <w:lang w:val="en-US"/>
        </w:rPr>
        <w:t xml:space="preserve"> reception accorded to Waterson’s bill and earlier </w:t>
      </w:r>
      <w:r>
        <w:rPr>
          <w:sz w:val="22"/>
          <w:szCs w:val="22"/>
          <w:lang w:val="en-US"/>
        </w:rPr>
        <w:t>initiatives</w:t>
      </w:r>
      <w:r w:rsidRPr="00C73001">
        <w:rPr>
          <w:sz w:val="22"/>
          <w:szCs w:val="22"/>
          <w:lang w:val="en-US"/>
        </w:rPr>
        <w:t xml:space="preserve"> demonstrates ‘strong support in England for legislation to allow the elderly to take their companion animals into care homes and sheltered accommodation based on the health benefits that pets provide’.  </w:t>
      </w:r>
      <w:r>
        <w:rPr>
          <w:sz w:val="22"/>
          <w:szCs w:val="22"/>
          <w:lang w:val="en-US"/>
        </w:rPr>
        <w:t>In her view</w:t>
      </w:r>
      <w:r w:rsidRPr="00C73001">
        <w:rPr>
          <w:sz w:val="22"/>
          <w:szCs w:val="22"/>
          <w:lang w:val="en-US"/>
        </w:rPr>
        <w:t xml:space="preserve"> </w:t>
      </w:r>
      <w:r>
        <w:rPr>
          <w:sz w:val="22"/>
          <w:szCs w:val="22"/>
          <w:lang w:val="en-US"/>
        </w:rPr>
        <w:t>‘</w:t>
      </w:r>
      <w:r w:rsidRPr="00C73001">
        <w:rPr>
          <w:sz w:val="22"/>
          <w:szCs w:val="22"/>
          <w:lang w:val="en-US"/>
        </w:rPr>
        <w:t>legislation prohibiting ‘no pet’ clauses in all residential leases is both possible and relatively easy to implement</w:t>
      </w:r>
      <w:r>
        <w:rPr>
          <w:sz w:val="22"/>
          <w:szCs w:val="22"/>
          <w:lang w:val="en-US"/>
        </w:rPr>
        <w:t>’</w:t>
      </w:r>
      <w:r w:rsidRPr="00C73001">
        <w:rPr>
          <w:sz w:val="22"/>
          <w:szCs w:val="22"/>
          <w:lang w:val="en-US"/>
        </w:rPr>
        <w:t>.</w:t>
      </w:r>
      <w:r>
        <w:rPr>
          <w:rStyle w:val="EndnoteReference"/>
          <w:sz w:val="22"/>
          <w:szCs w:val="22"/>
          <w:lang w:val="en-US"/>
        </w:rPr>
        <w:endnoteReference w:id="107"/>
      </w:r>
      <w:r>
        <w:rPr>
          <w:sz w:val="22"/>
          <w:szCs w:val="22"/>
          <w:lang w:val="en-US"/>
        </w:rPr>
        <w:t xml:space="preserve"> </w:t>
      </w:r>
      <w:r w:rsidRPr="00C73001">
        <w:rPr>
          <w:sz w:val="22"/>
          <w:szCs w:val="22"/>
          <w:lang w:val="en-US"/>
        </w:rPr>
        <w:t>In practice,</w:t>
      </w:r>
      <w:r>
        <w:rPr>
          <w:sz w:val="22"/>
          <w:szCs w:val="22"/>
          <w:lang w:val="en-US"/>
        </w:rPr>
        <w:t xml:space="preserve"> we believe that </w:t>
      </w:r>
      <w:r w:rsidRPr="00C73001">
        <w:rPr>
          <w:sz w:val="22"/>
          <w:szCs w:val="22"/>
          <w:lang w:val="en-US"/>
        </w:rPr>
        <w:t xml:space="preserve">such </w:t>
      </w:r>
      <w:r>
        <w:rPr>
          <w:sz w:val="22"/>
          <w:szCs w:val="22"/>
          <w:lang w:val="en-US"/>
        </w:rPr>
        <w:t>initiatives</w:t>
      </w:r>
      <w:r w:rsidRPr="00C73001">
        <w:rPr>
          <w:sz w:val="22"/>
          <w:szCs w:val="22"/>
          <w:lang w:val="en-US"/>
        </w:rPr>
        <w:t xml:space="preserve"> are likely to be plagued by considerably greater definitional, practical and enforc</w:t>
      </w:r>
      <w:r>
        <w:rPr>
          <w:sz w:val="22"/>
          <w:szCs w:val="22"/>
          <w:lang w:val="en-US"/>
        </w:rPr>
        <w:t>eability</w:t>
      </w:r>
      <w:r w:rsidRPr="00C73001">
        <w:rPr>
          <w:sz w:val="22"/>
          <w:szCs w:val="22"/>
          <w:lang w:val="en-US"/>
        </w:rPr>
        <w:t xml:space="preserve"> difficulties than Rook allows. Defining what constitutes a</w:t>
      </w:r>
      <w:r>
        <w:rPr>
          <w:sz w:val="22"/>
          <w:szCs w:val="22"/>
          <w:lang w:val="en-US"/>
        </w:rPr>
        <w:t>n</w:t>
      </w:r>
      <w:r w:rsidRPr="00C73001">
        <w:rPr>
          <w:sz w:val="22"/>
          <w:szCs w:val="22"/>
          <w:lang w:val="en-US"/>
        </w:rPr>
        <w:t xml:space="preserve"> ‘</w:t>
      </w:r>
      <w:r>
        <w:rPr>
          <w:sz w:val="22"/>
          <w:szCs w:val="22"/>
          <w:lang w:val="en-US"/>
        </w:rPr>
        <w:t xml:space="preserve">authorised </w:t>
      </w:r>
      <w:r w:rsidRPr="00C73001">
        <w:rPr>
          <w:sz w:val="22"/>
          <w:szCs w:val="22"/>
          <w:lang w:val="en-US"/>
        </w:rPr>
        <w:t>domestic pet’ is unlikely to be easy, let alone framing exceptions to this general rule.</w:t>
      </w:r>
      <w:r>
        <w:rPr>
          <w:sz w:val="22"/>
          <w:szCs w:val="22"/>
          <w:lang w:val="en-US"/>
        </w:rPr>
        <w:t xml:space="preserve"> Balancing</w:t>
      </w:r>
      <w:r w:rsidRPr="00C73001">
        <w:rPr>
          <w:sz w:val="22"/>
          <w:szCs w:val="22"/>
          <w:lang w:val="en-US"/>
        </w:rPr>
        <w:t xml:space="preserve"> the competing </w:t>
      </w:r>
      <w:r>
        <w:rPr>
          <w:sz w:val="22"/>
          <w:szCs w:val="22"/>
          <w:lang w:val="en-US"/>
        </w:rPr>
        <w:t xml:space="preserve">human </w:t>
      </w:r>
      <w:r w:rsidRPr="00C73001">
        <w:rPr>
          <w:sz w:val="22"/>
          <w:szCs w:val="22"/>
          <w:lang w:val="en-US"/>
        </w:rPr>
        <w:t>interests involved</w:t>
      </w:r>
      <w:r>
        <w:rPr>
          <w:sz w:val="22"/>
          <w:szCs w:val="22"/>
          <w:lang w:val="en-US"/>
        </w:rPr>
        <w:t xml:space="preserve"> can be tricky. For instance, </w:t>
      </w:r>
      <w:r w:rsidRPr="002E697E">
        <w:rPr>
          <w:sz w:val="22"/>
          <w:szCs w:val="22"/>
        </w:rPr>
        <w:t xml:space="preserve">enabling more companion animals to enter care homes </w:t>
      </w:r>
      <w:r>
        <w:rPr>
          <w:sz w:val="22"/>
          <w:szCs w:val="22"/>
        </w:rPr>
        <w:t xml:space="preserve">has the potential to </w:t>
      </w:r>
      <w:r w:rsidRPr="002E697E">
        <w:rPr>
          <w:sz w:val="22"/>
          <w:szCs w:val="22"/>
        </w:rPr>
        <w:t xml:space="preserve">create a disparity between </w:t>
      </w:r>
      <w:r>
        <w:rPr>
          <w:sz w:val="22"/>
          <w:szCs w:val="22"/>
        </w:rPr>
        <w:t xml:space="preserve">the </w:t>
      </w:r>
      <w:r w:rsidRPr="002E697E">
        <w:rPr>
          <w:sz w:val="22"/>
          <w:szCs w:val="22"/>
        </w:rPr>
        <w:t xml:space="preserve">affluent elderly and those with </w:t>
      </w:r>
      <w:r>
        <w:rPr>
          <w:sz w:val="22"/>
          <w:szCs w:val="22"/>
        </w:rPr>
        <w:t>fewer</w:t>
      </w:r>
      <w:r w:rsidRPr="002E697E">
        <w:rPr>
          <w:sz w:val="22"/>
          <w:szCs w:val="22"/>
        </w:rPr>
        <w:t xml:space="preserve"> means</w:t>
      </w:r>
      <w:r>
        <w:rPr>
          <w:sz w:val="22"/>
          <w:szCs w:val="22"/>
        </w:rPr>
        <w:t xml:space="preserve">. This raises the issue of whether the </w:t>
      </w:r>
      <w:r w:rsidRPr="002E697E">
        <w:rPr>
          <w:sz w:val="22"/>
          <w:szCs w:val="22"/>
        </w:rPr>
        <w:t>cost</w:t>
      </w:r>
      <w:r>
        <w:rPr>
          <w:sz w:val="22"/>
          <w:szCs w:val="22"/>
        </w:rPr>
        <w:t>s of accommodating animals</w:t>
      </w:r>
      <w:r w:rsidRPr="002E697E">
        <w:rPr>
          <w:sz w:val="22"/>
          <w:szCs w:val="22"/>
        </w:rPr>
        <w:t xml:space="preserve"> </w:t>
      </w:r>
      <w:r>
        <w:rPr>
          <w:sz w:val="22"/>
          <w:szCs w:val="22"/>
        </w:rPr>
        <w:t>could be borne</w:t>
      </w:r>
      <w:r w:rsidRPr="002E697E">
        <w:rPr>
          <w:sz w:val="22"/>
          <w:szCs w:val="22"/>
        </w:rPr>
        <w:t xml:space="preserve"> </w:t>
      </w:r>
      <w:r>
        <w:rPr>
          <w:sz w:val="22"/>
          <w:szCs w:val="22"/>
        </w:rPr>
        <w:t xml:space="preserve">by </w:t>
      </w:r>
      <w:r w:rsidRPr="002E697E">
        <w:rPr>
          <w:sz w:val="22"/>
          <w:szCs w:val="22"/>
        </w:rPr>
        <w:t>the state</w:t>
      </w:r>
      <w:r>
        <w:rPr>
          <w:sz w:val="22"/>
          <w:szCs w:val="22"/>
        </w:rPr>
        <w:t xml:space="preserve">. Even against a backdrop of the current crisis in social care, such a policy may be justifiable on cost grounds given the potential </w:t>
      </w:r>
      <w:r w:rsidRPr="002E697E">
        <w:rPr>
          <w:sz w:val="22"/>
          <w:szCs w:val="22"/>
        </w:rPr>
        <w:t xml:space="preserve">economic health benefits </w:t>
      </w:r>
      <w:r>
        <w:rPr>
          <w:sz w:val="22"/>
          <w:szCs w:val="22"/>
        </w:rPr>
        <w:t xml:space="preserve">to older people </w:t>
      </w:r>
      <w:r w:rsidRPr="002E697E">
        <w:rPr>
          <w:sz w:val="22"/>
          <w:szCs w:val="22"/>
        </w:rPr>
        <w:t xml:space="preserve">of </w:t>
      </w:r>
      <w:r>
        <w:rPr>
          <w:sz w:val="22"/>
          <w:szCs w:val="22"/>
        </w:rPr>
        <w:t>animal companion</w:t>
      </w:r>
      <w:r w:rsidRPr="002E697E">
        <w:rPr>
          <w:sz w:val="22"/>
          <w:szCs w:val="22"/>
        </w:rPr>
        <w:t>ship</w:t>
      </w:r>
      <w:r>
        <w:rPr>
          <w:sz w:val="22"/>
          <w:szCs w:val="22"/>
        </w:rPr>
        <w:t xml:space="preserve"> </w:t>
      </w:r>
      <w:r>
        <w:rPr>
          <w:sz w:val="22"/>
          <w:szCs w:val="22"/>
        </w:rPr>
        <w:lastRenderedPageBreak/>
        <w:t>or therapy.</w:t>
      </w:r>
      <w:r>
        <w:rPr>
          <w:rStyle w:val="EndnoteReference"/>
          <w:sz w:val="22"/>
          <w:szCs w:val="22"/>
        </w:rPr>
        <w:endnoteReference w:id="108"/>
      </w:r>
      <w:r>
        <w:rPr>
          <w:sz w:val="22"/>
          <w:szCs w:val="22"/>
        </w:rPr>
        <w:t xml:space="preserve">  In addition to these tricky a</w:t>
      </w:r>
      <w:r w:rsidRPr="0033171B">
        <w:rPr>
          <w:sz w:val="22"/>
          <w:szCs w:val="22"/>
          <w:lang w:val="en-US"/>
        </w:rPr>
        <w:t>ssessments of</w:t>
      </w:r>
      <w:r>
        <w:rPr>
          <w:sz w:val="22"/>
          <w:szCs w:val="22"/>
          <w:lang w:val="en-US"/>
        </w:rPr>
        <w:t xml:space="preserve"> the competing interests of</w:t>
      </w:r>
      <w:r w:rsidRPr="00BF41B6">
        <w:rPr>
          <w:sz w:val="22"/>
          <w:szCs w:val="22"/>
          <w:lang w:val="en-US"/>
        </w:rPr>
        <w:t xml:space="preserve"> human residents and carers</w:t>
      </w:r>
      <w:r>
        <w:rPr>
          <w:sz w:val="22"/>
          <w:szCs w:val="22"/>
          <w:lang w:val="en-US"/>
        </w:rPr>
        <w:t>,</w:t>
      </w:r>
      <w:r w:rsidRPr="0033171B">
        <w:rPr>
          <w:sz w:val="22"/>
          <w:szCs w:val="22"/>
          <w:lang w:val="en-US"/>
        </w:rPr>
        <w:t xml:space="preserve"> the welfare implications of confining animals in care settings </w:t>
      </w:r>
      <w:r>
        <w:rPr>
          <w:sz w:val="22"/>
          <w:szCs w:val="22"/>
          <w:lang w:val="en-US"/>
        </w:rPr>
        <w:t>may prove</w:t>
      </w:r>
      <w:r w:rsidRPr="0033171B">
        <w:rPr>
          <w:sz w:val="22"/>
          <w:szCs w:val="22"/>
          <w:lang w:val="en-US"/>
        </w:rPr>
        <w:t xml:space="preserve"> still more difficult</w:t>
      </w:r>
      <w:r>
        <w:rPr>
          <w:sz w:val="22"/>
          <w:szCs w:val="22"/>
          <w:lang w:val="en-US"/>
        </w:rPr>
        <w:t xml:space="preserve"> to quantify.  A bill along Waterson’s lines is therefore likely to be prove simplistic for these purposes, even though its promulgation and the support it attracted was symbolically important. </w:t>
      </w:r>
    </w:p>
    <w:p w:rsidR="00785035" w:rsidRDefault="00785035" w:rsidP="00785035">
      <w:pPr>
        <w:spacing w:line="480" w:lineRule="auto"/>
        <w:rPr>
          <w:sz w:val="22"/>
          <w:szCs w:val="22"/>
          <w:lang w:val="en-US"/>
        </w:rPr>
      </w:pPr>
    </w:p>
    <w:p w:rsidR="00785035" w:rsidRDefault="00785035" w:rsidP="00785035">
      <w:pPr>
        <w:spacing w:line="480" w:lineRule="auto"/>
        <w:rPr>
          <w:sz w:val="22"/>
          <w:szCs w:val="22"/>
        </w:rPr>
      </w:pPr>
      <w:r>
        <w:rPr>
          <w:sz w:val="22"/>
          <w:szCs w:val="22"/>
          <w:lang w:val="en-US"/>
        </w:rPr>
        <w:t>We would argue, then, that</w:t>
      </w:r>
      <w:r w:rsidRPr="008D58B2">
        <w:rPr>
          <w:sz w:val="22"/>
          <w:szCs w:val="22"/>
          <w:lang w:val="en-US"/>
        </w:rPr>
        <w:t xml:space="preserve"> a more sophisticated</w:t>
      </w:r>
      <w:r>
        <w:rPr>
          <w:sz w:val="22"/>
          <w:szCs w:val="22"/>
          <w:lang w:val="en-US"/>
        </w:rPr>
        <w:t xml:space="preserve"> and reflective</w:t>
      </w:r>
      <w:r w:rsidRPr="008D58B2">
        <w:rPr>
          <w:sz w:val="22"/>
          <w:szCs w:val="22"/>
          <w:lang w:val="en-US"/>
        </w:rPr>
        <w:t xml:space="preserve"> approach</w:t>
      </w:r>
      <w:r>
        <w:rPr>
          <w:sz w:val="22"/>
          <w:szCs w:val="22"/>
          <w:lang w:val="en-US"/>
        </w:rPr>
        <w:t xml:space="preserve"> to regulation will be needed.  For one thing, legislation must </w:t>
      </w:r>
      <w:r w:rsidRPr="00E12EF5">
        <w:rPr>
          <w:sz w:val="22"/>
          <w:szCs w:val="22"/>
          <w:lang w:val="en-US"/>
        </w:rPr>
        <w:t xml:space="preserve">outline legal remedies and enforcement mechanisms which </w:t>
      </w:r>
      <w:r>
        <w:rPr>
          <w:sz w:val="22"/>
          <w:szCs w:val="22"/>
          <w:lang w:val="en-US"/>
        </w:rPr>
        <w:t>we</w:t>
      </w:r>
      <w:r w:rsidRPr="00E12EF5">
        <w:rPr>
          <w:sz w:val="22"/>
          <w:szCs w:val="22"/>
          <w:lang w:val="en-US"/>
        </w:rPr>
        <w:t>re wholly absent from the Waterson bill</w:t>
      </w:r>
      <w:r>
        <w:rPr>
          <w:sz w:val="22"/>
          <w:szCs w:val="22"/>
          <w:lang w:val="en-US"/>
        </w:rPr>
        <w:t>.</w:t>
      </w:r>
      <w:r w:rsidRPr="00E12EF5">
        <w:rPr>
          <w:sz w:val="22"/>
          <w:szCs w:val="22"/>
          <w:lang w:val="en-US"/>
        </w:rPr>
        <w:t xml:space="preserve"> </w:t>
      </w:r>
      <w:r>
        <w:rPr>
          <w:sz w:val="22"/>
          <w:szCs w:val="22"/>
          <w:lang w:val="en-US"/>
        </w:rPr>
        <w:t>It would also need to be f</w:t>
      </w:r>
      <w:r w:rsidRPr="003E73CE">
        <w:rPr>
          <w:sz w:val="22"/>
          <w:szCs w:val="22"/>
          <w:lang w:val="en-US"/>
        </w:rPr>
        <w:t>irmly anchored in human rights norms</w:t>
      </w:r>
      <w:r>
        <w:rPr>
          <w:sz w:val="22"/>
          <w:szCs w:val="22"/>
          <w:lang w:val="en-US"/>
        </w:rPr>
        <w:t xml:space="preserve"> and </w:t>
      </w:r>
      <w:r w:rsidRPr="00E12EF5">
        <w:rPr>
          <w:sz w:val="22"/>
          <w:szCs w:val="22"/>
          <w:lang w:val="en-US"/>
        </w:rPr>
        <w:t>properly informed by input from relevant actors</w:t>
      </w:r>
      <w:r>
        <w:rPr>
          <w:sz w:val="22"/>
          <w:szCs w:val="22"/>
          <w:lang w:val="en-US"/>
        </w:rPr>
        <w:t>. To this end, a proper consultation process would be necessary, since statutory</w:t>
      </w:r>
      <w:r w:rsidRPr="00407457">
        <w:rPr>
          <w:sz w:val="22"/>
          <w:szCs w:val="22"/>
          <w:lang w:val="en-US"/>
        </w:rPr>
        <w:t xml:space="preserve"> </w:t>
      </w:r>
      <w:r>
        <w:rPr>
          <w:sz w:val="22"/>
          <w:szCs w:val="22"/>
          <w:lang w:val="en-US"/>
        </w:rPr>
        <w:t>reform</w:t>
      </w:r>
      <w:r w:rsidRPr="00407457">
        <w:rPr>
          <w:sz w:val="22"/>
          <w:szCs w:val="22"/>
          <w:lang w:val="en-US"/>
        </w:rPr>
        <w:t xml:space="preserve"> </w:t>
      </w:r>
      <w:r>
        <w:rPr>
          <w:sz w:val="22"/>
          <w:szCs w:val="22"/>
          <w:lang w:val="en-US"/>
        </w:rPr>
        <w:t>is</w:t>
      </w:r>
      <w:r w:rsidRPr="00407457">
        <w:rPr>
          <w:sz w:val="22"/>
          <w:szCs w:val="22"/>
          <w:lang w:val="en-US"/>
        </w:rPr>
        <w:t xml:space="preserve"> likely to encounter </w:t>
      </w:r>
      <w:r>
        <w:rPr>
          <w:sz w:val="22"/>
          <w:szCs w:val="22"/>
          <w:lang w:val="en-US"/>
        </w:rPr>
        <w:t>resistance</w:t>
      </w:r>
      <w:r w:rsidRPr="00407457">
        <w:rPr>
          <w:sz w:val="22"/>
          <w:szCs w:val="22"/>
          <w:lang w:val="en-US"/>
        </w:rPr>
        <w:t xml:space="preserve"> from within the sector</w:t>
      </w:r>
      <w:r>
        <w:rPr>
          <w:sz w:val="22"/>
          <w:szCs w:val="22"/>
          <w:lang w:val="en-US"/>
        </w:rPr>
        <w:t>. S</w:t>
      </w:r>
      <w:r w:rsidRPr="00407457">
        <w:rPr>
          <w:sz w:val="22"/>
          <w:szCs w:val="22"/>
          <w:lang w:val="en-US"/>
        </w:rPr>
        <w:t xml:space="preserve">takeholders </w:t>
      </w:r>
      <w:r>
        <w:rPr>
          <w:sz w:val="22"/>
          <w:szCs w:val="22"/>
          <w:lang w:val="en-US"/>
        </w:rPr>
        <w:t xml:space="preserve">are </w:t>
      </w:r>
      <w:r w:rsidRPr="00407457">
        <w:rPr>
          <w:sz w:val="22"/>
          <w:szCs w:val="22"/>
          <w:lang w:val="en-US"/>
        </w:rPr>
        <w:t>seemingly prepared to accept</w:t>
      </w:r>
      <w:r>
        <w:rPr>
          <w:sz w:val="22"/>
          <w:szCs w:val="22"/>
          <w:lang w:val="en-US"/>
        </w:rPr>
        <w:t xml:space="preserve"> that they have obligations in this context, but are wary of legal regulation. According to Randall Smith et al, </w:t>
      </w:r>
      <w:r w:rsidRPr="00407457">
        <w:rPr>
          <w:sz w:val="22"/>
          <w:szCs w:val="22"/>
          <w:lang w:val="en-US"/>
        </w:rPr>
        <w:t>‘care home owners should be expected to have an explicit policy in regard to the keeping of companion animals, but one that is not dictated by law</w:t>
      </w:r>
      <w:r>
        <w:rPr>
          <w:sz w:val="22"/>
          <w:szCs w:val="22"/>
          <w:lang w:val="en-US"/>
        </w:rPr>
        <w:t>’.</w:t>
      </w:r>
      <w:r>
        <w:rPr>
          <w:rStyle w:val="EndnoteReference"/>
          <w:sz w:val="22"/>
          <w:szCs w:val="22"/>
          <w:lang w:val="en-US"/>
        </w:rPr>
        <w:endnoteReference w:id="109"/>
      </w:r>
      <w:r w:rsidRPr="00407457">
        <w:rPr>
          <w:sz w:val="22"/>
          <w:szCs w:val="22"/>
          <w:lang w:val="en-US"/>
        </w:rPr>
        <w:t xml:space="preserve"> </w:t>
      </w:r>
      <w:r>
        <w:rPr>
          <w:sz w:val="22"/>
          <w:szCs w:val="22"/>
          <w:lang w:val="en-US"/>
        </w:rPr>
        <w:t>Given the often knee-jerk and top-down form of legal interventions, such</w:t>
      </w:r>
      <w:r w:rsidRPr="005D65EF">
        <w:rPr>
          <w:sz w:val="22"/>
          <w:szCs w:val="22"/>
          <w:lang w:val="en-US"/>
        </w:rPr>
        <w:t xml:space="preserve"> hostility</w:t>
      </w:r>
      <w:r>
        <w:rPr>
          <w:sz w:val="22"/>
          <w:szCs w:val="22"/>
          <w:lang w:val="en-US"/>
        </w:rPr>
        <w:t xml:space="preserve"> </w:t>
      </w:r>
      <w:r w:rsidRPr="005D65EF">
        <w:rPr>
          <w:sz w:val="22"/>
          <w:szCs w:val="22"/>
          <w:lang w:val="en-US"/>
        </w:rPr>
        <w:t xml:space="preserve">is </w:t>
      </w:r>
      <w:r>
        <w:rPr>
          <w:sz w:val="22"/>
          <w:szCs w:val="22"/>
          <w:lang w:val="en-US"/>
        </w:rPr>
        <w:t>excusa</w:t>
      </w:r>
      <w:r w:rsidRPr="005D65EF">
        <w:rPr>
          <w:sz w:val="22"/>
          <w:szCs w:val="22"/>
          <w:lang w:val="en-US"/>
        </w:rPr>
        <w:t>ble</w:t>
      </w:r>
      <w:r>
        <w:rPr>
          <w:sz w:val="22"/>
          <w:szCs w:val="22"/>
          <w:lang w:val="en-US"/>
        </w:rPr>
        <w:t>.</w:t>
      </w:r>
      <w:r w:rsidRPr="005D65EF">
        <w:rPr>
          <w:sz w:val="22"/>
          <w:szCs w:val="22"/>
          <w:lang w:val="en-US"/>
        </w:rPr>
        <w:t xml:space="preserve"> As Laurie </w:t>
      </w:r>
      <w:r>
        <w:rPr>
          <w:sz w:val="22"/>
          <w:szCs w:val="22"/>
          <w:lang w:val="en-US"/>
        </w:rPr>
        <w:t xml:space="preserve">and colleagues </w:t>
      </w:r>
      <w:r w:rsidRPr="005D65EF">
        <w:rPr>
          <w:sz w:val="22"/>
          <w:szCs w:val="22"/>
          <w:lang w:val="en-US"/>
        </w:rPr>
        <w:t xml:space="preserve">note, the </w:t>
      </w:r>
      <w:r>
        <w:rPr>
          <w:sz w:val="22"/>
          <w:szCs w:val="22"/>
          <w:lang w:val="en-US"/>
        </w:rPr>
        <w:t>prevalent</w:t>
      </w:r>
      <w:r w:rsidRPr="005D65EF">
        <w:rPr>
          <w:sz w:val="22"/>
          <w:szCs w:val="22"/>
          <w:lang w:val="en-US"/>
        </w:rPr>
        <w:t xml:space="preserve"> form of health governance </w:t>
      </w:r>
      <w:r>
        <w:rPr>
          <w:sz w:val="22"/>
          <w:szCs w:val="22"/>
          <w:lang w:val="en-US"/>
        </w:rPr>
        <w:t>is a</w:t>
      </w:r>
      <w:r w:rsidRPr="005D65EF">
        <w:rPr>
          <w:sz w:val="22"/>
          <w:szCs w:val="22"/>
          <w:lang w:val="en-US"/>
        </w:rPr>
        <w:t xml:space="preserve"> top</w:t>
      </w:r>
      <w:r>
        <w:rPr>
          <w:sz w:val="22"/>
          <w:szCs w:val="22"/>
          <w:lang w:val="en-US"/>
        </w:rPr>
        <w:t>-</w:t>
      </w:r>
      <w:r w:rsidRPr="005D65EF">
        <w:rPr>
          <w:sz w:val="22"/>
          <w:szCs w:val="22"/>
          <w:lang w:val="en-US"/>
        </w:rPr>
        <w:t>down ‘command-and-control regulation where a state authority has dominant oversight and power’</w:t>
      </w:r>
      <w:r>
        <w:rPr>
          <w:sz w:val="22"/>
          <w:szCs w:val="22"/>
          <w:lang w:val="en-US"/>
        </w:rPr>
        <w:t>,</w:t>
      </w:r>
      <w:r>
        <w:rPr>
          <w:rStyle w:val="EndnoteReference"/>
          <w:sz w:val="22"/>
          <w:szCs w:val="22"/>
          <w:lang w:val="en-US"/>
        </w:rPr>
        <w:endnoteReference w:id="110"/>
      </w:r>
      <w:r w:rsidRPr="005D65EF">
        <w:rPr>
          <w:sz w:val="22"/>
          <w:szCs w:val="22"/>
          <w:lang w:val="en-US"/>
        </w:rPr>
        <w:t xml:space="preserve"> </w:t>
      </w:r>
      <w:r>
        <w:rPr>
          <w:sz w:val="22"/>
          <w:szCs w:val="22"/>
          <w:lang w:val="en-US"/>
        </w:rPr>
        <w:t>and</w:t>
      </w:r>
      <w:r w:rsidRPr="00A21E5A">
        <w:rPr>
          <w:sz w:val="22"/>
          <w:szCs w:val="22"/>
          <w:lang w:val="en-US"/>
        </w:rPr>
        <w:t xml:space="preserve"> regulation</w:t>
      </w:r>
      <w:r>
        <w:rPr>
          <w:sz w:val="22"/>
          <w:szCs w:val="22"/>
          <w:lang w:val="en-US"/>
        </w:rPr>
        <w:t xml:space="preserve"> tends to ‘</w:t>
      </w:r>
      <w:r w:rsidRPr="00A21E5A">
        <w:rPr>
          <w:sz w:val="22"/>
          <w:szCs w:val="22"/>
          <w:lang w:val="en-US"/>
        </w:rPr>
        <w:t>promote a rigid, fractured</w:t>
      </w:r>
      <w:r>
        <w:rPr>
          <w:sz w:val="22"/>
          <w:szCs w:val="22"/>
          <w:lang w:val="en-US"/>
        </w:rPr>
        <w:t xml:space="preserve">... </w:t>
      </w:r>
      <w:r w:rsidRPr="00A21E5A">
        <w:rPr>
          <w:sz w:val="22"/>
          <w:szCs w:val="22"/>
          <w:lang w:val="en-US"/>
        </w:rPr>
        <w:t>response to ethical,</w:t>
      </w:r>
      <w:r>
        <w:rPr>
          <w:sz w:val="22"/>
          <w:szCs w:val="22"/>
          <w:lang w:val="en-US"/>
        </w:rPr>
        <w:t xml:space="preserve"> </w:t>
      </w:r>
      <w:r w:rsidRPr="00A21E5A">
        <w:rPr>
          <w:sz w:val="22"/>
          <w:szCs w:val="22"/>
          <w:lang w:val="en-US"/>
        </w:rPr>
        <w:t>epistemic, and ontological issues and to undervalue temporal and democratic</w:t>
      </w:r>
      <w:r>
        <w:rPr>
          <w:sz w:val="22"/>
          <w:szCs w:val="22"/>
          <w:lang w:val="en-US"/>
        </w:rPr>
        <w:t xml:space="preserve"> </w:t>
      </w:r>
      <w:r w:rsidRPr="00A21E5A">
        <w:rPr>
          <w:sz w:val="22"/>
          <w:szCs w:val="22"/>
          <w:lang w:val="en-US"/>
        </w:rPr>
        <w:t>values</w:t>
      </w:r>
      <w:r>
        <w:rPr>
          <w:sz w:val="22"/>
          <w:szCs w:val="22"/>
          <w:lang w:val="en-US"/>
        </w:rPr>
        <w:t>’.</w:t>
      </w:r>
      <w:r>
        <w:rPr>
          <w:rStyle w:val="EndnoteReference"/>
          <w:sz w:val="22"/>
          <w:szCs w:val="22"/>
          <w:lang w:val="en-US"/>
        </w:rPr>
        <w:endnoteReference w:id="111"/>
      </w:r>
      <w:r>
        <w:rPr>
          <w:sz w:val="22"/>
          <w:szCs w:val="22"/>
          <w:lang w:val="en-US"/>
        </w:rPr>
        <w:t xml:space="preserve"> Furthermore, as we demonstrated above, law has struggled to take account of the animal-human relationality</w:t>
      </w:r>
      <w:r>
        <w:rPr>
          <w:sz w:val="22"/>
          <w:szCs w:val="22"/>
        </w:rPr>
        <w:t xml:space="preserve"> </w:t>
      </w:r>
      <w:r>
        <w:rPr>
          <w:sz w:val="22"/>
          <w:szCs w:val="22"/>
          <w:lang w:val="en-US"/>
        </w:rPr>
        <w:t>that we argue is central to such legislation, since it does not easily fit law’s bounded object approach and tendency to position human and animals in regulatory silos. What is needed, in our view, is a shift from conventional command-and-control regulatory measures, and ‘imminent, near term and reactive responses,’</w:t>
      </w:r>
      <w:r>
        <w:rPr>
          <w:rStyle w:val="EndnoteReference"/>
          <w:sz w:val="22"/>
          <w:szCs w:val="22"/>
          <w:lang w:val="en-US"/>
        </w:rPr>
        <w:endnoteReference w:id="112"/>
      </w:r>
      <w:r>
        <w:rPr>
          <w:sz w:val="22"/>
          <w:szCs w:val="22"/>
          <w:lang w:val="en-US"/>
        </w:rPr>
        <w:t xml:space="preserve"> towards more responsive, adaptive and hybrid legal frameworks that would be attentive to the lived experience of all the relevant actors,</w:t>
      </w:r>
      <w:r>
        <w:rPr>
          <w:rStyle w:val="EndnoteReference"/>
          <w:sz w:val="22"/>
          <w:szCs w:val="22"/>
          <w:lang w:val="en-US"/>
        </w:rPr>
        <w:endnoteReference w:id="113"/>
      </w:r>
      <w:r>
        <w:rPr>
          <w:sz w:val="22"/>
          <w:szCs w:val="22"/>
          <w:lang w:val="en-US"/>
        </w:rPr>
        <w:t xml:space="preserve"> including non-humans. </w:t>
      </w:r>
      <w:r w:rsidRPr="001A3CCE">
        <w:rPr>
          <w:sz w:val="22"/>
          <w:szCs w:val="22"/>
          <w:lang w:val="en-US"/>
        </w:rPr>
        <w:t xml:space="preserve">As </w:t>
      </w:r>
      <w:r>
        <w:rPr>
          <w:sz w:val="22"/>
          <w:szCs w:val="22"/>
          <w:lang w:val="en-US"/>
        </w:rPr>
        <w:t xml:space="preserve">Robert </w:t>
      </w:r>
      <w:r w:rsidRPr="001A3CCE">
        <w:rPr>
          <w:sz w:val="22"/>
          <w:szCs w:val="22"/>
          <w:lang w:val="en-US"/>
        </w:rPr>
        <w:t xml:space="preserve">Baldwin and </w:t>
      </w:r>
      <w:r>
        <w:rPr>
          <w:sz w:val="22"/>
          <w:szCs w:val="22"/>
          <w:lang w:val="en-US"/>
        </w:rPr>
        <w:t xml:space="preserve">Julia </w:t>
      </w:r>
      <w:r w:rsidRPr="001A3CCE">
        <w:rPr>
          <w:sz w:val="22"/>
          <w:szCs w:val="22"/>
          <w:lang w:val="en-US"/>
        </w:rPr>
        <w:t xml:space="preserve">Black have </w:t>
      </w:r>
      <w:r>
        <w:rPr>
          <w:sz w:val="22"/>
          <w:szCs w:val="22"/>
          <w:lang w:val="en-US"/>
        </w:rPr>
        <w:t>argu</w:t>
      </w:r>
      <w:r w:rsidRPr="001A3CCE">
        <w:rPr>
          <w:sz w:val="22"/>
          <w:szCs w:val="22"/>
          <w:lang w:val="en-US"/>
        </w:rPr>
        <w:t xml:space="preserve">ed, ‘responsive regulation </w:t>
      </w:r>
      <w:r w:rsidRPr="001A3CCE">
        <w:rPr>
          <w:sz w:val="22"/>
          <w:szCs w:val="22"/>
        </w:rPr>
        <w:t>demands that regulators take account of the cultures and understandings that operate within regulated organisations’</w:t>
      </w:r>
      <w:r>
        <w:rPr>
          <w:sz w:val="22"/>
          <w:szCs w:val="22"/>
        </w:rPr>
        <w:t>.</w:t>
      </w:r>
      <w:r>
        <w:rPr>
          <w:rStyle w:val="EndnoteReference"/>
          <w:sz w:val="22"/>
          <w:szCs w:val="22"/>
        </w:rPr>
        <w:endnoteReference w:id="114"/>
      </w:r>
      <w:r w:rsidRPr="001A3CCE">
        <w:rPr>
          <w:sz w:val="22"/>
          <w:szCs w:val="22"/>
        </w:rPr>
        <w:t xml:space="preserve"> </w:t>
      </w:r>
      <w:r>
        <w:rPr>
          <w:sz w:val="22"/>
          <w:szCs w:val="22"/>
          <w:lang w:val="en-US"/>
        </w:rPr>
        <w:t xml:space="preserve">Consequently, we contend that the framing of responsive legislation must be informed by empirical research into the experiences of a range of stake-holders, </w:t>
      </w:r>
      <w:r>
        <w:rPr>
          <w:sz w:val="22"/>
          <w:szCs w:val="22"/>
          <w:lang w:val="en-US"/>
        </w:rPr>
        <w:lastRenderedPageBreak/>
        <w:t>including older people who reside with and those who have been separated from companion animals, their carers, those who manage care/nursing homes and charities dealing with abandoned animals. Statutory interventions need to attend to the shared vulnerabilities of older people and companion species in the transitions that accompany the fourth age, to seek to support relationships and foster resilience. They should recognise that while cross-species relationships can render both parties vulnerable, they can also contribute significantly to the health and well-being if both the older person and the animal.</w:t>
      </w:r>
    </w:p>
    <w:p w:rsidR="00785035" w:rsidRPr="00311480" w:rsidRDefault="00785035" w:rsidP="00785035">
      <w:pPr>
        <w:spacing w:line="480" w:lineRule="auto"/>
        <w:rPr>
          <w:sz w:val="22"/>
          <w:szCs w:val="22"/>
        </w:rPr>
      </w:pPr>
    </w:p>
    <w:p w:rsidR="00785035" w:rsidRDefault="00785035" w:rsidP="00785035">
      <w:pPr>
        <w:spacing w:after="160" w:line="480" w:lineRule="auto"/>
        <w:rPr>
          <w:b/>
          <w:sz w:val="22"/>
          <w:szCs w:val="22"/>
          <w:lang w:val="en-US"/>
        </w:rPr>
      </w:pPr>
      <w:r w:rsidRPr="005D65EF">
        <w:rPr>
          <w:b/>
          <w:sz w:val="22"/>
          <w:szCs w:val="22"/>
          <w:lang w:val="en-US"/>
        </w:rPr>
        <w:t>C</w:t>
      </w:r>
      <w:r>
        <w:rPr>
          <w:b/>
          <w:sz w:val="22"/>
          <w:szCs w:val="22"/>
          <w:lang w:val="en-US"/>
        </w:rPr>
        <w:t>ONCLUDING THOUGHTS</w:t>
      </w:r>
      <w:r w:rsidRPr="005D65EF">
        <w:rPr>
          <w:b/>
          <w:sz w:val="22"/>
          <w:szCs w:val="22"/>
          <w:lang w:val="en-US"/>
        </w:rPr>
        <w:t>:</w:t>
      </w:r>
    </w:p>
    <w:p w:rsidR="00785035" w:rsidRPr="009839F2" w:rsidRDefault="00785035" w:rsidP="00785035">
      <w:pPr>
        <w:spacing w:after="160" w:line="480" w:lineRule="auto"/>
        <w:rPr>
          <w:sz w:val="22"/>
          <w:szCs w:val="22"/>
        </w:rPr>
      </w:pPr>
      <w:r>
        <w:rPr>
          <w:sz w:val="22"/>
          <w:szCs w:val="22"/>
          <w:lang w:val="en-US"/>
        </w:rPr>
        <w:t>In this article we hope to have demonstrated the value for animal scholars of engaging with law, and the potential law holds for fostering conditions in which humans and animals can live well together.  We have used the lenses of liminality and vulnerability to address the question of interspecies entanglements, ageing and governance of care spaces.  In our particular case study, we have shown that for</w:t>
      </w:r>
      <w:r>
        <w:rPr>
          <w:sz w:val="22"/>
          <w:szCs w:val="22"/>
        </w:rPr>
        <w:t xml:space="preserve"> both </w:t>
      </w:r>
      <w:r w:rsidRPr="00056024">
        <w:rPr>
          <w:sz w:val="22"/>
          <w:szCs w:val="22"/>
        </w:rPr>
        <w:t>older persons and thei</w:t>
      </w:r>
      <w:r>
        <w:rPr>
          <w:sz w:val="22"/>
          <w:szCs w:val="22"/>
        </w:rPr>
        <w:t>r</w:t>
      </w:r>
      <w:r w:rsidRPr="00056024">
        <w:rPr>
          <w:sz w:val="22"/>
          <w:szCs w:val="22"/>
        </w:rPr>
        <w:t xml:space="preserve"> companion animal</w:t>
      </w:r>
      <w:r>
        <w:rPr>
          <w:sz w:val="22"/>
          <w:szCs w:val="22"/>
        </w:rPr>
        <w:t>s</w:t>
      </w:r>
      <w:r w:rsidRPr="00056024">
        <w:rPr>
          <w:sz w:val="22"/>
          <w:szCs w:val="22"/>
        </w:rPr>
        <w:t xml:space="preserve"> </w:t>
      </w:r>
      <w:r>
        <w:rPr>
          <w:sz w:val="22"/>
          <w:szCs w:val="22"/>
        </w:rPr>
        <w:t xml:space="preserve">the </w:t>
      </w:r>
      <w:r w:rsidRPr="00056024">
        <w:rPr>
          <w:sz w:val="22"/>
          <w:szCs w:val="22"/>
        </w:rPr>
        <w:t xml:space="preserve">transition </w:t>
      </w:r>
      <w:r>
        <w:rPr>
          <w:sz w:val="22"/>
          <w:szCs w:val="22"/>
        </w:rPr>
        <w:t xml:space="preserve">to residential care too often </w:t>
      </w:r>
      <w:r w:rsidRPr="00056024">
        <w:rPr>
          <w:sz w:val="22"/>
          <w:szCs w:val="22"/>
        </w:rPr>
        <w:t>entails a loss of ‘family’ and ‘home’</w:t>
      </w:r>
      <w:r>
        <w:rPr>
          <w:sz w:val="22"/>
          <w:szCs w:val="22"/>
        </w:rPr>
        <w:t xml:space="preserve"> with deleterious effects on their well-being in older age.</w:t>
      </w:r>
      <w:r w:rsidRPr="00056024">
        <w:rPr>
          <w:sz w:val="22"/>
          <w:szCs w:val="22"/>
        </w:rPr>
        <w:t xml:space="preserve"> </w:t>
      </w:r>
      <w:r w:rsidRPr="006C78EC">
        <w:rPr>
          <w:sz w:val="22"/>
          <w:szCs w:val="22"/>
          <w:lang w:val="en-US"/>
        </w:rPr>
        <w:t xml:space="preserve">We have </w:t>
      </w:r>
      <w:r>
        <w:rPr>
          <w:sz w:val="22"/>
          <w:szCs w:val="22"/>
          <w:lang w:val="en-US"/>
        </w:rPr>
        <w:t>argu</w:t>
      </w:r>
      <w:r w:rsidRPr="006C78EC">
        <w:rPr>
          <w:sz w:val="22"/>
          <w:szCs w:val="22"/>
          <w:lang w:val="en-US"/>
        </w:rPr>
        <w:t xml:space="preserve">ed </w:t>
      </w:r>
      <w:r>
        <w:rPr>
          <w:sz w:val="22"/>
          <w:szCs w:val="22"/>
          <w:lang w:val="en-US"/>
        </w:rPr>
        <w:t>that further work is necessary to explore affective dimensions of home and its meaning in the lives of both humans and animals. However, as a first step towards addressing</w:t>
      </w:r>
      <w:r w:rsidRPr="006C78EC">
        <w:rPr>
          <w:sz w:val="22"/>
          <w:szCs w:val="22"/>
          <w:lang w:val="en-US"/>
        </w:rPr>
        <w:t xml:space="preserve"> th</w:t>
      </w:r>
      <w:r>
        <w:rPr>
          <w:sz w:val="22"/>
          <w:szCs w:val="22"/>
          <w:lang w:val="en-US"/>
        </w:rPr>
        <w:t>e common rupturing of the inter-species relationship</w:t>
      </w:r>
      <w:r w:rsidRPr="006C78EC">
        <w:rPr>
          <w:sz w:val="22"/>
          <w:szCs w:val="22"/>
          <w:lang w:val="en-US"/>
        </w:rPr>
        <w:t xml:space="preserve"> </w:t>
      </w:r>
      <w:r>
        <w:rPr>
          <w:sz w:val="22"/>
          <w:szCs w:val="22"/>
          <w:lang w:val="en-US"/>
        </w:rPr>
        <w:t>in the transition from home and affording those affected a legal remedy, we have argued for this rupture to</w:t>
      </w:r>
      <w:r w:rsidRPr="006C78EC">
        <w:rPr>
          <w:sz w:val="22"/>
          <w:szCs w:val="22"/>
          <w:lang w:val="en-US"/>
        </w:rPr>
        <w:t xml:space="preserve"> be understood as a form of family breakdown</w:t>
      </w:r>
      <w:r>
        <w:rPr>
          <w:sz w:val="22"/>
          <w:szCs w:val="22"/>
          <w:lang w:val="en-US"/>
        </w:rPr>
        <w:t xml:space="preserve">. Recognising animals as family members on the grounds of their shared vulnerability and </w:t>
      </w:r>
      <w:r w:rsidRPr="00FC1F6D">
        <w:rPr>
          <w:sz w:val="22"/>
          <w:szCs w:val="22"/>
          <w:lang w:val="en-US"/>
        </w:rPr>
        <w:t xml:space="preserve">reciprocal companionship </w:t>
      </w:r>
      <w:r>
        <w:rPr>
          <w:sz w:val="22"/>
          <w:szCs w:val="22"/>
          <w:lang w:val="en-US"/>
        </w:rPr>
        <w:t>with older people would allow the staking of</w:t>
      </w:r>
      <w:r w:rsidRPr="006C78EC">
        <w:rPr>
          <w:sz w:val="22"/>
          <w:szCs w:val="22"/>
          <w:lang w:val="en-US"/>
        </w:rPr>
        <w:t xml:space="preserve"> human rights </w:t>
      </w:r>
      <w:r>
        <w:rPr>
          <w:sz w:val="22"/>
          <w:szCs w:val="22"/>
          <w:lang w:val="en-US"/>
        </w:rPr>
        <w:t>claims</w:t>
      </w:r>
      <w:r w:rsidRPr="006C78EC">
        <w:rPr>
          <w:sz w:val="22"/>
          <w:szCs w:val="22"/>
          <w:lang w:val="en-US"/>
        </w:rPr>
        <w:t xml:space="preserve"> to c</w:t>
      </w:r>
      <w:r>
        <w:rPr>
          <w:sz w:val="22"/>
          <w:szCs w:val="22"/>
          <w:lang w:val="en-US"/>
        </w:rPr>
        <w:t>hallenge</w:t>
      </w:r>
      <w:r w:rsidRPr="006C78EC">
        <w:rPr>
          <w:sz w:val="22"/>
          <w:szCs w:val="22"/>
          <w:lang w:val="en-US"/>
        </w:rPr>
        <w:t xml:space="preserve"> such separation</w:t>
      </w:r>
      <w:r>
        <w:rPr>
          <w:sz w:val="22"/>
          <w:szCs w:val="22"/>
          <w:lang w:val="en-US"/>
        </w:rPr>
        <w:t>. Such arguments are bolstered by evidence of</w:t>
      </w:r>
      <w:r w:rsidRPr="006C78EC">
        <w:rPr>
          <w:sz w:val="22"/>
          <w:szCs w:val="22"/>
          <w:lang w:val="en-US"/>
        </w:rPr>
        <w:t xml:space="preserve"> the benefits of animal attachment to the health and flourishing of older people</w:t>
      </w:r>
      <w:r>
        <w:rPr>
          <w:sz w:val="22"/>
          <w:szCs w:val="22"/>
          <w:lang w:val="en-US"/>
        </w:rPr>
        <w:t>, and the potential of animal companionship to mitigate vulnerability and promote agency</w:t>
      </w:r>
      <w:r w:rsidRPr="006C78EC">
        <w:rPr>
          <w:sz w:val="22"/>
          <w:szCs w:val="22"/>
          <w:lang w:val="en-US"/>
        </w:rPr>
        <w:t xml:space="preserve">. </w:t>
      </w:r>
      <w:r>
        <w:rPr>
          <w:sz w:val="22"/>
          <w:szCs w:val="22"/>
          <w:lang w:val="en-US"/>
        </w:rPr>
        <w:t xml:space="preserve">These positive reasons to accommodate animals, coupled with the prospect of legal action for breach of an older person’s rights if they are separated from animal companions, point to the need to address a </w:t>
      </w:r>
      <w:r>
        <w:rPr>
          <w:sz w:val="22"/>
          <w:szCs w:val="22"/>
        </w:rPr>
        <w:t xml:space="preserve">regulatory gap. Legislative initiatives to respond to this gap would recognise the value of inter-species </w:t>
      </w:r>
      <w:r w:rsidRPr="00AE5519">
        <w:rPr>
          <w:sz w:val="22"/>
          <w:szCs w:val="22"/>
        </w:rPr>
        <w:t>attachment</w:t>
      </w:r>
      <w:r>
        <w:rPr>
          <w:sz w:val="22"/>
          <w:szCs w:val="22"/>
        </w:rPr>
        <w:t xml:space="preserve">s and the </w:t>
      </w:r>
      <w:r w:rsidRPr="00AE5519">
        <w:rPr>
          <w:sz w:val="22"/>
          <w:szCs w:val="22"/>
        </w:rPr>
        <w:t xml:space="preserve">limited opportunities </w:t>
      </w:r>
      <w:r>
        <w:rPr>
          <w:sz w:val="22"/>
          <w:szCs w:val="22"/>
        </w:rPr>
        <w:t xml:space="preserve">for older </w:t>
      </w:r>
      <w:r>
        <w:rPr>
          <w:sz w:val="22"/>
          <w:szCs w:val="22"/>
        </w:rPr>
        <w:lastRenderedPageBreak/>
        <w:t xml:space="preserve">people </w:t>
      </w:r>
      <w:r w:rsidRPr="00AE5519">
        <w:rPr>
          <w:sz w:val="22"/>
          <w:szCs w:val="22"/>
        </w:rPr>
        <w:t>to ‘exit’ the service or go elsewhere</w:t>
      </w:r>
      <w:r>
        <w:rPr>
          <w:sz w:val="22"/>
          <w:szCs w:val="22"/>
        </w:rPr>
        <w:t>. They could also build on the tentative signs that</w:t>
      </w:r>
      <w:r w:rsidRPr="00056024">
        <w:rPr>
          <w:sz w:val="22"/>
          <w:szCs w:val="22"/>
        </w:rPr>
        <w:t xml:space="preserve"> </w:t>
      </w:r>
      <w:r>
        <w:rPr>
          <w:sz w:val="22"/>
          <w:szCs w:val="22"/>
        </w:rPr>
        <w:t>judges across a number of jurisdictions are more disposed to value</w:t>
      </w:r>
      <w:r w:rsidRPr="00056024">
        <w:rPr>
          <w:sz w:val="22"/>
          <w:szCs w:val="22"/>
        </w:rPr>
        <w:t xml:space="preserve"> animal-human relationality</w:t>
      </w:r>
      <w:r>
        <w:rPr>
          <w:sz w:val="22"/>
          <w:szCs w:val="22"/>
        </w:rPr>
        <w:t xml:space="preserve"> and caregiving.  We have argued that the evolving ECHR jurisprudence on protection of family and private life can also be harnessed in this regard, and that these developments have the potential to</w:t>
      </w:r>
      <w:r w:rsidRPr="00056024">
        <w:rPr>
          <w:sz w:val="22"/>
          <w:szCs w:val="22"/>
        </w:rPr>
        <w:t xml:space="preserve"> bring law in</w:t>
      </w:r>
      <w:r>
        <w:rPr>
          <w:sz w:val="22"/>
          <w:szCs w:val="22"/>
        </w:rPr>
        <w:t>to</w:t>
      </w:r>
      <w:r w:rsidRPr="00056024">
        <w:rPr>
          <w:sz w:val="22"/>
          <w:szCs w:val="22"/>
        </w:rPr>
        <w:t xml:space="preserve"> line with social understandings of companion species</w:t>
      </w:r>
      <w:r>
        <w:rPr>
          <w:sz w:val="22"/>
          <w:szCs w:val="22"/>
        </w:rPr>
        <w:t xml:space="preserve"> as family.  In our view it is crucial that such legislative proposals are empirically informed and attentive to cultural attitudes within the sector to secure the necessary regulatory buy-in. Those drafting statutory provisions must also address the difficulties that law has encountered when confronted </w:t>
      </w:r>
      <w:r>
        <w:rPr>
          <w:sz w:val="22"/>
          <w:szCs w:val="22"/>
          <w:lang w:val="en-US"/>
        </w:rPr>
        <w:t xml:space="preserve">with </w:t>
      </w:r>
      <w:r w:rsidRPr="006C78EC">
        <w:rPr>
          <w:sz w:val="22"/>
          <w:szCs w:val="22"/>
        </w:rPr>
        <w:t>liminal beings and liminal spaces</w:t>
      </w:r>
      <w:r>
        <w:rPr>
          <w:sz w:val="22"/>
          <w:szCs w:val="22"/>
        </w:rPr>
        <w:t>. We argue that regulation that is framed responsively to recognise the shared interests and vulnerabilities of the older person and their animal companion, and the importance of preserving continuities in their lives, would be an important advance in protecting the older person’s human rights and a further step in legal trajectories that increasingly recognise cross-species relationality. Of course, further and more intractable questions about the ina</w:t>
      </w:r>
      <w:r w:rsidRPr="006C78EC">
        <w:rPr>
          <w:sz w:val="22"/>
          <w:szCs w:val="22"/>
          <w:lang w:val="en-US"/>
        </w:rPr>
        <w:t xml:space="preserve">dequate </w:t>
      </w:r>
      <w:r>
        <w:rPr>
          <w:sz w:val="22"/>
          <w:szCs w:val="22"/>
          <w:lang w:val="en-US"/>
        </w:rPr>
        <w:t>theorisation of the concepts of</w:t>
      </w:r>
      <w:r w:rsidRPr="006C78EC">
        <w:rPr>
          <w:sz w:val="22"/>
          <w:szCs w:val="22"/>
          <w:lang w:val="en-US"/>
        </w:rPr>
        <w:t xml:space="preserve"> </w:t>
      </w:r>
      <w:r>
        <w:rPr>
          <w:sz w:val="22"/>
          <w:szCs w:val="22"/>
          <w:lang w:val="en-US"/>
        </w:rPr>
        <w:t>‘family,</w:t>
      </w:r>
      <w:r w:rsidRPr="006C78EC">
        <w:rPr>
          <w:sz w:val="22"/>
          <w:szCs w:val="22"/>
          <w:lang w:val="en-US"/>
        </w:rPr>
        <w:t xml:space="preserve"> ‘home’</w:t>
      </w:r>
      <w:r>
        <w:rPr>
          <w:sz w:val="22"/>
          <w:szCs w:val="22"/>
          <w:lang w:val="en-US"/>
        </w:rPr>
        <w:t>, ‘human’ and ‘animal’ in law remain.  However, we hope to have demonstrated the potential of law to engage more productively with the question of animal subjectivity, to counter vulnerabilities shared by humans and animals and to promote more collective responsibility for their well-being in older age</w:t>
      </w:r>
      <w:r w:rsidRPr="006C78EC">
        <w:rPr>
          <w:sz w:val="22"/>
          <w:szCs w:val="22"/>
          <w:lang w:val="en-US"/>
        </w:rPr>
        <w:t>.</w:t>
      </w:r>
    </w:p>
    <w:p w:rsidR="00302065" w:rsidRDefault="00120069">
      <w:bookmarkStart w:id="5" w:name="_GoBack"/>
      <w:bookmarkEnd w:id="5"/>
    </w:p>
    <w:sectPr w:rsidR="00302065" w:rsidSect="004E1DFE">
      <w:footerReference w:type="even" r:id="rId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69" w:rsidRDefault="00120069" w:rsidP="00785035">
      <w:r>
        <w:separator/>
      </w:r>
    </w:p>
  </w:endnote>
  <w:endnote w:type="continuationSeparator" w:id="0">
    <w:p w:rsidR="00120069" w:rsidRDefault="00120069" w:rsidP="00785035">
      <w:r>
        <w:continuationSeparator/>
      </w:r>
    </w:p>
  </w:endnote>
  <w:endnote w:id="1">
    <w:p w:rsidR="00785035" w:rsidRPr="00812546" w:rsidRDefault="00785035" w:rsidP="00785035">
      <w:pPr>
        <w:pStyle w:val="EndnoteText"/>
        <w:jc w:val="both"/>
      </w:pPr>
      <w:r w:rsidRPr="00812546">
        <w:rPr>
          <w:rStyle w:val="EndnoteReference"/>
        </w:rPr>
        <w:endnoteRef/>
      </w:r>
      <w:r w:rsidRPr="00812546">
        <w:t xml:space="preserve"> As regards terminology, we adopt the term ‘companion animals’ rather than pets, since it better captures the relational focus of the bond -</w:t>
      </w:r>
      <w:r>
        <w:t xml:space="preserve"> Andrew</w:t>
      </w:r>
      <w:r w:rsidRPr="00812546">
        <w:t xml:space="preserve"> Linzey</w:t>
      </w:r>
      <w:r>
        <w:t xml:space="preserve"> </w:t>
      </w:r>
      <w:r w:rsidRPr="00812546">
        <w:t xml:space="preserve">and </w:t>
      </w:r>
      <w:r>
        <w:t xml:space="preserve">Priscilla </w:t>
      </w:r>
      <w:r w:rsidRPr="00812546">
        <w:t>Cohn,</w:t>
      </w:r>
      <w:r>
        <w:t xml:space="preserve"> </w:t>
      </w:r>
      <w:r w:rsidRPr="00812546">
        <w:t xml:space="preserve">“Terms of Discourse,” </w:t>
      </w:r>
      <w:r w:rsidRPr="00812546">
        <w:rPr>
          <w:i/>
        </w:rPr>
        <w:t>Journal of Animal Ethics</w:t>
      </w:r>
      <w:r w:rsidRPr="00812546">
        <w:t xml:space="preserve"> 1(1) (2011): vii-ix. We acknowledge, however, that the term ‘pet’ may account for other facets of this relationship, including dominance and dependency </w:t>
      </w:r>
      <w:r>
        <w:t>– see Yi-Fu</w:t>
      </w:r>
      <w:r w:rsidRPr="00812546">
        <w:t xml:space="preserve"> Tuan, </w:t>
      </w:r>
      <w:r w:rsidRPr="00812546">
        <w:rPr>
          <w:bCs/>
          <w:i/>
        </w:rPr>
        <w:t>Dominance &amp; Affection: The Making of Pets</w:t>
      </w:r>
      <w:r w:rsidRPr="00812546">
        <w:rPr>
          <w:bCs/>
        </w:rPr>
        <w:t xml:space="preserve"> (New Haven: Yale University Press, 1984).</w:t>
      </w:r>
      <w:r w:rsidRPr="00812546">
        <w:t xml:space="preserve"> Although our argument has resonance for all companion animals, in practice the cases </w:t>
      </w:r>
      <w:r w:rsidRPr="001523B8">
        <w:t xml:space="preserve">we address have involved dogs. We use the term ‘older people’ since it serves to highlight aging as a process, as opposed to terms such as ‘the elderly’, which homogenise a part of the life course characterised by diversity – see </w:t>
      </w:r>
      <w:r>
        <w:rPr>
          <w:lang w:val="en-US"/>
        </w:rPr>
        <w:t>L</w:t>
      </w:r>
      <w:r w:rsidRPr="001523B8">
        <w:rPr>
          <w:lang w:val="en-US"/>
        </w:rPr>
        <w:t xml:space="preserve">aw </w:t>
      </w:r>
      <w:r>
        <w:rPr>
          <w:lang w:val="en-US"/>
        </w:rPr>
        <w:t>C</w:t>
      </w:r>
      <w:r w:rsidRPr="001523B8">
        <w:rPr>
          <w:lang w:val="en-US"/>
        </w:rPr>
        <w:t>omm</w:t>
      </w:r>
      <w:r>
        <w:rPr>
          <w:lang w:val="en-US"/>
        </w:rPr>
        <w:t>issio</w:t>
      </w:r>
      <w:r w:rsidRPr="001523B8">
        <w:rPr>
          <w:lang w:val="en-US"/>
        </w:rPr>
        <w:t xml:space="preserve">n of </w:t>
      </w:r>
      <w:r>
        <w:rPr>
          <w:lang w:val="en-US"/>
        </w:rPr>
        <w:t>Ontario,</w:t>
      </w:r>
      <w:r w:rsidRPr="001523B8">
        <w:rPr>
          <w:lang w:val="en-US"/>
        </w:rPr>
        <w:t xml:space="preserve"> </w:t>
      </w:r>
      <w:r>
        <w:rPr>
          <w:lang w:val="en-US"/>
        </w:rPr>
        <w:t>T</w:t>
      </w:r>
      <w:r w:rsidRPr="001523B8">
        <w:rPr>
          <w:lang w:val="en-US"/>
        </w:rPr>
        <w:t xml:space="preserve">he </w:t>
      </w:r>
      <w:r>
        <w:rPr>
          <w:lang w:val="en-US"/>
        </w:rPr>
        <w:t>L</w:t>
      </w:r>
      <w:r w:rsidRPr="001523B8">
        <w:rPr>
          <w:lang w:val="en-US"/>
        </w:rPr>
        <w:t xml:space="preserve">aw </w:t>
      </w:r>
      <w:r>
        <w:rPr>
          <w:lang w:val="en-US"/>
        </w:rPr>
        <w:t>a</w:t>
      </w:r>
      <w:r w:rsidRPr="001523B8">
        <w:rPr>
          <w:lang w:val="en-US"/>
        </w:rPr>
        <w:t xml:space="preserve">s it </w:t>
      </w:r>
      <w:r>
        <w:rPr>
          <w:lang w:val="en-US"/>
        </w:rPr>
        <w:t>A</w:t>
      </w:r>
      <w:r w:rsidRPr="001523B8">
        <w:rPr>
          <w:lang w:val="en-US"/>
        </w:rPr>
        <w:t xml:space="preserve">ffects </w:t>
      </w:r>
      <w:r>
        <w:rPr>
          <w:lang w:val="en-US"/>
        </w:rPr>
        <w:t>O</w:t>
      </w:r>
      <w:r w:rsidRPr="001523B8">
        <w:rPr>
          <w:lang w:val="en-US"/>
        </w:rPr>
        <w:t xml:space="preserve">lder </w:t>
      </w:r>
      <w:r>
        <w:rPr>
          <w:lang w:val="en-US"/>
        </w:rPr>
        <w:t>A</w:t>
      </w:r>
      <w:r w:rsidRPr="001523B8">
        <w:rPr>
          <w:lang w:val="en-US"/>
        </w:rPr>
        <w:t>dults:</w:t>
      </w:r>
      <w:r>
        <w:t xml:space="preserve"> </w:t>
      </w:r>
      <w:r>
        <w:rPr>
          <w:lang w:val="en-US"/>
        </w:rPr>
        <w:t>D</w:t>
      </w:r>
      <w:r w:rsidRPr="001523B8">
        <w:rPr>
          <w:lang w:val="en-US"/>
        </w:rPr>
        <w:t xml:space="preserve">eveloping an </w:t>
      </w:r>
      <w:r>
        <w:rPr>
          <w:lang w:val="en-US"/>
        </w:rPr>
        <w:t>A</w:t>
      </w:r>
      <w:r w:rsidRPr="001523B8">
        <w:rPr>
          <w:lang w:val="en-US"/>
        </w:rPr>
        <w:t>nti-</w:t>
      </w:r>
      <w:r>
        <w:rPr>
          <w:lang w:val="en-US"/>
        </w:rPr>
        <w:t>A</w:t>
      </w:r>
      <w:r w:rsidRPr="001523B8">
        <w:rPr>
          <w:lang w:val="en-US"/>
        </w:rPr>
        <w:t>geist</w:t>
      </w:r>
      <w:r>
        <w:rPr>
          <w:lang w:val="en-US"/>
        </w:rPr>
        <w:t xml:space="preserve"> A</w:t>
      </w:r>
      <w:r w:rsidRPr="001523B8">
        <w:rPr>
          <w:lang w:val="en-US"/>
        </w:rPr>
        <w:t>pproach (2011)</w:t>
      </w:r>
      <w:r>
        <w:rPr>
          <w:lang w:val="en-US"/>
        </w:rPr>
        <w:t xml:space="preserve"> 20-21.</w:t>
      </w:r>
    </w:p>
  </w:endnote>
  <w:endnote w:id="2">
    <w:p w:rsidR="00785035" w:rsidRPr="008C168E" w:rsidRDefault="00785035" w:rsidP="00785035">
      <w:pPr>
        <w:pStyle w:val="EndnoteText"/>
      </w:pPr>
      <w:r>
        <w:rPr>
          <w:rStyle w:val="EndnoteReference"/>
        </w:rPr>
        <w:endnoteRef/>
      </w:r>
      <w:r>
        <w:t xml:space="preserve"> International Federation on Aging (IFA), </w:t>
      </w:r>
      <w:r>
        <w:rPr>
          <w:i/>
        </w:rPr>
        <w:t>Measuring the Benefits: Companion Animals and the Health of Older Persons</w:t>
      </w:r>
      <w:r>
        <w:t xml:space="preserve"> 2014. </w:t>
      </w:r>
      <w:r w:rsidRPr="008C168E">
        <w:t>https://www.ifa-fiv.org/wp-content/uploads/2014/09/Companion-Animals-and-Older-Persons-Full-Report-Online.pdf</w:t>
      </w:r>
      <w:r>
        <w:t xml:space="preserve"> </w:t>
      </w:r>
    </w:p>
  </w:endnote>
  <w:endnote w:id="3">
    <w:p w:rsidR="00785035" w:rsidRPr="00812546" w:rsidRDefault="00785035" w:rsidP="00785035">
      <w:pPr>
        <w:pStyle w:val="EndnoteText"/>
        <w:rPr>
          <w:iCs/>
          <w:lang w:val="en-US"/>
        </w:rPr>
      </w:pPr>
      <w:r w:rsidRPr="00812546">
        <w:rPr>
          <w:rStyle w:val="EndnoteReference"/>
        </w:rPr>
        <w:endnoteRef/>
      </w:r>
      <w:r w:rsidRPr="00812546">
        <w:t xml:space="preserve"> </w:t>
      </w:r>
      <w:r>
        <w:t xml:space="preserve">Helen </w:t>
      </w:r>
      <w:r w:rsidRPr="00812546">
        <w:rPr>
          <w:iCs/>
        </w:rPr>
        <w:t>Carr</w:t>
      </w:r>
      <w:r>
        <w:rPr>
          <w:iCs/>
        </w:rPr>
        <w:t xml:space="preserve"> </w:t>
      </w:r>
      <w:r w:rsidRPr="00812546">
        <w:rPr>
          <w:iCs/>
        </w:rPr>
        <w:t xml:space="preserve">and </w:t>
      </w:r>
      <w:r>
        <w:rPr>
          <w:iCs/>
        </w:rPr>
        <w:t xml:space="preserve">Caroline </w:t>
      </w:r>
      <w:r w:rsidRPr="00812546">
        <w:rPr>
          <w:iCs/>
        </w:rPr>
        <w:t>Hunter, “</w:t>
      </w:r>
      <w:r w:rsidRPr="00812546">
        <w:rPr>
          <w:iCs/>
          <w:lang w:val="en-US"/>
        </w:rPr>
        <w:t xml:space="preserve">Are Judicial Approaches to Adult Social Care at a Dead-End?” </w:t>
      </w:r>
      <w:r w:rsidRPr="00812546">
        <w:rPr>
          <w:i/>
          <w:iCs/>
          <w:lang w:val="en-US"/>
        </w:rPr>
        <w:t>Social and Legal Studies</w:t>
      </w:r>
      <w:r w:rsidRPr="00812546">
        <w:rPr>
          <w:iCs/>
          <w:lang w:val="en-US"/>
        </w:rPr>
        <w:t xml:space="preserve"> 21(1) (2012) 73–92,</w:t>
      </w:r>
      <w:r w:rsidRPr="00812546">
        <w:rPr>
          <w:lang w:val="en-US"/>
        </w:rPr>
        <w:t xml:space="preserve"> 81.</w:t>
      </w:r>
    </w:p>
  </w:endnote>
  <w:endnote w:id="4">
    <w:p w:rsidR="00785035" w:rsidRPr="00812546" w:rsidRDefault="00785035" w:rsidP="00785035">
      <w:pPr>
        <w:pStyle w:val="EndnoteText"/>
      </w:pPr>
      <w:r w:rsidRPr="00812546">
        <w:rPr>
          <w:rStyle w:val="EndnoteReference"/>
        </w:rPr>
        <w:endnoteRef/>
      </w:r>
      <w:r w:rsidRPr="00812546">
        <w:t xml:space="preserve"> </w:t>
      </w:r>
      <w:r>
        <w:t xml:space="preserve">June </w:t>
      </w:r>
      <w:r w:rsidRPr="00812546">
        <w:t xml:space="preserve">McNicholas et al, “Pet ownership and human health: a brief review of evidence and issues” </w:t>
      </w:r>
      <w:r w:rsidRPr="00812546">
        <w:rPr>
          <w:i/>
        </w:rPr>
        <w:t>BMJ</w:t>
      </w:r>
      <w:r w:rsidRPr="00812546">
        <w:t>, 331(7527) (2015):1252-1254</w:t>
      </w:r>
    </w:p>
  </w:endnote>
  <w:endnote w:id="5">
    <w:p w:rsidR="00785035" w:rsidRPr="00812546" w:rsidRDefault="00785035" w:rsidP="00785035">
      <w:pPr>
        <w:pStyle w:val="EndnoteText"/>
        <w:rPr>
          <w:lang w:val="en-US"/>
        </w:rPr>
      </w:pPr>
      <w:r w:rsidRPr="00812546">
        <w:rPr>
          <w:rStyle w:val="EndnoteReference"/>
        </w:rPr>
        <w:endnoteRef/>
      </w:r>
      <w:r w:rsidRPr="00812546">
        <w:t xml:space="preserve"> </w:t>
      </w:r>
      <w:r w:rsidRPr="00812546">
        <w:rPr>
          <w:lang w:val="en-US"/>
        </w:rPr>
        <w:t>Marie</w:t>
      </w:r>
      <w:r>
        <w:rPr>
          <w:lang w:val="en-US"/>
        </w:rPr>
        <w:t xml:space="preserve"> Fox</w:t>
      </w:r>
      <w:r w:rsidRPr="00812546">
        <w:rPr>
          <w:lang w:val="en-US"/>
        </w:rPr>
        <w:t xml:space="preserve">, “Re-thinking Kinship: Law’s Construction of the Animal Body” </w:t>
      </w:r>
      <w:r w:rsidRPr="00812546">
        <w:rPr>
          <w:i/>
          <w:iCs/>
          <w:lang w:val="en-US"/>
        </w:rPr>
        <w:t>Current Legal Problems</w:t>
      </w:r>
      <w:r w:rsidRPr="00812546">
        <w:rPr>
          <w:lang w:val="en-US"/>
        </w:rPr>
        <w:t xml:space="preserve"> 57, (2004): 464-86, </w:t>
      </w:r>
      <w:r w:rsidRPr="00812546">
        <w:t xml:space="preserve">Riggs, Damian and Peel, Elizabeth, </w:t>
      </w:r>
      <w:r w:rsidRPr="00812546">
        <w:rPr>
          <w:i/>
        </w:rPr>
        <w:t>Critical Kinship Studies: An Introduction to the Field</w:t>
      </w:r>
      <w:r w:rsidRPr="00812546">
        <w:t xml:space="preserve"> (London: Palgrave, 2016), </w:t>
      </w:r>
      <w:r w:rsidRPr="00812546">
        <w:rPr>
          <w:lang w:val="en-US"/>
        </w:rPr>
        <w:t>chapter 4.</w:t>
      </w:r>
    </w:p>
  </w:endnote>
  <w:endnote w:id="6">
    <w:p w:rsidR="00785035" w:rsidRPr="00812546" w:rsidRDefault="00785035" w:rsidP="00785035">
      <w:pPr>
        <w:pStyle w:val="EndnoteText"/>
      </w:pPr>
      <w:r w:rsidRPr="00812546">
        <w:rPr>
          <w:rStyle w:val="EndnoteReference"/>
        </w:rPr>
        <w:endnoteRef/>
      </w:r>
      <w:r w:rsidRPr="00812546">
        <w:t xml:space="preserve"> </w:t>
      </w:r>
      <w:r>
        <w:t xml:space="preserve">Emily </w:t>
      </w:r>
      <w:r w:rsidRPr="00812546">
        <w:t>Crawford</w:t>
      </w:r>
      <w:r>
        <w:t xml:space="preserve"> et al</w:t>
      </w:r>
      <w:r w:rsidRPr="00812546">
        <w:t>.</w:t>
      </w:r>
      <w:r>
        <w:t>,</w:t>
      </w:r>
      <w:r w:rsidRPr="00812546">
        <w:t xml:space="preserve"> “Benefits derived from companion animals, and the use of the term ‘attachment’,” </w:t>
      </w:r>
      <w:r w:rsidRPr="00812546">
        <w:rPr>
          <w:i/>
          <w:iCs/>
        </w:rPr>
        <w:t xml:space="preserve">Anthrozoös </w:t>
      </w:r>
      <w:r w:rsidRPr="00812546">
        <w:t xml:space="preserve">19(2), (2006): 98-112. </w:t>
      </w:r>
    </w:p>
  </w:endnote>
  <w:endnote w:id="7">
    <w:p w:rsidR="00785035" w:rsidRPr="00812546" w:rsidRDefault="00785035" w:rsidP="00785035">
      <w:pPr>
        <w:pStyle w:val="EndnoteText"/>
      </w:pPr>
      <w:r w:rsidRPr="00812546">
        <w:rPr>
          <w:rStyle w:val="EndnoteReference"/>
        </w:rPr>
        <w:endnoteRef/>
      </w:r>
      <w:r w:rsidRPr="00812546">
        <w:t xml:space="preserve"> </w:t>
      </w:r>
      <w:r>
        <w:t xml:space="preserve">Ian </w:t>
      </w:r>
      <w:r w:rsidRPr="00812546">
        <w:t>Stanle</w:t>
      </w:r>
      <w:r>
        <w:t>y</w:t>
      </w:r>
      <w:r w:rsidRPr="00812546">
        <w:t xml:space="preserve"> et al</w:t>
      </w:r>
      <w:r>
        <w:t>,</w:t>
      </w:r>
      <w:r w:rsidRPr="00812546">
        <w:t xml:space="preserve"> “Pet ownership may attenuate loneliness among older adult primary care patients who live alone,” </w:t>
      </w:r>
      <w:r w:rsidRPr="00812546">
        <w:rPr>
          <w:i/>
          <w:iCs/>
        </w:rPr>
        <w:t>Aging &amp; Mental Health</w:t>
      </w:r>
      <w:r w:rsidRPr="00812546">
        <w:t xml:space="preserve"> 18(3) (2014): 394-399.</w:t>
      </w:r>
    </w:p>
  </w:endnote>
  <w:endnote w:id="8">
    <w:p w:rsidR="00785035" w:rsidRPr="00812546" w:rsidRDefault="00785035" w:rsidP="00785035">
      <w:pPr>
        <w:pStyle w:val="EndnoteText"/>
      </w:pPr>
      <w:r w:rsidRPr="00812546">
        <w:rPr>
          <w:rStyle w:val="EndnoteReference"/>
        </w:rPr>
        <w:endnoteRef/>
      </w:r>
      <w:r w:rsidRPr="00812546">
        <w:t xml:space="preserve"> Cusack, O., &amp; Smith, E. </w:t>
      </w:r>
      <w:r w:rsidRPr="00812546">
        <w:rPr>
          <w:i/>
        </w:rPr>
        <w:t>Pets and the Elderly: The therapeutic bond</w:t>
      </w:r>
      <w:r w:rsidRPr="00812546">
        <w:t xml:space="preserve"> (New York: Routledge, 2014).</w:t>
      </w:r>
    </w:p>
  </w:endnote>
  <w:endnote w:id="9">
    <w:p w:rsidR="00785035" w:rsidRPr="00812546" w:rsidRDefault="00785035" w:rsidP="00785035">
      <w:pPr>
        <w:pStyle w:val="EndnoteText"/>
      </w:pPr>
      <w:r w:rsidRPr="00812546">
        <w:rPr>
          <w:rStyle w:val="EndnoteReference"/>
        </w:rPr>
        <w:endnoteRef/>
      </w:r>
      <w:r w:rsidRPr="00812546">
        <w:t xml:space="preserve"> </w:t>
      </w:r>
      <w:r>
        <w:t xml:space="preserve">Martha </w:t>
      </w:r>
      <w:r w:rsidRPr="00812546">
        <w:t xml:space="preserve">Fineman, “The Vulnerable Subject and the Responsive State” </w:t>
      </w:r>
      <w:r w:rsidRPr="00812546">
        <w:rPr>
          <w:i/>
        </w:rPr>
        <w:t>Emory Law Journal</w:t>
      </w:r>
      <w:r w:rsidRPr="00812546">
        <w:t xml:space="preserve"> 60 (2010):</w:t>
      </w:r>
      <w:r w:rsidRPr="00812546">
        <w:rPr>
          <w:lang w:val="en-US"/>
        </w:rPr>
        <w:t xml:space="preserve"> </w:t>
      </w:r>
      <w:r w:rsidRPr="00812546">
        <w:t xml:space="preserve"> 251-291; </w:t>
      </w:r>
      <w:r>
        <w:t xml:space="preserve"> Martha Fineman,  </w:t>
      </w:r>
      <w:r w:rsidRPr="00812546">
        <w:t xml:space="preserve">“‘Elderly’ as Vulnerable: Rethinking the Nature of Individual and Societal Responsibility” </w:t>
      </w:r>
      <w:r w:rsidRPr="00812546">
        <w:rPr>
          <w:i/>
        </w:rPr>
        <w:t xml:space="preserve">Elder Law Journal </w:t>
      </w:r>
      <w:r w:rsidRPr="00812546">
        <w:t>20 (2011): 71-111.</w:t>
      </w:r>
    </w:p>
  </w:endnote>
  <w:endnote w:id="10">
    <w:p w:rsidR="00785035" w:rsidRPr="00812546" w:rsidRDefault="00785035" w:rsidP="00785035">
      <w:pPr>
        <w:pStyle w:val="EndnoteText"/>
      </w:pPr>
      <w:r w:rsidRPr="00812546">
        <w:rPr>
          <w:rStyle w:val="EndnoteReference"/>
        </w:rPr>
        <w:endnoteRef/>
      </w:r>
      <w:r w:rsidRPr="00812546">
        <w:t xml:space="preserve"> </w:t>
      </w:r>
      <w:r>
        <w:t xml:space="preserve">Pat </w:t>
      </w:r>
      <w:r w:rsidRPr="00DC541D">
        <w:rPr>
          <w:lang w:val="en-US"/>
        </w:rPr>
        <w:t>Sable</w:t>
      </w:r>
      <w:r>
        <w:rPr>
          <w:lang w:val="en-US"/>
        </w:rPr>
        <w:t xml:space="preserve">, “Attachment, Anxiety and Loss of a Husband” </w:t>
      </w:r>
      <w:r>
        <w:rPr>
          <w:i/>
          <w:lang w:val="en-US"/>
        </w:rPr>
        <w:t>American Journal of Orthopsychiatry</w:t>
      </w:r>
      <w:r w:rsidRPr="00DC541D">
        <w:rPr>
          <w:lang w:val="en-US"/>
        </w:rPr>
        <w:t xml:space="preserve"> </w:t>
      </w:r>
      <w:r>
        <w:rPr>
          <w:lang w:val="en-US"/>
        </w:rPr>
        <w:t>59 (</w:t>
      </w:r>
      <w:r w:rsidRPr="00DC541D">
        <w:rPr>
          <w:lang w:val="en-US"/>
        </w:rPr>
        <w:t>1989</w:t>
      </w:r>
      <w:r>
        <w:rPr>
          <w:lang w:val="en-US"/>
        </w:rPr>
        <w:t xml:space="preserve">): 550-556; Pat Sable, “Attachment, loss of spouse and grief in elderly adults” </w:t>
      </w:r>
      <w:r>
        <w:rPr>
          <w:i/>
          <w:lang w:val="en-US"/>
        </w:rPr>
        <w:t xml:space="preserve">Omega </w:t>
      </w:r>
      <w:r w:rsidRPr="000912F4">
        <w:rPr>
          <w:lang w:val="en-US"/>
        </w:rPr>
        <w:t xml:space="preserve">23 </w:t>
      </w:r>
      <w:r>
        <w:rPr>
          <w:lang w:val="en-US"/>
        </w:rPr>
        <w:t>(</w:t>
      </w:r>
      <w:r w:rsidRPr="00DC541D">
        <w:rPr>
          <w:lang w:val="en-US"/>
        </w:rPr>
        <w:t>1991</w:t>
      </w:r>
      <w:r>
        <w:rPr>
          <w:lang w:val="en-US"/>
        </w:rPr>
        <w:t xml:space="preserve">): 129-42; June </w:t>
      </w:r>
      <w:r w:rsidRPr="00812546">
        <w:t>McNicholas, "The role of pets in the lives of older people: a review", </w:t>
      </w:r>
      <w:r w:rsidRPr="00812546">
        <w:rPr>
          <w:i/>
        </w:rPr>
        <w:t>Working with Older People</w:t>
      </w:r>
      <w:r w:rsidRPr="00812546">
        <w:t>, 18 (3) (2014):128-133.</w:t>
      </w:r>
    </w:p>
  </w:endnote>
  <w:endnote w:id="11">
    <w:p w:rsidR="00785035" w:rsidRPr="009E4878" w:rsidRDefault="00785035" w:rsidP="00785035">
      <w:pPr>
        <w:pStyle w:val="EndnoteText"/>
      </w:pPr>
      <w:r>
        <w:rPr>
          <w:rStyle w:val="EndnoteReference"/>
        </w:rPr>
        <w:endnoteRef/>
      </w:r>
      <w:r>
        <w:t xml:space="preserve"> Joanna Latimer and Daniel Lopez Gomez, “</w:t>
      </w:r>
      <w:r w:rsidRPr="009E4878">
        <w:rPr>
          <w:i/>
        </w:rPr>
        <w:t>Intimate Entanglements</w:t>
      </w:r>
      <w:r>
        <w:t xml:space="preserve">: Affects, more-than-human intimacies and the politics of relations in science and technology” </w:t>
      </w:r>
      <w:r>
        <w:rPr>
          <w:i/>
        </w:rPr>
        <w:t>The Sociological Review Monographs</w:t>
      </w:r>
      <w:r>
        <w:t xml:space="preserve"> 67(2) (2019) 246-63.</w:t>
      </w:r>
    </w:p>
  </w:endnote>
  <w:endnote w:id="12">
    <w:p w:rsidR="00785035" w:rsidRPr="00812546" w:rsidRDefault="00785035" w:rsidP="00785035">
      <w:pPr>
        <w:pStyle w:val="EndnoteText"/>
      </w:pPr>
      <w:r w:rsidRPr="00812546">
        <w:rPr>
          <w:rStyle w:val="EndnoteReference"/>
        </w:rPr>
        <w:endnoteRef/>
      </w:r>
      <w:r w:rsidRPr="00812546">
        <w:t xml:space="preserve"> For caveats see p. x below.</w:t>
      </w:r>
    </w:p>
  </w:endnote>
  <w:endnote w:id="13">
    <w:p w:rsidR="00785035" w:rsidRPr="00812546" w:rsidRDefault="00785035" w:rsidP="00785035">
      <w:pPr>
        <w:pStyle w:val="EndnoteText"/>
        <w:rPr>
          <w:lang w:val="en-US"/>
        </w:rPr>
      </w:pPr>
      <w:r w:rsidRPr="00812546">
        <w:rPr>
          <w:rStyle w:val="EndnoteReference"/>
        </w:rPr>
        <w:endnoteRef/>
      </w:r>
      <w:r w:rsidRPr="00812546">
        <w:t xml:space="preserve"> </w:t>
      </w:r>
      <w:r>
        <w:t xml:space="preserve">Sarah </w:t>
      </w:r>
      <w:r w:rsidRPr="00812546">
        <w:rPr>
          <w:lang w:val="en-US"/>
        </w:rPr>
        <w:t xml:space="preserve">Knight and </w:t>
      </w:r>
      <w:r>
        <w:rPr>
          <w:lang w:val="en-US"/>
        </w:rPr>
        <w:t xml:space="preserve">Victoria </w:t>
      </w:r>
      <w:r w:rsidRPr="00812546">
        <w:rPr>
          <w:lang w:val="en-US"/>
        </w:rPr>
        <w:t xml:space="preserve">Edwards, “In the Company of Wolves: The Physical, Social, and Psychological Benefits of Dog Ownership” </w:t>
      </w:r>
      <w:r w:rsidRPr="00812546">
        <w:rPr>
          <w:i/>
          <w:lang w:val="en-US"/>
        </w:rPr>
        <w:t>J Aging Health</w:t>
      </w:r>
      <w:r w:rsidRPr="00812546">
        <w:rPr>
          <w:lang w:val="en-US"/>
        </w:rPr>
        <w:t xml:space="preserve"> 20 (2008): 437-455, 439-40.</w:t>
      </w:r>
    </w:p>
  </w:endnote>
  <w:endnote w:id="14">
    <w:p w:rsidR="00785035" w:rsidRPr="00812546" w:rsidRDefault="00785035" w:rsidP="00785035">
      <w:pPr>
        <w:pStyle w:val="EndnoteText"/>
      </w:pPr>
      <w:r w:rsidRPr="00812546">
        <w:rPr>
          <w:rStyle w:val="EndnoteReference"/>
        </w:rPr>
        <w:endnoteRef/>
      </w:r>
      <w:r w:rsidRPr="00812546">
        <w:t xml:space="preserve"> </w:t>
      </w:r>
      <w:r>
        <w:t xml:space="preserve">Randal </w:t>
      </w:r>
      <w:r w:rsidRPr="00812546">
        <w:t>Smith</w:t>
      </w:r>
      <w:r>
        <w:t xml:space="preserve"> et al,</w:t>
      </w:r>
      <w:r w:rsidRPr="00812546">
        <w:t xml:space="preserve"> “People, pets and care homes: a story of ambivalence” </w:t>
      </w:r>
      <w:r w:rsidRPr="00812546">
        <w:rPr>
          <w:i/>
          <w:iCs/>
        </w:rPr>
        <w:t>Quality in Ageing and Older Adults”</w:t>
      </w:r>
      <w:r w:rsidRPr="00812546">
        <w:t xml:space="preserve"> 12(4) (2011): 217-228.</w:t>
      </w:r>
    </w:p>
  </w:endnote>
  <w:endnote w:id="15">
    <w:p w:rsidR="00785035" w:rsidRPr="00812546" w:rsidRDefault="00785035" w:rsidP="00785035">
      <w:pPr>
        <w:pStyle w:val="EndnoteText"/>
      </w:pPr>
      <w:r w:rsidRPr="00812546">
        <w:rPr>
          <w:rStyle w:val="EndnoteReference"/>
        </w:rPr>
        <w:endnoteRef/>
      </w:r>
      <w:r w:rsidRPr="00812546">
        <w:t xml:space="preserve"> Our project will map such variability across England.</w:t>
      </w:r>
    </w:p>
  </w:endnote>
  <w:endnote w:id="16">
    <w:p w:rsidR="00785035" w:rsidRPr="00812546" w:rsidRDefault="00785035" w:rsidP="00785035">
      <w:pPr>
        <w:pStyle w:val="EndnoteText"/>
      </w:pPr>
      <w:r w:rsidRPr="00812546">
        <w:rPr>
          <w:rStyle w:val="EndnoteReference"/>
        </w:rPr>
        <w:endnoteRef/>
      </w:r>
      <w:r w:rsidRPr="00812546">
        <w:t xml:space="preserve"> These policies also burden already over-stretched animal rescues.</w:t>
      </w:r>
    </w:p>
  </w:endnote>
  <w:endnote w:id="17">
    <w:p w:rsidR="00785035" w:rsidRDefault="00785035" w:rsidP="00785035">
      <w:pPr>
        <w:pStyle w:val="EndnoteText"/>
      </w:pPr>
      <w:r>
        <w:rPr>
          <w:rStyle w:val="EndnoteReference"/>
        </w:rPr>
        <w:endnoteRef/>
      </w:r>
      <w:r>
        <w:t xml:space="preserve"> Latimer “Intimate Entanglements” 256.</w:t>
      </w:r>
    </w:p>
  </w:endnote>
  <w:endnote w:id="18">
    <w:p w:rsidR="00785035" w:rsidRPr="00812546" w:rsidRDefault="00785035" w:rsidP="00785035">
      <w:pPr>
        <w:pStyle w:val="EndnoteText"/>
      </w:pPr>
      <w:r w:rsidRPr="00812546">
        <w:rPr>
          <w:rStyle w:val="EndnoteReference"/>
        </w:rPr>
        <w:endnoteRef/>
      </w:r>
      <w:r w:rsidRPr="00812546">
        <w:t xml:space="preserve"> </w:t>
      </w:r>
      <w:r w:rsidRPr="00812546">
        <w:rPr>
          <w:i/>
        </w:rPr>
        <w:t>Daily Express</w:t>
      </w:r>
      <w:r w:rsidRPr="00812546">
        <w:t xml:space="preserve"> 20 December 2016.</w:t>
      </w:r>
    </w:p>
  </w:endnote>
  <w:endnote w:id="19">
    <w:p w:rsidR="00785035" w:rsidRPr="00812546" w:rsidRDefault="00785035" w:rsidP="00785035">
      <w:pPr>
        <w:pStyle w:val="EndnoteText"/>
      </w:pPr>
      <w:r w:rsidRPr="00812546">
        <w:rPr>
          <w:rStyle w:val="EndnoteReference"/>
        </w:rPr>
        <w:endnoteRef/>
      </w:r>
      <w:r w:rsidRPr="00812546">
        <w:t xml:space="preserve"> id</w:t>
      </w:r>
      <w:r>
        <w:t>.</w:t>
      </w:r>
      <w:r w:rsidRPr="00812546">
        <w:t xml:space="preserve"> Bob Harvey’s sentiments are much more widely reflected in the empirical literature – e.g. Sable, Pat “The pet connection: An attachment perspective” </w:t>
      </w:r>
      <w:r w:rsidRPr="00812546">
        <w:rPr>
          <w:i/>
          <w:iCs/>
        </w:rPr>
        <w:t>Clinical Social Work Journal</w:t>
      </w:r>
      <w:r w:rsidRPr="00812546">
        <w:t xml:space="preserve"> 41(1) (2013): 93-99.</w:t>
      </w:r>
    </w:p>
  </w:endnote>
  <w:endnote w:id="20">
    <w:p w:rsidR="00785035" w:rsidRPr="00812546" w:rsidRDefault="00785035" w:rsidP="00785035">
      <w:pPr>
        <w:pStyle w:val="EndnoteText"/>
        <w:rPr>
          <w:i/>
        </w:rPr>
      </w:pPr>
      <w:r w:rsidRPr="00812546">
        <w:rPr>
          <w:rStyle w:val="EndnoteReference"/>
        </w:rPr>
        <w:endnoteRef/>
      </w:r>
      <w:r w:rsidRPr="00812546">
        <w:t xml:space="preserve"> </w:t>
      </w:r>
      <w:r>
        <w:t xml:space="preserve">Deborah </w:t>
      </w:r>
      <w:r w:rsidRPr="00812546">
        <w:t xml:space="preserve">Rook, “For the Love of Darcie: Recognising the Human-Companion Animal Relationship in Housing Law and Policy” </w:t>
      </w:r>
      <w:r w:rsidRPr="00812546">
        <w:rPr>
          <w:i/>
        </w:rPr>
        <w:t xml:space="preserve">Liverpool Law Review </w:t>
      </w:r>
      <w:r w:rsidRPr="00812546">
        <w:t>39 (2018): 29-46.</w:t>
      </w:r>
    </w:p>
  </w:endnote>
  <w:endnote w:id="21">
    <w:p w:rsidR="00785035" w:rsidRPr="009839F2" w:rsidRDefault="00785035" w:rsidP="00785035">
      <w:pPr>
        <w:pStyle w:val="EndnoteText"/>
        <w:rPr>
          <w:lang w:val="en-US"/>
        </w:rPr>
      </w:pPr>
      <w:r w:rsidRPr="00812546">
        <w:rPr>
          <w:rStyle w:val="EndnoteReference"/>
        </w:rPr>
        <w:endnoteRef/>
      </w:r>
      <w:r w:rsidRPr="00812546">
        <w:t xml:space="preserve"> </w:t>
      </w:r>
      <w:r>
        <w:t xml:space="preserve">Mary </w:t>
      </w:r>
      <w:r w:rsidRPr="00812546">
        <w:rPr>
          <w:lang w:val="en-US"/>
        </w:rPr>
        <w:t xml:space="preserve">Douglas, </w:t>
      </w:r>
      <w:r w:rsidRPr="00812546">
        <w:rPr>
          <w:i/>
          <w:iCs/>
          <w:lang w:val="en-US"/>
        </w:rPr>
        <w:t xml:space="preserve">Purity and danger: </w:t>
      </w:r>
      <w:r w:rsidRPr="009839F2">
        <w:rPr>
          <w:i/>
          <w:iCs/>
          <w:lang w:val="en-US"/>
        </w:rPr>
        <w:t>An analysis of concepts of pollution and taboo</w:t>
      </w:r>
      <w:r w:rsidRPr="009839F2">
        <w:rPr>
          <w:lang w:val="en-US"/>
        </w:rPr>
        <w:t xml:space="preserve"> (London: Routledge, </w:t>
      </w:r>
      <w:r w:rsidRPr="009839F2">
        <w:t>1966).</w:t>
      </w:r>
    </w:p>
  </w:endnote>
  <w:endnote w:id="22">
    <w:p w:rsidR="00785035" w:rsidRPr="009839F2" w:rsidRDefault="00785035" w:rsidP="00785035">
      <w:pPr>
        <w:pStyle w:val="EndnoteText"/>
      </w:pPr>
      <w:r w:rsidRPr="009839F2">
        <w:rPr>
          <w:rStyle w:val="EndnoteReference"/>
        </w:rPr>
        <w:endnoteRef/>
      </w:r>
      <w:r w:rsidRPr="009839F2">
        <w:t xml:space="preserve"> Ben Campkin, “</w:t>
      </w:r>
      <w:r w:rsidRPr="009839F2">
        <w:rPr>
          <w:bCs/>
        </w:rPr>
        <w:t>Placing ‘Matter Out of Place’: </w:t>
      </w:r>
      <w:r w:rsidRPr="009839F2">
        <w:rPr>
          <w:bCs/>
          <w:i/>
          <w:iCs/>
        </w:rPr>
        <w:t>Purity and Danger</w:t>
      </w:r>
      <w:r w:rsidRPr="009839F2">
        <w:rPr>
          <w:bCs/>
        </w:rPr>
        <w:t> as Evidence for Architecture and Urbanism”</w:t>
      </w:r>
      <w:r w:rsidRPr="009839F2">
        <w:t xml:space="preserve"> </w:t>
      </w:r>
      <w:r w:rsidRPr="009839F2">
        <w:rPr>
          <w:i/>
          <w:iCs/>
        </w:rPr>
        <w:t xml:space="preserve">Architectural Theory Review </w:t>
      </w:r>
      <w:r w:rsidRPr="009839F2">
        <w:t>18(1), 2013, 46-71,  55.</w:t>
      </w:r>
    </w:p>
  </w:endnote>
  <w:endnote w:id="23">
    <w:p w:rsidR="00785035" w:rsidRPr="00365CBA" w:rsidRDefault="00785035" w:rsidP="00785035">
      <w:pPr>
        <w:pStyle w:val="EndnoteText"/>
        <w:rPr>
          <w:color w:val="000000" w:themeColor="text1"/>
          <w:lang w:val="en-US"/>
        </w:rPr>
      </w:pPr>
      <w:r w:rsidRPr="009839F2">
        <w:rPr>
          <w:rStyle w:val="EndnoteReference"/>
        </w:rPr>
        <w:endnoteRef/>
      </w:r>
      <w:r w:rsidRPr="009839F2">
        <w:t xml:space="preserve"> An interesting question is whether companion animals are more acceptable as temporary visitors, rather than residents, in care homes. For, instance dogs trained in Pet Assisted Therapy (PAT) may be seen as appropriately trained and hence less disruptive in care home </w:t>
      </w:r>
      <w:r w:rsidRPr="009839F2">
        <w:rPr>
          <w:color w:val="000000" w:themeColor="text1"/>
        </w:rPr>
        <w:t xml:space="preserve">settings. </w:t>
      </w:r>
      <w:r>
        <w:rPr>
          <w:color w:val="000000" w:themeColor="text1"/>
        </w:rPr>
        <w:t xml:space="preserve">Judith </w:t>
      </w:r>
      <w:r w:rsidRPr="009839F2">
        <w:rPr>
          <w:color w:val="000000" w:themeColor="text1"/>
        </w:rPr>
        <w:t>Gammonley</w:t>
      </w:r>
      <w:r>
        <w:rPr>
          <w:color w:val="000000" w:themeColor="text1"/>
        </w:rPr>
        <w:t xml:space="preserve"> and Judy </w:t>
      </w:r>
      <w:r w:rsidRPr="009839F2">
        <w:rPr>
          <w:color w:val="000000" w:themeColor="text1"/>
        </w:rPr>
        <w:t>Yates</w:t>
      </w:r>
      <w:r>
        <w:rPr>
          <w:color w:val="000000" w:themeColor="text1"/>
        </w:rPr>
        <w:t>,</w:t>
      </w:r>
      <w:r w:rsidRPr="009839F2">
        <w:rPr>
          <w:color w:val="000000" w:themeColor="text1"/>
        </w:rPr>
        <w:t xml:space="preserve"> </w:t>
      </w:r>
      <w:r>
        <w:rPr>
          <w:color w:val="000000" w:themeColor="text1"/>
        </w:rPr>
        <w:t>“</w:t>
      </w:r>
      <w:r w:rsidRPr="009839F2">
        <w:rPr>
          <w:color w:val="000000" w:themeColor="text1"/>
        </w:rPr>
        <w:t>Pet Projects: Animal Assisted Therapy in Nursing Homes</w:t>
      </w:r>
      <w:r>
        <w:rPr>
          <w:color w:val="000000" w:themeColor="text1"/>
        </w:rPr>
        <w:t>”</w:t>
      </w:r>
      <w:r w:rsidRPr="009839F2">
        <w:rPr>
          <w:color w:val="000000" w:themeColor="text1"/>
        </w:rPr>
        <w:t> </w:t>
      </w:r>
      <w:r w:rsidRPr="009839F2">
        <w:rPr>
          <w:i/>
          <w:iCs/>
          <w:color w:val="000000" w:themeColor="text1"/>
        </w:rPr>
        <w:t>J Gerontol Nurs.</w:t>
      </w:r>
      <w:r w:rsidRPr="009839F2">
        <w:rPr>
          <w:color w:val="000000" w:themeColor="text1"/>
        </w:rPr>
        <w:t>17(1)</w:t>
      </w:r>
      <w:r>
        <w:rPr>
          <w:color w:val="000000" w:themeColor="text1"/>
        </w:rPr>
        <w:t xml:space="preserve"> (1991): </w:t>
      </w:r>
      <w:r w:rsidRPr="009839F2">
        <w:rPr>
          <w:color w:val="000000" w:themeColor="text1"/>
        </w:rPr>
        <w:t>12-15.</w:t>
      </w:r>
      <w:r>
        <w:rPr>
          <w:color w:val="000000" w:themeColor="text1"/>
        </w:rPr>
        <w:t xml:space="preserve"> It has also been noted that the failure to address the relative benefits of companion animals who live on the premises compared to those who visit is a significant limation of current research </w:t>
      </w:r>
      <w:r>
        <w:rPr>
          <w:color w:val="000000" w:themeColor="text1"/>
          <w:lang w:val="en-US"/>
        </w:rPr>
        <w:t>-</w:t>
      </w:r>
      <w:r w:rsidRPr="00365CBA">
        <w:rPr>
          <w:color w:val="000000" w:themeColor="text1"/>
          <w:lang w:val="en-US"/>
        </w:rPr>
        <w:t xml:space="preserve"> IFA, “Measuring the Benefits”, 18.</w:t>
      </w:r>
    </w:p>
  </w:endnote>
  <w:endnote w:id="24">
    <w:p w:rsidR="00785035" w:rsidRPr="00812546" w:rsidRDefault="00785035" w:rsidP="00785035">
      <w:pPr>
        <w:pStyle w:val="EndnoteText"/>
        <w:rPr>
          <w:lang w:val="en-US"/>
        </w:rPr>
      </w:pPr>
      <w:r w:rsidRPr="009839F2">
        <w:rPr>
          <w:rStyle w:val="EndnoteReference"/>
        </w:rPr>
        <w:endnoteRef/>
      </w:r>
      <w:r w:rsidRPr="009839F2">
        <w:t xml:space="preserve"> See, e.g. James </w:t>
      </w:r>
      <w:r w:rsidRPr="009839F2">
        <w:rPr>
          <w:lang w:val="en-US"/>
        </w:rPr>
        <w:t xml:space="preserve">Serpell, “From paragon to pariah: some reflections on human attitudes to dogs” in </w:t>
      </w:r>
      <w:r w:rsidRPr="009839F2">
        <w:rPr>
          <w:i/>
          <w:lang w:val="en-US"/>
        </w:rPr>
        <w:t>The Domestic Dog: its evolution, behaviour and interventions w</w:t>
      </w:r>
      <w:r w:rsidRPr="00812546">
        <w:rPr>
          <w:i/>
          <w:lang w:val="en-US"/>
        </w:rPr>
        <w:t>ith people</w:t>
      </w:r>
      <w:r w:rsidRPr="00812546">
        <w:rPr>
          <w:lang w:val="en-US"/>
        </w:rPr>
        <w:t xml:space="preserve"> edited by Serpell (Cambridge: Cambridge University Press, 1995) 245-56</w:t>
      </w:r>
      <w:r w:rsidRPr="00812546">
        <w:t xml:space="preserve">; </w:t>
      </w:r>
      <w:r>
        <w:t xml:space="preserve">Lesly </w:t>
      </w:r>
      <w:r w:rsidRPr="00812546">
        <w:t xml:space="preserve">Instone and </w:t>
      </w:r>
      <w:r>
        <w:t xml:space="preserve">Jill </w:t>
      </w:r>
      <w:r w:rsidRPr="00812546">
        <w:t>Sweeney, “</w:t>
      </w:r>
      <w:r w:rsidRPr="00812546">
        <w:rPr>
          <w:bCs/>
        </w:rPr>
        <w:t xml:space="preserve">Dog Waste, Wasted Dogs: The Contribution of Human–Dog Relations to the Political Ecology of Australian Urban Space” </w:t>
      </w:r>
      <w:r w:rsidRPr="00812546">
        <w:rPr>
          <w:bCs/>
          <w:i/>
        </w:rPr>
        <w:t>Geographical Research</w:t>
      </w:r>
      <w:r w:rsidRPr="00812546">
        <w:rPr>
          <w:bCs/>
        </w:rPr>
        <w:t xml:space="preserve"> 52(4) (2014): 355-364</w:t>
      </w:r>
      <w:r>
        <w:t>;</w:t>
      </w:r>
      <w:r w:rsidRPr="00812546">
        <w:t xml:space="preserve"> </w:t>
      </w:r>
      <w:r>
        <w:t xml:space="preserve">Neil </w:t>
      </w:r>
      <w:r w:rsidRPr="00812546">
        <w:rPr>
          <w:lang w:val="en-US"/>
        </w:rPr>
        <w:t xml:space="preserve">Pemberton, “The Burnley Dog War: The Politics of Dog-Walking and the Battle over Public Parks in Post-Industrial Britain” </w:t>
      </w:r>
      <w:r w:rsidRPr="00812546">
        <w:rPr>
          <w:i/>
          <w:lang w:val="en-US"/>
        </w:rPr>
        <w:t>Twentieth Century British History</w:t>
      </w:r>
      <w:r w:rsidRPr="00812546">
        <w:rPr>
          <w:lang w:val="en-US"/>
        </w:rPr>
        <w:t xml:space="preserve"> 28(2) (2017): 239-67,</w:t>
      </w:r>
      <w:r w:rsidRPr="00812546">
        <w:t xml:space="preserve"> tracing constructions of dogs as ‘invading species’, ‘potential contaminants’ ‘filthy and impure’ etc.</w:t>
      </w:r>
    </w:p>
  </w:endnote>
  <w:endnote w:id="25">
    <w:p w:rsidR="00785035" w:rsidRPr="00812546" w:rsidRDefault="00785035" w:rsidP="00785035">
      <w:pPr>
        <w:pStyle w:val="EndnoteText"/>
      </w:pPr>
      <w:r w:rsidRPr="00812546">
        <w:rPr>
          <w:rStyle w:val="EndnoteReference"/>
        </w:rPr>
        <w:endnoteRef/>
      </w:r>
      <w:r w:rsidRPr="00812546">
        <w:t xml:space="preserve"> </w:t>
      </w:r>
      <w:r>
        <w:t xml:space="preserve">Susanna </w:t>
      </w:r>
      <w:r w:rsidRPr="00812546">
        <w:t xml:space="preserve">Doyle, “The impact of power differentials on the care experiences of older people” </w:t>
      </w:r>
      <w:r w:rsidRPr="00812546">
        <w:rPr>
          <w:i/>
        </w:rPr>
        <w:t>Journal of Elder Abuse &amp; Neglect</w:t>
      </w:r>
      <w:r w:rsidRPr="00812546">
        <w:t>, 26(3) (2014): 319-332.</w:t>
      </w:r>
    </w:p>
  </w:endnote>
  <w:endnote w:id="26">
    <w:p w:rsidR="00785035" w:rsidRPr="00812546" w:rsidRDefault="00785035" w:rsidP="00785035">
      <w:pPr>
        <w:pStyle w:val="EndnoteText"/>
      </w:pPr>
      <w:r w:rsidRPr="00812546">
        <w:rPr>
          <w:rStyle w:val="EndnoteReference"/>
        </w:rPr>
        <w:endnoteRef/>
      </w:r>
      <w:r w:rsidRPr="00812546">
        <w:t xml:space="preserve"> </w:t>
      </w:r>
      <w:r w:rsidRPr="00812546">
        <w:rPr>
          <w:lang w:val="en-US"/>
        </w:rPr>
        <w:t>Fineman, “Elderly as Vulnerable” 117.</w:t>
      </w:r>
    </w:p>
  </w:endnote>
  <w:endnote w:id="27">
    <w:p w:rsidR="00785035" w:rsidRPr="00812546" w:rsidRDefault="00785035" w:rsidP="00785035">
      <w:pPr>
        <w:pStyle w:val="EndnoteText"/>
      </w:pPr>
      <w:r w:rsidRPr="00812546">
        <w:rPr>
          <w:rStyle w:val="EndnoteReference"/>
        </w:rPr>
        <w:endnoteRef/>
      </w:r>
      <w:r w:rsidRPr="00812546">
        <w:t xml:space="preserve"> These include survivors of domestic violence, forced to flee their home and abandon animals (Dogs Trust’s </w:t>
      </w:r>
      <w:r w:rsidRPr="00812546">
        <w:rPr>
          <w:i/>
        </w:rPr>
        <w:t>Freedom Project</w:t>
      </w:r>
      <w:r w:rsidRPr="00812546">
        <w:t xml:space="preserve"> - https://www.dogstrust.org.uk/help-advice/hope-project-freedom-project/freedom-project), children in care separated from companion animals </w:t>
      </w:r>
      <w:r>
        <w:t>–</w:t>
      </w:r>
      <w:r w:rsidRPr="00812546">
        <w:t xml:space="preserve"> </w:t>
      </w:r>
      <w:r>
        <w:t xml:space="preserve">Roxanne </w:t>
      </w:r>
      <w:r w:rsidRPr="00812546">
        <w:t xml:space="preserve">Hawkins, </w:t>
      </w:r>
      <w:r>
        <w:t>Joanne</w:t>
      </w:r>
      <w:r w:rsidRPr="00812546">
        <w:t xml:space="preserve"> McWilliams and Scottish SPCA, “</w:t>
      </w:r>
      <w:r w:rsidRPr="00812546">
        <w:rPr>
          <w:lang w:val="en-US"/>
        </w:rPr>
        <w:t xml:space="preserve">Childhood Attachment to Pets: Associations between Pet Attachment, Attitudes to Animals, Compassion, and Humane Behaviour” </w:t>
      </w:r>
      <w:r w:rsidRPr="00812546">
        <w:rPr>
          <w:i/>
          <w:iCs/>
        </w:rPr>
        <w:t>Int. J. Environ. Res. Public Health</w:t>
      </w:r>
      <w:r w:rsidRPr="00812546">
        <w:t xml:space="preserve"> </w:t>
      </w:r>
      <w:r w:rsidRPr="00812546">
        <w:rPr>
          <w:lang w:val="en-US"/>
        </w:rPr>
        <w:t xml:space="preserve">14(5) </w:t>
      </w:r>
      <w:r w:rsidRPr="00812546">
        <w:t xml:space="preserve">(2017): 490-505., and the removal of so-called ‘dangerous dogs’ from families </w:t>
      </w:r>
      <w:r>
        <w:t>–</w:t>
      </w:r>
      <w:r w:rsidRPr="00812546">
        <w:t xml:space="preserve"> </w:t>
      </w:r>
      <w:r>
        <w:t xml:space="preserve">Marie </w:t>
      </w:r>
      <w:r w:rsidRPr="00812546">
        <w:t>Fox</w:t>
      </w:r>
      <w:r w:rsidRPr="00812546">
        <w:rPr>
          <w:lang w:val="en-US"/>
        </w:rPr>
        <w:t xml:space="preserve"> and Fiona Cook, “Judging Dangerous Dogs: </w:t>
      </w:r>
      <w:r w:rsidRPr="00812546">
        <w:rPr>
          <w:bCs/>
        </w:rPr>
        <w:t xml:space="preserve">Barnes v Belfast CC” in  </w:t>
      </w:r>
      <w:r w:rsidRPr="00812546">
        <w:rPr>
          <w:bCs/>
          <w:i/>
        </w:rPr>
        <w:t>Northern/Irish Feminist Judgmen</w:t>
      </w:r>
      <w:r w:rsidRPr="00812546">
        <w:rPr>
          <w:bCs/>
        </w:rPr>
        <w:t xml:space="preserve">ts: </w:t>
      </w:r>
      <w:r w:rsidRPr="00812546">
        <w:rPr>
          <w:bCs/>
          <w:i/>
        </w:rPr>
        <w:t xml:space="preserve">Judges; Troubles and the Gendered Politics of Identity, </w:t>
      </w:r>
      <w:r w:rsidRPr="00812546">
        <w:rPr>
          <w:bCs/>
        </w:rPr>
        <w:t>ed. M</w:t>
      </w:r>
      <w:r>
        <w:rPr>
          <w:bCs/>
        </w:rPr>
        <w:t>airead</w:t>
      </w:r>
      <w:r w:rsidRPr="00812546">
        <w:rPr>
          <w:bCs/>
        </w:rPr>
        <w:t xml:space="preserve"> Enright, J</w:t>
      </w:r>
      <w:r>
        <w:rPr>
          <w:bCs/>
        </w:rPr>
        <w:t>ulie</w:t>
      </w:r>
      <w:r w:rsidRPr="00812546">
        <w:rPr>
          <w:bCs/>
        </w:rPr>
        <w:t xml:space="preserve"> McCandless and A</w:t>
      </w:r>
      <w:r>
        <w:rPr>
          <w:bCs/>
        </w:rPr>
        <w:t>oife</w:t>
      </w:r>
      <w:r w:rsidRPr="00812546">
        <w:rPr>
          <w:bCs/>
        </w:rPr>
        <w:t xml:space="preserve"> O’Donoghue (Oxford: Hart Publishing, 2017)</w:t>
      </w:r>
      <w:r w:rsidRPr="00812546">
        <w:t>. More generally, homelessness (</w:t>
      </w:r>
      <w:r>
        <w:t xml:space="preserve">see Helen </w:t>
      </w:r>
      <w:r w:rsidRPr="00812546">
        <w:t xml:space="preserve">Carr, “Caring at the borders of the human: companion animals and the homeless” in </w:t>
      </w:r>
      <w:r w:rsidRPr="00812546">
        <w:rPr>
          <w:i/>
          <w:iCs/>
        </w:rPr>
        <w:t>Revaluing care in theory, law and policy</w:t>
      </w:r>
      <w:r w:rsidRPr="00812546">
        <w:t xml:space="preserve"> edited by Rosie Harding, Ruth Fletcher and Christine Beasley (London: Routledge 2016), the precarious nature of private rented and social housing (</w:t>
      </w:r>
      <w:r>
        <w:t xml:space="preserve">see </w:t>
      </w:r>
      <w:r w:rsidRPr="00812546">
        <w:t>Rook, “For the Love of Darcie”) and divorce/family breakdown (</w:t>
      </w:r>
      <w:r>
        <w:t xml:space="preserve">see Deborah </w:t>
      </w:r>
      <w:r w:rsidRPr="00812546">
        <w:t>Rook, “</w:t>
      </w:r>
      <w:r w:rsidRPr="00812546">
        <w:rPr>
          <w:bCs/>
        </w:rPr>
        <w:t>Who Gets Charlie? The Emergence of Pet Custody Disputes in Family Law: Adapting Theoretical Tools from Child Law”</w:t>
      </w:r>
      <w:r w:rsidRPr="00812546">
        <w:t xml:space="preserve"> </w:t>
      </w:r>
      <w:r w:rsidRPr="00812546">
        <w:rPr>
          <w:i/>
          <w:iCs/>
        </w:rPr>
        <w:t>International Journal of Law, Policy and the Family</w:t>
      </w:r>
      <w:r w:rsidRPr="00812546">
        <w:t>, 28(2) (2014): 177–193) can all entail disruption of human-animal relationships.</w:t>
      </w:r>
    </w:p>
  </w:endnote>
  <w:endnote w:id="28">
    <w:p w:rsidR="00785035" w:rsidRPr="00812546" w:rsidRDefault="00785035" w:rsidP="00785035">
      <w:pPr>
        <w:pStyle w:val="EndnoteText"/>
      </w:pPr>
      <w:r w:rsidRPr="00812546">
        <w:rPr>
          <w:rStyle w:val="EndnoteReference"/>
        </w:rPr>
        <w:endnoteRef/>
      </w:r>
      <w:r w:rsidRPr="00812546">
        <w:t xml:space="preserve"> </w:t>
      </w:r>
      <w:r>
        <w:t xml:space="preserve">Lorna </w:t>
      </w:r>
      <w:r w:rsidRPr="00812546">
        <w:t xml:space="preserve">Fox-O’Mahoney, </w:t>
      </w:r>
      <w:r w:rsidRPr="00812546">
        <w:rPr>
          <w:i/>
        </w:rPr>
        <w:t xml:space="preserve">Conceptualising Home: Theories, Laws and Policies </w:t>
      </w:r>
      <w:r w:rsidRPr="00812546">
        <w:t>(Oxford: Hart Publishing, 2006, 33.</w:t>
      </w:r>
    </w:p>
  </w:endnote>
  <w:endnote w:id="29">
    <w:p w:rsidR="00785035" w:rsidRPr="00812546" w:rsidRDefault="00785035" w:rsidP="00785035">
      <w:pPr>
        <w:pStyle w:val="EndnoteText"/>
        <w:rPr>
          <w:iCs/>
          <w:lang w:val="en-US"/>
        </w:rPr>
      </w:pPr>
      <w:r w:rsidRPr="00812546">
        <w:rPr>
          <w:rStyle w:val="EndnoteReference"/>
        </w:rPr>
        <w:endnoteRef/>
      </w:r>
      <w:r w:rsidRPr="00812546">
        <w:t xml:space="preserve"> </w:t>
      </w:r>
      <w:r>
        <w:t xml:space="preserve">Lorna </w:t>
      </w:r>
      <w:r w:rsidRPr="00812546">
        <w:t xml:space="preserve">Fox-O’Mahoney and </w:t>
      </w:r>
      <w:r>
        <w:t xml:space="preserve">James </w:t>
      </w:r>
      <w:r w:rsidRPr="00812546">
        <w:t>Sweeney, James (eds)</w:t>
      </w:r>
      <w:r w:rsidRPr="00812546">
        <w:rPr>
          <w:i/>
        </w:rPr>
        <w:t xml:space="preserve"> The Idea of Home in Law: Displacement and Dispossession </w:t>
      </w:r>
      <w:r w:rsidRPr="00812546">
        <w:t>(London: Routledge. 2011))</w:t>
      </w:r>
      <w:r w:rsidRPr="00812546">
        <w:rPr>
          <w:lang w:val="en-US"/>
        </w:rPr>
        <w:t xml:space="preserve"> 2; see also </w:t>
      </w:r>
      <w:r>
        <w:rPr>
          <w:lang w:val="en-US"/>
        </w:rPr>
        <w:t xml:space="preserve">Helen </w:t>
      </w:r>
      <w:r w:rsidRPr="00812546">
        <w:rPr>
          <w:iCs/>
        </w:rPr>
        <w:t xml:space="preserve">Carr, </w:t>
      </w:r>
      <w:r>
        <w:rPr>
          <w:iCs/>
        </w:rPr>
        <w:t>Brendan</w:t>
      </w:r>
      <w:r w:rsidRPr="00812546">
        <w:rPr>
          <w:iCs/>
        </w:rPr>
        <w:t xml:space="preserve"> Edgeworth and </w:t>
      </w:r>
      <w:r>
        <w:rPr>
          <w:iCs/>
        </w:rPr>
        <w:t xml:space="preserve">Caroline </w:t>
      </w:r>
      <w:r w:rsidRPr="00812546">
        <w:rPr>
          <w:iCs/>
        </w:rPr>
        <w:t>Hunter, (eds) </w:t>
      </w:r>
      <w:r w:rsidRPr="00812546">
        <w:rPr>
          <w:i/>
          <w:iCs/>
        </w:rPr>
        <w:t>Law and the Precarious Home: Socio-Legal Perspectives on the Home in Insecure Times</w:t>
      </w:r>
      <w:r w:rsidRPr="00812546">
        <w:rPr>
          <w:iCs/>
        </w:rPr>
        <w:t> (Oxford: Hart Publishing, 2018).</w:t>
      </w:r>
    </w:p>
  </w:endnote>
  <w:endnote w:id="30">
    <w:p w:rsidR="00785035" w:rsidRPr="00812546" w:rsidRDefault="00785035" w:rsidP="00785035">
      <w:pPr>
        <w:pStyle w:val="EndnoteText"/>
      </w:pPr>
      <w:r w:rsidRPr="00812546">
        <w:rPr>
          <w:rStyle w:val="EndnoteReference"/>
        </w:rPr>
        <w:endnoteRef/>
      </w:r>
      <w:r w:rsidRPr="00812546">
        <w:t xml:space="preserve"> </w:t>
      </w:r>
      <w:r>
        <w:t xml:space="preserve">Philip </w:t>
      </w:r>
      <w:r w:rsidRPr="00812546">
        <w:t xml:space="preserve">Howell, </w:t>
      </w:r>
      <w:r w:rsidRPr="00812546">
        <w:rPr>
          <w:i/>
        </w:rPr>
        <w:t>At Home and Astray: The Domestic Dog in Victorian Britain</w:t>
      </w:r>
      <w:r w:rsidRPr="00812546">
        <w:t xml:space="preserve"> (Charlottesville: University of Virginia Press, 2015) 3.</w:t>
      </w:r>
    </w:p>
  </w:endnote>
  <w:endnote w:id="31">
    <w:p w:rsidR="00785035" w:rsidRDefault="00785035" w:rsidP="00785035">
      <w:pPr>
        <w:pStyle w:val="EndnoteText"/>
      </w:pPr>
      <w:r>
        <w:rPr>
          <w:rStyle w:val="EndnoteReference"/>
        </w:rPr>
        <w:endnoteRef/>
      </w:r>
      <w:r>
        <w:t xml:space="preserve"> Steven </w:t>
      </w:r>
      <w:r w:rsidRPr="00531CA0">
        <w:t xml:space="preserve">Wise, “The Legal Thinghood of Non-human Animals’ </w:t>
      </w:r>
      <w:r w:rsidRPr="00531CA0">
        <w:rPr>
          <w:i/>
        </w:rPr>
        <w:t>BC Envl Aff  L Rev</w:t>
      </w:r>
      <w:r w:rsidRPr="00531CA0">
        <w:t xml:space="preserve"> 23 (1996): 471.</w:t>
      </w:r>
    </w:p>
  </w:endnote>
  <w:endnote w:id="32">
    <w:p w:rsidR="00785035" w:rsidRPr="00812546" w:rsidRDefault="00785035" w:rsidP="00785035">
      <w:pPr>
        <w:pStyle w:val="EndnoteText"/>
      </w:pPr>
      <w:r w:rsidRPr="00812546">
        <w:rPr>
          <w:rStyle w:val="EndnoteReference"/>
        </w:rPr>
        <w:endnoteRef/>
      </w:r>
      <w:r w:rsidRPr="00812546">
        <w:t xml:space="preserve"> </w:t>
      </w:r>
      <w:r>
        <w:t xml:space="preserve">Adrian </w:t>
      </w:r>
      <w:r w:rsidRPr="00812546">
        <w:t xml:space="preserve">Franklin, “Human-Nonhuman Animal Relationships: An Overview of Results from the First National Survey and Follow-up Case Studies 2000- 2004” </w:t>
      </w:r>
      <w:r w:rsidRPr="00812546">
        <w:rPr>
          <w:i/>
        </w:rPr>
        <w:t>Journal of Human-Animal Studies</w:t>
      </w:r>
      <w:r w:rsidRPr="00812546">
        <w:t xml:space="preserve"> 15 (2007): 7</w:t>
      </w:r>
      <w:r w:rsidRPr="00812546">
        <w:rPr>
          <w:lang w:val="en-US"/>
        </w:rPr>
        <w:t xml:space="preserve">; see also Serpell, James and Paul, Elizabeth, “Pets in the Family: An Evolutionary Perspective” in </w:t>
      </w:r>
      <w:r w:rsidRPr="00812546">
        <w:rPr>
          <w:i/>
          <w:lang w:val="en-US"/>
        </w:rPr>
        <w:t>Oxford Handbook of Evolutionary Family Psychology</w:t>
      </w:r>
      <w:r w:rsidRPr="00812546">
        <w:rPr>
          <w:lang w:val="en-US"/>
        </w:rPr>
        <w:t xml:space="preserve"> edited by Salmon, C  and Shackleford, TK (Oxford: Oxford University Press, 2011) 297-309;</w:t>
      </w:r>
      <w:r w:rsidRPr="00812546">
        <w:t xml:space="preserve"> </w:t>
      </w:r>
      <w:r w:rsidRPr="00812546">
        <w:rPr>
          <w:lang w:val="en-US"/>
        </w:rPr>
        <w:t xml:space="preserve"> American Pet Manufacturers Association, </w:t>
      </w:r>
      <w:r w:rsidRPr="00812546">
        <w:rPr>
          <w:bCs/>
          <w:i/>
          <w:iCs/>
        </w:rPr>
        <w:t>The 2017-2018 APPA National Pet Owners Survey Debut</w:t>
      </w:r>
      <w:r w:rsidRPr="00812546">
        <w:rPr>
          <w:bCs/>
          <w:iCs/>
        </w:rPr>
        <w:t>. 2018</w:t>
      </w:r>
      <w:r>
        <w:rPr>
          <w:bCs/>
          <w:iCs/>
        </w:rPr>
        <w:t>.</w:t>
      </w:r>
      <w:r w:rsidRPr="00812546">
        <w:rPr>
          <w:bCs/>
          <w:iCs/>
        </w:rPr>
        <w:t xml:space="preserve"> </w:t>
      </w:r>
      <w:r w:rsidRPr="00812546">
        <w:rPr>
          <w:bCs/>
          <w:i/>
          <w:iCs/>
        </w:rPr>
        <w:t xml:space="preserve"> </w:t>
      </w:r>
      <w:hyperlink r:id="rId1" w:history="1">
        <w:r w:rsidRPr="00812546">
          <w:rPr>
            <w:rStyle w:val="Hyperlink"/>
            <w:lang w:val="en-US"/>
          </w:rPr>
          <w:t>https://americanpetproducts.org/Uploads/MemServices/GPE2017_NPOS_Seminar.pdf</w:t>
        </w:r>
      </w:hyperlink>
    </w:p>
  </w:endnote>
  <w:endnote w:id="33">
    <w:p w:rsidR="00785035" w:rsidRPr="00812546" w:rsidRDefault="00785035" w:rsidP="00785035">
      <w:pPr>
        <w:pStyle w:val="EndnoteText"/>
      </w:pPr>
      <w:r w:rsidRPr="00812546">
        <w:rPr>
          <w:rStyle w:val="EndnoteReference"/>
        </w:rPr>
        <w:endnoteRef/>
      </w:r>
      <w:r w:rsidRPr="00812546">
        <w:t xml:space="preserve"> </w:t>
      </w:r>
      <w:r>
        <w:t xml:space="preserve">Nickie </w:t>
      </w:r>
      <w:r w:rsidRPr="00812546">
        <w:rPr>
          <w:iCs/>
        </w:rPr>
        <w:t xml:space="preserve">Charles, “‘Animals Just Love You as You Are’: Experiencing Kinship across the Species Barrier” </w:t>
      </w:r>
      <w:r w:rsidRPr="00812546">
        <w:rPr>
          <w:i/>
          <w:iCs/>
        </w:rPr>
        <w:t xml:space="preserve">Sociology </w:t>
      </w:r>
      <w:r w:rsidRPr="00812546">
        <w:rPr>
          <w:iCs/>
        </w:rPr>
        <w:t>48 (2014): 715-30,</w:t>
      </w:r>
      <w:r w:rsidRPr="00812546">
        <w:rPr>
          <w:lang w:val="en-US"/>
        </w:rPr>
        <w:t xml:space="preserve"> 715-6</w:t>
      </w:r>
      <w:r>
        <w:rPr>
          <w:lang w:val="en-US"/>
        </w:rPr>
        <w:t>.</w:t>
      </w:r>
    </w:p>
  </w:endnote>
  <w:endnote w:id="34">
    <w:p w:rsidR="00785035" w:rsidRPr="00812546" w:rsidRDefault="00785035" w:rsidP="00785035">
      <w:pPr>
        <w:pStyle w:val="EndnoteText"/>
        <w:rPr>
          <w:bCs/>
        </w:rPr>
      </w:pPr>
      <w:r w:rsidRPr="00812546">
        <w:rPr>
          <w:rStyle w:val="EndnoteReference"/>
        </w:rPr>
        <w:endnoteRef/>
      </w:r>
      <w:r w:rsidRPr="00812546">
        <w:t xml:space="preserve"> </w:t>
      </w:r>
      <w:r>
        <w:t xml:space="preserve">Alexa </w:t>
      </w:r>
      <w:r w:rsidRPr="00812546">
        <w:t>Albert</w:t>
      </w:r>
      <w:r>
        <w:t xml:space="preserve"> </w:t>
      </w:r>
      <w:r w:rsidRPr="00812546">
        <w:t xml:space="preserve">and </w:t>
      </w:r>
      <w:r>
        <w:t xml:space="preserve">Kris </w:t>
      </w:r>
      <w:r w:rsidRPr="00812546">
        <w:t>Bulcroft, “</w:t>
      </w:r>
      <w:r w:rsidRPr="00812546">
        <w:rPr>
          <w:bCs/>
        </w:rPr>
        <w:t xml:space="preserve">Pets, Families, and the Life Course” </w:t>
      </w:r>
      <w:r w:rsidRPr="00812546">
        <w:rPr>
          <w:i/>
          <w:iCs/>
        </w:rPr>
        <w:t>Journal of Marriage and Family</w:t>
      </w:r>
      <w:r w:rsidRPr="00812546">
        <w:rPr>
          <w:bCs/>
        </w:rPr>
        <w:t xml:space="preserve"> </w:t>
      </w:r>
      <w:r w:rsidRPr="00812546">
        <w:t xml:space="preserve">50 (2) (May, 1988): 543-552, 545. </w:t>
      </w:r>
      <w:r>
        <w:t>T</w:t>
      </w:r>
      <w:r w:rsidRPr="00812546">
        <w:t>he same authors found that families in the ‘middle stages of the life course demonstrate lower levels of pet attachment than those later in the life course’ (549), while noting that ‘housing restrictions and the desire for autonomy may limit the number of elderly widowed people who have pets’ (550).</w:t>
      </w:r>
    </w:p>
  </w:endnote>
  <w:endnote w:id="35">
    <w:p w:rsidR="00785035" w:rsidRPr="00812546" w:rsidRDefault="00785035" w:rsidP="00785035">
      <w:pPr>
        <w:pStyle w:val="EndnoteText"/>
      </w:pPr>
      <w:r w:rsidRPr="00812546">
        <w:rPr>
          <w:rStyle w:val="EndnoteReference"/>
        </w:rPr>
        <w:endnoteRef/>
      </w:r>
      <w:r w:rsidRPr="00812546">
        <w:t xml:space="preserve"> </w:t>
      </w:r>
      <w:r>
        <w:t xml:space="preserve">Gary </w:t>
      </w:r>
      <w:r w:rsidRPr="00812546">
        <w:t xml:space="preserve">Francione, </w:t>
      </w:r>
      <w:r w:rsidRPr="00812546">
        <w:rPr>
          <w:i/>
        </w:rPr>
        <w:t xml:space="preserve">Animals, Property and the Law </w:t>
      </w:r>
      <w:r w:rsidRPr="00812546">
        <w:t>(Rutgers: Temple University Press, 1995).</w:t>
      </w:r>
    </w:p>
  </w:endnote>
  <w:endnote w:id="36">
    <w:p w:rsidR="00785035" w:rsidRPr="00C3434B" w:rsidRDefault="00785035" w:rsidP="00785035">
      <w:pPr>
        <w:pStyle w:val="EndnoteText"/>
        <w:rPr>
          <w:lang w:val="en-US"/>
        </w:rPr>
      </w:pPr>
      <w:r>
        <w:rPr>
          <w:rStyle w:val="EndnoteReference"/>
        </w:rPr>
        <w:endnoteRef/>
      </w:r>
      <w:r>
        <w:t xml:space="preserve"> Law struggles with this tension in a variety of contexts. It is particularly well captured in the EU context, where animals have a dual status as both tradeable products and sentient beings – Katy Sowery, </w:t>
      </w:r>
      <w:r>
        <w:rPr>
          <w:lang w:val="en-US"/>
        </w:rPr>
        <w:t>“S</w:t>
      </w:r>
      <w:r w:rsidRPr="00C3434B">
        <w:rPr>
          <w:lang w:val="en-US"/>
        </w:rPr>
        <w:t xml:space="preserve">entient </w:t>
      </w:r>
      <w:r>
        <w:rPr>
          <w:lang w:val="en-US"/>
        </w:rPr>
        <w:t>B</w:t>
      </w:r>
      <w:r w:rsidRPr="00C3434B">
        <w:rPr>
          <w:lang w:val="en-US"/>
        </w:rPr>
        <w:t xml:space="preserve">eings and </w:t>
      </w:r>
      <w:r>
        <w:rPr>
          <w:lang w:val="en-US"/>
        </w:rPr>
        <w:t>T</w:t>
      </w:r>
      <w:r w:rsidRPr="00C3434B">
        <w:rPr>
          <w:lang w:val="en-US"/>
        </w:rPr>
        <w:t>rad</w:t>
      </w:r>
      <w:r>
        <w:rPr>
          <w:lang w:val="en-US"/>
        </w:rPr>
        <w:t>e</w:t>
      </w:r>
      <w:r w:rsidRPr="00C3434B">
        <w:rPr>
          <w:lang w:val="en-US"/>
        </w:rPr>
        <w:t xml:space="preserve">able </w:t>
      </w:r>
      <w:r>
        <w:rPr>
          <w:lang w:val="en-US"/>
        </w:rPr>
        <w:t>P</w:t>
      </w:r>
      <w:r w:rsidRPr="00C3434B">
        <w:rPr>
          <w:lang w:val="en-US"/>
        </w:rPr>
        <w:t xml:space="preserve">roducts: The </w:t>
      </w:r>
      <w:r>
        <w:rPr>
          <w:lang w:val="en-US"/>
        </w:rPr>
        <w:t>C</w:t>
      </w:r>
      <w:r w:rsidRPr="00C3434B">
        <w:rPr>
          <w:lang w:val="en-US"/>
        </w:rPr>
        <w:t>urious</w:t>
      </w:r>
      <w:r>
        <w:rPr>
          <w:lang w:val="en-US"/>
        </w:rPr>
        <w:t xml:space="preserve"> C</w:t>
      </w:r>
      <w:r w:rsidRPr="00C3434B">
        <w:rPr>
          <w:lang w:val="en-US"/>
        </w:rPr>
        <w:t xml:space="preserve">onstitutional </w:t>
      </w:r>
      <w:r>
        <w:rPr>
          <w:lang w:val="en-US"/>
        </w:rPr>
        <w:t>S</w:t>
      </w:r>
      <w:r w:rsidRPr="00C3434B">
        <w:rPr>
          <w:lang w:val="en-US"/>
        </w:rPr>
        <w:t xml:space="preserve">tatus of </w:t>
      </w:r>
      <w:r>
        <w:rPr>
          <w:lang w:val="en-US"/>
        </w:rPr>
        <w:t>A</w:t>
      </w:r>
      <w:r w:rsidRPr="00C3434B">
        <w:rPr>
          <w:lang w:val="en-US"/>
        </w:rPr>
        <w:t xml:space="preserve">nimals under </w:t>
      </w:r>
      <w:r>
        <w:rPr>
          <w:lang w:val="en-US"/>
        </w:rPr>
        <w:t>U</w:t>
      </w:r>
      <w:r w:rsidRPr="00C3434B">
        <w:rPr>
          <w:lang w:val="en-US"/>
        </w:rPr>
        <w:t xml:space="preserve">nion </w:t>
      </w:r>
      <w:r>
        <w:rPr>
          <w:lang w:val="en-US"/>
        </w:rPr>
        <w:t>L</w:t>
      </w:r>
      <w:r w:rsidRPr="00C3434B">
        <w:rPr>
          <w:lang w:val="en-US"/>
        </w:rPr>
        <w:t>aw</w:t>
      </w:r>
      <w:r>
        <w:rPr>
          <w:lang w:val="en-US"/>
        </w:rPr>
        <w:t xml:space="preserve">” </w:t>
      </w:r>
      <w:r w:rsidRPr="00D4082F">
        <w:rPr>
          <w:i/>
          <w:lang w:val="en-US"/>
        </w:rPr>
        <w:t xml:space="preserve">Common Market Law Review </w:t>
      </w:r>
      <w:r w:rsidRPr="00C3434B">
        <w:rPr>
          <w:lang w:val="en-US"/>
        </w:rPr>
        <w:t>55</w:t>
      </w:r>
      <w:r>
        <w:rPr>
          <w:lang w:val="en-US"/>
        </w:rPr>
        <w:t>(</w:t>
      </w:r>
      <w:r w:rsidRPr="00C3434B">
        <w:rPr>
          <w:lang w:val="en-US"/>
        </w:rPr>
        <w:t>1</w:t>
      </w:r>
      <w:r>
        <w:rPr>
          <w:lang w:val="en-US"/>
        </w:rPr>
        <w:t xml:space="preserve">) </w:t>
      </w:r>
      <w:r w:rsidRPr="00C3434B">
        <w:rPr>
          <w:lang w:val="en-US"/>
        </w:rPr>
        <w:t>(2018)</w:t>
      </w:r>
      <w:r>
        <w:rPr>
          <w:lang w:val="en-US"/>
        </w:rPr>
        <w:t xml:space="preserve"> 55-99.</w:t>
      </w:r>
    </w:p>
  </w:endnote>
  <w:endnote w:id="37">
    <w:p w:rsidR="00785035" w:rsidRPr="00812546" w:rsidRDefault="00785035" w:rsidP="00785035">
      <w:pPr>
        <w:pStyle w:val="EndnoteText"/>
        <w:rPr>
          <w:b/>
          <w:bCs/>
        </w:rPr>
      </w:pPr>
      <w:r w:rsidRPr="00812546">
        <w:rPr>
          <w:rStyle w:val="EndnoteReference"/>
        </w:rPr>
        <w:endnoteRef/>
      </w:r>
      <w:r w:rsidRPr="00812546">
        <w:t xml:space="preserve"> </w:t>
      </w:r>
      <w:r>
        <w:t xml:space="preserve">Jessica </w:t>
      </w:r>
      <w:r w:rsidRPr="00812546">
        <w:rPr>
          <w:lang w:val="en-US"/>
        </w:rPr>
        <w:t xml:space="preserve">Pierce, </w:t>
      </w:r>
      <w:r w:rsidRPr="00812546">
        <w:rPr>
          <w:i/>
          <w:lang w:val="en-US"/>
        </w:rPr>
        <w:t>R</w:t>
      </w:r>
      <w:r w:rsidRPr="00812546">
        <w:rPr>
          <w:bCs/>
          <w:i/>
        </w:rPr>
        <w:t>un, Spot, Run: The Ethics of Keeping Pets</w:t>
      </w:r>
      <w:r w:rsidRPr="00812546">
        <w:rPr>
          <w:bCs/>
        </w:rPr>
        <w:t xml:space="preserve"> (Chicago: University of Chicago Press, 2016)</w:t>
      </w:r>
    </w:p>
    <w:p w:rsidR="00785035" w:rsidRPr="00812546" w:rsidRDefault="00785035" w:rsidP="00785035">
      <w:pPr>
        <w:pStyle w:val="EndnoteText"/>
      </w:pPr>
      <w:r w:rsidRPr="00812546">
        <w:t xml:space="preserve"> 4; see also </w:t>
      </w:r>
      <w:r>
        <w:t xml:space="preserve">Donna </w:t>
      </w:r>
      <w:r w:rsidRPr="00812546">
        <w:t xml:space="preserve">Haraway, </w:t>
      </w:r>
      <w:r w:rsidRPr="00812546">
        <w:rPr>
          <w:i/>
        </w:rPr>
        <w:t>The Companion Species Manifesto: Dogs, People and Significant Others</w:t>
      </w:r>
      <w:r w:rsidRPr="00812546">
        <w:t xml:space="preserve"> (Chicago: Prickly Paradigm Press, 2003)</w:t>
      </w:r>
      <w:r>
        <w:t>;</w:t>
      </w:r>
      <w:r w:rsidRPr="00812546">
        <w:t xml:space="preserve"> </w:t>
      </w:r>
      <w:r>
        <w:t xml:space="preserve">Donna </w:t>
      </w:r>
      <w:r w:rsidRPr="00812546">
        <w:t xml:space="preserve">Haraway, </w:t>
      </w:r>
      <w:r w:rsidRPr="00812546">
        <w:rPr>
          <w:i/>
        </w:rPr>
        <w:t>When Species Meet</w:t>
      </w:r>
      <w:r w:rsidRPr="00812546">
        <w:t xml:space="preserve"> (Minneapolis: University of Minnesota, 2008); </w:t>
      </w:r>
      <w:r>
        <w:t xml:space="preserve">Susan </w:t>
      </w:r>
      <w:r w:rsidRPr="00812546">
        <w:rPr>
          <w:lang w:val="en-US"/>
        </w:rPr>
        <w:t xml:space="preserve">Squier, </w:t>
      </w:r>
      <w:r w:rsidRPr="00812546">
        <w:rPr>
          <w:i/>
          <w:lang w:val="en-US"/>
        </w:rPr>
        <w:t>Liminal Lives: Imaging the Human at the Frontiers of Biomedicine</w:t>
      </w:r>
      <w:r w:rsidRPr="00812546">
        <w:rPr>
          <w:lang w:val="en-US"/>
        </w:rPr>
        <w:t xml:space="preserve"> (Durham: Duke University Press, 2004)</w:t>
      </w:r>
      <w:r w:rsidRPr="00812546">
        <w:t xml:space="preserve">; </w:t>
      </w:r>
      <w:r>
        <w:t xml:space="preserve">Matteo </w:t>
      </w:r>
      <w:r w:rsidRPr="00812546">
        <w:t xml:space="preserve">Andreozzi, “Humans’ Best Friend? The Ethical Dilemma of Pets” </w:t>
      </w:r>
      <w:r w:rsidRPr="00812546">
        <w:rPr>
          <w:i/>
        </w:rPr>
        <w:t xml:space="preserve">Relations Beyond Anthropocentrism </w:t>
      </w:r>
      <w:r w:rsidRPr="00812546">
        <w:t>1(2) (2013) :23-35.</w:t>
      </w:r>
    </w:p>
  </w:endnote>
  <w:endnote w:id="38">
    <w:p w:rsidR="00785035" w:rsidRDefault="00785035" w:rsidP="00785035">
      <w:pPr>
        <w:pStyle w:val="EndnoteText"/>
      </w:pPr>
      <w:r>
        <w:rPr>
          <w:rStyle w:val="EndnoteReference"/>
        </w:rPr>
        <w:endnoteRef/>
      </w:r>
      <w:r>
        <w:t xml:space="preserve"> Fox, “Re-thinking Kinship”</w:t>
      </w:r>
    </w:p>
  </w:endnote>
  <w:endnote w:id="39">
    <w:p w:rsidR="00785035" w:rsidRPr="00812546" w:rsidRDefault="00785035" w:rsidP="00785035">
      <w:pPr>
        <w:pStyle w:val="EndnoteText"/>
      </w:pPr>
      <w:r w:rsidRPr="00812546">
        <w:rPr>
          <w:rStyle w:val="EndnoteReference"/>
        </w:rPr>
        <w:endnoteRef/>
      </w:r>
      <w:r w:rsidRPr="00812546">
        <w:t xml:space="preserve"> </w:t>
      </w:r>
      <w:r>
        <w:t xml:space="preserve">Victor </w:t>
      </w:r>
      <w:r w:rsidRPr="00812546">
        <w:t xml:space="preserve">Turner, </w:t>
      </w:r>
      <w:r w:rsidRPr="00812546">
        <w:rPr>
          <w:i/>
        </w:rPr>
        <w:t xml:space="preserve">The Ritual Process: Structure and Anti-structure </w:t>
      </w:r>
      <w:r w:rsidRPr="00812546">
        <w:t>(Chicago: Aldine Publishing, 1969) 116.</w:t>
      </w:r>
    </w:p>
  </w:endnote>
  <w:endnote w:id="40">
    <w:p w:rsidR="00785035" w:rsidRDefault="00785035" w:rsidP="00785035">
      <w:pPr>
        <w:pStyle w:val="EndnoteText"/>
      </w:pPr>
      <w:r>
        <w:rPr>
          <w:rStyle w:val="EndnoteReference"/>
        </w:rPr>
        <w:endnoteRef/>
      </w:r>
      <w:r>
        <w:t xml:space="preserve"> Nayha Sethi,</w:t>
      </w:r>
      <w:r w:rsidRPr="009F0D7B">
        <w:t xml:space="preserve"> </w:t>
      </w:r>
      <w:r>
        <w:t>“</w:t>
      </w:r>
      <w:r w:rsidRPr="009F0D7B">
        <w:t>Regulating for uncertainty: bridging blurred boundaries in medical innovation, research and treatment, Law, Innovation and Technology, 11</w:t>
      </w:r>
      <w:r>
        <w:t>(</w:t>
      </w:r>
      <w:r w:rsidRPr="009F0D7B">
        <w:t>1</w:t>
      </w:r>
      <w:r>
        <w:t>) (2019)</w:t>
      </w:r>
      <w:r w:rsidRPr="009F0D7B">
        <w:t xml:space="preserve"> 112-133</w:t>
      </w:r>
      <w:r>
        <w:t>, 124.</w:t>
      </w:r>
    </w:p>
  </w:endnote>
  <w:endnote w:id="41">
    <w:p w:rsidR="00785035" w:rsidRDefault="00785035" w:rsidP="00785035">
      <w:pPr>
        <w:pStyle w:val="EndnoteText"/>
      </w:pPr>
      <w:r>
        <w:rPr>
          <w:rStyle w:val="EndnoteReference"/>
        </w:rPr>
        <w:endnoteRef/>
      </w:r>
      <w:r>
        <w:t xml:space="preserve"> Latimer “Intimate Entanglements”, 250.</w:t>
      </w:r>
    </w:p>
  </w:endnote>
  <w:endnote w:id="42">
    <w:p w:rsidR="00785035" w:rsidRPr="00812546" w:rsidRDefault="00785035" w:rsidP="00785035">
      <w:pPr>
        <w:pStyle w:val="EndnoteText"/>
      </w:pPr>
      <w:r w:rsidRPr="00812546">
        <w:rPr>
          <w:rStyle w:val="EndnoteReference"/>
        </w:rPr>
        <w:endnoteRef/>
      </w:r>
      <w:r w:rsidRPr="00812546">
        <w:t xml:space="preserve"> E.g. </w:t>
      </w:r>
      <w:r>
        <w:t xml:space="preserve">David </w:t>
      </w:r>
      <w:r w:rsidRPr="00812546">
        <w:t xml:space="preserve">Favre, “Living Property: A New Status for Animals within the Legal System,” </w:t>
      </w:r>
      <w:r w:rsidRPr="00812546">
        <w:rPr>
          <w:i/>
        </w:rPr>
        <w:t>Marq. L. Rev</w:t>
      </w:r>
      <w:r w:rsidRPr="00812546">
        <w:t>. 93 (2010): 1021-71.</w:t>
      </w:r>
    </w:p>
  </w:endnote>
  <w:endnote w:id="43">
    <w:p w:rsidR="00785035" w:rsidRPr="00812546" w:rsidRDefault="00785035" w:rsidP="00785035">
      <w:pPr>
        <w:pStyle w:val="EndnoteText"/>
        <w:rPr>
          <w:lang w:val="en-US"/>
        </w:rPr>
      </w:pPr>
      <w:r w:rsidRPr="00812546">
        <w:rPr>
          <w:rStyle w:val="EndnoteReference"/>
        </w:rPr>
        <w:endnoteRef/>
      </w:r>
      <w:r w:rsidRPr="00812546">
        <w:t xml:space="preserve"> </w:t>
      </w:r>
      <w:r>
        <w:t xml:space="preserve">Tom </w:t>
      </w:r>
      <w:r w:rsidRPr="00812546">
        <w:t xml:space="preserve">Regan, </w:t>
      </w:r>
      <w:r w:rsidRPr="00812546">
        <w:rPr>
          <w:i/>
          <w:lang w:val="en-US"/>
        </w:rPr>
        <w:t>The Case for Animal Rights</w:t>
      </w:r>
      <w:r w:rsidRPr="00812546">
        <w:rPr>
          <w:lang w:val="en-US"/>
        </w:rPr>
        <w:t>, (Oakland: University of California Press, 1984).</w:t>
      </w:r>
    </w:p>
  </w:endnote>
  <w:endnote w:id="44">
    <w:p w:rsidR="00785035" w:rsidRPr="00812546" w:rsidRDefault="00785035" w:rsidP="00785035">
      <w:pPr>
        <w:pStyle w:val="EndnoteText"/>
      </w:pPr>
      <w:r w:rsidRPr="00812546">
        <w:rPr>
          <w:rStyle w:val="EndnoteReference"/>
        </w:rPr>
        <w:endnoteRef/>
      </w:r>
      <w:r w:rsidRPr="00812546">
        <w:t xml:space="preserve"> </w:t>
      </w:r>
      <w:r>
        <w:t xml:space="preserve">Robert </w:t>
      </w:r>
      <w:r w:rsidRPr="00812546">
        <w:t xml:space="preserve">Garner, </w:t>
      </w:r>
      <w:r w:rsidRPr="00812546">
        <w:rPr>
          <w:i/>
        </w:rPr>
        <w:t>A Theory of Justice for Animals</w:t>
      </w:r>
      <w:r w:rsidRPr="00812546">
        <w:t xml:space="preserve"> (Oxford: Oxford University Press, 2013).</w:t>
      </w:r>
    </w:p>
  </w:endnote>
  <w:endnote w:id="45">
    <w:p w:rsidR="00785035" w:rsidRPr="00812546" w:rsidRDefault="00785035" w:rsidP="00785035">
      <w:pPr>
        <w:pStyle w:val="EndnoteText"/>
      </w:pPr>
      <w:r w:rsidRPr="00812546">
        <w:rPr>
          <w:rStyle w:val="EndnoteReference"/>
        </w:rPr>
        <w:endnoteRef/>
      </w:r>
      <w:r w:rsidRPr="00812546">
        <w:t xml:space="preserve"> </w:t>
      </w:r>
      <w:r>
        <w:t xml:space="preserve">Sue </w:t>
      </w:r>
      <w:r w:rsidRPr="00812546">
        <w:t xml:space="preserve">Donaldson and Will Kymlicka, </w:t>
      </w:r>
      <w:r w:rsidRPr="00812546">
        <w:rPr>
          <w:i/>
        </w:rPr>
        <w:t>Zoopolis: A Political Theory of Animal Rights</w:t>
      </w:r>
      <w:r w:rsidRPr="00812546">
        <w:t xml:space="preserve"> (Oxford: Oxford University Press, 2013).</w:t>
      </w:r>
    </w:p>
  </w:endnote>
  <w:endnote w:id="46">
    <w:p w:rsidR="00785035" w:rsidRPr="00812546" w:rsidRDefault="00785035" w:rsidP="00785035">
      <w:pPr>
        <w:pStyle w:val="EndnoteText"/>
      </w:pPr>
      <w:r w:rsidRPr="00812546">
        <w:rPr>
          <w:rStyle w:val="EndnoteReference"/>
        </w:rPr>
        <w:endnoteRef/>
      </w:r>
      <w:r w:rsidRPr="00812546">
        <w:t xml:space="preserve"> </w:t>
      </w:r>
      <w:r>
        <w:t xml:space="preserve">Ani </w:t>
      </w:r>
      <w:r w:rsidRPr="00812546">
        <w:t xml:space="preserve">Satz, “Animals as Vulnerable Subjects: Beyond Interest Convergence, Hierarchy and Property” </w:t>
      </w:r>
      <w:r w:rsidRPr="00812546">
        <w:rPr>
          <w:i/>
        </w:rPr>
        <w:t>Animal Law</w:t>
      </w:r>
      <w:r w:rsidRPr="00812546">
        <w:t>: 16 (2009): 1, 71.</w:t>
      </w:r>
    </w:p>
  </w:endnote>
  <w:endnote w:id="47">
    <w:p w:rsidR="00785035" w:rsidRPr="00812546" w:rsidRDefault="00785035" w:rsidP="00785035">
      <w:pPr>
        <w:pStyle w:val="EndnoteText"/>
        <w:rPr>
          <w:lang w:val="en-US"/>
        </w:rPr>
      </w:pPr>
      <w:r w:rsidRPr="00812546">
        <w:rPr>
          <w:rStyle w:val="EndnoteReference"/>
        </w:rPr>
        <w:endnoteRef/>
      </w:r>
      <w:r w:rsidRPr="00812546">
        <w:t xml:space="preserve"> </w:t>
      </w:r>
      <w:r w:rsidRPr="00812546">
        <w:rPr>
          <w:bCs/>
          <w:lang w:bidi="en-US"/>
        </w:rPr>
        <w:t xml:space="preserve">Marie </w:t>
      </w:r>
      <w:r>
        <w:rPr>
          <w:bCs/>
          <w:lang w:bidi="en-US"/>
        </w:rPr>
        <w:t xml:space="preserve">Fox </w:t>
      </w:r>
      <w:r w:rsidRPr="00812546">
        <w:rPr>
          <w:bCs/>
          <w:lang w:bidi="en-US"/>
        </w:rPr>
        <w:t xml:space="preserve">and </w:t>
      </w:r>
      <w:r>
        <w:rPr>
          <w:bCs/>
          <w:lang w:bidi="en-US"/>
        </w:rPr>
        <w:t xml:space="preserve">Sheelagh </w:t>
      </w:r>
      <w:r w:rsidRPr="00812546">
        <w:rPr>
          <w:bCs/>
          <w:lang w:bidi="en-US"/>
        </w:rPr>
        <w:t>McGuinness, “</w:t>
      </w:r>
      <w:r w:rsidRPr="00812546">
        <w:rPr>
          <w:bCs/>
        </w:rPr>
        <w:t xml:space="preserve">The Politics of Muddling Through: Categorising Embryos”  In </w:t>
      </w:r>
      <w:r w:rsidRPr="00812546">
        <w:rPr>
          <w:bCs/>
          <w:i/>
          <w:iCs/>
        </w:rPr>
        <w:t xml:space="preserve">Pioneering Healthcare Law: Essays in Honour of the Work of Margaret Brazier </w:t>
      </w:r>
      <w:r w:rsidRPr="00812546">
        <w:rPr>
          <w:bCs/>
          <w:iCs/>
        </w:rPr>
        <w:t xml:space="preserve"> edited by Catherine Stanton </w:t>
      </w:r>
      <w:r w:rsidRPr="00812546">
        <w:rPr>
          <w:bCs/>
          <w:i/>
          <w:iCs/>
        </w:rPr>
        <w:t>et al</w:t>
      </w:r>
      <w:r w:rsidRPr="00812546">
        <w:rPr>
          <w:bCs/>
          <w:iCs/>
        </w:rPr>
        <w:t xml:space="preserve"> (London: </w:t>
      </w:r>
      <w:r w:rsidRPr="00812546">
        <w:rPr>
          <w:bCs/>
        </w:rPr>
        <w:t>Routledge, 2015) 199-210</w:t>
      </w:r>
      <w:r w:rsidRPr="00812546">
        <w:t xml:space="preserve">; </w:t>
      </w:r>
      <w:r>
        <w:t xml:space="preserve">Samuel </w:t>
      </w:r>
      <w:r w:rsidRPr="00812546">
        <w:t>Taylor-Alexander, e</w:t>
      </w:r>
      <w:r>
        <w:t>t al</w:t>
      </w:r>
      <w:r w:rsidRPr="00812546">
        <w:t xml:space="preserve"> “Beyond regulatory compression: confronting the liminal spaces of health research regulation” </w:t>
      </w:r>
      <w:r w:rsidRPr="00812546">
        <w:rPr>
          <w:i/>
        </w:rPr>
        <w:t>Law, Innovation and Technology</w:t>
      </w:r>
      <w:r w:rsidRPr="00812546">
        <w:t> 8:2 (2016): 149-176</w:t>
      </w:r>
      <w:r>
        <w:t>.</w:t>
      </w:r>
    </w:p>
  </w:endnote>
  <w:endnote w:id="48">
    <w:p w:rsidR="00785035" w:rsidRPr="00812546" w:rsidRDefault="00785035" w:rsidP="00785035">
      <w:pPr>
        <w:pStyle w:val="EndnoteText"/>
      </w:pPr>
      <w:r w:rsidRPr="00812546">
        <w:rPr>
          <w:rStyle w:val="EndnoteReference"/>
        </w:rPr>
        <w:endnoteRef/>
      </w:r>
      <w:r w:rsidRPr="00812546">
        <w:t xml:space="preserve"> </w:t>
      </w:r>
      <w:r>
        <w:t xml:space="preserve">Graeme </w:t>
      </w:r>
      <w:r w:rsidRPr="00812546">
        <w:t xml:space="preserve">Laurie, “Liminality and the Limits of Law in Health Research Regulation” </w:t>
      </w:r>
      <w:r w:rsidRPr="00812546">
        <w:rPr>
          <w:i/>
        </w:rPr>
        <w:t>Medical Law Review</w:t>
      </w:r>
      <w:r w:rsidRPr="00812546">
        <w:t xml:space="preserve"> 25(1) (2016): 47-72, 49.</w:t>
      </w:r>
    </w:p>
  </w:endnote>
  <w:endnote w:id="49">
    <w:p w:rsidR="00785035" w:rsidRPr="00812546" w:rsidRDefault="00785035" w:rsidP="00785035">
      <w:pPr>
        <w:pStyle w:val="EndnoteText"/>
        <w:rPr>
          <w:lang w:val="en-US"/>
        </w:rPr>
      </w:pPr>
      <w:r w:rsidRPr="00812546">
        <w:rPr>
          <w:rStyle w:val="EndnoteReference"/>
        </w:rPr>
        <w:endnoteRef/>
      </w:r>
      <w:r w:rsidRPr="00812546">
        <w:t xml:space="preserve"> </w:t>
      </w:r>
      <w:r>
        <w:t xml:space="preserve">Nik </w:t>
      </w:r>
      <w:r w:rsidRPr="00812546">
        <w:rPr>
          <w:lang w:val="en-US"/>
        </w:rPr>
        <w:t xml:space="preserve">Brown and </w:t>
      </w:r>
      <w:r>
        <w:rPr>
          <w:lang w:val="en-US"/>
        </w:rPr>
        <w:t xml:space="preserve">Sian </w:t>
      </w:r>
      <w:r w:rsidRPr="00812546">
        <w:rPr>
          <w:lang w:val="en-US"/>
        </w:rPr>
        <w:t xml:space="preserve">Beynon-Jones, Sian, “‘Reflex Regulation’: An Anatomy of Promissory Science Governance” </w:t>
      </w:r>
      <w:r w:rsidRPr="00812546">
        <w:rPr>
          <w:i/>
          <w:lang w:val="en-US"/>
        </w:rPr>
        <w:t>Health, Risk &amp; Society</w:t>
      </w:r>
      <w:r w:rsidRPr="00812546">
        <w:rPr>
          <w:lang w:val="en-US"/>
        </w:rPr>
        <w:t xml:space="preserve"> 14: (2012): 223-240.</w:t>
      </w:r>
    </w:p>
  </w:endnote>
  <w:endnote w:id="50">
    <w:p w:rsidR="00785035" w:rsidRPr="00812546" w:rsidRDefault="00785035" w:rsidP="00785035">
      <w:pPr>
        <w:pStyle w:val="EndnoteText"/>
      </w:pPr>
      <w:r w:rsidRPr="00812546">
        <w:rPr>
          <w:rStyle w:val="EndnoteReference"/>
        </w:rPr>
        <w:endnoteRef/>
      </w:r>
      <w:r w:rsidRPr="00812546">
        <w:t xml:space="preserve"> Howell, </w:t>
      </w:r>
      <w:r w:rsidRPr="00812546">
        <w:rPr>
          <w:i/>
        </w:rPr>
        <w:t>At Home and Astray</w:t>
      </w:r>
      <w:r>
        <w:t>,</w:t>
      </w:r>
      <w:r w:rsidRPr="00812546">
        <w:t xml:space="preserve"> 2.</w:t>
      </w:r>
    </w:p>
  </w:endnote>
  <w:endnote w:id="51">
    <w:p w:rsidR="00785035" w:rsidRPr="00812546" w:rsidRDefault="00785035" w:rsidP="00785035">
      <w:pPr>
        <w:pStyle w:val="EndnoteText"/>
      </w:pPr>
      <w:r w:rsidRPr="00812546">
        <w:rPr>
          <w:rStyle w:val="EndnoteReference"/>
        </w:rPr>
        <w:endnoteRef/>
      </w:r>
      <w:r w:rsidRPr="00812546">
        <w:t xml:space="preserve"> </w:t>
      </w:r>
      <w:r>
        <w:t xml:space="preserve">Erica </w:t>
      </w:r>
      <w:r w:rsidRPr="00812546">
        <w:t xml:space="preserve">Fudge, </w:t>
      </w:r>
      <w:r w:rsidRPr="00812546">
        <w:rPr>
          <w:i/>
        </w:rPr>
        <w:t>Pets: The Art of Living</w:t>
      </w:r>
      <w:r w:rsidRPr="00812546">
        <w:t xml:space="preserve"> (London: Acumen Press, 2008) 98-105.  </w:t>
      </w:r>
    </w:p>
  </w:endnote>
  <w:endnote w:id="52">
    <w:p w:rsidR="00785035" w:rsidRPr="00812546" w:rsidRDefault="00785035" w:rsidP="00785035">
      <w:pPr>
        <w:pStyle w:val="EndnoteText"/>
      </w:pPr>
      <w:r w:rsidRPr="00812546">
        <w:rPr>
          <w:rStyle w:val="EndnoteReference"/>
        </w:rPr>
        <w:endnoteRef/>
      </w:r>
      <w:r w:rsidRPr="00812546">
        <w:t xml:space="preserve"> Howell,</w:t>
      </w:r>
      <w:r>
        <w:t xml:space="preserve"> </w:t>
      </w:r>
      <w:r w:rsidRPr="003879C6">
        <w:rPr>
          <w:i/>
        </w:rPr>
        <w:t>At Home and Astray</w:t>
      </w:r>
      <w:r w:rsidRPr="003879C6">
        <w:t xml:space="preserve">, </w:t>
      </w:r>
      <w:r>
        <w:t>61, Chapter 3</w:t>
      </w:r>
      <w:r w:rsidRPr="003879C6">
        <w:t>.</w:t>
      </w:r>
    </w:p>
  </w:endnote>
  <w:endnote w:id="53">
    <w:p w:rsidR="00785035" w:rsidRPr="00812546" w:rsidRDefault="00785035" w:rsidP="00785035">
      <w:pPr>
        <w:pStyle w:val="EndnoteText"/>
      </w:pPr>
      <w:r w:rsidRPr="00812546">
        <w:rPr>
          <w:rStyle w:val="EndnoteReference"/>
        </w:rPr>
        <w:endnoteRef/>
      </w:r>
      <w:r w:rsidRPr="00812546">
        <w:t xml:space="preserve"> </w:t>
      </w:r>
      <w:r>
        <w:t xml:space="preserve">Katy </w:t>
      </w:r>
      <w:r w:rsidRPr="00812546">
        <w:t xml:space="preserve">McMillan and </w:t>
      </w:r>
      <w:r>
        <w:t xml:space="preserve">Nayha </w:t>
      </w:r>
      <w:r w:rsidRPr="00812546">
        <w:t>Sethi, 2016. “Recent Reports Highlight Key Issues in Regulating Elderly Care” http://masoninstitute.blogspot.com/2016/12/recent-reports-highlight-key-issues-in_1.html</w:t>
      </w:r>
    </w:p>
  </w:endnote>
  <w:endnote w:id="54">
    <w:p w:rsidR="00785035" w:rsidRPr="005877D5" w:rsidRDefault="00785035" w:rsidP="00785035">
      <w:pPr>
        <w:pStyle w:val="EndnoteText"/>
      </w:pPr>
      <w:r>
        <w:rPr>
          <w:rStyle w:val="EndnoteReference"/>
        </w:rPr>
        <w:endnoteRef/>
      </w:r>
      <w:r>
        <w:t xml:space="preserve"> </w:t>
      </w:r>
      <w:r w:rsidRPr="00DD4DA2">
        <w:t xml:space="preserve">Susan </w:t>
      </w:r>
      <w:r w:rsidRPr="00DD4DA2">
        <w:rPr>
          <w:lang w:val="en-US"/>
        </w:rPr>
        <w:t xml:space="preserve">Squier, </w:t>
      </w:r>
      <w:r w:rsidRPr="00DD4DA2">
        <w:rPr>
          <w:i/>
          <w:lang w:val="en-US"/>
        </w:rPr>
        <w:t>Liminal Lives: Imaging the Human at the Frontiers of Biomedicine</w:t>
      </w:r>
      <w:r w:rsidRPr="00DD4DA2">
        <w:rPr>
          <w:lang w:val="en-US"/>
        </w:rPr>
        <w:t xml:space="preserve"> (Durham: Duke University Press, 2004)</w:t>
      </w:r>
      <w:r>
        <w:rPr>
          <w:lang w:val="en-US"/>
        </w:rPr>
        <w:t>,</w:t>
      </w:r>
      <w:r>
        <w:t xml:space="preserve"> 215.</w:t>
      </w:r>
    </w:p>
  </w:endnote>
  <w:endnote w:id="55">
    <w:p w:rsidR="00785035" w:rsidRPr="00812546" w:rsidRDefault="00785035" w:rsidP="00785035">
      <w:pPr>
        <w:pStyle w:val="EndnoteText"/>
      </w:pPr>
      <w:r w:rsidRPr="00812546">
        <w:rPr>
          <w:rStyle w:val="EndnoteReference"/>
        </w:rPr>
        <w:endnoteRef/>
      </w:r>
      <w:r w:rsidRPr="00812546">
        <w:t xml:space="preserve"> Liminality captures these processes well, since it has both spatial and temporal dimensions.  As originally conceived, it entailed transitions through liminal periods as well as space </w:t>
      </w:r>
      <w:r>
        <w:t>– Arnold Van</w:t>
      </w:r>
      <w:r w:rsidRPr="00812546">
        <w:t xml:space="preserve"> Gennep, </w:t>
      </w:r>
      <w:r w:rsidRPr="00812546">
        <w:rPr>
          <w:i/>
        </w:rPr>
        <w:t>The Rites of Passage</w:t>
      </w:r>
      <w:r w:rsidRPr="00812546">
        <w:t xml:space="preserve"> (Chicago: University of Chicago Press, 1960), although as Taylor-Alexander et al argue, it can be conceived more broadly ‘to account for the changing relations that people have with the world and the things around them’ - “Beyond regulatory compression” 158-9.</w:t>
      </w:r>
    </w:p>
  </w:endnote>
  <w:endnote w:id="56">
    <w:p w:rsidR="00785035" w:rsidRPr="00812546" w:rsidRDefault="00785035" w:rsidP="00785035">
      <w:pPr>
        <w:pStyle w:val="EndnoteText"/>
      </w:pPr>
      <w:r w:rsidRPr="00812546">
        <w:rPr>
          <w:rStyle w:val="EndnoteReference"/>
        </w:rPr>
        <w:endnoteRef/>
      </w:r>
      <w:r w:rsidRPr="00812546">
        <w:t xml:space="preserve"> Laurie, id, 58.</w:t>
      </w:r>
    </w:p>
  </w:endnote>
  <w:endnote w:id="57">
    <w:p w:rsidR="00785035" w:rsidRDefault="00785035" w:rsidP="00785035">
      <w:pPr>
        <w:pStyle w:val="EndnoteText"/>
      </w:pPr>
      <w:r>
        <w:rPr>
          <w:rStyle w:val="EndnoteReference"/>
        </w:rPr>
        <w:endnoteRef/>
      </w:r>
      <w:r>
        <w:t xml:space="preserve"> For instance, older people may resist medical advice, or refuse admission to hospitals or residential care because of companion animals - </w:t>
      </w:r>
      <w:r w:rsidRPr="00B9492E">
        <w:t xml:space="preserve">McNicholas, </w:t>
      </w:r>
      <w:r>
        <w:t>“</w:t>
      </w:r>
      <w:r w:rsidRPr="00B9492E">
        <w:t>Pet ownership and human health</w:t>
      </w:r>
      <w:r>
        <w:t>, ICA, “Measuring the Benefits”, 15.</w:t>
      </w:r>
    </w:p>
  </w:endnote>
  <w:endnote w:id="58">
    <w:p w:rsidR="00785035" w:rsidRDefault="00785035" w:rsidP="00785035">
      <w:pPr>
        <w:pStyle w:val="EndnoteText"/>
      </w:pPr>
      <w:r>
        <w:rPr>
          <w:rStyle w:val="EndnoteReference"/>
        </w:rPr>
        <w:endnoteRef/>
      </w:r>
      <w:r>
        <w:t xml:space="preserve"> O</w:t>
      </w:r>
      <w:r w:rsidRPr="00FC0A0B">
        <w:t xml:space="preserve">lder people moving into care/nursing homes and ECH settings have, arguably, entered the ‘fourth age’, characterised by advanced chronological age, declining bodily function, co-existing long-term conditions/deteriorating health and increased dependency upon others for help with everyday activities. Critically, however, these characteristics are not straightforward, not biologically or temporally determined and considerable variability exists in how older people interpret experiences of old age and associated decline </w:t>
      </w:r>
      <w:r>
        <w:t>–</w:t>
      </w:r>
      <w:r w:rsidRPr="00FC0A0B">
        <w:t xml:space="preserve"> </w:t>
      </w:r>
      <w:r>
        <w:t xml:space="preserve">Liz </w:t>
      </w:r>
      <w:r w:rsidRPr="00FC0A0B">
        <w:t xml:space="preserve">Lloyd, (2015) “The Fourth Age” in </w:t>
      </w:r>
      <w:r w:rsidRPr="00FC0A0B">
        <w:rPr>
          <w:i/>
        </w:rPr>
        <w:t>Routledge Handbook of Cultural Gerontology</w:t>
      </w:r>
      <w:r w:rsidRPr="00FC0A0B">
        <w:t>, edited by J. Twigg and W. Martin (London: Routledge, 2015), 261-268.</w:t>
      </w:r>
    </w:p>
  </w:endnote>
  <w:endnote w:id="59">
    <w:p w:rsidR="00785035" w:rsidRPr="00812546" w:rsidRDefault="00785035" w:rsidP="00785035">
      <w:pPr>
        <w:pStyle w:val="EndnoteText"/>
      </w:pPr>
      <w:r w:rsidRPr="00812546">
        <w:rPr>
          <w:rStyle w:val="EndnoteReference"/>
        </w:rPr>
        <w:endnoteRef/>
      </w:r>
      <w:r w:rsidRPr="00812546">
        <w:t xml:space="preserve"> See, for instance, </w:t>
      </w:r>
      <w:r w:rsidRPr="00812546">
        <w:rPr>
          <w:i/>
          <w:iCs/>
        </w:rPr>
        <w:t>YL v Birmingham City Council</w:t>
      </w:r>
      <w:r w:rsidRPr="00812546">
        <w:t> [2007] UKHL 27, where YL, an Alzheimer’s sufferer residing in a care home had her placement terminated following a deteriorating relationship between her family members and the home’s management.</w:t>
      </w:r>
    </w:p>
  </w:endnote>
  <w:endnote w:id="60">
    <w:p w:rsidR="00785035" w:rsidRPr="00812546" w:rsidRDefault="00785035" w:rsidP="00785035">
      <w:pPr>
        <w:pStyle w:val="EndnoteText"/>
      </w:pPr>
      <w:r w:rsidRPr="00812546">
        <w:rPr>
          <w:rStyle w:val="EndnoteReference"/>
        </w:rPr>
        <w:endnoteRef/>
      </w:r>
      <w:r w:rsidRPr="00812546">
        <w:t xml:space="preserve"> </w:t>
      </w:r>
      <w:r>
        <w:t xml:space="preserve">Victor </w:t>
      </w:r>
      <w:r w:rsidRPr="00812546">
        <w:t xml:space="preserve">Turner, </w:t>
      </w:r>
      <w:r w:rsidRPr="00812546">
        <w:rPr>
          <w:i/>
        </w:rPr>
        <w:t xml:space="preserve">The Ritual Process: Structure and Anti-structure </w:t>
      </w:r>
      <w:r w:rsidRPr="00812546">
        <w:t xml:space="preserve">(New Jersey: Aldine </w:t>
      </w:r>
      <w:r>
        <w:t>Publishing</w:t>
      </w:r>
      <w:r w:rsidRPr="00812546">
        <w:t>, 1969).</w:t>
      </w:r>
    </w:p>
  </w:endnote>
  <w:endnote w:id="61">
    <w:p w:rsidR="00785035" w:rsidRDefault="00785035" w:rsidP="00785035">
      <w:pPr>
        <w:pStyle w:val="EndnoteText"/>
      </w:pPr>
      <w:r>
        <w:rPr>
          <w:rStyle w:val="EndnoteReference"/>
        </w:rPr>
        <w:endnoteRef/>
      </w:r>
      <w:r>
        <w:t xml:space="preserve"> </w:t>
      </w:r>
      <w:r w:rsidRPr="006917D0">
        <w:rPr>
          <w:lang w:val="en-US"/>
        </w:rPr>
        <w:t xml:space="preserve">Squier, </w:t>
      </w:r>
      <w:r w:rsidRPr="006917D0">
        <w:rPr>
          <w:i/>
          <w:lang w:val="en-US"/>
        </w:rPr>
        <w:t>Liminal Live</w:t>
      </w:r>
      <w:r>
        <w:rPr>
          <w:i/>
          <w:lang w:val="en-US"/>
        </w:rPr>
        <w:t>s</w:t>
      </w:r>
      <w:r>
        <w:rPr>
          <w:lang w:val="en-US"/>
        </w:rPr>
        <w:t>, 280.</w:t>
      </w:r>
    </w:p>
  </w:endnote>
  <w:endnote w:id="62">
    <w:p w:rsidR="00785035" w:rsidRPr="00812546" w:rsidRDefault="00785035" w:rsidP="00785035">
      <w:pPr>
        <w:pStyle w:val="EndnoteText"/>
      </w:pPr>
      <w:r w:rsidRPr="00812546">
        <w:rPr>
          <w:rStyle w:val="EndnoteReference"/>
        </w:rPr>
        <w:endnoteRef/>
      </w:r>
      <w:r w:rsidRPr="00812546">
        <w:t xml:space="preserve"> Paul</w:t>
      </w:r>
      <w:r>
        <w:t xml:space="preserve"> Stoller,</w:t>
      </w:r>
      <w:r w:rsidRPr="00812546">
        <w:t xml:space="preserve"> </w:t>
      </w:r>
      <w:r w:rsidRPr="00812546">
        <w:rPr>
          <w:i/>
        </w:rPr>
        <w:t xml:space="preserve">Stranger in the Village of the Sick: A Memoir of Cancer, Sorcery and Healing </w:t>
      </w:r>
      <w:r w:rsidRPr="00812546">
        <w:t>(Boston: Beacon Press, 2004)</w:t>
      </w:r>
      <w:r>
        <w:t xml:space="preserve"> </w:t>
      </w:r>
      <w:r w:rsidRPr="00812546">
        <w:t>184; see also Laurie, “Liminality and the Limits of Law” .</w:t>
      </w:r>
    </w:p>
  </w:endnote>
  <w:endnote w:id="63">
    <w:p w:rsidR="00785035" w:rsidRPr="00812546" w:rsidRDefault="00785035" w:rsidP="00785035">
      <w:pPr>
        <w:pStyle w:val="EndnoteText"/>
      </w:pPr>
      <w:r w:rsidRPr="00812546">
        <w:rPr>
          <w:rStyle w:val="EndnoteReference"/>
        </w:rPr>
        <w:endnoteRef/>
      </w:r>
      <w:r w:rsidRPr="00812546">
        <w:t xml:space="preserve"> </w:t>
      </w:r>
      <w:r w:rsidRPr="00812546">
        <w:rPr>
          <w:lang w:val="en-US"/>
        </w:rPr>
        <w:t>id 126.</w:t>
      </w:r>
    </w:p>
  </w:endnote>
  <w:endnote w:id="64">
    <w:p w:rsidR="00785035" w:rsidRPr="00812546" w:rsidRDefault="00785035" w:rsidP="00785035">
      <w:pPr>
        <w:pStyle w:val="EndnoteText"/>
      </w:pPr>
      <w:r w:rsidRPr="00812546">
        <w:rPr>
          <w:rStyle w:val="EndnoteReference"/>
        </w:rPr>
        <w:endnoteRef/>
      </w:r>
      <w:r w:rsidRPr="00812546">
        <w:t xml:space="preserve"> Taylor-Alexander, “Beyond regulatory compression”, 175.</w:t>
      </w:r>
    </w:p>
  </w:endnote>
  <w:endnote w:id="65">
    <w:p w:rsidR="00785035" w:rsidRDefault="00785035" w:rsidP="00785035">
      <w:pPr>
        <w:pStyle w:val="EndnoteText"/>
      </w:pPr>
      <w:r>
        <w:rPr>
          <w:rStyle w:val="EndnoteReference"/>
        </w:rPr>
        <w:endnoteRef/>
      </w:r>
      <w:r>
        <w:t xml:space="preserve"> </w:t>
      </w:r>
      <w:r w:rsidRPr="00E9409F">
        <w:t>[2016] EWCOP Case No 12744015</w:t>
      </w:r>
      <w:r w:rsidRPr="00E9409F">
        <w:rPr>
          <w:lang w:val="en-US"/>
        </w:rPr>
        <w:t>.</w:t>
      </w:r>
    </w:p>
  </w:endnote>
  <w:endnote w:id="66">
    <w:p w:rsidR="00785035" w:rsidRPr="00812546" w:rsidRDefault="00785035" w:rsidP="00785035">
      <w:pPr>
        <w:pStyle w:val="EndnoteText"/>
      </w:pPr>
      <w:r w:rsidRPr="00812546">
        <w:rPr>
          <w:rStyle w:val="EndnoteReference"/>
        </w:rPr>
        <w:endnoteRef/>
      </w:r>
      <w:r w:rsidRPr="00812546">
        <w:t xml:space="preserve"> The MCA 2005 s.1(5) requires a decision made on behalf of a person who lacks capacity to be reached in her best interests. Best interests are not defined in the Act, but past and present wishes and feelings must be considered.</w:t>
      </w:r>
    </w:p>
  </w:endnote>
  <w:endnote w:id="67">
    <w:p w:rsidR="00785035" w:rsidRPr="00812546" w:rsidRDefault="00785035" w:rsidP="00785035">
      <w:pPr>
        <w:pStyle w:val="EndnoteText"/>
      </w:pPr>
      <w:r w:rsidRPr="00812546">
        <w:rPr>
          <w:rStyle w:val="EndnoteReference"/>
        </w:rPr>
        <w:endnoteRef/>
      </w:r>
      <w:r w:rsidRPr="00812546">
        <w:t xml:space="preserve"> </w:t>
      </w:r>
      <w:r>
        <w:rPr>
          <w:lang w:val="en-US"/>
        </w:rPr>
        <w:t>The judge</w:t>
      </w:r>
      <w:r w:rsidRPr="00812546">
        <w:rPr>
          <w:lang w:val="en-US"/>
        </w:rPr>
        <w:t xml:space="preserve"> also observed that there had been inexplicable delay in establishing Mrs. P’s financial position, that her bank account apparently had been emptied and that the firm appeared to work against rather than with the Litigation Friends.</w:t>
      </w:r>
    </w:p>
  </w:endnote>
  <w:endnote w:id="68">
    <w:p w:rsidR="00785035" w:rsidRPr="00812546" w:rsidRDefault="00785035" w:rsidP="00785035">
      <w:pPr>
        <w:pStyle w:val="EndnoteText"/>
      </w:pPr>
      <w:r w:rsidRPr="00812546">
        <w:rPr>
          <w:rStyle w:val="EndnoteReference"/>
        </w:rPr>
        <w:endnoteRef/>
      </w:r>
      <w:r w:rsidRPr="00812546">
        <w:t xml:space="preserve"> </w:t>
      </w:r>
      <w:r>
        <w:t xml:space="preserve">Emily </w:t>
      </w:r>
      <w:r w:rsidRPr="00812546">
        <w:t xml:space="preserve">Jackson, “From ‘doctor knows best’ to dignity: placing adults who lack capacity at the centre of decisions about their medical treatment” </w:t>
      </w:r>
      <w:r w:rsidRPr="00812546">
        <w:rPr>
          <w:i/>
        </w:rPr>
        <w:t>Modern Law Review</w:t>
      </w:r>
      <w:r w:rsidRPr="00812546">
        <w:rPr>
          <w:bCs/>
        </w:rPr>
        <w:t xml:space="preserve"> 81(2) (2018) 247–281.</w:t>
      </w:r>
    </w:p>
  </w:endnote>
  <w:endnote w:id="69">
    <w:p w:rsidR="00785035" w:rsidRPr="00812546" w:rsidRDefault="00785035" w:rsidP="00785035">
      <w:pPr>
        <w:pStyle w:val="EndnoteText"/>
      </w:pPr>
      <w:r w:rsidRPr="00812546">
        <w:rPr>
          <w:rStyle w:val="EndnoteReference"/>
        </w:rPr>
        <w:endnoteRef/>
      </w:r>
      <w:r w:rsidRPr="00812546">
        <w:t xml:space="preserve"> </w:t>
      </w:r>
      <w:r>
        <w:t xml:space="preserve">Adrian </w:t>
      </w:r>
      <w:r w:rsidRPr="00812546">
        <w:t xml:space="preserve">Ruck Keene, </w:t>
      </w:r>
      <w:r>
        <w:t>et al</w:t>
      </w:r>
      <w:r w:rsidRPr="00812546">
        <w:t xml:space="preserve"> 2015. </w:t>
      </w:r>
      <w:r w:rsidRPr="00812546">
        <w:rPr>
          <w:i/>
        </w:rPr>
        <w:t>Mental Capacity Law Guidance Note: Best Interests Assessments</w:t>
      </w:r>
      <w:r w:rsidRPr="00812546">
        <w:t xml:space="preserve"> 39 Essex Chambers. http://www.39essex.com/content/wp-content/uploads/2015/10/Best-Interests-Assessments-Guide-October-2015.pdf </w:t>
      </w:r>
    </w:p>
  </w:endnote>
  <w:endnote w:id="70">
    <w:p w:rsidR="00785035" w:rsidRPr="00812546" w:rsidRDefault="00785035" w:rsidP="00785035">
      <w:pPr>
        <w:pStyle w:val="EndnoteText"/>
      </w:pPr>
      <w:r w:rsidRPr="00812546">
        <w:rPr>
          <w:rStyle w:val="EndnoteReference"/>
        </w:rPr>
        <w:endnoteRef/>
      </w:r>
      <w:r w:rsidRPr="00812546">
        <w:t xml:space="preserve"> Jackson, “From ‘doctor know</w:t>
      </w:r>
      <w:r>
        <w:t>s</w:t>
      </w:r>
      <w:r w:rsidRPr="00812546">
        <w:t xml:space="preserve"> best’”, 253.</w:t>
      </w:r>
    </w:p>
  </w:endnote>
  <w:endnote w:id="71">
    <w:p w:rsidR="00785035" w:rsidRPr="00812546" w:rsidRDefault="00785035" w:rsidP="00785035">
      <w:pPr>
        <w:pStyle w:val="EndnoteText"/>
      </w:pPr>
      <w:r w:rsidRPr="00812546">
        <w:rPr>
          <w:rStyle w:val="EndnoteReference"/>
        </w:rPr>
        <w:endnoteRef/>
      </w:r>
      <w:r w:rsidRPr="00812546">
        <w:t xml:space="preserve"> </w:t>
      </w:r>
      <w:r w:rsidRPr="00812546">
        <w:rPr>
          <w:lang w:val="en-US"/>
        </w:rPr>
        <w:t>Fineman, Elderly as Vulnerable”,115.</w:t>
      </w:r>
    </w:p>
  </w:endnote>
  <w:endnote w:id="72">
    <w:p w:rsidR="00785035" w:rsidRPr="00B90AE6" w:rsidRDefault="00785035" w:rsidP="00785035">
      <w:pPr>
        <w:pStyle w:val="EndnoteText"/>
      </w:pPr>
      <w:r>
        <w:rPr>
          <w:rStyle w:val="EndnoteReference"/>
        </w:rPr>
        <w:endnoteRef/>
      </w:r>
      <w:r>
        <w:t xml:space="preserve"> Stoller, </w:t>
      </w:r>
      <w:r w:rsidRPr="00B90AE6">
        <w:rPr>
          <w:i/>
        </w:rPr>
        <w:t>Stranger in the Village</w:t>
      </w:r>
      <w:r>
        <w:t>, 184.</w:t>
      </w:r>
    </w:p>
  </w:endnote>
  <w:endnote w:id="73">
    <w:p w:rsidR="00785035" w:rsidRPr="00812546" w:rsidRDefault="00785035" w:rsidP="00785035">
      <w:pPr>
        <w:pStyle w:val="EndnoteText"/>
      </w:pPr>
      <w:r w:rsidRPr="00812546">
        <w:rPr>
          <w:rStyle w:val="EndnoteReference"/>
        </w:rPr>
        <w:endnoteRef/>
      </w:r>
      <w:r w:rsidRPr="00812546">
        <w:t xml:space="preserve"> </w:t>
      </w:r>
      <w:r>
        <w:t xml:space="preserve">Sarah </w:t>
      </w:r>
      <w:r w:rsidRPr="00812546">
        <w:rPr>
          <w:lang w:val="en-US"/>
        </w:rPr>
        <w:t xml:space="preserve">Knight and </w:t>
      </w:r>
      <w:r>
        <w:rPr>
          <w:lang w:val="en-US"/>
        </w:rPr>
        <w:t xml:space="preserve">Victoria </w:t>
      </w:r>
      <w:r w:rsidRPr="00812546">
        <w:rPr>
          <w:lang w:val="en-US"/>
        </w:rPr>
        <w:t xml:space="preserve">Edwards, “In the Company of Wolves: The Physical, Social, and Psychological Benefits of Dog Ownership” </w:t>
      </w:r>
      <w:r w:rsidRPr="00812546">
        <w:rPr>
          <w:i/>
          <w:lang w:val="en-US"/>
        </w:rPr>
        <w:t>J Aging Health</w:t>
      </w:r>
      <w:r w:rsidRPr="00812546">
        <w:rPr>
          <w:lang w:val="en-US"/>
        </w:rPr>
        <w:t xml:space="preserve"> 20 (2008): 437-455; </w:t>
      </w:r>
      <w:r>
        <w:rPr>
          <w:lang w:val="en-US"/>
        </w:rPr>
        <w:t xml:space="preserve">Virginia </w:t>
      </w:r>
      <w:r w:rsidRPr="00812546">
        <w:t xml:space="preserve">Bernabei, </w:t>
      </w:r>
      <w:r>
        <w:t>et al</w:t>
      </w:r>
      <w:r w:rsidRPr="00812546">
        <w:t>, “Animal-assisted interventions for elderly patients affected by dementia or psychiatric disorders: a review” Journal of Psychiatric Research, 47(6) (2013): 762-773.</w:t>
      </w:r>
    </w:p>
  </w:endnote>
  <w:endnote w:id="74">
    <w:p w:rsidR="00785035" w:rsidRDefault="00785035" w:rsidP="00785035">
      <w:pPr>
        <w:pStyle w:val="EndnoteText"/>
      </w:pPr>
      <w:r>
        <w:rPr>
          <w:rStyle w:val="EndnoteReference"/>
        </w:rPr>
        <w:endnoteRef/>
      </w:r>
      <w:r>
        <w:t xml:space="preserve"> s.47 of the Act also obliges the </w:t>
      </w:r>
      <w:r w:rsidRPr="00BA1A32">
        <w:t>community social work team</w:t>
      </w:r>
      <w:r>
        <w:t xml:space="preserve"> to </w:t>
      </w:r>
      <w:r w:rsidRPr="00BA1A32">
        <w:t>arranging</w:t>
      </w:r>
      <w:r>
        <w:t xml:space="preserve"> for the</w:t>
      </w:r>
      <w:r w:rsidRPr="00BA1A32">
        <w:t xml:space="preserve"> care of any animals </w:t>
      </w:r>
      <w:r>
        <w:t xml:space="preserve">when a person is </w:t>
      </w:r>
      <w:r w:rsidRPr="00BA1A32">
        <w:t>admitted to a residential or nursing home or hospital as an emergency admission</w:t>
      </w:r>
      <w:r>
        <w:t>.</w:t>
      </w:r>
    </w:p>
  </w:endnote>
  <w:endnote w:id="75">
    <w:p w:rsidR="00785035" w:rsidRPr="00812546" w:rsidRDefault="00785035" w:rsidP="00785035">
      <w:pPr>
        <w:pStyle w:val="EndnoteText"/>
      </w:pPr>
      <w:r w:rsidRPr="00812546">
        <w:rPr>
          <w:rStyle w:val="EndnoteReference"/>
        </w:rPr>
        <w:endnoteRef/>
      </w:r>
      <w:r w:rsidRPr="00812546">
        <w:t xml:space="preserve"> </w:t>
      </w:r>
      <w:r>
        <w:t xml:space="preserve">Maneesha </w:t>
      </w:r>
      <w:r w:rsidRPr="00812546">
        <w:t xml:space="preserve">Deckha, “Property on the Borderline: A Comparative Analysis of Legal status of Animals in Canada and the United States” </w:t>
      </w:r>
      <w:r w:rsidRPr="00812546">
        <w:rPr>
          <w:i/>
        </w:rPr>
        <w:t>Cardozo Journal Int &amp; Comp L</w:t>
      </w:r>
      <w:r w:rsidRPr="00812546">
        <w:t xml:space="preserve"> 20 (2012): 313-365, </w:t>
      </w:r>
      <w:r w:rsidRPr="00812546">
        <w:rPr>
          <w:lang w:val="en-US"/>
        </w:rPr>
        <w:t>325.</w:t>
      </w:r>
    </w:p>
  </w:endnote>
  <w:endnote w:id="76">
    <w:p w:rsidR="00785035" w:rsidRPr="00376C37" w:rsidRDefault="00785035" w:rsidP="00785035">
      <w:pPr>
        <w:pStyle w:val="EndnoteText"/>
      </w:pPr>
      <w:r>
        <w:rPr>
          <w:rStyle w:val="EndnoteReference"/>
        </w:rPr>
        <w:endnoteRef/>
      </w:r>
      <w:r>
        <w:t xml:space="preserve"> Tom Bogdanoski, “Towards an Animal-Friendly Family Law: Recognising the Welfare of Family Law’s Forgotten Members” </w:t>
      </w:r>
      <w:r>
        <w:rPr>
          <w:i/>
        </w:rPr>
        <w:t>Griffiths Law Review</w:t>
      </w:r>
      <w:r>
        <w:t xml:space="preserve"> 19(2) (2010) 197-234, 205-6.</w:t>
      </w:r>
    </w:p>
  </w:endnote>
  <w:endnote w:id="77">
    <w:p w:rsidR="00785035" w:rsidRPr="00812546" w:rsidRDefault="00785035" w:rsidP="00785035">
      <w:pPr>
        <w:pStyle w:val="EndnoteText"/>
      </w:pPr>
      <w:r w:rsidRPr="00812546">
        <w:rPr>
          <w:rStyle w:val="EndnoteReference"/>
        </w:rPr>
        <w:endnoteRef/>
      </w:r>
      <w:r w:rsidRPr="00812546">
        <w:t xml:space="preserve"> Rook, “</w:t>
      </w:r>
      <w:r w:rsidRPr="00812546">
        <w:rPr>
          <w:bCs/>
        </w:rPr>
        <w:t>Who Gets Charlie?</w:t>
      </w:r>
      <w:r>
        <w:rPr>
          <w:bCs/>
        </w:rPr>
        <w:t>”</w:t>
      </w:r>
      <w:r w:rsidRPr="00812546">
        <w:rPr>
          <w:bCs/>
        </w:rPr>
        <w:t xml:space="preserve"> </w:t>
      </w:r>
      <w:r w:rsidRPr="00812546">
        <w:rPr>
          <w:lang w:val="en-US"/>
        </w:rPr>
        <w:t>179.</w:t>
      </w:r>
    </w:p>
  </w:endnote>
  <w:endnote w:id="78">
    <w:p w:rsidR="00785035" w:rsidRPr="00812546" w:rsidRDefault="00785035" w:rsidP="00785035">
      <w:pPr>
        <w:pStyle w:val="EndnoteText"/>
      </w:pPr>
      <w:r w:rsidRPr="00812546">
        <w:rPr>
          <w:rStyle w:val="EndnoteReference"/>
        </w:rPr>
        <w:endnoteRef/>
      </w:r>
      <w:r w:rsidRPr="00812546">
        <w:t xml:space="preserve"> </w:t>
      </w:r>
      <w:r w:rsidRPr="00812546">
        <w:rPr>
          <w:lang w:val="en-US"/>
        </w:rPr>
        <w:t>See also</w:t>
      </w:r>
      <w:r w:rsidRPr="00812546">
        <w:t xml:space="preserve"> Steven</w:t>
      </w:r>
      <w:r>
        <w:t xml:space="preserve"> Wise, </w:t>
      </w:r>
      <w:r w:rsidRPr="00812546">
        <w:t xml:space="preserve">“Recovery of Common Law Damages for Emotional Distress, Loss of Society, and Loss of Companionship for the Wrongful Death of a Companion Animal,” </w:t>
      </w:r>
      <w:r w:rsidRPr="00812546">
        <w:rPr>
          <w:i/>
        </w:rPr>
        <w:t>Animal Law</w:t>
      </w:r>
      <w:r w:rsidRPr="00812546">
        <w:t xml:space="preserve"> 4 (1998): 33.</w:t>
      </w:r>
    </w:p>
  </w:endnote>
  <w:endnote w:id="79">
    <w:p w:rsidR="00785035" w:rsidRPr="00812546" w:rsidRDefault="00785035" w:rsidP="00785035">
      <w:pPr>
        <w:pStyle w:val="EndnoteText"/>
      </w:pPr>
      <w:r w:rsidRPr="00812546">
        <w:rPr>
          <w:rStyle w:val="EndnoteReference"/>
        </w:rPr>
        <w:endnoteRef/>
      </w:r>
      <w:r w:rsidRPr="00812546">
        <w:t xml:space="preserve"> Maneesha</w:t>
      </w:r>
      <w:r>
        <w:t xml:space="preserve"> Deckha,</w:t>
      </w:r>
      <w:r w:rsidRPr="00812546">
        <w:t xml:space="preserve"> “Vulnerability, Equality, and Animals” </w:t>
      </w:r>
      <w:r w:rsidRPr="00812546">
        <w:rPr>
          <w:i/>
          <w:iCs/>
        </w:rPr>
        <w:t>Canadian Journal of Women and the Law</w:t>
      </w:r>
      <w:r w:rsidRPr="00812546">
        <w:t>,  27(1) (2015): 47-70,</w:t>
      </w:r>
      <w:r w:rsidRPr="00812546">
        <w:rPr>
          <w:lang w:val="en-US"/>
        </w:rPr>
        <w:t xml:space="preserve"> 50.</w:t>
      </w:r>
    </w:p>
  </w:endnote>
  <w:endnote w:id="80">
    <w:p w:rsidR="00785035" w:rsidRPr="00812546" w:rsidRDefault="00785035" w:rsidP="00785035">
      <w:pPr>
        <w:pStyle w:val="EndnoteText"/>
      </w:pPr>
      <w:r w:rsidRPr="00812546">
        <w:rPr>
          <w:rStyle w:val="EndnoteReference"/>
        </w:rPr>
        <w:endnoteRef/>
      </w:r>
      <w:r w:rsidRPr="00812546">
        <w:t xml:space="preserve"> </w:t>
      </w:r>
      <w:r w:rsidRPr="00812546">
        <w:rPr>
          <w:lang w:val="en-US"/>
        </w:rPr>
        <w:t>Rook, “</w:t>
      </w:r>
      <w:r w:rsidRPr="00812546">
        <w:t>For the Love of Darcie”,</w:t>
      </w:r>
      <w:r w:rsidRPr="00812546">
        <w:rPr>
          <w:lang w:val="en-US"/>
        </w:rPr>
        <w:t xml:space="preserve"> 3.</w:t>
      </w:r>
    </w:p>
  </w:endnote>
  <w:endnote w:id="81">
    <w:p w:rsidR="00785035" w:rsidRPr="00812546" w:rsidRDefault="00785035" w:rsidP="00785035">
      <w:pPr>
        <w:pStyle w:val="EndnoteText"/>
      </w:pPr>
      <w:r w:rsidRPr="00812546">
        <w:rPr>
          <w:rStyle w:val="EndnoteReference"/>
        </w:rPr>
        <w:endnoteRef/>
      </w:r>
      <w:r w:rsidRPr="00812546">
        <w:t xml:space="preserve"> Age UK </w:t>
      </w:r>
      <w:r w:rsidRPr="00812546">
        <w:rPr>
          <w:i/>
        </w:rPr>
        <w:t>Older People and Human Rights</w:t>
      </w:r>
      <w:r w:rsidRPr="00812546">
        <w:t xml:space="preserve"> (London: Age UK, 2011). </w:t>
      </w:r>
      <w:hyperlink r:id="rId2" w:history="1">
        <w:r w:rsidRPr="00812546">
          <w:rPr>
            <w:rStyle w:val="Hyperlink"/>
          </w:rPr>
          <w:t>http://www.ageuk.org.uk/documents/en-gb/for-professionals/equality-and-human-rights/older_people_human_rights__expert_series_pro.pdf?dtrk=true</w:t>
        </w:r>
      </w:hyperlink>
    </w:p>
  </w:endnote>
  <w:endnote w:id="82">
    <w:p w:rsidR="00785035" w:rsidRPr="00812546" w:rsidRDefault="00785035" w:rsidP="00785035">
      <w:pPr>
        <w:pStyle w:val="EndnoteText"/>
      </w:pPr>
      <w:r w:rsidRPr="00812546">
        <w:rPr>
          <w:rStyle w:val="EndnoteReference"/>
        </w:rPr>
        <w:endnoteRef/>
      </w:r>
      <w:r w:rsidRPr="00812546">
        <w:t xml:space="preserve"> </w:t>
      </w:r>
      <w:r>
        <w:t xml:space="preserve">Martha </w:t>
      </w:r>
      <w:r w:rsidRPr="00812546">
        <w:t xml:space="preserve">Fineman, </w:t>
      </w:r>
      <w:r w:rsidRPr="00812546">
        <w:rPr>
          <w:i/>
        </w:rPr>
        <w:t>The Neutered Mother, The Sexual Family and other Twentieth Century Tragedies</w:t>
      </w:r>
      <w:r w:rsidRPr="00812546">
        <w:t xml:space="preserve"> (New York: Routledge, 1995).</w:t>
      </w:r>
    </w:p>
  </w:endnote>
  <w:endnote w:id="83">
    <w:p w:rsidR="00785035" w:rsidRDefault="00785035" w:rsidP="00785035">
      <w:pPr>
        <w:pStyle w:val="EndnoteText"/>
      </w:pPr>
      <w:r>
        <w:rPr>
          <w:rStyle w:val="EndnoteReference"/>
        </w:rPr>
        <w:endnoteRef/>
      </w:r>
      <w:r>
        <w:t xml:space="preserve"> Essentially, UK law remains committed to the idea of a single gestational mother, but now recognises a lesbian co-parent who has participated in assisted conception as occupying a position akin to a father – she is deemed a ‘female parent’. T</w:t>
      </w:r>
      <w:r w:rsidRPr="00C24795">
        <w:t>he legal definition</w:t>
      </w:r>
      <w:r>
        <w:t xml:space="preserve"> of family however</w:t>
      </w:r>
      <w:r w:rsidRPr="00C24795">
        <w:t xml:space="preserve"> remains tied to a two-parent norm centred on the gestational mother.</w:t>
      </w:r>
    </w:p>
  </w:endnote>
  <w:endnote w:id="84">
    <w:p w:rsidR="00785035" w:rsidRPr="00812546" w:rsidRDefault="00785035" w:rsidP="00785035">
      <w:pPr>
        <w:pStyle w:val="EndnoteText"/>
        <w:rPr>
          <w:lang w:val="en-US"/>
        </w:rPr>
      </w:pPr>
      <w:r w:rsidRPr="00812546">
        <w:rPr>
          <w:rStyle w:val="EndnoteReference"/>
        </w:rPr>
        <w:endnoteRef/>
      </w:r>
      <w:r w:rsidRPr="00812546">
        <w:t xml:space="preserve"> </w:t>
      </w:r>
      <w:r>
        <w:t xml:space="preserve">Julie </w:t>
      </w:r>
      <w:r w:rsidRPr="00AD0DB5">
        <w:rPr>
          <w:lang w:val="en-US"/>
        </w:rPr>
        <w:t xml:space="preserve">McCandless and </w:t>
      </w:r>
      <w:r>
        <w:rPr>
          <w:lang w:val="en-US"/>
        </w:rPr>
        <w:t xml:space="preserve">Sally </w:t>
      </w:r>
      <w:r w:rsidRPr="00AD0DB5">
        <w:rPr>
          <w:lang w:val="en-US"/>
        </w:rPr>
        <w:t>Sheldon</w:t>
      </w:r>
      <w:r w:rsidRPr="00812546">
        <w:rPr>
          <w:lang w:val="en-US"/>
        </w:rPr>
        <w:t>,</w:t>
      </w:r>
      <w:r w:rsidRPr="00AD0DB5">
        <w:rPr>
          <w:lang w:val="en-US"/>
        </w:rPr>
        <w:t xml:space="preserve"> “The HFEA (2008) and the Tenacity of the Sexual Family” </w:t>
      </w:r>
      <w:r w:rsidRPr="00812546">
        <w:rPr>
          <w:lang w:val="en-US"/>
        </w:rPr>
        <w:t xml:space="preserve">73 </w:t>
      </w:r>
      <w:r w:rsidRPr="00AD0DB5">
        <w:rPr>
          <w:lang w:val="en-US"/>
        </w:rPr>
        <w:t>(2010)</w:t>
      </w:r>
      <w:r w:rsidRPr="00812546">
        <w:rPr>
          <w:lang w:val="en-US"/>
        </w:rPr>
        <w:t>:</w:t>
      </w:r>
      <w:r w:rsidRPr="00AD0DB5">
        <w:rPr>
          <w:lang w:val="en-US"/>
        </w:rPr>
        <w:t xml:space="preserve"> </w:t>
      </w:r>
      <w:r w:rsidRPr="00AD0DB5">
        <w:rPr>
          <w:i/>
          <w:lang w:val="en-US"/>
        </w:rPr>
        <w:t>Modern Law Review</w:t>
      </w:r>
      <w:r w:rsidRPr="00AD0DB5">
        <w:rPr>
          <w:lang w:val="en-US"/>
        </w:rPr>
        <w:t xml:space="preserve"> 175-207.</w:t>
      </w:r>
    </w:p>
  </w:endnote>
  <w:endnote w:id="85">
    <w:p w:rsidR="00785035" w:rsidRPr="00812546" w:rsidRDefault="00785035" w:rsidP="00785035">
      <w:pPr>
        <w:pStyle w:val="EndnoteText"/>
      </w:pPr>
      <w:r w:rsidRPr="00812546">
        <w:rPr>
          <w:rStyle w:val="EndnoteReference"/>
        </w:rPr>
        <w:endnoteRef/>
      </w:r>
      <w:r w:rsidRPr="00812546">
        <w:t xml:space="preserve"> Law Commission of Canada</w:t>
      </w:r>
      <w:r>
        <w:t>.</w:t>
      </w:r>
      <w:r w:rsidRPr="00812546">
        <w:t xml:space="preserve"> </w:t>
      </w:r>
      <w:r w:rsidRPr="00812546">
        <w:rPr>
          <w:i/>
          <w:iCs/>
        </w:rPr>
        <w:t xml:space="preserve">Beyond Conjugality: Recognizing and Supporting Close Personal Adult Relationships </w:t>
      </w:r>
      <w:r w:rsidRPr="00812546">
        <w:t xml:space="preserve">(2001); </w:t>
      </w:r>
      <w:r>
        <w:t xml:space="preserve">Jenny </w:t>
      </w:r>
      <w:r w:rsidRPr="00812546">
        <w:t xml:space="preserve">Millbank, “The role of ‘functional’ family in same-sex family recognition trends”  20 </w:t>
      </w:r>
      <w:r w:rsidRPr="00812546">
        <w:rPr>
          <w:i/>
        </w:rPr>
        <w:t>Child and Family Law Quarterly</w:t>
      </w:r>
      <w:r w:rsidRPr="00812546">
        <w:t xml:space="preserve"> 20 (2008): 155-182; </w:t>
      </w:r>
      <w:r>
        <w:t xml:space="preserve">Jamie </w:t>
      </w:r>
      <w:r w:rsidRPr="00812546">
        <w:t xml:space="preserve">Wood, “Moving Beyond the Bedrooms of our Nation: Redefining Canadian Families from the Perspective of Non-Conjugal Caregiving” </w:t>
      </w:r>
      <w:r w:rsidRPr="00812546">
        <w:rPr>
          <w:i/>
        </w:rPr>
        <w:t>Appeal</w:t>
      </w:r>
      <w:r w:rsidRPr="00812546">
        <w:t xml:space="preserve"> </w:t>
      </w:r>
      <w:r>
        <w:t>13(</w:t>
      </w:r>
      <w:r w:rsidRPr="00812546">
        <w:t>4</w:t>
      </w:r>
      <w:r>
        <w:t>)</w:t>
      </w:r>
      <w:r w:rsidRPr="00812546">
        <w:t xml:space="preserve"> (1998): 7-13.</w:t>
      </w:r>
    </w:p>
  </w:endnote>
  <w:endnote w:id="86">
    <w:p w:rsidR="00785035" w:rsidRPr="00812546" w:rsidRDefault="00785035" w:rsidP="00785035">
      <w:pPr>
        <w:pStyle w:val="EndnoteText"/>
        <w:rPr>
          <w:lang w:val="en-US"/>
        </w:rPr>
      </w:pPr>
      <w:r w:rsidRPr="00812546">
        <w:rPr>
          <w:rStyle w:val="EndnoteReference"/>
        </w:rPr>
        <w:endnoteRef/>
      </w:r>
      <w:r w:rsidRPr="00812546">
        <w:t xml:space="preserve"> </w:t>
      </w:r>
      <w:r>
        <w:t xml:space="preserve">Sue </w:t>
      </w:r>
      <w:r w:rsidRPr="006754D3">
        <w:rPr>
          <w:lang w:val="en-US"/>
        </w:rPr>
        <w:t>Westwood</w:t>
      </w:r>
      <w:r w:rsidRPr="00812546">
        <w:rPr>
          <w:lang w:val="en-US"/>
        </w:rPr>
        <w:t>,</w:t>
      </w:r>
      <w:r w:rsidRPr="006754D3">
        <w:rPr>
          <w:lang w:val="en-US"/>
        </w:rPr>
        <w:t xml:space="preserve"> </w:t>
      </w:r>
      <w:r w:rsidRPr="00812546">
        <w:rPr>
          <w:lang w:val="en-US"/>
        </w:rPr>
        <w:t>“</w:t>
      </w:r>
      <w:r w:rsidRPr="006754D3">
        <w:rPr>
          <w:lang w:val="en-US"/>
        </w:rPr>
        <w:t>My Friends are my Family’: an argument about the</w:t>
      </w:r>
      <w:r w:rsidRPr="00812546">
        <w:rPr>
          <w:lang w:val="en-US"/>
        </w:rPr>
        <w:t xml:space="preserve"> </w:t>
      </w:r>
      <w:r w:rsidRPr="006754D3">
        <w:rPr>
          <w:lang w:val="en-US"/>
        </w:rPr>
        <w:t>limitations of contemporary law's recognition of relationships in later life,</w:t>
      </w:r>
      <w:r w:rsidRPr="00812546">
        <w:rPr>
          <w:lang w:val="en-US"/>
        </w:rPr>
        <w:t>”</w:t>
      </w:r>
      <w:r w:rsidRPr="006754D3">
        <w:rPr>
          <w:lang w:val="en-US"/>
        </w:rPr>
        <w:t xml:space="preserve"> </w:t>
      </w:r>
      <w:r w:rsidRPr="006754D3">
        <w:rPr>
          <w:i/>
          <w:lang w:val="en-US"/>
        </w:rPr>
        <w:t>Journal of Social Welfare</w:t>
      </w:r>
      <w:r w:rsidRPr="00812546">
        <w:rPr>
          <w:i/>
          <w:lang w:val="en-US"/>
        </w:rPr>
        <w:t xml:space="preserve"> and Family Law</w:t>
      </w:r>
      <w:r w:rsidRPr="00812546">
        <w:rPr>
          <w:lang w:val="en-US"/>
        </w:rPr>
        <w:t xml:space="preserve"> 35(3) 2</w:t>
      </w:r>
      <w:r>
        <w:rPr>
          <w:lang w:val="en-US"/>
        </w:rPr>
        <w:t>0</w:t>
      </w:r>
      <w:r w:rsidRPr="00812546">
        <w:rPr>
          <w:lang w:val="en-US"/>
        </w:rPr>
        <w:t>13: 347-363.</w:t>
      </w:r>
    </w:p>
  </w:endnote>
  <w:endnote w:id="87">
    <w:p w:rsidR="00785035" w:rsidRPr="00812546" w:rsidRDefault="00785035" w:rsidP="00785035">
      <w:pPr>
        <w:pStyle w:val="EndnoteText"/>
      </w:pPr>
      <w:r w:rsidRPr="00812546">
        <w:rPr>
          <w:rStyle w:val="EndnoteReference"/>
        </w:rPr>
        <w:endnoteRef/>
      </w:r>
      <w:r w:rsidRPr="00812546">
        <w:t xml:space="preserve"> </w:t>
      </w:r>
      <w:r>
        <w:t xml:space="preserve">Lisa </w:t>
      </w:r>
      <w:r w:rsidRPr="00812546">
        <w:t xml:space="preserve">Glennon, ‘Displacing the Conjugal Family in Legal Policy – A Progressive Move’ 17 </w:t>
      </w:r>
      <w:r w:rsidRPr="00812546">
        <w:rPr>
          <w:i/>
        </w:rPr>
        <w:t xml:space="preserve">Child and Family Law Quarterly </w:t>
      </w:r>
      <w:r w:rsidRPr="00812546">
        <w:t xml:space="preserve">17 (2005): 141-63; </w:t>
      </w:r>
      <w:r>
        <w:t xml:space="preserve">Nancy </w:t>
      </w:r>
      <w:r w:rsidRPr="00812546">
        <w:t xml:space="preserve">Polikoff, </w:t>
      </w:r>
      <w:r w:rsidRPr="00812546">
        <w:rPr>
          <w:i/>
          <w:iCs/>
        </w:rPr>
        <w:t xml:space="preserve">Beyond (Straight and Gay) Marriage: Valuing All Families Under the Law </w:t>
      </w:r>
      <w:r w:rsidRPr="00812546">
        <w:rPr>
          <w:iCs/>
        </w:rPr>
        <w:t xml:space="preserve">(Boston: </w:t>
      </w:r>
      <w:r w:rsidRPr="00812546">
        <w:t xml:space="preserve">Beacon Press, 2008); </w:t>
      </w:r>
      <w:r>
        <w:t xml:space="preserve">Nicola </w:t>
      </w:r>
      <w:r w:rsidRPr="00812546">
        <w:t xml:space="preserve">Barker, “Why Care? ‘Deserving Family Members’ and the Conservative Movement for Broader Family Recognition” in </w:t>
      </w:r>
      <w:r w:rsidRPr="00812546">
        <w:rPr>
          <w:i/>
        </w:rPr>
        <w:t xml:space="preserve">Vulnerabilities, Care and Family Law, </w:t>
      </w:r>
      <w:r w:rsidRPr="00812546">
        <w:t>edited by</w:t>
      </w:r>
      <w:r w:rsidRPr="00812546">
        <w:rPr>
          <w:i/>
        </w:rPr>
        <w:t xml:space="preserve"> </w:t>
      </w:r>
      <w:r w:rsidRPr="00812546">
        <w:t xml:space="preserve">J. Wallbank and J. Herring (London: Routledge, 2013) 59-73; </w:t>
      </w:r>
      <w:r>
        <w:t xml:space="preserve">Jonathan </w:t>
      </w:r>
      <w:r w:rsidRPr="00812546">
        <w:t xml:space="preserve">Herring, “Making Family Law More Careful” in </w:t>
      </w:r>
      <w:r w:rsidRPr="00812546">
        <w:rPr>
          <w:i/>
        </w:rPr>
        <w:t xml:space="preserve">Vulnerabilities, Care and Family Law, </w:t>
      </w:r>
      <w:r w:rsidRPr="00812546">
        <w:t>edited by</w:t>
      </w:r>
      <w:r w:rsidRPr="00812546">
        <w:rPr>
          <w:i/>
        </w:rPr>
        <w:t xml:space="preserve"> </w:t>
      </w:r>
      <w:r w:rsidRPr="00812546">
        <w:t>J. Wallbank and J. Herring</w:t>
      </w:r>
      <w:r w:rsidRPr="00812546">
        <w:rPr>
          <w:i/>
        </w:rPr>
        <w:t xml:space="preserve"> </w:t>
      </w:r>
      <w:r w:rsidRPr="00812546">
        <w:t>(London: Routledge, 2013) 43-58.</w:t>
      </w:r>
    </w:p>
  </w:endnote>
  <w:endnote w:id="88">
    <w:p w:rsidR="00785035" w:rsidRPr="00812546" w:rsidRDefault="00785035" w:rsidP="00785035">
      <w:pPr>
        <w:pStyle w:val="EndnoteText"/>
      </w:pPr>
      <w:r w:rsidRPr="00812546">
        <w:rPr>
          <w:rStyle w:val="EndnoteReference"/>
        </w:rPr>
        <w:endnoteRef/>
      </w:r>
      <w:r w:rsidRPr="00812546">
        <w:t xml:space="preserve"> </w:t>
      </w:r>
      <w:r w:rsidRPr="00812546">
        <w:rPr>
          <w:lang w:val="en-US"/>
        </w:rPr>
        <w:t>Deckha</w:t>
      </w:r>
      <w:r>
        <w:rPr>
          <w:lang w:val="en-US"/>
        </w:rPr>
        <w:t>,</w:t>
      </w:r>
      <w:r w:rsidRPr="00812546">
        <w:rPr>
          <w:lang w:val="en-US"/>
        </w:rPr>
        <w:t xml:space="preserve"> “Vulnerability, Equality and Animals”</w:t>
      </w:r>
      <w:r>
        <w:rPr>
          <w:lang w:val="en-US"/>
        </w:rPr>
        <w:t xml:space="preserve"> </w:t>
      </w:r>
      <w:r w:rsidRPr="00DA50BB">
        <w:rPr>
          <w:lang w:val="en-US"/>
        </w:rPr>
        <w:t>56.</w:t>
      </w:r>
    </w:p>
  </w:endnote>
  <w:endnote w:id="89">
    <w:p w:rsidR="00785035" w:rsidRDefault="00785035" w:rsidP="00785035">
      <w:pPr>
        <w:pStyle w:val="EndnoteText"/>
      </w:pPr>
      <w:r>
        <w:rPr>
          <w:rStyle w:val="EndnoteReference"/>
        </w:rPr>
        <w:endnoteRef/>
      </w:r>
      <w:r>
        <w:t xml:space="preserve"> Bogdanoski, by contrast, grounds his claim for legal recognition of companion animal interests in the concept of equitable self ownership – “Towards an Animal Friendly Family Law” 214 </w:t>
      </w:r>
    </w:p>
  </w:endnote>
  <w:endnote w:id="90">
    <w:p w:rsidR="00785035" w:rsidRPr="00812546" w:rsidRDefault="00785035" w:rsidP="00785035">
      <w:pPr>
        <w:pStyle w:val="EndnoteText"/>
      </w:pPr>
      <w:r w:rsidRPr="00812546">
        <w:rPr>
          <w:rStyle w:val="EndnoteReference"/>
        </w:rPr>
        <w:endnoteRef/>
      </w:r>
      <w:r w:rsidRPr="00812546">
        <w:t xml:space="preserve"> </w:t>
      </w:r>
      <w:r w:rsidRPr="00812546">
        <w:rPr>
          <w:lang w:val="en-US"/>
        </w:rPr>
        <w:t>Fineman, “The Vulnerable Subject”.</w:t>
      </w:r>
    </w:p>
  </w:endnote>
  <w:endnote w:id="91">
    <w:p w:rsidR="00785035" w:rsidRPr="00812546" w:rsidRDefault="00785035" w:rsidP="00785035">
      <w:pPr>
        <w:pStyle w:val="EndnoteText"/>
      </w:pPr>
      <w:r w:rsidRPr="00812546">
        <w:rPr>
          <w:rStyle w:val="EndnoteReference"/>
        </w:rPr>
        <w:endnoteRef/>
      </w:r>
      <w:r w:rsidRPr="00812546">
        <w:t xml:space="preserve"> </w:t>
      </w:r>
      <w:r>
        <w:t xml:space="preserve">Martha </w:t>
      </w:r>
      <w:r w:rsidRPr="00812546">
        <w:t xml:space="preserve">Fineman and </w:t>
      </w:r>
      <w:r>
        <w:t xml:space="preserve">Anna </w:t>
      </w:r>
      <w:r w:rsidRPr="00812546">
        <w:t>Grear</w:t>
      </w:r>
      <w:r>
        <w:t>,</w:t>
      </w:r>
      <w:r w:rsidRPr="00812546">
        <w:t xml:space="preserve"> “Introduction: Vulnerability as Heuristic – An Invitation to Future Exploration” in </w:t>
      </w:r>
      <w:r w:rsidRPr="00812546">
        <w:rPr>
          <w:i/>
        </w:rPr>
        <w:t>Vulnerability: Reflections on a New Ethical Foundation for Law and Politics</w:t>
      </w:r>
      <w:r w:rsidRPr="00812546">
        <w:t xml:space="preserve"> edited by Fineman and Grear (London: Routledge, 2013)</w:t>
      </w:r>
      <w:r w:rsidRPr="00812546">
        <w:rPr>
          <w:lang w:val="en-US"/>
        </w:rPr>
        <w:t xml:space="preserve"> 2.</w:t>
      </w:r>
    </w:p>
  </w:endnote>
  <w:endnote w:id="92">
    <w:p w:rsidR="00785035" w:rsidRPr="00812546" w:rsidRDefault="00785035" w:rsidP="00785035">
      <w:pPr>
        <w:pStyle w:val="EndnoteText"/>
      </w:pPr>
      <w:r w:rsidRPr="00812546">
        <w:rPr>
          <w:rStyle w:val="EndnoteReference"/>
        </w:rPr>
        <w:endnoteRef/>
      </w:r>
      <w:r w:rsidRPr="00812546">
        <w:t xml:space="preserve"> </w:t>
      </w:r>
      <w:r w:rsidRPr="00812546">
        <w:rPr>
          <w:lang w:val="en-US"/>
        </w:rPr>
        <w:t>Satz, “Animals as Vulnerable Subjects”, 9.</w:t>
      </w:r>
    </w:p>
  </w:endnote>
  <w:endnote w:id="93">
    <w:p w:rsidR="00785035" w:rsidRPr="00812546" w:rsidRDefault="00785035" w:rsidP="00785035">
      <w:pPr>
        <w:pStyle w:val="EndnoteText"/>
      </w:pPr>
      <w:r w:rsidRPr="00812546">
        <w:rPr>
          <w:rStyle w:val="EndnoteReference"/>
        </w:rPr>
        <w:endnoteRef/>
      </w:r>
      <w:r w:rsidRPr="00812546">
        <w:t xml:space="preserve"> McMillan and Sethi, “Key Issues in Regulating Elderly Care”.</w:t>
      </w:r>
    </w:p>
  </w:endnote>
  <w:endnote w:id="94">
    <w:p w:rsidR="00785035" w:rsidRPr="00812546" w:rsidRDefault="00785035" w:rsidP="00785035">
      <w:pPr>
        <w:pStyle w:val="EndnoteText"/>
      </w:pPr>
      <w:r w:rsidRPr="00812546">
        <w:rPr>
          <w:rStyle w:val="EndnoteReference"/>
        </w:rPr>
        <w:endnoteRef/>
      </w:r>
      <w:r w:rsidRPr="00812546">
        <w:t xml:space="preserve"> </w:t>
      </w:r>
      <w:r w:rsidRPr="00812546">
        <w:rPr>
          <w:lang w:val="en-US"/>
        </w:rPr>
        <w:t>Deckha id, 60.</w:t>
      </w:r>
    </w:p>
  </w:endnote>
  <w:endnote w:id="95">
    <w:p w:rsidR="00785035" w:rsidRPr="00812546" w:rsidRDefault="00785035" w:rsidP="00785035">
      <w:pPr>
        <w:pStyle w:val="EndnoteText"/>
      </w:pPr>
      <w:r w:rsidRPr="00812546">
        <w:rPr>
          <w:rStyle w:val="EndnoteReference"/>
        </w:rPr>
        <w:endnoteRef/>
      </w:r>
      <w:r w:rsidRPr="00812546">
        <w:t xml:space="preserve"> </w:t>
      </w:r>
      <w:r>
        <w:t xml:space="preserve">Alexandra </w:t>
      </w:r>
      <w:r w:rsidRPr="00812546">
        <w:t xml:space="preserve">Timmer, “A Quiet Revolution: Vulnerability in the European Court of Human Rights” in </w:t>
      </w:r>
      <w:r w:rsidRPr="00812546">
        <w:rPr>
          <w:i/>
        </w:rPr>
        <w:t>Vulnerability: Reflections on a New Ethical Foundation for Law and Politics</w:t>
      </w:r>
      <w:r w:rsidRPr="00812546">
        <w:t xml:space="preserve"> edited by Fineman and Grear (London: Routledge, 2013);</w:t>
      </w:r>
      <w:r w:rsidRPr="00812546">
        <w:rPr>
          <w:lang w:val="en-US"/>
        </w:rPr>
        <w:t xml:space="preserve"> Deckha, “Vulnerability, Equality and Animals”.</w:t>
      </w:r>
    </w:p>
  </w:endnote>
  <w:endnote w:id="96">
    <w:p w:rsidR="00785035" w:rsidRPr="00292DC5" w:rsidRDefault="00785035" w:rsidP="00785035">
      <w:pPr>
        <w:pStyle w:val="EndnoteText"/>
        <w:rPr>
          <w:lang w:val="en-US"/>
        </w:rPr>
      </w:pPr>
      <w:r w:rsidRPr="00812546">
        <w:rPr>
          <w:rStyle w:val="EndnoteReference"/>
        </w:rPr>
        <w:endnoteRef/>
      </w:r>
      <w:r w:rsidRPr="00812546">
        <w:t xml:space="preserve"> </w:t>
      </w:r>
      <w:r>
        <w:rPr>
          <w:lang w:val="en-US"/>
        </w:rPr>
        <w:t>It is also arguable that</w:t>
      </w:r>
      <w:r w:rsidRPr="00292DC5">
        <w:rPr>
          <w:lang w:val="en-US"/>
        </w:rPr>
        <w:t xml:space="preserve"> the distress and harm occasioned by forced separation could constitute inhuman and degrading treatment contrary to Article 3 of the ECHR</w:t>
      </w:r>
      <w:r>
        <w:rPr>
          <w:lang w:val="en-US"/>
        </w:rPr>
        <w:t>. This prohibits t</w:t>
      </w:r>
      <w:r w:rsidRPr="00B848D7">
        <w:t>treatment that humiliates or debases an individual,</w:t>
      </w:r>
      <w:r>
        <w:t xml:space="preserve"> or which</w:t>
      </w:r>
      <w:r w:rsidRPr="00B848D7">
        <w:t xml:space="preserve"> show</w:t>
      </w:r>
      <w:r>
        <w:t>s</w:t>
      </w:r>
      <w:r w:rsidRPr="00B848D7">
        <w:t xml:space="preserve"> a lack of respect for, or diminishing</w:t>
      </w:r>
      <w:r>
        <w:t xml:space="preserve"> of</w:t>
      </w:r>
      <w:r w:rsidRPr="00B848D7">
        <w:t xml:space="preserve"> their human dignity, or when it arouses feelings of fear, anguish or inferiority capable of breaking an individual’s moral and physical resistance.</w:t>
      </w:r>
      <w:r>
        <w:rPr>
          <w:lang w:val="en-US"/>
        </w:rPr>
        <w:t xml:space="preserve">  However, </w:t>
      </w:r>
      <w:r w:rsidRPr="00292DC5">
        <w:t>several cases testify to the high severity threshold necessary to successfully mount an Article 3 claim</w:t>
      </w:r>
      <w:r w:rsidRPr="00292DC5">
        <w:rPr>
          <w:lang w:val="en-US"/>
        </w:rPr>
        <w:t>.</w:t>
      </w:r>
      <w:r>
        <w:rPr>
          <w:lang w:val="en-US"/>
        </w:rPr>
        <w:t xml:space="preserve"> </w:t>
      </w:r>
      <w:r w:rsidRPr="00812546">
        <w:t xml:space="preserve">E.g. </w:t>
      </w:r>
      <w:r w:rsidRPr="00812546">
        <w:rPr>
          <w:i/>
        </w:rPr>
        <w:t>In the matter of an Application by the Northern Ireland Human Rights Commission for Judicial Review</w:t>
      </w:r>
      <w:r w:rsidRPr="00812546">
        <w:t xml:space="preserve"> [2018] UKSC 27.</w:t>
      </w:r>
    </w:p>
  </w:endnote>
  <w:endnote w:id="97">
    <w:p w:rsidR="00785035" w:rsidRPr="008A6389" w:rsidRDefault="00785035" w:rsidP="00785035">
      <w:pPr>
        <w:pStyle w:val="EndnoteText"/>
        <w:rPr>
          <w:lang w:val="en-US"/>
        </w:rPr>
      </w:pPr>
      <w:r>
        <w:rPr>
          <w:rStyle w:val="EndnoteReference"/>
        </w:rPr>
        <w:endnoteRef/>
      </w:r>
      <w:r>
        <w:t xml:space="preserve"> </w:t>
      </w:r>
      <w:r w:rsidRPr="008A6389">
        <w:rPr>
          <w:lang w:val="en-US"/>
        </w:rPr>
        <w:t xml:space="preserve">George Letsas, </w:t>
      </w:r>
      <w:r>
        <w:rPr>
          <w:lang w:val="en-US"/>
        </w:rPr>
        <w:t>“</w:t>
      </w:r>
      <w:r w:rsidRPr="008A6389">
        <w:rPr>
          <w:lang w:val="en-US"/>
        </w:rPr>
        <w:t>Strasbourg’s Interpretive Ethic: Lessons for the International Lawyer</w:t>
      </w:r>
      <w:r>
        <w:rPr>
          <w:lang w:val="en-US"/>
        </w:rPr>
        <w:t xml:space="preserve">” </w:t>
      </w:r>
      <w:r w:rsidRPr="008A6389">
        <w:rPr>
          <w:i/>
          <w:lang w:val="en-US"/>
        </w:rPr>
        <w:t>European Journal of International Law</w:t>
      </w:r>
      <w:r w:rsidRPr="008A6389">
        <w:rPr>
          <w:lang w:val="en-US"/>
        </w:rPr>
        <w:t xml:space="preserve"> </w:t>
      </w:r>
      <w:r>
        <w:rPr>
          <w:lang w:val="en-US"/>
        </w:rPr>
        <w:t>21(3)</w:t>
      </w:r>
      <w:r w:rsidRPr="008A6389">
        <w:rPr>
          <w:lang w:val="en-US"/>
        </w:rPr>
        <w:t xml:space="preserve"> (2010)</w:t>
      </w:r>
      <w:r>
        <w:rPr>
          <w:lang w:val="en-US"/>
        </w:rPr>
        <w:t>: 509-41.</w:t>
      </w:r>
    </w:p>
  </w:endnote>
  <w:endnote w:id="98">
    <w:p w:rsidR="00785035" w:rsidRDefault="00785035" w:rsidP="00785035">
      <w:pPr>
        <w:pStyle w:val="EndnoteText"/>
      </w:pPr>
      <w:r>
        <w:rPr>
          <w:rStyle w:val="EndnoteReference"/>
        </w:rPr>
        <w:endnoteRef/>
      </w:r>
      <w:r>
        <w:t xml:space="preserve"> Francis </w:t>
      </w:r>
      <w:r w:rsidRPr="00270DF3">
        <w:t>Ja</w:t>
      </w:r>
      <w:r w:rsidRPr="00B44B3A">
        <w:t xml:space="preserve">cobs, </w:t>
      </w:r>
      <w:r>
        <w:t xml:space="preserve">Robin </w:t>
      </w:r>
      <w:r w:rsidRPr="00B44B3A">
        <w:t>White</w:t>
      </w:r>
      <w:r>
        <w:t xml:space="preserve"> and Clare</w:t>
      </w:r>
      <w:r w:rsidRPr="00B44B3A">
        <w:t xml:space="preserve"> Ovey, </w:t>
      </w:r>
      <w:r w:rsidRPr="00B44B3A">
        <w:rPr>
          <w:i/>
          <w:iCs/>
        </w:rPr>
        <w:t>The European Convention on Human Rights</w:t>
      </w:r>
      <w:r w:rsidRPr="00B44B3A">
        <w:t> (6</w:t>
      </w:r>
      <w:r w:rsidRPr="00B44B3A">
        <w:rPr>
          <w:vertAlign w:val="superscript"/>
        </w:rPr>
        <w:t>th</w:t>
      </w:r>
      <w:r w:rsidRPr="00B44B3A">
        <w:t> ed.</w:t>
      </w:r>
      <w:r>
        <w:t xml:space="preserve"> Oxford:</w:t>
      </w:r>
      <w:r w:rsidRPr="00B44B3A">
        <w:t xml:space="preserve"> OUP 2014</w:t>
      </w:r>
      <w:r>
        <w:t>) 82.</w:t>
      </w:r>
    </w:p>
  </w:endnote>
  <w:endnote w:id="99">
    <w:p w:rsidR="00785035" w:rsidRDefault="00785035" w:rsidP="00785035">
      <w:pPr>
        <w:pStyle w:val="EndnoteText"/>
      </w:pPr>
      <w:r>
        <w:rPr>
          <w:rStyle w:val="EndnoteReference"/>
        </w:rPr>
        <w:endnoteRef/>
      </w:r>
      <w:r>
        <w:t xml:space="preserve"> S</w:t>
      </w:r>
      <w:r w:rsidRPr="00973B5C">
        <w:t xml:space="preserve">ee, </w:t>
      </w:r>
      <w:r>
        <w:t>e.g.</w:t>
      </w:r>
      <w:r w:rsidRPr="00973B5C">
        <w:t> </w:t>
      </w:r>
      <w:r w:rsidRPr="00973B5C">
        <w:rPr>
          <w:i/>
          <w:iCs/>
        </w:rPr>
        <w:t>Marckx v. Belgium</w:t>
      </w:r>
      <w:r w:rsidRPr="00973B5C">
        <w:t>, 13 June 1979, § 31</w:t>
      </w:r>
      <w:r>
        <w:t>;</w:t>
      </w:r>
      <w:r w:rsidRPr="0082189D">
        <w:t> </w:t>
      </w:r>
      <w:r w:rsidRPr="0082189D">
        <w:rPr>
          <w:i/>
          <w:iCs/>
        </w:rPr>
        <w:t>K. and T. v. Finland</w:t>
      </w:r>
      <w:r w:rsidRPr="0082189D">
        <w:t> [GC], no. </w:t>
      </w:r>
      <w:hyperlink w:tgtFrame="_blank" w:history="1">
        <w:r w:rsidRPr="0082189D">
          <w:rPr>
            <w:rStyle w:val="Hyperlink"/>
          </w:rPr>
          <w:t>25702/94</w:t>
        </w:r>
      </w:hyperlink>
      <w:r w:rsidRPr="0082189D">
        <w:t>, § 150, ECHR 2001</w:t>
      </w:r>
      <w:r w:rsidRPr="0082189D">
        <w:noBreakHyphen/>
        <w:t>VII).</w:t>
      </w:r>
    </w:p>
  </w:endnote>
  <w:endnote w:id="100">
    <w:p w:rsidR="00785035" w:rsidRDefault="00785035" w:rsidP="00785035">
      <w:pPr>
        <w:pStyle w:val="EndnoteText"/>
      </w:pPr>
      <w:r>
        <w:rPr>
          <w:rStyle w:val="EndnoteReference"/>
        </w:rPr>
        <w:endnoteRef/>
      </w:r>
      <w:r>
        <w:t xml:space="preserve"> George </w:t>
      </w:r>
      <w:r w:rsidRPr="00B44B3A">
        <w:t xml:space="preserve">Letsas, </w:t>
      </w:r>
      <w:r>
        <w:t>“</w:t>
      </w:r>
      <w:r w:rsidRPr="00B44B3A">
        <w:t>The ECHR as a living instrument: Its meaning and legitimacy</w:t>
      </w:r>
      <w:r>
        <w:t>”</w:t>
      </w:r>
      <w:r w:rsidRPr="00B44B3A">
        <w:t xml:space="preserve"> In A. Føllesdal, B. Peters, &amp; G. Ulfstein (Eds.), </w:t>
      </w:r>
      <w:r w:rsidRPr="00B44B3A">
        <w:rPr>
          <w:i/>
          <w:iCs/>
        </w:rPr>
        <w:t>Constituting Europe: The European Court of Human Rights in a National, European and Global Context</w:t>
      </w:r>
      <w:r w:rsidRPr="00B44B3A">
        <w:t> (Cambridge: C</w:t>
      </w:r>
      <w:r>
        <w:t xml:space="preserve">UP, 2013) </w:t>
      </w:r>
      <w:r w:rsidRPr="00B44B3A">
        <w:t>106-141</w:t>
      </w:r>
      <w:r>
        <w:t>.</w:t>
      </w:r>
    </w:p>
  </w:endnote>
  <w:endnote w:id="101">
    <w:p w:rsidR="00785035" w:rsidRDefault="00785035" w:rsidP="00785035">
      <w:pPr>
        <w:pStyle w:val="EndnoteText"/>
      </w:pPr>
      <w:r>
        <w:rPr>
          <w:rStyle w:val="EndnoteReference"/>
        </w:rPr>
        <w:endnoteRef/>
      </w:r>
      <w:r>
        <w:t xml:space="preserve"> </w:t>
      </w:r>
      <w:r w:rsidRPr="0047409E">
        <w:rPr>
          <w:bCs/>
          <w:i/>
        </w:rPr>
        <w:t>Znamenskaya v. Russia</w:t>
      </w:r>
      <w:r>
        <w:t xml:space="preserve"> </w:t>
      </w:r>
      <w:r w:rsidRPr="0047409E">
        <w:rPr>
          <w:iCs/>
        </w:rPr>
        <w:t>(Application no. </w:t>
      </w:r>
      <w:hyperlink w:tgtFrame="_blank" w:history="1">
        <w:r w:rsidRPr="0047409E">
          <w:rPr>
            <w:rStyle w:val="Hyperlink"/>
            <w:iCs/>
          </w:rPr>
          <w:t>77785/01</w:t>
        </w:r>
      </w:hyperlink>
      <w:r w:rsidRPr="0047409E">
        <w:rPr>
          <w:iCs/>
        </w:rPr>
        <w:t>)</w:t>
      </w:r>
      <w:r>
        <w:t xml:space="preserve"> </w:t>
      </w:r>
      <w:r w:rsidRPr="0047409E">
        <w:t>2005</w:t>
      </w:r>
      <w:r>
        <w:t>; Rook “Who Gets Charlie”.</w:t>
      </w:r>
    </w:p>
  </w:endnote>
  <w:endnote w:id="102">
    <w:p w:rsidR="00785035" w:rsidRPr="00812546" w:rsidRDefault="00785035" w:rsidP="00785035">
      <w:pPr>
        <w:pStyle w:val="EndnoteText"/>
      </w:pPr>
      <w:r w:rsidRPr="00812546">
        <w:rPr>
          <w:rStyle w:val="EndnoteReference"/>
        </w:rPr>
        <w:endnoteRef/>
      </w:r>
      <w:r w:rsidRPr="00812546">
        <w:t xml:space="preserve"> </w:t>
      </w:r>
      <w:r w:rsidRPr="00812546">
        <w:rPr>
          <w:lang w:val="en-US"/>
        </w:rPr>
        <w:t>Rook, “For the Love of Darcie” 13.</w:t>
      </w:r>
    </w:p>
  </w:endnote>
  <w:endnote w:id="103">
    <w:p w:rsidR="00785035" w:rsidRDefault="00785035" w:rsidP="00785035">
      <w:pPr>
        <w:pStyle w:val="EndnoteText"/>
      </w:pPr>
      <w:r>
        <w:rPr>
          <w:rStyle w:val="EndnoteReference"/>
        </w:rPr>
        <w:endnoteRef/>
      </w:r>
      <w:r>
        <w:t xml:space="preserve"> Sue Westwood,</w:t>
      </w:r>
      <w:r w:rsidRPr="00460249">
        <w:t xml:space="preserve"> (2016) ‘Institutions, they’re very straight. My god I hope I don’t have to go into a care home’: Spatial inequalities anticipated by older lesbians and gay men</w:t>
      </w:r>
      <w:r>
        <w:t xml:space="preserve">” </w:t>
      </w:r>
      <w:r w:rsidRPr="00460249">
        <w:t xml:space="preserve">in </w:t>
      </w:r>
      <w:r w:rsidRPr="00460249">
        <w:rPr>
          <w:i/>
          <w:iCs/>
        </w:rPr>
        <w:t>Revaluing care in theory, law and policy</w:t>
      </w:r>
      <w:r w:rsidRPr="00460249">
        <w:rPr>
          <w:iCs/>
        </w:rPr>
        <w:t xml:space="preserve"> edited by Rosie Harding, Ruth Fletcher and Christine Beasley (London: Routledge 2016) </w:t>
      </w:r>
      <w:r w:rsidRPr="00460249">
        <w:t xml:space="preserve"> 215-232.</w:t>
      </w:r>
    </w:p>
  </w:endnote>
  <w:endnote w:id="104">
    <w:p w:rsidR="00785035" w:rsidRPr="00812546" w:rsidRDefault="00785035" w:rsidP="00785035">
      <w:pPr>
        <w:pStyle w:val="EndnoteText"/>
      </w:pPr>
      <w:r w:rsidRPr="00812546">
        <w:rPr>
          <w:rStyle w:val="EndnoteReference"/>
        </w:rPr>
        <w:endnoteRef/>
      </w:r>
      <w:r w:rsidRPr="00812546">
        <w:t xml:space="preserve"> </w:t>
      </w:r>
      <w:r>
        <w:t xml:space="preserve">Anne </w:t>
      </w:r>
      <w:r w:rsidRPr="00873DF5">
        <w:t>Boykin</w:t>
      </w:r>
      <w:r>
        <w:t xml:space="preserve"> </w:t>
      </w:r>
      <w:r w:rsidRPr="00873DF5">
        <w:t xml:space="preserve">and </w:t>
      </w:r>
      <w:r>
        <w:t xml:space="preserve">Jill </w:t>
      </w:r>
      <w:r w:rsidRPr="00873DF5">
        <w:t xml:space="preserve">Winland-Brown, </w:t>
      </w:r>
      <w:r w:rsidRPr="00873DF5">
        <w:rPr>
          <w:bCs/>
        </w:rPr>
        <w:t xml:space="preserve">‘The Dark Side of Caring: Challenges of Caregiving’ </w:t>
      </w:r>
      <w:r w:rsidRPr="00873DF5">
        <w:rPr>
          <w:bCs/>
          <w:i/>
        </w:rPr>
        <w:t>Journal of Gerontological Nursing</w:t>
      </w:r>
      <w:r w:rsidRPr="00873DF5">
        <w:rPr>
          <w:bCs/>
        </w:rPr>
        <w:t xml:space="preserve"> 21(5)</w:t>
      </w:r>
      <w:r w:rsidRPr="00812546">
        <w:rPr>
          <w:bCs/>
        </w:rPr>
        <w:t xml:space="preserve"> (1995)</w:t>
      </w:r>
      <w:r w:rsidRPr="00873DF5">
        <w:rPr>
          <w:bCs/>
        </w:rPr>
        <w:t>:</w:t>
      </w:r>
      <w:r w:rsidRPr="00812546">
        <w:rPr>
          <w:bCs/>
        </w:rPr>
        <w:t xml:space="preserve"> </w:t>
      </w:r>
      <w:r w:rsidRPr="00873DF5">
        <w:rPr>
          <w:bCs/>
        </w:rPr>
        <w:t>13-18</w:t>
      </w:r>
      <w:r w:rsidRPr="00812546">
        <w:rPr>
          <w:bCs/>
        </w:rPr>
        <w:t xml:space="preserve">; </w:t>
      </w:r>
      <w:r>
        <w:rPr>
          <w:bCs/>
        </w:rPr>
        <w:t xml:space="preserve">Peta </w:t>
      </w:r>
      <w:r w:rsidRPr="00812546">
        <w:rPr>
          <w:bCs/>
        </w:rPr>
        <w:t xml:space="preserve">Bowden, </w:t>
      </w:r>
      <w:r w:rsidRPr="00812546">
        <w:rPr>
          <w:bCs/>
          <w:i/>
        </w:rPr>
        <w:t>Caring: Gender Sensitive Ethics</w:t>
      </w:r>
      <w:r w:rsidRPr="00812546">
        <w:rPr>
          <w:bCs/>
        </w:rPr>
        <w:t xml:space="preserve"> (London: Routledge 1996).</w:t>
      </w:r>
    </w:p>
  </w:endnote>
  <w:endnote w:id="105">
    <w:p w:rsidR="00785035" w:rsidRPr="000B60B0" w:rsidRDefault="00785035" w:rsidP="00785035">
      <w:pPr>
        <w:pStyle w:val="EndnoteText"/>
        <w:rPr>
          <w:iCs/>
        </w:rPr>
      </w:pPr>
      <w:r>
        <w:rPr>
          <w:rStyle w:val="EndnoteReference"/>
        </w:rPr>
        <w:endnoteRef/>
      </w:r>
      <w:r>
        <w:t xml:space="preserve"> Rosie </w:t>
      </w:r>
      <w:r w:rsidRPr="000B60B0">
        <w:t xml:space="preserve">Harding, “Care and relationality: supported decision-making under the UN CPRD” in </w:t>
      </w:r>
      <w:r w:rsidRPr="000B60B0">
        <w:rPr>
          <w:i/>
          <w:iCs/>
        </w:rPr>
        <w:t>Revaluing care in theory, law and policy</w:t>
      </w:r>
      <w:r w:rsidRPr="000B60B0">
        <w:rPr>
          <w:iCs/>
        </w:rPr>
        <w:t xml:space="preserve"> edited by Rosie Harding, Ruth Fletcher and Christine Beasley (London: Routledge 2016) 114-130</w:t>
      </w:r>
      <w:r>
        <w:rPr>
          <w:iCs/>
        </w:rPr>
        <w:t>, 119.</w:t>
      </w:r>
    </w:p>
  </w:endnote>
  <w:endnote w:id="106">
    <w:p w:rsidR="00785035" w:rsidRPr="003C693E" w:rsidRDefault="00785035" w:rsidP="00785035">
      <w:pPr>
        <w:pStyle w:val="EndnoteText"/>
      </w:pPr>
      <w:r w:rsidRPr="00812546">
        <w:rPr>
          <w:rStyle w:val="EndnoteReference"/>
        </w:rPr>
        <w:endnoteRef/>
      </w:r>
      <w:r w:rsidRPr="00812546">
        <w:t xml:space="preserve"> </w:t>
      </w:r>
      <w:r w:rsidRPr="003C693E">
        <w:rPr>
          <w:lang w:val="en-US"/>
        </w:rPr>
        <w:t>Fineman, “The Vulnerable Subject” 253.</w:t>
      </w:r>
    </w:p>
  </w:endnote>
  <w:endnote w:id="107">
    <w:p w:rsidR="00785035" w:rsidRPr="003C693E" w:rsidRDefault="00785035" w:rsidP="00785035">
      <w:pPr>
        <w:pStyle w:val="EndnoteText"/>
      </w:pPr>
      <w:r w:rsidRPr="003C693E">
        <w:rPr>
          <w:rStyle w:val="EndnoteReference"/>
        </w:rPr>
        <w:endnoteRef/>
      </w:r>
      <w:r w:rsidRPr="003C693E">
        <w:t xml:space="preserve"> </w:t>
      </w:r>
      <w:r w:rsidRPr="003C693E">
        <w:rPr>
          <w:lang w:val="en-US"/>
        </w:rPr>
        <w:t>Rook, “For the Love of Darcie” 38.</w:t>
      </w:r>
    </w:p>
  </w:endnote>
  <w:endnote w:id="108">
    <w:p w:rsidR="00785035" w:rsidRPr="003C693E" w:rsidRDefault="00785035" w:rsidP="00785035">
      <w:pPr>
        <w:autoSpaceDE w:val="0"/>
        <w:autoSpaceDN w:val="0"/>
        <w:adjustRightInd w:val="0"/>
        <w:rPr>
          <w:rFonts w:eastAsiaTheme="minorHAnsi"/>
          <w:sz w:val="20"/>
          <w:szCs w:val="20"/>
          <w:lang w:val="en-US"/>
        </w:rPr>
      </w:pPr>
      <w:r w:rsidRPr="003C693E">
        <w:rPr>
          <w:rStyle w:val="EndnoteReference"/>
          <w:sz w:val="20"/>
          <w:szCs w:val="20"/>
        </w:rPr>
        <w:endnoteRef/>
      </w:r>
      <w:r w:rsidRPr="003C693E">
        <w:rPr>
          <w:sz w:val="20"/>
          <w:szCs w:val="20"/>
        </w:rPr>
        <w:t xml:space="preserve">We thank one of the reviewers for drawing this point to our attention. </w:t>
      </w:r>
      <w:r>
        <w:rPr>
          <w:sz w:val="20"/>
          <w:szCs w:val="20"/>
        </w:rPr>
        <w:t>For some evidence of cost savings from animal intervention</w:t>
      </w:r>
      <w:r w:rsidRPr="003C693E">
        <w:rPr>
          <w:sz w:val="20"/>
          <w:szCs w:val="20"/>
        </w:rPr>
        <w:t>s</w:t>
      </w:r>
      <w:r>
        <w:rPr>
          <w:sz w:val="20"/>
          <w:szCs w:val="20"/>
        </w:rPr>
        <w:t xml:space="preserve"> see</w:t>
      </w:r>
      <w:r w:rsidRPr="003C693E">
        <w:rPr>
          <w:sz w:val="20"/>
          <w:szCs w:val="20"/>
        </w:rPr>
        <w:t xml:space="preserve"> Nancy </w:t>
      </w:r>
      <w:r w:rsidRPr="003C693E">
        <w:rPr>
          <w:rFonts w:eastAsiaTheme="minorHAnsi"/>
          <w:sz w:val="20"/>
          <w:szCs w:val="20"/>
          <w:lang w:val="en-US"/>
        </w:rPr>
        <w:t xml:space="preserve">Edwards and Beck Alan </w:t>
      </w:r>
      <w:r>
        <w:rPr>
          <w:rFonts w:eastAsiaTheme="minorHAnsi"/>
          <w:sz w:val="20"/>
          <w:szCs w:val="20"/>
          <w:lang w:val="en-US"/>
        </w:rPr>
        <w:t>“</w:t>
      </w:r>
      <w:r w:rsidRPr="003C693E">
        <w:rPr>
          <w:rFonts w:eastAsiaTheme="minorHAnsi"/>
          <w:sz w:val="20"/>
          <w:szCs w:val="20"/>
          <w:lang w:val="en-US"/>
        </w:rPr>
        <w:t>Animal-Assisted Therapy and Nutrition in</w:t>
      </w:r>
    </w:p>
    <w:p w:rsidR="00785035" w:rsidRPr="003C693E" w:rsidRDefault="00785035" w:rsidP="00785035">
      <w:pPr>
        <w:pStyle w:val="EndnoteText"/>
        <w:rPr>
          <w:rFonts w:eastAsiaTheme="minorHAnsi"/>
          <w:sz w:val="18"/>
          <w:szCs w:val="18"/>
          <w:lang w:val="en-US"/>
        </w:rPr>
      </w:pPr>
      <w:r w:rsidRPr="003C693E">
        <w:rPr>
          <w:rFonts w:eastAsiaTheme="minorHAnsi"/>
          <w:lang w:val="en-US"/>
        </w:rPr>
        <w:t>Alzheimer’s Disease</w:t>
      </w:r>
      <w:r>
        <w:rPr>
          <w:rFonts w:eastAsiaTheme="minorHAnsi"/>
          <w:lang w:val="en-US"/>
        </w:rPr>
        <w:t>”</w:t>
      </w:r>
      <w:r w:rsidRPr="003C693E">
        <w:rPr>
          <w:rFonts w:eastAsiaTheme="minorHAnsi"/>
          <w:lang w:val="en-US"/>
        </w:rPr>
        <w:t xml:space="preserve"> </w:t>
      </w:r>
      <w:r w:rsidRPr="003C693E">
        <w:rPr>
          <w:rFonts w:eastAsiaTheme="minorHAnsi"/>
          <w:i/>
          <w:lang w:val="en-US"/>
        </w:rPr>
        <w:t>Western</w:t>
      </w:r>
      <w:r w:rsidRPr="003C693E">
        <w:rPr>
          <w:rFonts w:eastAsiaTheme="minorHAnsi"/>
          <w:i/>
          <w:sz w:val="18"/>
          <w:szCs w:val="18"/>
          <w:lang w:val="en-US"/>
        </w:rPr>
        <w:t xml:space="preserve"> Journal of Nursing Research</w:t>
      </w:r>
      <w:r>
        <w:rPr>
          <w:rFonts w:eastAsiaTheme="minorHAnsi"/>
          <w:sz w:val="18"/>
          <w:szCs w:val="18"/>
          <w:lang w:val="en-US"/>
        </w:rPr>
        <w:t xml:space="preserve"> 24(6) (2002): 697-712; Susan </w:t>
      </w:r>
      <w:r w:rsidRPr="003C693E">
        <w:rPr>
          <w:rFonts w:eastAsiaTheme="minorHAnsi"/>
          <w:sz w:val="18"/>
          <w:szCs w:val="18"/>
          <w:lang w:val="en-US"/>
        </w:rPr>
        <w:t xml:space="preserve">Filan and </w:t>
      </w:r>
      <w:r>
        <w:rPr>
          <w:rFonts w:eastAsiaTheme="minorHAnsi"/>
          <w:sz w:val="18"/>
          <w:szCs w:val="18"/>
          <w:lang w:val="en-US"/>
        </w:rPr>
        <w:t xml:space="preserve">Robert </w:t>
      </w:r>
      <w:r w:rsidRPr="003C693E">
        <w:rPr>
          <w:rFonts w:eastAsiaTheme="minorHAnsi"/>
          <w:sz w:val="18"/>
          <w:szCs w:val="18"/>
          <w:lang w:val="en-US"/>
        </w:rPr>
        <w:t xml:space="preserve">Llewellyn-Jones </w:t>
      </w:r>
      <w:r>
        <w:rPr>
          <w:rFonts w:eastAsiaTheme="minorHAnsi"/>
          <w:sz w:val="18"/>
          <w:szCs w:val="18"/>
          <w:lang w:val="en-US"/>
        </w:rPr>
        <w:t>“</w:t>
      </w:r>
      <w:r w:rsidRPr="003C693E">
        <w:rPr>
          <w:rFonts w:eastAsiaTheme="minorHAnsi"/>
          <w:sz w:val="18"/>
          <w:szCs w:val="18"/>
          <w:lang w:val="en-US"/>
        </w:rPr>
        <w:t>Animal-Assisted Therapy for Dementia: A</w:t>
      </w:r>
      <w:r>
        <w:rPr>
          <w:rFonts w:eastAsiaTheme="minorHAnsi"/>
          <w:sz w:val="18"/>
          <w:szCs w:val="18"/>
          <w:lang w:val="en-US"/>
        </w:rPr>
        <w:t xml:space="preserve"> </w:t>
      </w:r>
      <w:r w:rsidRPr="003C693E">
        <w:rPr>
          <w:rFonts w:eastAsiaTheme="minorHAnsi"/>
          <w:sz w:val="18"/>
          <w:szCs w:val="18"/>
          <w:lang w:val="en-US"/>
        </w:rPr>
        <w:t>review of the literature</w:t>
      </w:r>
      <w:r>
        <w:rPr>
          <w:rFonts w:eastAsiaTheme="minorHAnsi"/>
          <w:sz w:val="18"/>
          <w:szCs w:val="18"/>
          <w:lang w:val="en-US"/>
        </w:rPr>
        <w:t>”</w:t>
      </w:r>
      <w:r w:rsidRPr="003C693E">
        <w:rPr>
          <w:rFonts w:eastAsiaTheme="minorHAnsi"/>
          <w:sz w:val="18"/>
          <w:szCs w:val="18"/>
          <w:lang w:val="en-US"/>
        </w:rPr>
        <w:t xml:space="preserve"> International Psychogeriatrics 18(4)</w:t>
      </w:r>
      <w:r>
        <w:rPr>
          <w:rFonts w:eastAsiaTheme="minorHAnsi"/>
          <w:sz w:val="18"/>
          <w:szCs w:val="18"/>
          <w:lang w:val="en-US"/>
        </w:rPr>
        <w:t xml:space="preserve"> (2006)</w:t>
      </w:r>
      <w:r w:rsidRPr="003C693E">
        <w:rPr>
          <w:rFonts w:eastAsiaTheme="minorHAnsi"/>
          <w:sz w:val="18"/>
          <w:szCs w:val="18"/>
          <w:lang w:val="en-US"/>
        </w:rPr>
        <w:t>: 597-611.</w:t>
      </w:r>
      <w:r>
        <w:rPr>
          <w:rFonts w:eastAsiaTheme="minorHAnsi"/>
          <w:sz w:val="18"/>
          <w:szCs w:val="18"/>
          <w:lang w:val="en-US"/>
        </w:rPr>
        <w:t xml:space="preserve"> However, it has been noted that there has been scant research into the question of economic benefits derived from animal companionship – IFA, “Measuring the Benefits”, 18.</w:t>
      </w:r>
    </w:p>
  </w:endnote>
  <w:endnote w:id="109">
    <w:p w:rsidR="00785035" w:rsidRPr="00812546" w:rsidRDefault="00785035" w:rsidP="00785035">
      <w:pPr>
        <w:pStyle w:val="EndnoteText"/>
      </w:pPr>
      <w:r w:rsidRPr="00812546">
        <w:rPr>
          <w:rStyle w:val="EndnoteReference"/>
        </w:rPr>
        <w:endnoteRef/>
      </w:r>
      <w:r w:rsidRPr="00812546">
        <w:t xml:space="preserve"> </w:t>
      </w:r>
      <w:r>
        <w:t xml:space="preserve">Randall </w:t>
      </w:r>
      <w:r w:rsidRPr="00812546">
        <w:t>Smith</w:t>
      </w:r>
      <w:r>
        <w:t xml:space="preserve"> et al,</w:t>
      </w:r>
      <w:r w:rsidRPr="00812546">
        <w:t xml:space="preserve"> “People, pets and care homes: a story of ambivalence” </w:t>
      </w:r>
      <w:r w:rsidRPr="00812546">
        <w:rPr>
          <w:i/>
          <w:iCs/>
        </w:rPr>
        <w:t>Quality in Ageing and Older Adults”</w:t>
      </w:r>
      <w:r w:rsidRPr="00812546">
        <w:t>12(4) (2011): 217-228, 217</w:t>
      </w:r>
      <w:r w:rsidRPr="00812546">
        <w:rPr>
          <w:lang w:val="en-US"/>
        </w:rPr>
        <w:t>.</w:t>
      </w:r>
    </w:p>
  </w:endnote>
  <w:endnote w:id="110">
    <w:p w:rsidR="00785035" w:rsidRPr="00812546" w:rsidRDefault="00785035" w:rsidP="00785035">
      <w:pPr>
        <w:pStyle w:val="EndnoteText"/>
      </w:pPr>
      <w:r w:rsidRPr="00812546">
        <w:rPr>
          <w:rStyle w:val="EndnoteReference"/>
        </w:rPr>
        <w:endnoteRef/>
      </w:r>
      <w:r w:rsidRPr="00812546">
        <w:t xml:space="preserve"> </w:t>
      </w:r>
      <w:r w:rsidRPr="00812546">
        <w:rPr>
          <w:lang w:val="en-US"/>
        </w:rPr>
        <w:t>Laurie, “Liminality and the Limits of Law” 49.</w:t>
      </w:r>
    </w:p>
  </w:endnote>
  <w:endnote w:id="111">
    <w:p w:rsidR="00785035" w:rsidRPr="00812546" w:rsidRDefault="00785035" w:rsidP="00785035">
      <w:pPr>
        <w:pStyle w:val="EndnoteText"/>
      </w:pPr>
      <w:r w:rsidRPr="00812546">
        <w:rPr>
          <w:rStyle w:val="EndnoteReference"/>
        </w:rPr>
        <w:endnoteRef/>
      </w:r>
      <w:r w:rsidRPr="00812546">
        <w:t xml:space="preserve"> </w:t>
      </w:r>
      <w:r w:rsidRPr="00812546">
        <w:rPr>
          <w:lang w:val="en-US"/>
        </w:rPr>
        <w:t>Taylor-Alexander, “Beyond Regulatory Compression” 152.</w:t>
      </w:r>
    </w:p>
  </w:endnote>
  <w:endnote w:id="112">
    <w:p w:rsidR="00785035" w:rsidRPr="00812546" w:rsidRDefault="00785035" w:rsidP="00785035">
      <w:pPr>
        <w:pStyle w:val="EndnoteText"/>
        <w:rPr>
          <w:lang w:val="en-US"/>
        </w:rPr>
      </w:pPr>
      <w:r w:rsidRPr="00812546">
        <w:rPr>
          <w:rStyle w:val="EndnoteReference"/>
        </w:rPr>
        <w:endnoteRef/>
      </w:r>
      <w:r w:rsidRPr="00812546">
        <w:t xml:space="preserve"> </w:t>
      </w:r>
      <w:r>
        <w:t xml:space="preserve">Nik </w:t>
      </w:r>
      <w:r w:rsidRPr="00812546">
        <w:rPr>
          <w:lang w:val="en-US"/>
        </w:rPr>
        <w:t xml:space="preserve">Brown and </w:t>
      </w:r>
      <w:r>
        <w:rPr>
          <w:lang w:val="en-US"/>
        </w:rPr>
        <w:t xml:space="preserve">Sian </w:t>
      </w:r>
      <w:r w:rsidRPr="00812546">
        <w:rPr>
          <w:lang w:val="en-US"/>
        </w:rPr>
        <w:t xml:space="preserve">Beynon-Jones, “‘Reflex Regulation’: An Anatomy of Promissory Science Governance” </w:t>
      </w:r>
      <w:r w:rsidRPr="00812546">
        <w:rPr>
          <w:i/>
          <w:lang w:val="en-US"/>
        </w:rPr>
        <w:t>Health, Risk &amp; Society</w:t>
      </w:r>
      <w:r w:rsidRPr="00812546">
        <w:rPr>
          <w:lang w:val="en-US"/>
        </w:rPr>
        <w:t xml:space="preserve"> 14: (2012): 223-240, 225.</w:t>
      </w:r>
    </w:p>
  </w:endnote>
  <w:endnote w:id="113">
    <w:p w:rsidR="00785035" w:rsidRPr="00812546" w:rsidRDefault="00785035" w:rsidP="00785035">
      <w:pPr>
        <w:pStyle w:val="EndnoteText"/>
      </w:pPr>
      <w:r w:rsidRPr="00812546">
        <w:rPr>
          <w:rStyle w:val="EndnoteReference"/>
        </w:rPr>
        <w:endnoteRef/>
      </w:r>
      <w:r w:rsidRPr="00812546">
        <w:t xml:space="preserve"> </w:t>
      </w:r>
      <w:r>
        <w:t xml:space="preserve">Robert </w:t>
      </w:r>
      <w:r w:rsidRPr="00B4070A">
        <w:t xml:space="preserve">Lee and </w:t>
      </w:r>
      <w:r>
        <w:t xml:space="preserve">Judith </w:t>
      </w:r>
      <w:r w:rsidRPr="00B4070A">
        <w:t>Petts “Adaptive Governance for Responsible Innovation” i</w:t>
      </w:r>
      <w:r w:rsidRPr="00812546">
        <w:t xml:space="preserve">n </w:t>
      </w:r>
      <w:r w:rsidRPr="00B4070A">
        <w:rPr>
          <w:i/>
          <w:iCs/>
        </w:rPr>
        <w:t>Responsible Innovation: Managing the Responsible Emergence of Science and Innovation in Society</w:t>
      </w:r>
      <w:r w:rsidRPr="00B4070A">
        <w:t xml:space="preserve"> </w:t>
      </w:r>
      <w:r w:rsidRPr="00812546">
        <w:t xml:space="preserve">edited by </w:t>
      </w:r>
      <w:r w:rsidRPr="00B4070A">
        <w:t>Owen R, et al</w:t>
      </w:r>
      <w:r w:rsidRPr="00812546">
        <w:t>.</w:t>
      </w:r>
      <w:r w:rsidRPr="00B4070A">
        <w:rPr>
          <w:i/>
          <w:iCs/>
        </w:rPr>
        <w:t> </w:t>
      </w:r>
      <w:r w:rsidRPr="00B4070A">
        <w:rPr>
          <w:iCs/>
        </w:rPr>
        <w:t xml:space="preserve">(London: </w:t>
      </w:r>
      <w:r w:rsidRPr="00B4070A">
        <w:t>Wiley, 2013)</w:t>
      </w:r>
      <w:r w:rsidRPr="00812546">
        <w:t xml:space="preserve"> </w:t>
      </w:r>
      <w:r w:rsidRPr="00B4070A">
        <w:t>143-64.</w:t>
      </w:r>
    </w:p>
  </w:endnote>
  <w:endnote w:id="114">
    <w:p w:rsidR="00785035" w:rsidRPr="00812546" w:rsidRDefault="00785035" w:rsidP="00785035">
      <w:pPr>
        <w:pStyle w:val="EndnoteText"/>
      </w:pPr>
      <w:r w:rsidRPr="00812546">
        <w:rPr>
          <w:rStyle w:val="EndnoteReference"/>
        </w:rPr>
        <w:endnoteRef/>
      </w:r>
      <w:r w:rsidRPr="00812546">
        <w:t xml:space="preserve"> </w:t>
      </w:r>
      <w:r>
        <w:t xml:space="preserve">Robert </w:t>
      </w:r>
      <w:r w:rsidRPr="00812546">
        <w:t>Baldwin</w:t>
      </w:r>
      <w:r>
        <w:t xml:space="preserve"> </w:t>
      </w:r>
      <w:r w:rsidRPr="00812546">
        <w:t xml:space="preserve">and </w:t>
      </w:r>
      <w:r>
        <w:t xml:space="preserve">Julia </w:t>
      </w:r>
      <w:r w:rsidRPr="00812546">
        <w:t xml:space="preserve">Black, “Really Responsive Regulation” </w:t>
      </w:r>
      <w:r w:rsidRPr="00812546">
        <w:rPr>
          <w:i/>
        </w:rPr>
        <w:t>Modern Law Review</w:t>
      </w:r>
      <w:r w:rsidRPr="00812546">
        <w:t xml:space="preserve"> </w:t>
      </w:r>
      <w:r w:rsidRPr="00812546">
        <w:rPr>
          <w:lang w:val="en-US"/>
        </w:rPr>
        <w:t>71(1) (2008): 59-94,</w:t>
      </w:r>
    </w:p>
    <w:p w:rsidR="00785035" w:rsidRPr="00812546" w:rsidRDefault="00785035" w:rsidP="00785035">
      <w:pPr>
        <w:pStyle w:val="EndnoteText"/>
      </w:pPr>
      <w:r w:rsidRPr="00812546">
        <w:t xml:space="preserve"> 70.</w:t>
      </w:r>
    </w:p>
    <w:p w:rsidR="00785035" w:rsidRDefault="00785035" w:rsidP="00785035">
      <w:pPr>
        <w:pStyle w:val="EndnoteText"/>
      </w:pPr>
    </w:p>
    <w:p w:rsidR="00785035" w:rsidRDefault="00785035" w:rsidP="00785035">
      <w:pPr>
        <w:pStyle w:val="EndnoteText"/>
      </w:pPr>
    </w:p>
    <w:p w:rsidR="00785035" w:rsidRPr="00441268" w:rsidRDefault="00785035" w:rsidP="00785035">
      <w:pPr>
        <w:spacing w:line="480" w:lineRule="auto"/>
        <w:rPr>
          <w:b/>
          <w:sz w:val="22"/>
          <w:szCs w:val="22"/>
        </w:rPr>
      </w:pPr>
      <w:r>
        <w:rPr>
          <w:sz w:val="22"/>
          <w:szCs w:val="22"/>
        </w:rPr>
        <w:tab/>
      </w:r>
      <w:r w:rsidRPr="005D65EF">
        <w:rPr>
          <w:sz w:val="22"/>
          <w:szCs w:val="22"/>
        </w:rPr>
        <w:tab/>
      </w:r>
      <w:r w:rsidRPr="005D65EF">
        <w:rPr>
          <w:sz w:val="22"/>
          <w:szCs w:val="22"/>
        </w:rPr>
        <w:tab/>
      </w:r>
      <w:r w:rsidRPr="005D65EF">
        <w:rPr>
          <w:sz w:val="22"/>
          <w:szCs w:val="22"/>
        </w:rPr>
        <w:tab/>
      </w:r>
      <w:r>
        <w:rPr>
          <w:sz w:val="22"/>
          <w:szCs w:val="22"/>
        </w:rPr>
        <w:tab/>
      </w:r>
      <w:r w:rsidRPr="00441268">
        <w:rPr>
          <w:b/>
          <w:sz w:val="22"/>
          <w:szCs w:val="22"/>
        </w:rPr>
        <w:t>REFERENCES</w:t>
      </w:r>
    </w:p>
    <w:p w:rsidR="00785035" w:rsidRPr="005D65EF" w:rsidRDefault="00785035" w:rsidP="00785035">
      <w:pPr>
        <w:spacing w:line="480" w:lineRule="auto"/>
        <w:rPr>
          <w:sz w:val="22"/>
          <w:szCs w:val="22"/>
        </w:rPr>
      </w:pPr>
      <w:r w:rsidRPr="00580247">
        <w:rPr>
          <w:sz w:val="22"/>
          <w:szCs w:val="22"/>
        </w:rPr>
        <w:t xml:space="preserve">Age UK </w:t>
      </w:r>
      <w:r w:rsidRPr="00580247">
        <w:rPr>
          <w:i/>
          <w:sz w:val="22"/>
          <w:szCs w:val="22"/>
        </w:rPr>
        <w:t>Older People and Human Rights</w:t>
      </w:r>
      <w:r w:rsidRPr="00580247">
        <w:rPr>
          <w:sz w:val="22"/>
          <w:szCs w:val="22"/>
        </w:rPr>
        <w:t xml:space="preserve"> (London: Age UK, 2011</w:t>
      </w:r>
      <w:r>
        <w:rPr>
          <w:sz w:val="22"/>
          <w:szCs w:val="22"/>
        </w:rPr>
        <w:t xml:space="preserve">) </w:t>
      </w:r>
      <w:hyperlink r:id="rId3" w:history="1">
        <w:r w:rsidRPr="00ED7246">
          <w:rPr>
            <w:rStyle w:val="Hyperlink"/>
            <w:sz w:val="22"/>
            <w:szCs w:val="22"/>
          </w:rPr>
          <w:t>http://www.ageuk.org.uk/documents/en-gb/for-professionals/equality-and-human-rights/older_people_human_rights__expert_series_pro.pdf?dtrk=true</w:t>
        </w:r>
      </w:hyperlink>
    </w:p>
    <w:p w:rsidR="00785035" w:rsidRPr="00163ED8" w:rsidRDefault="00785035" w:rsidP="00785035">
      <w:pPr>
        <w:spacing w:line="480" w:lineRule="auto"/>
        <w:rPr>
          <w:bCs/>
          <w:sz w:val="22"/>
          <w:szCs w:val="22"/>
        </w:rPr>
      </w:pPr>
      <w:r w:rsidRPr="00163ED8">
        <w:rPr>
          <w:sz w:val="22"/>
          <w:szCs w:val="22"/>
        </w:rPr>
        <w:t>Albert</w:t>
      </w:r>
      <w:r>
        <w:rPr>
          <w:sz w:val="22"/>
          <w:szCs w:val="22"/>
        </w:rPr>
        <w:t>, Alexa</w:t>
      </w:r>
      <w:r w:rsidRPr="00163ED8">
        <w:rPr>
          <w:sz w:val="22"/>
          <w:szCs w:val="22"/>
        </w:rPr>
        <w:t xml:space="preserve"> and Bulcroft</w:t>
      </w:r>
      <w:r>
        <w:rPr>
          <w:sz w:val="22"/>
          <w:szCs w:val="22"/>
        </w:rPr>
        <w:t>, Kris “</w:t>
      </w:r>
      <w:r w:rsidRPr="00163ED8">
        <w:rPr>
          <w:bCs/>
          <w:sz w:val="22"/>
          <w:szCs w:val="22"/>
        </w:rPr>
        <w:t>Pets, Families, and the Life Course</w:t>
      </w:r>
      <w:r>
        <w:rPr>
          <w:bCs/>
          <w:sz w:val="22"/>
          <w:szCs w:val="22"/>
        </w:rPr>
        <w:t xml:space="preserve">” </w:t>
      </w:r>
      <w:r w:rsidRPr="00163ED8">
        <w:rPr>
          <w:i/>
          <w:iCs/>
          <w:sz w:val="22"/>
          <w:szCs w:val="22"/>
        </w:rPr>
        <w:t>Journal of Marriage and Family</w:t>
      </w:r>
      <w:r>
        <w:rPr>
          <w:bCs/>
          <w:sz w:val="22"/>
          <w:szCs w:val="22"/>
        </w:rPr>
        <w:t xml:space="preserve"> </w:t>
      </w:r>
      <w:r w:rsidRPr="00163ED8">
        <w:rPr>
          <w:sz w:val="22"/>
          <w:szCs w:val="22"/>
        </w:rPr>
        <w:t>50</w:t>
      </w:r>
      <w:r>
        <w:rPr>
          <w:sz w:val="22"/>
          <w:szCs w:val="22"/>
        </w:rPr>
        <w:t xml:space="preserve"> (</w:t>
      </w:r>
      <w:r w:rsidRPr="00163ED8">
        <w:rPr>
          <w:sz w:val="22"/>
          <w:szCs w:val="22"/>
        </w:rPr>
        <w:t>2</w:t>
      </w:r>
      <w:r>
        <w:rPr>
          <w:sz w:val="22"/>
          <w:szCs w:val="22"/>
        </w:rPr>
        <w:t>)</w:t>
      </w:r>
      <w:r w:rsidRPr="00163ED8">
        <w:rPr>
          <w:sz w:val="22"/>
          <w:szCs w:val="22"/>
        </w:rPr>
        <w:t xml:space="preserve"> (May, 1988)</w:t>
      </w:r>
      <w:r>
        <w:rPr>
          <w:sz w:val="22"/>
          <w:szCs w:val="22"/>
        </w:rPr>
        <w:t>:</w:t>
      </w:r>
      <w:r w:rsidRPr="00163ED8">
        <w:rPr>
          <w:sz w:val="22"/>
          <w:szCs w:val="22"/>
        </w:rPr>
        <w:t xml:space="preserve"> 543-552</w:t>
      </w:r>
      <w:r>
        <w:rPr>
          <w:sz w:val="22"/>
          <w:szCs w:val="22"/>
        </w:rPr>
        <w:t>.</w:t>
      </w:r>
    </w:p>
    <w:p w:rsidR="00785035" w:rsidRDefault="00785035" w:rsidP="00785035">
      <w:pPr>
        <w:spacing w:line="480" w:lineRule="auto"/>
        <w:rPr>
          <w:sz w:val="22"/>
          <w:szCs w:val="22"/>
          <w:lang w:val="en-US"/>
        </w:rPr>
      </w:pPr>
      <w:r w:rsidRPr="005D65EF">
        <w:rPr>
          <w:sz w:val="22"/>
          <w:szCs w:val="22"/>
          <w:lang w:val="en-US"/>
        </w:rPr>
        <w:t>American Pet Manufacturers Association</w:t>
      </w:r>
      <w:r>
        <w:rPr>
          <w:sz w:val="22"/>
          <w:szCs w:val="22"/>
          <w:lang w:val="en-US"/>
        </w:rPr>
        <w:t>,</w:t>
      </w:r>
      <w:r w:rsidRPr="005D65EF">
        <w:rPr>
          <w:sz w:val="22"/>
          <w:szCs w:val="22"/>
          <w:lang w:val="en-US"/>
        </w:rPr>
        <w:t xml:space="preserve"> </w:t>
      </w:r>
      <w:r w:rsidRPr="005D65EF">
        <w:rPr>
          <w:bCs/>
          <w:i/>
          <w:iCs/>
          <w:sz w:val="22"/>
          <w:szCs w:val="22"/>
        </w:rPr>
        <w:t>The 2017-2018 APPA National Pet Owners Survey Debut</w:t>
      </w:r>
      <w:r w:rsidRPr="005D65EF">
        <w:rPr>
          <w:bCs/>
          <w:iCs/>
          <w:sz w:val="22"/>
          <w:szCs w:val="22"/>
        </w:rPr>
        <w:t xml:space="preserve">. </w:t>
      </w:r>
      <w:r>
        <w:rPr>
          <w:bCs/>
          <w:iCs/>
          <w:sz w:val="22"/>
          <w:szCs w:val="22"/>
        </w:rPr>
        <w:t>2018</w:t>
      </w:r>
      <w:r w:rsidRPr="005D65EF">
        <w:rPr>
          <w:bCs/>
          <w:i/>
          <w:iCs/>
          <w:sz w:val="22"/>
          <w:szCs w:val="22"/>
        </w:rPr>
        <w:t xml:space="preserve"> </w:t>
      </w:r>
      <w:hyperlink r:id="rId4" w:history="1">
        <w:r w:rsidRPr="007551BC">
          <w:rPr>
            <w:rStyle w:val="Hyperlink"/>
            <w:sz w:val="22"/>
            <w:szCs w:val="22"/>
            <w:lang w:val="en-US"/>
          </w:rPr>
          <w:t>https://americanpetproducts.org/Uploads/MemServices/GPE2017_NPOS_Seminar.pdf</w:t>
        </w:r>
      </w:hyperlink>
    </w:p>
    <w:p w:rsidR="00785035" w:rsidRPr="001F691F" w:rsidRDefault="00785035" w:rsidP="00785035">
      <w:pPr>
        <w:spacing w:line="480" w:lineRule="auto"/>
        <w:rPr>
          <w:sz w:val="22"/>
          <w:szCs w:val="22"/>
        </w:rPr>
      </w:pPr>
      <w:r w:rsidRPr="001F691F">
        <w:rPr>
          <w:sz w:val="22"/>
          <w:szCs w:val="22"/>
        </w:rPr>
        <w:t xml:space="preserve">Andreozzi, </w:t>
      </w:r>
      <w:r>
        <w:rPr>
          <w:sz w:val="22"/>
          <w:szCs w:val="22"/>
        </w:rPr>
        <w:t>Matteo “</w:t>
      </w:r>
      <w:r w:rsidRPr="001F691F">
        <w:rPr>
          <w:sz w:val="22"/>
          <w:szCs w:val="22"/>
        </w:rPr>
        <w:t>Humans’ Best Friend? The Ethical Dilemma of Pets</w:t>
      </w:r>
      <w:r>
        <w:rPr>
          <w:sz w:val="22"/>
          <w:szCs w:val="22"/>
        </w:rPr>
        <w:t xml:space="preserve">” </w:t>
      </w:r>
      <w:r>
        <w:rPr>
          <w:i/>
          <w:sz w:val="22"/>
          <w:szCs w:val="22"/>
        </w:rPr>
        <w:t xml:space="preserve">Relations Beyond Anthropocentrism </w:t>
      </w:r>
      <w:r w:rsidRPr="001F691F">
        <w:rPr>
          <w:sz w:val="22"/>
          <w:szCs w:val="22"/>
        </w:rPr>
        <w:t>1(2)</w:t>
      </w:r>
      <w:r>
        <w:rPr>
          <w:sz w:val="22"/>
          <w:szCs w:val="22"/>
        </w:rPr>
        <w:t xml:space="preserve"> (2013) :23-35.</w:t>
      </w:r>
    </w:p>
    <w:p w:rsidR="00785035" w:rsidRPr="007A5E0F" w:rsidRDefault="00785035" w:rsidP="00785035">
      <w:pPr>
        <w:spacing w:after="160" w:line="480" w:lineRule="auto"/>
        <w:rPr>
          <w:sz w:val="22"/>
          <w:szCs w:val="22"/>
        </w:rPr>
      </w:pPr>
      <w:r>
        <w:rPr>
          <w:sz w:val="22"/>
          <w:szCs w:val="22"/>
        </w:rPr>
        <w:t xml:space="preserve">Baldwin, Robert and Black, Julia. 2008. ‘Really Responsive Regulation’ </w:t>
      </w:r>
      <w:r w:rsidRPr="007A5E0F">
        <w:rPr>
          <w:i/>
          <w:sz w:val="22"/>
          <w:szCs w:val="22"/>
        </w:rPr>
        <w:t>Modern Law Rev</w:t>
      </w:r>
      <w:r>
        <w:rPr>
          <w:i/>
          <w:sz w:val="22"/>
          <w:szCs w:val="22"/>
        </w:rPr>
        <w:t>i</w:t>
      </w:r>
      <w:r w:rsidRPr="007A5E0F">
        <w:rPr>
          <w:i/>
          <w:sz w:val="22"/>
          <w:szCs w:val="22"/>
        </w:rPr>
        <w:t>ew</w:t>
      </w:r>
      <w:r>
        <w:rPr>
          <w:sz w:val="22"/>
          <w:szCs w:val="22"/>
        </w:rPr>
        <w:t xml:space="preserve"> </w:t>
      </w:r>
      <w:r w:rsidRPr="007A5E0F">
        <w:rPr>
          <w:sz w:val="22"/>
          <w:szCs w:val="22"/>
          <w:lang w:val="en-US"/>
        </w:rPr>
        <w:t>71(1) 59</w:t>
      </w:r>
      <w:r>
        <w:rPr>
          <w:sz w:val="22"/>
          <w:szCs w:val="22"/>
          <w:lang w:val="en-US"/>
        </w:rPr>
        <w:t>-</w:t>
      </w:r>
      <w:r w:rsidRPr="007A5E0F">
        <w:rPr>
          <w:sz w:val="22"/>
          <w:szCs w:val="22"/>
          <w:lang w:val="en-US"/>
        </w:rPr>
        <w:t>94</w:t>
      </w:r>
      <w:r>
        <w:rPr>
          <w:sz w:val="22"/>
          <w:szCs w:val="22"/>
          <w:lang w:val="en-US"/>
        </w:rPr>
        <w:t>.</w:t>
      </w:r>
    </w:p>
    <w:p w:rsidR="00785035" w:rsidRDefault="00785035" w:rsidP="00785035">
      <w:pPr>
        <w:spacing w:after="160" w:line="480" w:lineRule="auto"/>
        <w:rPr>
          <w:sz w:val="22"/>
          <w:szCs w:val="22"/>
        </w:rPr>
      </w:pPr>
      <w:r w:rsidRPr="005D65EF">
        <w:rPr>
          <w:sz w:val="22"/>
          <w:szCs w:val="22"/>
        </w:rPr>
        <w:t xml:space="preserve">Barker, Nicola “Why Care? ‘Deserving Family Members’ and the Conservative Movement for Broader Family Recognition.” In </w:t>
      </w:r>
      <w:r w:rsidRPr="005D65EF">
        <w:rPr>
          <w:i/>
          <w:sz w:val="22"/>
          <w:szCs w:val="22"/>
        </w:rPr>
        <w:t xml:space="preserve">Vulnerabilities, Care and Family Law, </w:t>
      </w:r>
      <w:r w:rsidRPr="005D65EF">
        <w:rPr>
          <w:sz w:val="22"/>
          <w:szCs w:val="22"/>
        </w:rPr>
        <w:t>edited by</w:t>
      </w:r>
      <w:r w:rsidRPr="005D65EF">
        <w:rPr>
          <w:i/>
          <w:sz w:val="22"/>
          <w:szCs w:val="22"/>
        </w:rPr>
        <w:t xml:space="preserve"> </w:t>
      </w:r>
      <w:r w:rsidRPr="005D65EF">
        <w:rPr>
          <w:sz w:val="22"/>
          <w:szCs w:val="22"/>
        </w:rPr>
        <w:t xml:space="preserve">J. Wallbank and J. Herring </w:t>
      </w:r>
      <w:r>
        <w:rPr>
          <w:sz w:val="22"/>
          <w:szCs w:val="22"/>
        </w:rPr>
        <w:t>(</w:t>
      </w:r>
      <w:r w:rsidRPr="005D65EF">
        <w:rPr>
          <w:sz w:val="22"/>
          <w:szCs w:val="22"/>
        </w:rPr>
        <w:t>London: Routledge</w:t>
      </w:r>
      <w:r>
        <w:rPr>
          <w:sz w:val="22"/>
          <w:szCs w:val="22"/>
        </w:rPr>
        <w:t xml:space="preserve">, 2013) </w:t>
      </w:r>
      <w:r w:rsidRPr="00536DE3">
        <w:rPr>
          <w:sz w:val="22"/>
          <w:szCs w:val="22"/>
        </w:rPr>
        <w:t>59-73.</w:t>
      </w:r>
    </w:p>
    <w:p w:rsidR="00785035" w:rsidRDefault="00785035" w:rsidP="00785035">
      <w:pPr>
        <w:spacing w:after="160" w:line="480" w:lineRule="auto"/>
        <w:rPr>
          <w:sz w:val="22"/>
          <w:szCs w:val="22"/>
        </w:rPr>
      </w:pPr>
      <w:r w:rsidRPr="00580247">
        <w:rPr>
          <w:sz w:val="22"/>
          <w:szCs w:val="22"/>
        </w:rPr>
        <w:t>Bernabei, V., De Ronchi, D., La Ferla, T., Moretti, F., Tonelli, L., Ferrari, B., Forlani, M. and Atti, A.R., “Animal-assisted interventions for elderly patients affected by dementia or psychiatric disorders: a review” Journal of Psychiatric Research, 47(6) (2013): 762-773.</w:t>
      </w:r>
    </w:p>
    <w:p w:rsidR="00785035" w:rsidRPr="00580247" w:rsidRDefault="00785035" w:rsidP="00785035">
      <w:pPr>
        <w:spacing w:after="160" w:line="480" w:lineRule="auto"/>
        <w:rPr>
          <w:sz w:val="22"/>
          <w:szCs w:val="22"/>
        </w:rPr>
      </w:pPr>
      <w:r w:rsidRPr="00376C37">
        <w:rPr>
          <w:sz w:val="22"/>
          <w:szCs w:val="22"/>
        </w:rPr>
        <w:t>Bogdanoski,</w:t>
      </w:r>
      <w:r>
        <w:rPr>
          <w:sz w:val="22"/>
          <w:szCs w:val="22"/>
        </w:rPr>
        <w:t xml:space="preserve"> Tom,</w:t>
      </w:r>
      <w:r w:rsidRPr="00376C37">
        <w:rPr>
          <w:sz w:val="22"/>
          <w:szCs w:val="22"/>
        </w:rPr>
        <w:t xml:space="preserve"> “Towards an Animal-Friendly Family Law: Recognising the Welfare of Family Law’s Forgotten Members” </w:t>
      </w:r>
      <w:r w:rsidRPr="00376C37">
        <w:rPr>
          <w:i/>
          <w:sz w:val="22"/>
          <w:szCs w:val="22"/>
        </w:rPr>
        <w:t>Griffiths Law Review</w:t>
      </w:r>
      <w:r w:rsidRPr="00376C37">
        <w:rPr>
          <w:sz w:val="22"/>
          <w:szCs w:val="22"/>
        </w:rPr>
        <w:t xml:space="preserve"> 19(2) (2010) 197-234</w:t>
      </w:r>
      <w:r>
        <w:rPr>
          <w:sz w:val="22"/>
          <w:szCs w:val="22"/>
        </w:rPr>
        <w:t>.</w:t>
      </w:r>
    </w:p>
    <w:p w:rsidR="00785035" w:rsidRDefault="00785035" w:rsidP="00785035">
      <w:pPr>
        <w:spacing w:after="160" w:line="480" w:lineRule="auto"/>
        <w:rPr>
          <w:sz w:val="22"/>
          <w:szCs w:val="22"/>
        </w:rPr>
      </w:pPr>
      <w:r>
        <w:rPr>
          <w:sz w:val="22"/>
          <w:szCs w:val="22"/>
        </w:rPr>
        <w:t xml:space="preserve">Bowden, Peta, </w:t>
      </w:r>
      <w:r>
        <w:rPr>
          <w:i/>
          <w:sz w:val="22"/>
          <w:szCs w:val="22"/>
        </w:rPr>
        <w:t>Caring: Gender Sensitive Ethics</w:t>
      </w:r>
      <w:r>
        <w:rPr>
          <w:sz w:val="22"/>
          <w:szCs w:val="22"/>
        </w:rPr>
        <w:t xml:space="preserve"> (London: Routledge 1996).</w:t>
      </w:r>
    </w:p>
    <w:p w:rsidR="00785035" w:rsidRPr="00324932" w:rsidRDefault="00785035" w:rsidP="00785035">
      <w:pPr>
        <w:spacing w:after="160" w:line="480" w:lineRule="auto"/>
        <w:rPr>
          <w:bCs/>
          <w:sz w:val="22"/>
          <w:szCs w:val="22"/>
        </w:rPr>
      </w:pPr>
      <w:r w:rsidRPr="00D4366B">
        <w:rPr>
          <w:sz w:val="22"/>
          <w:szCs w:val="22"/>
        </w:rPr>
        <w:t xml:space="preserve">Boykin, </w:t>
      </w:r>
      <w:r>
        <w:rPr>
          <w:sz w:val="22"/>
          <w:szCs w:val="22"/>
        </w:rPr>
        <w:t>Anne and</w:t>
      </w:r>
      <w:r w:rsidRPr="00D4366B">
        <w:rPr>
          <w:sz w:val="22"/>
          <w:szCs w:val="22"/>
        </w:rPr>
        <w:t xml:space="preserve"> Winland-Brown,</w:t>
      </w:r>
      <w:r>
        <w:rPr>
          <w:sz w:val="22"/>
          <w:szCs w:val="22"/>
        </w:rPr>
        <w:t xml:space="preserve"> Jill,  </w:t>
      </w:r>
      <w:r>
        <w:rPr>
          <w:bCs/>
          <w:sz w:val="22"/>
          <w:szCs w:val="22"/>
        </w:rPr>
        <w:t>“T</w:t>
      </w:r>
      <w:r w:rsidRPr="00D4366B">
        <w:rPr>
          <w:bCs/>
          <w:sz w:val="22"/>
          <w:szCs w:val="22"/>
        </w:rPr>
        <w:t xml:space="preserve">he </w:t>
      </w:r>
      <w:r>
        <w:rPr>
          <w:bCs/>
          <w:sz w:val="22"/>
          <w:szCs w:val="22"/>
        </w:rPr>
        <w:t>D</w:t>
      </w:r>
      <w:r w:rsidRPr="00D4366B">
        <w:rPr>
          <w:bCs/>
          <w:sz w:val="22"/>
          <w:szCs w:val="22"/>
        </w:rPr>
        <w:t xml:space="preserve">ark </w:t>
      </w:r>
      <w:r>
        <w:rPr>
          <w:bCs/>
          <w:sz w:val="22"/>
          <w:szCs w:val="22"/>
        </w:rPr>
        <w:t>S</w:t>
      </w:r>
      <w:r w:rsidRPr="00D4366B">
        <w:rPr>
          <w:bCs/>
          <w:sz w:val="22"/>
          <w:szCs w:val="22"/>
        </w:rPr>
        <w:t xml:space="preserve">ide of </w:t>
      </w:r>
      <w:r>
        <w:rPr>
          <w:bCs/>
          <w:sz w:val="22"/>
          <w:szCs w:val="22"/>
        </w:rPr>
        <w:t>C</w:t>
      </w:r>
      <w:r w:rsidRPr="00D4366B">
        <w:rPr>
          <w:bCs/>
          <w:sz w:val="22"/>
          <w:szCs w:val="22"/>
        </w:rPr>
        <w:t>aring: Challenges of Caregiving</w:t>
      </w:r>
      <w:r>
        <w:rPr>
          <w:bCs/>
          <w:sz w:val="22"/>
          <w:szCs w:val="22"/>
        </w:rPr>
        <w:t xml:space="preserve">” </w:t>
      </w:r>
      <w:r w:rsidRPr="00D4366B">
        <w:rPr>
          <w:bCs/>
          <w:i/>
          <w:sz w:val="22"/>
          <w:szCs w:val="22"/>
        </w:rPr>
        <w:t>Journal of Gerontological Nursing</w:t>
      </w:r>
      <w:r>
        <w:rPr>
          <w:bCs/>
          <w:sz w:val="22"/>
          <w:szCs w:val="22"/>
        </w:rPr>
        <w:t xml:space="preserve"> </w:t>
      </w:r>
      <w:r w:rsidRPr="00D4366B">
        <w:rPr>
          <w:bCs/>
          <w:sz w:val="22"/>
          <w:szCs w:val="22"/>
        </w:rPr>
        <w:t>21(5)</w:t>
      </w:r>
      <w:r>
        <w:rPr>
          <w:bCs/>
          <w:sz w:val="22"/>
          <w:szCs w:val="22"/>
        </w:rPr>
        <w:t xml:space="preserve"> (1995)</w:t>
      </w:r>
      <w:r w:rsidRPr="00D4366B">
        <w:rPr>
          <w:bCs/>
          <w:sz w:val="22"/>
          <w:szCs w:val="22"/>
        </w:rPr>
        <w:t>:</w:t>
      </w:r>
      <w:r>
        <w:rPr>
          <w:bCs/>
          <w:sz w:val="22"/>
          <w:szCs w:val="22"/>
        </w:rPr>
        <w:t xml:space="preserve"> </w:t>
      </w:r>
      <w:r w:rsidRPr="00D4366B">
        <w:rPr>
          <w:bCs/>
          <w:sz w:val="22"/>
          <w:szCs w:val="22"/>
        </w:rPr>
        <w:t>13-18</w:t>
      </w:r>
      <w:r>
        <w:rPr>
          <w:bCs/>
          <w:sz w:val="22"/>
          <w:szCs w:val="22"/>
        </w:rPr>
        <w:t>.</w:t>
      </w:r>
    </w:p>
    <w:p w:rsidR="00785035" w:rsidRDefault="00785035" w:rsidP="00785035">
      <w:pPr>
        <w:spacing w:line="480" w:lineRule="auto"/>
        <w:rPr>
          <w:sz w:val="22"/>
          <w:szCs w:val="22"/>
        </w:rPr>
      </w:pPr>
      <w:r w:rsidRPr="005D65EF">
        <w:rPr>
          <w:sz w:val="22"/>
          <w:szCs w:val="22"/>
        </w:rPr>
        <w:t xml:space="preserve">British Institute of Human Rights. 2008. </w:t>
      </w:r>
      <w:r w:rsidRPr="005D65EF">
        <w:rPr>
          <w:i/>
          <w:sz w:val="22"/>
          <w:szCs w:val="22"/>
        </w:rPr>
        <w:t>The Human Rights Act – Changing lives, 2</w:t>
      </w:r>
      <w:r w:rsidRPr="005D65EF">
        <w:rPr>
          <w:i/>
          <w:sz w:val="22"/>
          <w:szCs w:val="22"/>
          <w:vertAlign w:val="superscript"/>
        </w:rPr>
        <w:t>nd</w:t>
      </w:r>
      <w:r w:rsidRPr="005D65EF">
        <w:rPr>
          <w:i/>
          <w:sz w:val="22"/>
          <w:szCs w:val="22"/>
        </w:rPr>
        <w:t xml:space="preserve"> Edition</w:t>
      </w:r>
      <w:r w:rsidRPr="005D65EF">
        <w:rPr>
          <w:sz w:val="22"/>
          <w:szCs w:val="22"/>
        </w:rPr>
        <w:t>, London: BIHR.</w:t>
      </w:r>
    </w:p>
    <w:p w:rsidR="00785035" w:rsidRPr="00431432" w:rsidRDefault="00785035" w:rsidP="00785035">
      <w:pPr>
        <w:spacing w:line="480" w:lineRule="auto"/>
        <w:rPr>
          <w:sz w:val="22"/>
          <w:szCs w:val="22"/>
          <w:lang w:val="en-US"/>
        </w:rPr>
      </w:pPr>
      <w:r w:rsidRPr="0006769C">
        <w:rPr>
          <w:sz w:val="22"/>
          <w:szCs w:val="22"/>
          <w:lang w:val="en-US"/>
        </w:rPr>
        <w:t>Brown, N</w:t>
      </w:r>
      <w:r>
        <w:rPr>
          <w:sz w:val="22"/>
          <w:szCs w:val="22"/>
          <w:lang w:val="en-US"/>
        </w:rPr>
        <w:t>ik</w:t>
      </w:r>
      <w:r w:rsidRPr="0006769C">
        <w:rPr>
          <w:sz w:val="22"/>
          <w:szCs w:val="22"/>
          <w:lang w:val="en-US"/>
        </w:rPr>
        <w:t>. and Beynon-Jones, S</w:t>
      </w:r>
      <w:r>
        <w:rPr>
          <w:sz w:val="22"/>
          <w:szCs w:val="22"/>
          <w:lang w:val="en-US"/>
        </w:rPr>
        <w:t>ian</w:t>
      </w:r>
      <w:r w:rsidRPr="0006769C">
        <w:rPr>
          <w:sz w:val="22"/>
          <w:szCs w:val="22"/>
          <w:lang w:val="en-US"/>
        </w:rPr>
        <w:t>,</w:t>
      </w:r>
      <w:r>
        <w:rPr>
          <w:sz w:val="22"/>
          <w:szCs w:val="22"/>
          <w:lang w:val="en-US"/>
        </w:rPr>
        <w:t xml:space="preserve"> “‘</w:t>
      </w:r>
      <w:r w:rsidRPr="0006769C">
        <w:rPr>
          <w:sz w:val="22"/>
          <w:szCs w:val="22"/>
          <w:lang w:val="en-US"/>
        </w:rPr>
        <w:t>Reflex Regulation</w:t>
      </w:r>
      <w:r>
        <w:rPr>
          <w:sz w:val="22"/>
          <w:szCs w:val="22"/>
          <w:lang w:val="en-US"/>
        </w:rPr>
        <w:t>’</w:t>
      </w:r>
      <w:r w:rsidRPr="0006769C">
        <w:rPr>
          <w:sz w:val="22"/>
          <w:szCs w:val="22"/>
          <w:lang w:val="en-US"/>
        </w:rPr>
        <w:t>: An Anatomy of Promissory Science Governance</w:t>
      </w:r>
      <w:r>
        <w:rPr>
          <w:sz w:val="22"/>
          <w:szCs w:val="22"/>
          <w:lang w:val="en-US"/>
        </w:rPr>
        <w:t>”</w:t>
      </w:r>
      <w:r w:rsidRPr="0006769C">
        <w:rPr>
          <w:sz w:val="22"/>
          <w:szCs w:val="22"/>
          <w:lang w:val="en-US"/>
        </w:rPr>
        <w:t xml:space="preserve"> </w:t>
      </w:r>
      <w:r w:rsidRPr="0006769C">
        <w:rPr>
          <w:i/>
          <w:sz w:val="22"/>
          <w:szCs w:val="22"/>
          <w:lang w:val="en-US"/>
        </w:rPr>
        <w:t>Health, Risk &amp; Society</w:t>
      </w:r>
      <w:r>
        <w:rPr>
          <w:sz w:val="22"/>
          <w:szCs w:val="22"/>
          <w:lang w:val="en-US"/>
        </w:rPr>
        <w:t xml:space="preserve"> 14:</w:t>
      </w:r>
      <w:r w:rsidRPr="0006769C">
        <w:rPr>
          <w:sz w:val="22"/>
          <w:szCs w:val="22"/>
          <w:lang w:val="en-US"/>
        </w:rPr>
        <w:t xml:space="preserve"> </w:t>
      </w:r>
      <w:r>
        <w:rPr>
          <w:sz w:val="22"/>
          <w:szCs w:val="22"/>
          <w:lang w:val="en-US"/>
        </w:rPr>
        <w:t xml:space="preserve">(2012): </w:t>
      </w:r>
      <w:r w:rsidRPr="0006769C">
        <w:rPr>
          <w:sz w:val="22"/>
          <w:szCs w:val="22"/>
          <w:lang w:val="en-US"/>
        </w:rPr>
        <w:t>223-240</w:t>
      </w:r>
      <w:r>
        <w:rPr>
          <w:sz w:val="22"/>
          <w:szCs w:val="22"/>
          <w:lang w:val="en-US"/>
        </w:rPr>
        <w:t>.</w:t>
      </w:r>
    </w:p>
    <w:p w:rsidR="00785035" w:rsidRDefault="00785035" w:rsidP="00785035">
      <w:pPr>
        <w:spacing w:line="480" w:lineRule="auto"/>
        <w:rPr>
          <w:iCs/>
          <w:sz w:val="22"/>
          <w:szCs w:val="22"/>
        </w:rPr>
      </w:pPr>
      <w:r>
        <w:rPr>
          <w:iCs/>
          <w:sz w:val="22"/>
          <w:szCs w:val="22"/>
        </w:rPr>
        <w:t>Carr, Helen and Hunter, Caroline. “</w:t>
      </w:r>
      <w:r w:rsidRPr="007A1666">
        <w:rPr>
          <w:iCs/>
          <w:sz w:val="22"/>
          <w:szCs w:val="22"/>
          <w:lang w:val="en-US"/>
        </w:rPr>
        <w:t>Are Judicial Approaches</w:t>
      </w:r>
      <w:r>
        <w:rPr>
          <w:iCs/>
          <w:sz w:val="22"/>
          <w:szCs w:val="22"/>
          <w:lang w:val="en-US"/>
        </w:rPr>
        <w:t xml:space="preserve"> </w:t>
      </w:r>
      <w:r w:rsidRPr="007A1666">
        <w:rPr>
          <w:iCs/>
          <w:sz w:val="22"/>
          <w:szCs w:val="22"/>
          <w:lang w:val="en-US"/>
        </w:rPr>
        <w:t>to Adult Social Care</w:t>
      </w:r>
      <w:r>
        <w:rPr>
          <w:iCs/>
          <w:sz w:val="22"/>
          <w:szCs w:val="22"/>
          <w:lang w:val="en-US"/>
        </w:rPr>
        <w:t xml:space="preserve"> </w:t>
      </w:r>
      <w:r w:rsidRPr="007A1666">
        <w:rPr>
          <w:iCs/>
          <w:sz w:val="22"/>
          <w:szCs w:val="22"/>
          <w:lang w:val="en-US"/>
        </w:rPr>
        <w:t>at a Dead-End?</w:t>
      </w:r>
      <w:r>
        <w:rPr>
          <w:iCs/>
          <w:sz w:val="22"/>
          <w:szCs w:val="22"/>
          <w:lang w:val="en-US"/>
        </w:rPr>
        <w:t xml:space="preserve">” </w:t>
      </w:r>
      <w:r>
        <w:rPr>
          <w:i/>
          <w:iCs/>
          <w:sz w:val="22"/>
          <w:szCs w:val="22"/>
          <w:lang w:val="en-US"/>
        </w:rPr>
        <w:t>Social and Legal Studies</w:t>
      </w:r>
      <w:r>
        <w:rPr>
          <w:iCs/>
          <w:sz w:val="22"/>
          <w:szCs w:val="22"/>
          <w:lang w:val="en-US"/>
        </w:rPr>
        <w:t xml:space="preserve"> </w:t>
      </w:r>
      <w:r w:rsidRPr="00F2516B">
        <w:rPr>
          <w:iCs/>
          <w:sz w:val="22"/>
          <w:szCs w:val="22"/>
          <w:lang w:val="en-US"/>
        </w:rPr>
        <w:t>21(1)</w:t>
      </w:r>
      <w:r>
        <w:rPr>
          <w:iCs/>
          <w:sz w:val="22"/>
          <w:szCs w:val="22"/>
          <w:lang w:val="en-US"/>
        </w:rPr>
        <w:t xml:space="preserve"> (2012):</w:t>
      </w:r>
      <w:r w:rsidRPr="00F2516B">
        <w:rPr>
          <w:iCs/>
          <w:sz w:val="22"/>
          <w:szCs w:val="22"/>
          <w:lang w:val="en-US"/>
        </w:rPr>
        <w:t xml:space="preserve"> 73–92</w:t>
      </w:r>
      <w:r>
        <w:rPr>
          <w:iCs/>
          <w:sz w:val="22"/>
          <w:szCs w:val="22"/>
          <w:lang w:val="en-US"/>
        </w:rPr>
        <w:t>.</w:t>
      </w:r>
    </w:p>
    <w:p w:rsidR="00785035" w:rsidRDefault="00785035" w:rsidP="00785035">
      <w:pPr>
        <w:spacing w:line="480" w:lineRule="auto"/>
        <w:rPr>
          <w:iCs/>
          <w:sz w:val="22"/>
          <w:szCs w:val="22"/>
        </w:rPr>
      </w:pPr>
      <w:r w:rsidRPr="00FE6C8D">
        <w:rPr>
          <w:iCs/>
          <w:sz w:val="22"/>
          <w:szCs w:val="22"/>
        </w:rPr>
        <w:t xml:space="preserve">Carr, Helen “Caring at the borders of the human: companion animals and the homeless” in </w:t>
      </w:r>
      <w:r w:rsidRPr="00FE6C8D">
        <w:rPr>
          <w:i/>
          <w:iCs/>
          <w:sz w:val="22"/>
          <w:szCs w:val="22"/>
        </w:rPr>
        <w:t>Revaluing care in theory, law and policy</w:t>
      </w:r>
      <w:r w:rsidRPr="00FE6C8D">
        <w:rPr>
          <w:iCs/>
          <w:sz w:val="22"/>
          <w:szCs w:val="22"/>
        </w:rPr>
        <w:t xml:space="preserve"> edited by Rosie Harding, Ruth Fletcher and Christine Beasley (London: Routledge 2016)</w:t>
      </w:r>
      <w:r>
        <w:rPr>
          <w:iCs/>
          <w:sz w:val="22"/>
          <w:szCs w:val="22"/>
        </w:rPr>
        <w:t xml:space="preserve"> 97-113.</w:t>
      </w:r>
    </w:p>
    <w:p w:rsidR="00785035" w:rsidRPr="007A1666" w:rsidRDefault="00785035" w:rsidP="00785035">
      <w:pPr>
        <w:spacing w:line="480" w:lineRule="auto"/>
        <w:rPr>
          <w:iCs/>
          <w:sz w:val="22"/>
          <w:szCs w:val="22"/>
          <w:lang w:val="en-US"/>
        </w:rPr>
      </w:pPr>
      <w:r w:rsidRPr="00FE6C8D">
        <w:rPr>
          <w:iCs/>
          <w:sz w:val="22"/>
          <w:szCs w:val="22"/>
        </w:rPr>
        <w:t>Carr, H</w:t>
      </w:r>
      <w:r>
        <w:rPr>
          <w:iCs/>
          <w:sz w:val="22"/>
          <w:szCs w:val="22"/>
        </w:rPr>
        <w:t>elen,</w:t>
      </w:r>
      <w:r w:rsidRPr="00FE6C8D">
        <w:rPr>
          <w:iCs/>
          <w:sz w:val="22"/>
          <w:szCs w:val="22"/>
        </w:rPr>
        <w:t xml:space="preserve"> Edgeworth, B</w:t>
      </w:r>
      <w:r>
        <w:rPr>
          <w:iCs/>
          <w:sz w:val="22"/>
          <w:szCs w:val="22"/>
        </w:rPr>
        <w:t>rendan</w:t>
      </w:r>
      <w:r w:rsidRPr="00FE6C8D">
        <w:rPr>
          <w:iCs/>
          <w:sz w:val="22"/>
          <w:szCs w:val="22"/>
        </w:rPr>
        <w:t xml:space="preserve"> and Hunter, C</w:t>
      </w:r>
      <w:r>
        <w:rPr>
          <w:iCs/>
          <w:sz w:val="22"/>
          <w:szCs w:val="22"/>
        </w:rPr>
        <w:t>aroline</w:t>
      </w:r>
      <w:r w:rsidRPr="00FE6C8D">
        <w:rPr>
          <w:iCs/>
          <w:sz w:val="22"/>
          <w:szCs w:val="22"/>
        </w:rPr>
        <w:t xml:space="preserve"> </w:t>
      </w:r>
      <w:r>
        <w:rPr>
          <w:iCs/>
          <w:sz w:val="22"/>
          <w:szCs w:val="22"/>
        </w:rPr>
        <w:t>(</w:t>
      </w:r>
      <w:r w:rsidRPr="00FE6C8D">
        <w:rPr>
          <w:iCs/>
          <w:sz w:val="22"/>
          <w:szCs w:val="22"/>
        </w:rPr>
        <w:t>eds</w:t>
      </w:r>
      <w:r>
        <w:rPr>
          <w:iCs/>
          <w:sz w:val="22"/>
          <w:szCs w:val="22"/>
        </w:rPr>
        <w:t>)</w:t>
      </w:r>
      <w:r w:rsidRPr="00FE6C8D">
        <w:rPr>
          <w:iCs/>
          <w:sz w:val="22"/>
          <w:szCs w:val="22"/>
        </w:rPr>
        <w:t> </w:t>
      </w:r>
      <w:r w:rsidRPr="00FE6C8D">
        <w:rPr>
          <w:i/>
          <w:iCs/>
          <w:sz w:val="22"/>
          <w:szCs w:val="22"/>
        </w:rPr>
        <w:t>Law and the Precarious Home: Soci</w:t>
      </w:r>
      <w:r>
        <w:rPr>
          <w:i/>
          <w:iCs/>
          <w:sz w:val="22"/>
          <w:szCs w:val="22"/>
        </w:rPr>
        <w:t>o</w:t>
      </w:r>
      <w:r w:rsidRPr="00FE6C8D">
        <w:rPr>
          <w:i/>
          <w:iCs/>
          <w:sz w:val="22"/>
          <w:szCs w:val="22"/>
        </w:rPr>
        <w:t>-Legal Perspectives on the Home in Insecure Times</w:t>
      </w:r>
      <w:r w:rsidRPr="00FE6C8D">
        <w:rPr>
          <w:iCs/>
          <w:sz w:val="22"/>
          <w:szCs w:val="22"/>
        </w:rPr>
        <w:t> </w:t>
      </w:r>
      <w:r>
        <w:rPr>
          <w:iCs/>
          <w:sz w:val="22"/>
          <w:szCs w:val="22"/>
        </w:rPr>
        <w:t xml:space="preserve">(Oxford: </w:t>
      </w:r>
      <w:r w:rsidRPr="00FE6C8D">
        <w:rPr>
          <w:iCs/>
          <w:sz w:val="22"/>
          <w:szCs w:val="22"/>
        </w:rPr>
        <w:t>Hart Publishing</w:t>
      </w:r>
      <w:r>
        <w:rPr>
          <w:iCs/>
          <w:sz w:val="22"/>
          <w:szCs w:val="22"/>
        </w:rPr>
        <w:t>, 2018).</w:t>
      </w:r>
    </w:p>
    <w:p w:rsidR="00785035" w:rsidRPr="005D65EF" w:rsidRDefault="00785035" w:rsidP="00785035">
      <w:pPr>
        <w:spacing w:line="480" w:lineRule="auto"/>
        <w:rPr>
          <w:sz w:val="22"/>
          <w:szCs w:val="22"/>
        </w:rPr>
      </w:pPr>
      <w:r w:rsidRPr="005D65EF">
        <w:rPr>
          <w:iCs/>
          <w:sz w:val="22"/>
          <w:szCs w:val="22"/>
        </w:rPr>
        <w:t xml:space="preserve">Charles, Nickie. 2014 “‘Animals Just Love You as You Are’: Experiencing Kinship across the Species Barrier” </w:t>
      </w:r>
      <w:r w:rsidRPr="005D65EF">
        <w:rPr>
          <w:i/>
          <w:iCs/>
          <w:sz w:val="22"/>
          <w:szCs w:val="22"/>
        </w:rPr>
        <w:t xml:space="preserve">Sociology </w:t>
      </w:r>
      <w:r w:rsidRPr="005D65EF">
        <w:rPr>
          <w:iCs/>
          <w:sz w:val="22"/>
          <w:szCs w:val="22"/>
        </w:rPr>
        <w:t>48</w:t>
      </w:r>
      <w:r>
        <w:rPr>
          <w:iCs/>
          <w:sz w:val="22"/>
          <w:szCs w:val="22"/>
        </w:rPr>
        <w:t xml:space="preserve"> (2014)</w:t>
      </w:r>
      <w:r w:rsidRPr="005D65EF">
        <w:rPr>
          <w:iCs/>
          <w:sz w:val="22"/>
          <w:szCs w:val="22"/>
        </w:rPr>
        <w:t>: 715-30.</w:t>
      </w:r>
    </w:p>
    <w:p w:rsidR="00785035" w:rsidRPr="005D65EF" w:rsidRDefault="00785035" w:rsidP="00785035">
      <w:pPr>
        <w:spacing w:after="160" w:line="480" w:lineRule="auto"/>
        <w:rPr>
          <w:sz w:val="22"/>
          <w:szCs w:val="22"/>
        </w:rPr>
      </w:pPr>
      <w:r w:rsidRPr="005D65EF">
        <w:rPr>
          <w:sz w:val="22"/>
          <w:szCs w:val="22"/>
        </w:rPr>
        <w:t xml:space="preserve">Crawford, E. K., Worsham, N. L., &amp; Swinehart, E. R. </w:t>
      </w:r>
      <w:r>
        <w:rPr>
          <w:sz w:val="22"/>
          <w:szCs w:val="22"/>
        </w:rPr>
        <w:t>“</w:t>
      </w:r>
      <w:r w:rsidRPr="005D65EF">
        <w:rPr>
          <w:sz w:val="22"/>
          <w:szCs w:val="22"/>
        </w:rPr>
        <w:t xml:space="preserve">Benefits derived from companion animals, and the use of the term </w:t>
      </w:r>
      <w:r>
        <w:rPr>
          <w:sz w:val="22"/>
          <w:szCs w:val="22"/>
        </w:rPr>
        <w:t>‘</w:t>
      </w:r>
      <w:r w:rsidRPr="005D65EF">
        <w:rPr>
          <w:sz w:val="22"/>
          <w:szCs w:val="22"/>
        </w:rPr>
        <w:t>attachment’</w:t>
      </w:r>
      <w:r>
        <w:rPr>
          <w:sz w:val="22"/>
          <w:szCs w:val="22"/>
        </w:rPr>
        <w:t>,”</w:t>
      </w:r>
      <w:r w:rsidRPr="005D65EF">
        <w:rPr>
          <w:sz w:val="22"/>
          <w:szCs w:val="22"/>
        </w:rPr>
        <w:t xml:space="preserve"> </w:t>
      </w:r>
      <w:r w:rsidRPr="005D65EF">
        <w:rPr>
          <w:i/>
          <w:iCs/>
          <w:sz w:val="22"/>
          <w:szCs w:val="22"/>
        </w:rPr>
        <w:t>Anthrozoös</w:t>
      </w:r>
      <w:r>
        <w:rPr>
          <w:i/>
          <w:iCs/>
          <w:sz w:val="22"/>
          <w:szCs w:val="22"/>
        </w:rPr>
        <w:t xml:space="preserve"> </w:t>
      </w:r>
      <w:r w:rsidRPr="006E033F">
        <w:rPr>
          <w:sz w:val="22"/>
          <w:szCs w:val="22"/>
        </w:rPr>
        <w:t>19(2)</w:t>
      </w:r>
      <w:r>
        <w:rPr>
          <w:sz w:val="22"/>
          <w:szCs w:val="22"/>
        </w:rPr>
        <w:t xml:space="preserve">, </w:t>
      </w:r>
      <w:r w:rsidRPr="006E033F">
        <w:rPr>
          <w:sz w:val="22"/>
          <w:szCs w:val="22"/>
        </w:rPr>
        <w:t>(2006)</w:t>
      </w:r>
      <w:r>
        <w:rPr>
          <w:sz w:val="22"/>
          <w:szCs w:val="22"/>
        </w:rPr>
        <w:t>:</w:t>
      </w:r>
      <w:r w:rsidRPr="006E033F">
        <w:rPr>
          <w:sz w:val="22"/>
          <w:szCs w:val="22"/>
        </w:rPr>
        <w:t xml:space="preserve"> </w:t>
      </w:r>
      <w:r w:rsidRPr="005D65EF">
        <w:rPr>
          <w:sz w:val="22"/>
          <w:szCs w:val="22"/>
        </w:rPr>
        <w:t xml:space="preserve">98-112. </w:t>
      </w:r>
    </w:p>
    <w:p w:rsidR="00785035" w:rsidRPr="005D65EF" w:rsidRDefault="00785035" w:rsidP="00785035">
      <w:pPr>
        <w:spacing w:line="480" w:lineRule="auto"/>
        <w:rPr>
          <w:sz w:val="22"/>
          <w:szCs w:val="22"/>
        </w:rPr>
      </w:pPr>
      <w:r w:rsidRPr="005D65EF">
        <w:rPr>
          <w:sz w:val="22"/>
          <w:szCs w:val="22"/>
        </w:rPr>
        <w:t xml:space="preserve">Cusack, O., &amp; Smith, E. </w:t>
      </w:r>
      <w:r w:rsidRPr="005D65EF">
        <w:rPr>
          <w:i/>
          <w:sz w:val="22"/>
          <w:szCs w:val="22"/>
        </w:rPr>
        <w:t>Pets and the Elderly: The therapeutic bond</w:t>
      </w:r>
      <w:r w:rsidRPr="005D65EF">
        <w:rPr>
          <w:sz w:val="22"/>
          <w:szCs w:val="22"/>
        </w:rPr>
        <w:t xml:space="preserve"> </w:t>
      </w:r>
      <w:r>
        <w:rPr>
          <w:sz w:val="22"/>
          <w:szCs w:val="22"/>
        </w:rPr>
        <w:t>(</w:t>
      </w:r>
      <w:r w:rsidRPr="005D65EF">
        <w:rPr>
          <w:sz w:val="22"/>
          <w:szCs w:val="22"/>
        </w:rPr>
        <w:t>New York: Routledge</w:t>
      </w:r>
      <w:r>
        <w:rPr>
          <w:sz w:val="22"/>
          <w:szCs w:val="22"/>
        </w:rPr>
        <w:t>, 2014)</w:t>
      </w:r>
      <w:r w:rsidRPr="005D65EF">
        <w:rPr>
          <w:sz w:val="22"/>
          <w:szCs w:val="22"/>
        </w:rPr>
        <w:t xml:space="preserve">. </w:t>
      </w:r>
    </w:p>
    <w:p w:rsidR="00785035" w:rsidRPr="005D65EF" w:rsidRDefault="00785035" w:rsidP="00785035">
      <w:pPr>
        <w:spacing w:after="160" w:line="480" w:lineRule="auto"/>
        <w:rPr>
          <w:sz w:val="22"/>
          <w:szCs w:val="22"/>
        </w:rPr>
      </w:pPr>
      <w:r w:rsidRPr="005D65EF">
        <w:rPr>
          <w:sz w:val="22"/>
          <w:szCs w:val="22"/>
        </w:rPr>
        <w:t>Deckha, Maneesha</w:t>
      </w:r>
      <w:r>
        <w:rPr>
          <w:sz w:val="22"/>
          <w:szCs w:val="22"/>
        </w:rPr>
        <w:t xml:space="preserve"> “</w:t>
      </w:r>
      <w:r w:rsidRPr="005D65EF">
        <w:rPr>
          <w:sz w:val="22"/>
          <w:szCs w:val="22"/>
        </w:rPr>
        <w:t>Property on the Borderline: A Comparative Analysis of Legal status of Animals in Canada and the United States</w:t>
      </w:r>
      <w:r>
        <w:rPr>
          <w:sz w:val="22"/>
          <w:szCs w:val="22"/>
        </w:rPr>
        <w:t>”</w:t>
      </w:r>
      <w:r w:rsidRPr="005D65EF">
        <w:rPr>
          <w:sz w:val="22"/>
          <w:szCs w:val="22"/>
        </w:rPr>
        <w:t xml:space="preserve"> </w:t>
      </w:r>
      <w:r w:rsidRPr="005D65EF">
        <w:rPr>
          <w:i/>
          <w:sz w:val="22"/>
          <w:szCs w:val="22"/>
        </w:rPr>
        <w:t>Cardozo Journal Int &amp; Comp L</w:t>
      </w:r>
      <w:r w:rsidRPr="005D65EF">
        <w:rPr>
          <w:sz w:val="22"/>
          <w:szCs w:val="22"/>
        </w:rPr>
        <w:t xml:space="preserve"> 20</w:t>
      </w:r>
      <w:r>
        <w:rPr>
          <w:sz w:val="22"/>
          <w:szCs w:val="22"/>
        </w:rPr>
        <w:t xml:space="preserve"> (2012)</w:t>
      </w:r>
      <w:r w:rsidRPr="005D65EF">
        <w:rPr>
          <w:sz w:val="22"/>
          <w:szCs w:val="22"/>
        </w:rPr>
        <w:t xml:space="preserve">: 313-365. </w:t>
      </w:r>
    </w:p>
    <w:p w:rsidR="00785035" w:rsidRDefault="00785035" w:rsidP="00785035">
      <w:pPr>
        <w:spacing w:after="160" w:line="480" w:lineRule="auto"/>
        <w:rPr>
          <w:sz w:val="22"/>
          <w:szCs w:val="22"/>
        </w:rPr>
      </w:pPr>
      <w:r w:rsidRPr="00AF25C9">
        <w:rPr>
          <w:sz w:val="22"/>
          <w:szCs w:val="22"/>
        </w:rPr>
        <w:t>Deckha, Maneesha</w:t>
      </w:r>
      <w:r>
        <w:rPr>
          <w:sz w:val="22"/>
          <w:szCs w:val="22"/>
        </w:rPr>
        <w:t xml:space="preserve"> “</w:t>
      </w:r>
      <w:r w:rsidRPr="00AF25C9">
        <w:rPr>
          <w:sz w:val="22"/>
          <w:szCs w:val="22"/>
        </w:rPr>
        <w:t>Vulnerability, Equality, and Animals</w:t>
      </w:r>
      <w:r>
        <w:rPr>
          <w:sz w:val="22"/>
          <w:szCs w:val="22"/>
        </w:rPr>
        <w:t>”</w:t>
      </w:r>
      <w:r w:rsidRPr="00AF25C9">
        <w:rPr>
          <w:sz w:val="22"/>
          <w:szCs w:val="22"/>
        </w:rPr>
        <w:t> </w:t>
      </w:r>
      <w:r w:rsidRPr="00AF25C9">
        <w:rPr>
          <w:i/>
          <w:iCs/>
          <w:sz w:val="22"/>
          <w:szCs w:val="22"/>
        </w:rPr>
        <w:t>Canadian Journal of Women and the Law</w:t>
      </w:r>
      <w:r w:rsidRPr="00AF25C9">
        <w:rPr>
          <w:sz w:val="22"/>
          <w:szCs w:val="22"/>
        </w:rPr>
        <w:t>,  27(1)</w:t>
      </w:r>
      <w:r>
        <w:rPr>
          <w:sz w:val="22"/>
          <w:szCs w:val="22"/>
        </w:rPr>
        <w:t xml:space="preserve"> (2015)</w:t>
      </w:r>
      <w:r w:rsidRPr="00AF25C9">
        <w:rPr>
          <w:sz w:val="22"/>
          <w:szCs w:val="22"/>
        </w:rPr>
        <w:t>: 47-70.</w:t>
      </w:r>
    </w:p>
    <w:p w:rsidR="00785035" w:rsidRPr="00AF25C9" w:rsidRDefault="00785035" w:rsidP="00785035">
      <w:pPr>
        <w:spacing w:after="160" w:line="480" w:lineRule="auto"/>
        <w:rPr>
          <w:sz w:val="22"/>
          <w:szCs w:val="22"/>
        </w:rPr>
      </w:pPr>
      <w:r w:rsidRPr="00A25497">
        <w:rPr>
          <w:sz w:val="22"/>
          <w:szCs w:val="22"/>
        </w:rPr>
        <w:t xml:space="preserve">Donaldson, Sue and Will Kymlicka, </w:t>
      </w:r>
      <w:r w:rsidRPr="00A25497">
        <w:rPr>
          <w:i/>
          <w:sz w:val="22"/>
          <w:szCs w:val="22"/>
        </w:rPr>
        <w:t>Zoopolis: A Political Theory of Animal Rights</w:t>
      </w:r>
      <w:r w:rsidRPr="00A25497">
        <w:rPr>
          <w:sz w:val="22"/>
          <w:szCs w:val="22"/>
        </w:rPr>
        <w:t xml:space="preserve"> (Oxford: Oxford University Press, 2013).</w:t>
      </w:r>
    </w:p>
    <w:p w:rsidR="00785035" w:rsidRPr="005D65EF" w:rsidRDefault="00785035" w:rsidP="00785035">
      <w:pPr>
        <w:spacing w:after="160" w:line="480" w:lineRule="auto"/>
        <w:rPr>
          <w:bCs/>
          <w:sz w:val="22"/>
          <w:szCs w:val="22"/>
        </w:rPr>
      </w:pPr>
      <w:r w:rsidRPr="005D65EF">
        <w:rPr>
          <w:sz w:val="22"/>
          <w:szCs w:val="22"/>
        </w:rPr>
        <w:t>Donnelly, Mary</w:t>
      </w:r>
      <w:r>
        <w:rPr>
          <w:sz w:val="22"/>
          <w:szCs w:val="22"/>
        </w:rPr>
        <w:t xml:space="preserve"> “</w:t>
      </w:r>
      <w:r w:rsidRPr="005D65EF">
        <w:rPr>
          <w:bCs/>
          <w:sz w:val="22"/>
          <w:szCs w:val="22"/>
        </w:rPr>
        <w:t>Best Interests in the Mental Capacity Act: Time to say Goodbye?</w:t>
      </w:r>
      <w:r>
        <w:rPr>
          <w:bCs/>
          <w:sz w:val="22"/>
          <w:szCs w:val="22"/>
        </w:rPr>
        <w:t>”</w:t>
      </w:r>
      <w:r w:rsidRPr="005D65EF">
        <w:rPr>
          <w:bCs/>
          <w:sz w:val="22"/>
          <w:szCs w:val="22"/>
        </w:rPr>
        <w:t xml:space="preserve"> </w:t>
      </w:r>
      <w:r w:rsidRPr="005D65EF">
        <w:rPr>
          <w:bCs/>
          <w:i/>
          <w:iCs/>
          <w:sz w:val="22"/>
          <w:szCs w:val="22"/>
        </w:rPr>
        <w:t>Medical Law Review</w:t>
      </w:r>
      <w:r w:rsidRPr="005D65EF">
        <w:rPr>
          <w:bCs/>
          <w:sz w:val="22"/>
          <w:szCs w:val="22"/>
        </w:rPr>
        <w:t>, 24</w:t>
      </w:r>
      <w:r>
        <w:rPr>
          <w:bCs/>
          <w:sz w:val="22"/>
          <w:szCs w:val="22"/>
        </w:rPr>
        <w:t xml:space="preserve"> (2016)</w:t>
      </w:r>
      <w:r w:rsidRPr="005D65EF">
        <w:rPr>
          <w:bCs/>
          <w:sz w:val="22"/>
          <w:szCs w:val="22"/>
        </w:rPr>
        <w:t>: 318–332.</w:t>
      </w:r>
    </w:p>
    <w:p w:rsidR="00785035" w:rsidRPr="005D65EF" w:rsidRDefault="00785035" w:rsidP="00785035">
      <w:pPr>
        <w:spacing w:after="160" w:line="480" w:lineRule="auto"/>
        <w:rPr>
          <w:sz w:val="22"/>
          <w:szCs w:val="22"/>
          <w:lang w:val="en-US"/>
        </w:rPr>
      </w:pPr>
      <w:r w:rsidRPr="005D65EF">
        <w:rPr>
          <w:sz w:val="22"/>
          <w:szCs w:val="22"/>
          <w:lang w:val="en-US"/>
        </w:rPr>
        <w:t xml:space="preserve">Douglas, Mary. </w:t>
      </w:r>
      <w:r w:rsidRPr="005D65EF">
        <w:rPr>
          <w:i/>
          <w:iCs/>
          <w:sz w:val="22"/>
          <w:szCs w:val="22"/>
          <w:lang w:val="en-US"/>
        </w:rPr>
        <w:t>Purity and danger: An analysis of concepts of pollution and taboo</w:t>
      </w:r>
      <w:r>
        <w:rPr>
          <w:sz w:val="22"/>
          <w:szCs w:val="22"/>
          <w:lang w:val="en-US"/>
        </w:rPr>
        <w:t xml:space="preserve"> (</w:t>
      </w:r>
      <w:r w:rsidRPr="005D65EF">
        <w:rPr>
          <w:sz w:val="22"/>
          <w:szCs w:val="22"/>
          <w:lang w:val="en-US"/>
        </w:rPr>
        <w:t>London:</w:t>
      </w:r>
      <w:r>
        <w:rPr>
          <w:sz w:val="22"/>
          <w:szCs w:val="22"/>
          <w:lang w:val="en-US"/>
        </w:rPr>
        <w:t xml:space="preserve"> </w:t>
      </w:r>
      <w:r w:rsidRPr="005D65EF">
        <w:rPr>
          <w:sz w:val="22"/>
          <w:szCs w:val="22"/>
          <w:lang w:val="en-US"/>
        </w:rPr>
        <w:t>Routledge</w:t>
      </w:r>
      <w:r>
        <w:rPr>
          <w:sz w:val="22"/>
          <w:szCs w:val="22"/>
          <w:lang w:val="en-US"/>
        </w:rPr>
        <w:t xml:space="preserve">, </w:t>
      </w:r>
      <w:r w:rsidRPr="00BF026F">
        <w:rPr>
          <w:sz w:val="22"/>
          <w:szCs w:val="22"/>
        </w:rPr>
        <w:t>1966</w:t>
      </w:r>
      <w:r>
        <w:rPr>
          <w:sz w:val="22"/>
          <w:szCs w:val="22"/>
        </w:rPr>
        <w:t>).</w:t>
      </w:r>
    </w:p>
    <w:p w:rsidR="00785035" w:rsidRDefault="00785035" w:rsidP="00785035">
      <w:pPr>
        <w:spacing w:line="480" w:lineRule="auto"/>
        <w:rPr>
          <w:sz w:val="22"/>
          <w:szCs w:val="22"/>
        </w:rPr>
      </w:pPr>
      <w:r w:rsidRPr="005D65EF">
        <w:rPr>
          <w:sz w:val="22"/>
          <w:szCs w:val="22"/>
        </w:rPr>
        <w:t xml:space="preserve">Doyle, S. </w:t>
      </w:r>
      <w:r>
        <w:rPr>
          <w:sz w:val="22"/>
          <w:szCs w:val="22"/>
        </w:rPr>
        <w:t>“</w:t>
      </w:r>
      <w:r w:rsidRPr="005D65EF">
        <w:rPr>
          <w:sz w:val="22"/>
          <w:szCs w:val="22"/>
        </w:rPr>
        <w:t>The impact of power differentials on the care experiences of older people</w:t>
      </w:r>
      <w:r>
        <w:rPr>
          <w:sz w:val="22"/>
          <w:szCs w:val="22"/>
        </w:rPr>
        <w:t>”</w:t>
      </w:r>
      <w:r w:rsidRPr="005D65EF">
        <w:rPr>
          <w:sz w:val="22"/>
          <w:szCs w:val="22"/>
        </w:rPr>
        <w:t xml:space="preserve"> </w:t>
      </w:r>
      <w:r w:rsidRPr="005D65EF">
        <w:rPr>
          <w:i/>
          <w:sz w:val="22"/>
          <w:szCs w:val="22"/>
        </w:rPr>
        <w:t>Journal of Elder Abuse &amp; Neglect</w:t>
      </w:r>
      <w:r w:rsidRPr="005D65EF">
        <w:rPr>
          <w:sz w:val="22"/>
          <w:szCs w:val="22"/>
        </w:rPr>
        <w:t>, 26(3)</w:t>
      </w:r>
      <w:r>
        <w:rPr>
          <w:sz w:val="22"/>
          <w:szCs w:val="22"/>
        </w:rPr>
        <w:t xml:space="preserve"> (2014)</w:t>
      </w:r>
      <w:r w:rsidRPr="005D65EF">
        <w:rPr>
          <w:sz w:val="22"/>
          <w:szCs w:val="22"/>
        </w:rPr>
        <w:t>: 319-332.</w:t>
      </w:r>
    </w:p>
    <w:p w:rsidR="00785035" w:rsidRPr="003C693E" w:rsidRDefault="00785035" w:rsidP="00785035">
      <w:pPr>
        <w:spacing w:line="480" w:lineRule="auto"/>
        <w:rPr>
          <w:sz w:val="22"/>
          <w:szCs w:val="22"/>
          <w:lang w:val="en-US"/>
        </w:rPr>
      </w:pPr>
      <w:r w:rsidRPr="003C693E">
        <w:rPr>
          <w:sz w:val="22"/>
          <w:szCs w:val="22"/>
          <w:lang w:val="en-US"/>
        </w:rPr>
        <w:t>Edward</w:t>
      </w:r>
      <w:r>
        <w:rPr>
          <w:sz w:val="22"/>
          <w:szCs w:val="22"/>
          <w:lang w:val="en-US"/>
        </w:rPr>
        <w:t>, Nancy</w:t>
      </w:r>
      <w:r w:rsidRPr="003C693E">
        <w:rPr>
          <w:sz w:val="22"/>
          <w:szCs w:val="22"/>
          <w:lang w:val="en-US"/>
        </w:rPr>
        <w:t xml:space="preserve"> and Beck</w:t>
      </w:r>
      <w:r>
        <w:rPr>
          <w:sz w:val="22"/>
          <w:szCs w:val="22"/>
          <w:lang w:val="en-US"/>
        </w:rPr>
        <w:t>,</w:t>
      </w:r>
      <w:r w:rsidRPr="003C693E">
        <w:rPr>
          <w:sz w:val="22"/>
          <w:szCs w:val="22"/>
          <w:lang w:val="en-US"/>
        </w:rPr>
        <w:t xml:space="preserve"> Alan</w:t>
      </w:r>
      <w:r>
        <w:rPr>
          <w:sz w:val="22"/>
          <w:szCs w:val="22"/>
          <w:lang w:val="en-US"/>
        </w:rPr>
        <w:t>,</w:t>
      </w:r>
      <w:r w:rsidRPr="003C693E">
        <w:rPr>
          <w:sz w:val="22"/>
          <w:szCs w:val="22"/>
          <w:lang w:val="en-US"/>
        </w:rPr>
        <w:t xml:space="preserve"> “Animal-Assisted Therapy and Nutrition in</w:t>
      </w:r>
    </w:p>
    <w:p w:rsidR="00785035" w:rsidRPr="003C693E" w:rsidRDefault="00785035" w:rsidP="00785035">
      <w:pPr>
        <w:spacing w:line="480" w:lineRule="auto"/>
        <w:rPr>
          <w:sz w:val="22"/>
          <w:szCs w:val="22"/>
          <w:lang w:val="en-US"/>
        </w:rPr>
      </w:pPr>
      <w:r w:rsidRPr="003C693E">
        <w:rPr>
          <w:sz w:val="22"/>
          <w:szCs w:val="22"/>
          <w:lang w:val="en-US"/>
        </w:rPr>
        <w:t xml:space="preserve">Alzheimer’s Disease” </w:t>
      </w:r>
      <w:r w:rsidRPr="003C693E">
        <w:rPr>
          <w:i/>
          <w:sz w:val="22"/>
          <w:szCs w:val="22"/>
          <w:lang w:val="en-US"/>
        </w:rPr>
        <w:t>Western Journal of Nursing Research</w:t>
      </w:r>
      <w:r w:rsidRPr="003C693E">
        <w:rPr>
          <w:sz w:val="22"/>
          <w:szCs w:val="22"/>
          <w:lang w:val="en-US"/>
        </w:rPr>
        <w:t xml:space="preserve"> 24(6) (2002): 697-712</w:t>
      </w:r>
      <w:r>
        <w:rPr>
          <w:sz w:val="22"/>
          <w:szCs w:val="22"/>
          <w:lang w:val="en-US"/>
        </w:rPr>
        <w:t>.</w:t>
      </w:r>
    </w:p>
    <w:p w:rsidR="00785035" w:rsidRDefault="00785035" w:rsidP="00785035">
      <w:pPr>
        <w:spacing w:line="480" w:lineRule="auto"/>
        <w:rPr>
          <w:sz w:val="22"/>
          <w:szCs w:val="22"/>
        </w:rPr>
      </w:pPr>
      <w:r w:rsidRPr="005D65EF">
        <w:rPr>
          <w:sz w:val="22"/>
          <w:szCs w:val="22"/>
        </w:rPr>
        <w:t>Favre, David</w:t>
      </w:r>
      <w:r>
        <w:rPr>
          <w:sz w:val="22"/>
          <w:szCs w:val="22"/>
        </w:rPr>
        <w:t xml:space="preserve"> “</w:t>
      </w:r>
      <w:r w:rsidRPr="005D65EF">
        <w:rPr>
          <w:sz w:val="22"/>
          <w:szCs w:val="22"/>
        </w:rPr>
        <w:t>Living Property: A New Status for Animals within the Legal System,</w:t>
      </w:r>
      <w:r>
        <w:rPr>
          <w:sz w:val="22"/>
          <w:szCs w:val="22"/>
        </w:rPr>
        <w:t>”</w:t>
      </w:r>
      <w:r w:rsidRPr="005D65EF">
        <w:rPr>
          <w:sz w:val="22"/>
          <w:szCs w:val="22"/>
        </w:rPr>
        <w:t xml:space="preserve"> </w:t>
      </w:r>
      <w:r w:rsidRPr="005D65EF">
        <w:rPr>
          <w:i/>
          <w:sz w:val="22"/>
          <w:szCs w:val="22"/>
        </w:rPr>
        <w:t>Marq. L. Rev</w:t>
      </w:r>
      <w:r w:rsidRPr="005D65EF">
        <w:rPr>
          <w:sz w:val="22"/>
          <w:szCs w:val="22"/>
        </w:rPr>
        <w:t>. 93</w:t>
      </w:r>
      <w:r>
        <w:rPr>
          <w:sz w:val="22"/>
          <w:szCs w:val="22"/>
        </w:rPr>
        <w:t xml:space="preserve"> (2010)</w:t>
      </w:r>
      <w:r w:rsidRPr="005D65EF">
        <w:rPr>
          <w:sz w:val="22"/>
          <w:szCs w:val="22"/>
        </w:rPr>
        <w:t>: 1021-71.</w:t>
      </w:r>
    </w:p>
    <w:p w:rsidR="00785035" w:rsidRPr="003C693E" w:rsidRDefault="00785035" w:rsidP="00785035">
      <w:pPr>
        <w:spacing w:line="480" w:lineRule="auto"/>
        <w:rPr>
          <w:sz w:val="22"/>
          <w:szCs w:val="22"/>
          <w:lang w:val="en-US"/>
        </w:rPr>
      </w:pPr>
      <w:r w:rsidRPr="003C693E">
        <w:rPr>
          <w:sz w:val="22"/>
          <w:szCs w:val="22"/>
          <w:lang w:val="en-US"/>
        </w:rPr>
        <w:t>Filan</w:t>
      </w:r>
      <w:r>
        <w:rPr>
          <w:sz w:val="22"/>
          <w:szCs w:val="22"/>
          <w:lang w:val="en-US"/>
        </w:rPr>
        <w:t>, Susan</w:t>
      </w:r>
      <w:r w:rsidRPr="003C693E">
        <w:rPr>
          <w:sz w:val="22"/>
          <w:szCs w:val="22"/>
          <w:lang w:val="en-US"/>
        </w:rPr>
        <w:t xml:space="preserve"> and Llewellyn-Jones</w:t>
      </w:r>
      <w:r>
        <w:rPr>
          <w:sz w:val="22"/>
          <w:szCs w:val="22"/>
          <w:lang w:val="en-US"/>
        </w:rPr>
        <w:t>, Robert,</w:t>
      </w:r>
      <w:r w:rsidRPr="003C693E">
        <w:rPr>
          <w:sz w:val="22"/>
          <w:szCs w:val="22"/>
          <w:lang w:val="en-US"/>
        </w:rPr>
        <w:t xml:space="preserve"> “Animal-Assisted Therapy for Dementia: A review of the literature” International Psychogeriatrics 18(4) (2006): 597-611.</w:t>
      </w:r>
    </w:p>
    <w:p w:rsidR="00785035" w:rsidRPr="005D65EF" w:rsidRDefault="00785035" w:rsidP="00785035">
      <w:pPr>
        <w:spacing w:line="480" w:lineRule="auto"/>
        <w:rPr>
          <w:sz w:val="22"/>
          <w:szCs w:val="22"/>
        </w:rPr>
      </w:pPr>
      <w:r w:rsidRPr="005D65EF">
        <w:rPr>
          <w:sz w:val="22"/>
          <w:szCs w:val="22"/>
        </w:rPr>
        <w:t xml:space="preserve">Fineman, Martha, </w:t>
      </w:r>
      <w:r w:rsidRPr="005D65EF">
        <w:rPr>
          <w:i/>
          <w:sz w:val="22"/>
          <w:szCs w:val="22"/>
        </w:rPr>
        <w:t>The Neutered Mother, The Sexual Family and other Twentieth Century Tragedies</w:t>
      </w:r>
      <w:r w:rsidRPr="005D65EF">
        <w:rPr>
          <w:sz w:val="22"/>
          <w:szCs w:val="22"/>
        </w:rPr>
        <w:t xml:space="preserve"> </w:t>
      </w:r>
      <w:r>
        <w:rPr>
          <w:sz w:val="22"/>
          <w:szCs w:val="22"/>
        </w:rPr>
        <w:t>(</w:t>
      </w:r>
      <w:r w:rsidRPr="005D65EF">
        <w:rPr>
          <w:sz w:val="22"/>
          <w:szCs w:val="22"/>
        </w:rPr>
        <w:t>New York: Routledge</w:t>
      </w:r>
      <w:r>
        <w:rPr>
          <w:sz w:val="22"/>
          <w:szCs w:val="22"/>
        </w:rPr>
        <w:t>, 1995).</w:t>
      </w:r>
    </w:p>
    <w:p w:rsidR="00785035" w:rsidRPr="005D65EF" w:rsidRDefault="00785035" w:rsidP="00785035">
      <w:pPr>
        <w:spacing w:after="160" w:line="480" w:lineRule="auto"/>
        <w:rPr>
          <w:sz w:val="22"/>
          <w:szCs w:val="22"/>
        </w:rPr>
      </w:pPr>
      <w:r w:rsidRPr="005D65EF">
        <w:rPr>
          <w:sz w:val="22"/>
          <w:szCs w:val="22"/>
        </w:rPr>
        <w:t xml:space="preserve">Fineman, Martha. </w:t>
      </w:r>
      <w:r>
        <w:rPr>
          <w:sz w:val="22"/>
          <w:szCs w:val="22"/>
        </w:rPr>
        <w:t>“</w:t>
      </w:r>
      <w:r w:rsidRPr="005D65EF">
        <w:rPr>
          <w:sz w:val="22"/>
          <w:szCs w:val="22"/>
        </w:rPr>
        <w:t>The Vulnerable Subject and the Responsive State</w:t>
      </w:r>
      <w:r>
        <w:rPr>
          <w:sz w:val="22"/>
          <w:szCs w:val="22"/>
        </w:rPr>
        <w:t>”</w:t>
      </w:r>
      <w:r w:rsidRPr="005D65EF">
        <w:rPr>
          <w:sz w:val="22"/>
          <w:szCs w:val="22"/>
        </w:rPr>
        <w:t xml:space="preserve"> </w:t>
      </w:r>
      <w:r w:rsidRPr="005D65EF">
        <w:rPr>
          <w:i/>
          <w:sz w:val="22"/>
          <w:szCs w:val="22"/>
        </w:rPr>
        <w:t>Emory Law Journal</w:t>
      </w:r>
      <w:r w:rsidRPr="005D65EF">
        <w:rPr>
          <w:sz w:val="22"/>
          <w:szCs w:val="22"/>
        </w:rPr>
        <w:t xml:space="preserve"> 60</w:t>
      </w:r>
      <w:r>
        <w:rPr>
          <w:sz w:val="22"/>
          <w:szCs w:val="22"/>
        </w:rPr>
        <w:t xml:space="preserve"> (</w:t>
      </w:r>
      <w:r w:rsidRPr="00D77F14">
        <w:rPr>
          <w:sz w:val="22"/>
          <w:szCs w:val="22"/>
        </w:rPr>
        <w:t>2010)</w:t>
      </w:r>
      <w:r>
        <w:rPr>
          <w:sz w:val="22"/>
          <w:szCs w:val="22"/>
        </w:rPr>
        <w:t>:</w:t>
      </w:r>
      <w:r w:rsidRPr="00D77F14">
        <w:rPr>
          <w:sz w:val="22"/>
          <w:szCs w:val="22"/>
          <w:lang w:val="en-US"/>
        </w:rPr>
        <w:t xml:space="preserve"> </w:t>
      </w:r>
      <w:r w:rsidRPr="005D65EF">
        <w:rPr>
          <w:sz w:val="22"/>
          <w:szCs w:val="22"/>
        </w:rPr>
        <w:t xml:space="preserve"> 251</w:t>
      </w:r>
      <w:r>
        <w:rPr>
          <w:sz w:val="22"/>
          <w:szCs w:val="22"/>
        </w:rPr>
        <w:t>-291</w:t>
      </w:r>
      <w:r w:rsidRPr="005D65EF">
        <w:rPr>
          <w:sz w:val="22"/>
          <w:szCs w:val="22"/>
        </w:rPr>
        <w:t>.</w:t>
      </w:r>
    </w:p>
    <w:p w:rsidR="00785035" w:rsidRDefault="00785035" w:rsidP="00785035">
      <w:pPr>
        <w:spacing w:line="480" w:lineRule="auto"/>
        <w:rPr>
          <w:sz w:val="22"/>
          <w:szCs w:val="22"/>
        </w:rPr>
      </w:pPr>
      <w:r w:rsidRPr="005D65EF">
        <w:rPr>
          <w:sz w:val="22"/>
          <w:szCs w:val="22"/>
        </w:rPr>
        <w:t>Fineman, Martha</w:t>
      </w:r>
      <w:r>
        <w:rPr>
          <w:sz w:val="22"/>
          <w:szCs w:val="22"/>
        </w:rPr>
        <w:t>.</w:t>
      </w:r>
      <w:r w:rsidRPr="005D65EF">
        <w:rPr>
          <w:sz w:val="22"/>
          <w:szCs w:val="22"/>
        </w:rPr>
        <w:t xml:space="preserve"> </w:t>
      </w:r>
      <w:r>
        <w:rPr>
          <w:sz w:val="22"/>
          <w:szCs w:val="22"/>
        </w:rPr>
        <w:t>“‘</w:t>
      </w:r>
      <w:r w:rsidRPr="005D65EF">
        <w:rPr>
          <w:sz w:val="22"/>
          <w:szCs w:val="22"/>
        </w:rPr>
        <w:t>Elderly</w:t>
      </w:r>
      <w:r>
        <w:rPr>
          <w:sz w:val="22"/>
          <w:szCs w:val="22"/>
        </w:rPr>
        <w:t>’</w:t>
      </w:r>
      <w:r w:rsidRPr="005D65EF">
        <w:rPr>
          <w:sz w:val="22"/>
          <w:szCs w:val="22"/>
        </w:rPr>
        <w:t xml:space="preserve"> as Vulnerable: Rethinking the Nature of Individual and Societal Responsibility</w:t>
      </w:r>
      <w:r>
        <w:rPr>
          <w:sz w:val="22"/>
          <w:szCs w:val="22"/>
        </w:rPr>
        <w:t>”</w:t>
      </w:r>
      <w:r w:rsidRPr="005D65EF">
        <w:rPr>
          <w:sz w:val="22"/>
          <w:szCs w:val="22"/>
        </w:rPr>
        <w:t xml:space="preserve"> </w:t>
      </w:r>
      <w:r w:rsidRPr="005D65EF">
        <w:rPr>
          <w:i/>
          <w:sz w:val="22"/>
          <w:szCs w:val="22"/>
        </w:rPr>
        <w:t>Elder Law Journal</w:t>
      </w:r>
      <w:r>
        <w:rPr>
          <w:i/>
          <w:sz w:val="22"/>
          <w:szCs w:val="22"/>
        </w:rPr>
        <w:t xml:space="preserve"> </w:t>
      </w:r>
      <w:r>
        <w:rPr>
          <w:sz w:val="22"/>
          <w:szCs w:val="22"/>
        </w:rPr>
        <w:t>20 (2011):</w:t>
      </w:r>
      <w:r w:rsidRPr="005D65EF">
        <w:rPr>
          <w:sz w:val="22"/>
          <w:szCs w:val="22"/>
        </w:rPr>
        <w:t xml:space="preserve"> 71-111.</w:t>
      </w:r>
    </w:p>
    <w:p w:rsidR="00785035" w:rsidRPr="00D26AB4" w:rsidRDefault="00785035" w:rsidP="00785035">
      <w:pPr>
        <w:spacing w:line="480" w:lineRule="auto"/>
        <w:rPr>
          <w:sz w:val="22"/>
          <w:szCs w:val="22"/>
        </w:rPr>
      </w:pPr>
      <w:r>
        <w:rPr>
          <w:sz w:val="22"/>
          <w:szCs w:val="22"/>
        </w:rPr>
        <w:t xml:space="preserve">Fineman Martha and Grear, Anna. “Introduction: Vulnerability as Heuristic – An Invitation to Future Exploration” in </w:t>
      </w:r>
      <w:r>
        <w:rPr>
          <w:i/>
          <w:sz w:val="22"/>
          <w:szCs w:val="22"/>
        </w:rPr>
        <w:t>Vulnerability: Reflections on a New Ethical Foundation for Law and Politics</w:t>
      </w:r>
      <w:r>
        <w:rPr>
          <w:sz w:val="22"/>
          <w:szCs w:val="22"/>
        </w:rPr>
        <w:t xml:space="preserve"> edited by Fineman and Grear (London: Routledge, 2013).</w:t>
      </w:r>
    </w:p>
    <w:p w:rsidR="00785035" w:rsidRPr="005D65EF" w:rsidRDefault="00785035" w:rsidP="00785035">
      <w:pPr>
        <w:spacing w:line="480" w:lineRule="auto"/>
        <w:rPr>
          <w:sz w:val="22"/>
          <w:szCs w:val="22"/>
          <w:lang w:val="en-US"/>
        </w:rPr>
      </w:pPr>
      <w:r w:rsidRPr="005D65EF">
        <w:rPr>
          <w:sz w:val="22"/>
          <w:szCs w:val="22"/>
          <w:lang w:val="en-US"/>
        </w:rPr>
        <w:t>Fox, Marie</w:t>
      </w:r>
      <w:r>
        <w:rPr>
          <w:sz w:val="22"/>
          <w:szCs w:val="22"/>
          <w:lang w:val="en-US"/>
        </w:rPr>
        <w:t>,</w:t>
      </w:r>
      <w:r w:rsidRPr="005D65EF">
        <w:rPr>
          <w:sz w:val="22"/>
          <w:szCs w:val="22"/>
          <w:lang w:val="en-US"/>
        </w:rPr>
        <w:t xml:space="preserve"> “Re-thinking Kinship: Law’s Construction of the Animal Body” </w:t>
      </w:r>
      <w:r w:rsidRPr="005D65EF">
        <w:rPr>
          <w:i/>
          <w:iCs/>
          <w:sz w:val="22"/>
          <w:szCs w:val="22"/>
          <w:lang w:val="en-US"/>
        </w:rPr>
        <w:t>Current Legal Problems</w:t>
      </w:r>
      <w:r w:rsidRPr="005D65EF">
        <w:rPr>
          <w:sz w:val="22"/>
          <w:szCs w:val="22"/>
          <w:lang w:val="en-US"/>
        </w:rPr>
        <w:t xml:space="preserve"> </w:t>
      </w:r>
      <w:r w:rsidRPr="00F2516B">
        <w:rPr>
          <w:sz w:val="22"/>
          <w:szCs w:val="22"/>
          <w:lang w:val="en-US"/>
        </w:rPr>
        <w:t>57</w:t>
      </w:r>
      <w:r>
        <w:rPr>
          <w:sz w:val="22"/>
          <w:szCs w:val="22"/>
          <w:lang w:val="en-US"/>
        </w:rPr>
        <w:t>, (2004):</w:t>
      </w:r>
      <w:r w:rsidRPr="00F2516B">
        <w:rPr>
          <w:sz w:val="22"/>
          <w:szCs w:val="22"/>
          <w:lang w:val="en-US"/>
        </w:rPr>
        <w:t xml:space="preserve"> </w:t>
      </w:r>
      <w:r w:rsidRPr="005D65EF">
        <w:rPr>
          <w:sz w:val="22"/>
          <w:szCs w:val="22"/>
          <w:lang w:val="en-US"/>
        </w:rPr>
        <w:t>464-86.</w:t>
      </w:r>
    </w:p>
    <w:p w:rsidR="00785035" w:rsidRPr="005D65EF" w:rsidRDefault="00785035" w:rsidP="00785035">
      <w:pPr>
        <w:spacing w:line="480" w:lineRule="auto"/>
        <w:rPr>
          <w:bCs/>
          <w:sz w:val="22"/>
          <w:szCs w:val="22"/>
          <w:lang w:bidi="en-US"/>
        </w:rPr>
      </w:pPr>
      <w:r w:rsidRPr="005D65EF">
        <w:rPr>
          <w:sz w:val="22"/>
          <w:szCs w:val="22"/>
        </w:rPr>
        <w:t>Fox, Marie</w:t>
      </w:r>
      <w:r w:rsidRPr="005D65EF">
        <w:rPr>
          <w:sz w:val="22"/>
          <w:szCs w:val="22"/>
          <w:lang w:val="en-US"/>
        </w:rPr>
        <w:t xml:space="preserve"> and Fiona Cook, </w:t>
      </w:r>
      <w:r>
        <w:rPr>
          <w:sz w:val="22"/>
          <w:szCs w:val="22"/>
          <w:lang w:val="en-US"/>
        </w:rPr>
        <w:t>“</w:t>
      </w:r>
      <w:r w:rsidRPr="005D65EF">
        <w:rPr>
          <w:sz w:val="22"/>
          <w:szCs w:val="22"/>
          <w:lang w:val="en-US"/>
        </w:rPr>
        <w:t xml:space="preserve">Judging Dangerous Dogs: </w:t>
      </w:r>
      <w:r w:rsidRPr="005D65EF">
        <w:rPr>
          <w:bCs/>
          <w:sz w:val="22"/>
          <w:szCs w:val="22"/>
          <w:lang w:bidi="en-US"/>
        </w:rPr>
        <w:t>Barnes v Belfast CC</w:t>
      </w:r>
      <w:r>
        <w:rPr>
          <w:bCs/>
          <w:sz w:val="22"/>
          <w:szCs w:val="22"/>
          <w:lang w:bidi="en-US"/>
        </w:rPr>
        <w:t>”</w:t>
      </w:r>
      <w:r w:rsidRPr="005D65EF">
        <w:rPr>
          <w:bCs/>
          <w:sz w:val="22"/>
          <w:szCs w:val="22"/>
          <w:lang w:bidi="en-US"/>
        </w:rPr>
        <w:t xml:space="preserve"> </w:t>
      </w:r>
      <w:r>
        <w:rPr>
          <w:bCs/>
          <w:sz w:val="22"/>
          <w:szCs w:val="22"/>
          <w:lang w:bidi="en-US"/>
        </w:rPr>
        <w:t>i</w:t>
      </w:r>
      <w:r w:rsidRPr="005D65EF">
        <w:rPr>
          <w:bCs/>
          <w:sz w:val="22"/>
          <w:szCs w:val="22"/>
          <w:lang w:bidi="en-US"/>
        </w:rPr>
        <w:t xml:space="preserve">n </w:t>
      </w:r>
      <w:r w:rsidRPr="005D65EF">
        <w:rPr>
          <w:bCs/>
          <w:i/>
          <w:sz w:val="22"/>
          <w:szCs w:val="22"/>
          <w:lang w:bidi="en-US"/>
        </w:rPr>
        <w:t>Northern/Irish Feminist Judgmen</w:t>
      </w:r>
      <w:r w:rsidRPr="005D65EF">
        <w:rPr>
          <w:bCs/>
          <w:sz w:val="22"/>
          <w:szCs w:val="22"/>
          <w:lang w:bidi="en-US"/>
        </w:rPr>
        <w:t xml:space="preserve">ts: </w:t>
      </w:r>
      <w:r w:rsidRPr="005D65EF">
        <w:rPr>
          <w:bCs/>
          <w:i/>
          <w:sz w:val="22"/>
          <w:szCs w:val="22"/>
          <w:lang w:bidi="en-US"/>
        </w:rPr>
        <w:t xml:space="preserve">Judges; Troubles and the Gendered Politics of Identity, </w:t>
      </w:r>
      <w:r w:rsidRPr="005D65EF">
        <w:rPr>
          <w:bCs/>
          <w:sz w:val="22"/>
          <w:szCs w:val="22"/>
          <w:lang w:bidi="en-US"/>
        </w:rPr>
        <w:t>ed</w:t>
      </w:r>
      <w:r>
        <w:rPr>
          <w:bCs/>
          <w:sz w:val="22"/>
          <w:szCs w:val="22"/>
          <w:lang w:bidi="en-US"/>
        </w:rPr>
        <w:t>ited by</w:t>
      </w:r>
      <w:r w:rsidRPr="005D65EF">
        <w:rPr>
          <w:bCs/>
          <w:sz w:val="22"/>
          <w:szCs w:val="22"/>
          <w:lang w:bidi="en-US"/>
        </w:rPr>
        <w:t xml:space="preserve"> M. Enright, J. McCandless and A. O’Donoghue </w:t>
      </w:r>
      <w:r>
        <w:rPr>
          <w:bCs/>
          <w:sz w:val="22"/>
          <w:szCs w:val="22"/>
          <w:lang w:bidi="en-US"/>
        </w:rPr>
        <w:t>(</w:t>
      </w:r>
      <w:r w:rsidRPr="005D65EF">
        <w:rPr>
          <w:bCs/>
          <w:sz w:val="22"/>
          <w:szCs w:val="22"/>
          <w:lang w:bidi="en-US"/>
        </w:rPr>
        <w:t>Oxford: Hart Publishing, 2017</w:t>
      </w:r>
      <w:r>
        <w:rPr>
          <w:bCs/>
          <w:sz w:val="22"/>
          <w:szCs w:val="22"/>
          <w:lang w:bidi="en-US"/>
        </w:rPr>
        <w:t>).</w:t>
      </w:r>
    </w:p>
    <w:p w:rsidR="00785035" w:rsidRPr="005D65EF" w:rsidRDefault="00785035" w:rsidP="00785035">
      <w:pPr>
        <w:spacing w:line="480" w:lineRule="auto"/>
        <w:rPr>
          <w:sz w:val="22"/>
          <w:szCs w:val="22"/>
          <w:lang w:val="en-US"/>
        </w:rPr>
      </w:pPr>
      <w:r w:rsidRPr="005D65EF">
        <w:rPr>
          <w:bCs/>
          <w:sz w:val="22"/>
          <w:szCs w:val="22"/>
          <w:lang w:val="en-US" w:bidi="en-US"/>
        </w:rPr>
        <w:t>Fox, Marie and McGuinness, Sheelagh</w:t>
      </w:r>
      <w:r>
        <w:rPr>
          <w:bCs/>
          <w:sz w:val="22"/>
          <w:szCs w:val="22"/>
          <w:lang w:val="en-US" w:bidi="en-US"/>
        </w:rPr>
        <w:t>. “</w:t>
      </w:r>
      <w:r w:rsidRPr="005D65EF">
        <w:rPr>
          <w:bCs/>
          <w:sz w:val="22"/>
          <w:szCs w:val="22"/>
          <w:lang w:bidi="en-US"/>
        </w:rPr>
        <w:t>The Politics of Muddling Through: Categorising Embryos</w:t>
      </w:r>
      <w:r>
        <w:rPr>
          <w:bCs/>
          <w:sz w:val="22"/>
          <w:szCs w:val="22"/>
          <w:lang w:bidi="en-US"/>
        </w:rPr>
        <w:t xml:space="preserve">” </w:t>
      </w:r>
      <w:r w:rsidRPr="005D65EF">
        <w:rPr>
          <w:bCs/>
          <w:sz w:val="22"/>
          <w:szCs w:val="22"/>
          <w:lang w:bidi="en-US"/>
        </w:rPr>
        <w:t xml:space="preserve">In </w:t>
      </w:r>
      <w:r w:rsidRPr="005D65EF">
        <w:rPr>
          <w:bCs/>
          <w:i/>
          <w:iCs/>
          <w:sz w:val="22"/>
          <w:szCs w:val="22"/>
          <w:lang w:bidi="en-US"/>
        </w:rPr>
        <w:t xml:space="preserve">Pioneering Healthcare Law: Essays in Honour of the Work of Margaret Brazier </w:t>
      </w:r>
      <w:r w:rsidRPr="005D65EF">
        <w:rPr>
          <w:bCs/>
          <w:iCs/>
          <w:sz w:val="22"/>
          <w:szCs w:val="22"/>
          <w:lang w:bidi="en-US"/>
        </w:rPr>
        <w:t>edited</w:t>
      </w:r>
      <w:r>
        <w:rPr>
          <w:bCs/>
          <w:iCs/>
          <w:sz w:val="22"/>
          <w:szCs w:val="22"/>
          <w:lang w:bidi="en-US"/>
        </w:rPr>
        <w:t xml:space="preserve"> by</w:t>
      </w:r>
      <w:r w:rsidRPr="005D65EF">
        <w:rPr>
          <w:bCs/>
          <w:iCs/>
          <w:sz w:val="22"/>
          <w:szCs w:val="22"/>
          <w:lang w:bidi="en-US"/>
        </w:rPr>
        <w:t xml:space="preserve"> C</w:t>
      </w:r>
      <w:r>
        <w:rPr>
          <w:bCs/>
          <w:iCs/>
          <w:sz w:val="22"/>
          <w:szCs w:val="22"/>
          <w:lang w:bidi="en-US"/>
        </w:rPr>
        <w:t>atherine</w:t>
      </w:r>
      <w:r w:rsidRPr="005D65EF">
        <w:rPr>
          <w:bCs/>
          <w:iCs/>
          <w:sz w:val="22"/>
          <w:szCs w:val="22"/>
          <w:lang w:bidi="en-US"/>
        </w:rPr>
        <w:t xml:space="preserve"> Stanton </w:t>
      </w:r>
      <w:r w:rsidRPr="005D65EF">
        <w:rPr>
          <w:bCs/>
          <w:i/>
          <w:iCs/>
          <w:sz w:val="22"/>
          <w:szCs w:val="22"/>
          <w:lang w:bidi="en-US"/>
        </w:rPr>
        <w:t>et al</w:t>
      </w:r>
      <w:r>
        <w:rPr>
          <w:bCs/>
          <w:i/>
          <w:iCs/>
          <w:sz w:val="22"/>
          <w:szCs w:val="22"/>
          <w:lang w:bidi="en-US"/>
        </w:rPr>
        <w:t>.</w:t>
      </w:r>
      <w:r w:rsidRPr="005D65EF">
        <w:rPr>
          <w:bCs/>
          <w:iCs/>
          <w:sz w:val="22"/>
          <w:szCs w:val="22"/>
          <w:lang w:bidi="en-US"/>
        </w:rPr>
        <w:t xml:space="preserve"> </w:t>
      </w:r>
      <w:r>
        <w:rPr>
          <w:bCs/>
          <w:iCs/>
          <w:sz w:val="22"/>
          <w:szCs w:val="22"/>
          <w:lang w:bidi="en-US"/>
        </w:rPr>
        <w:t>(</w:t>
      </w:r>
      <w:r w:rsidRPr="005D65EF">
        <w:rPr>
          <w:bCs/>
          <w:iCs/>
          <w:sz w:val="22"/>
          <w:szCs w:val="22"/>
          <w:lang w:bidi="en-US"/>
        </w:rPr>
        <w:t xml:space="preserve">London: </w:t>
      </w:r>
      <w:r w:rsidRPr="005D65EF">
        <w:rPr>
          <w:bCs/>
          <w:sz w:val="22"/>
          <w:szCs w:val="22"/>
          <w:lang w:bidi="en-US"/>
        </w:rPr>
        <w:t>Routledge</w:t>
      </w:r>
      <w:r>
        <w:rPr>
          <w:bCs/>
          <w:sz w:val="22"/>
          <w:szCs w:val="22"/>
          <w:lang w:bidi="en-US"/>
        </w:rPr>
        <w:t>, 2015)</w:t>
      </w:r>
      <w:r w:rsidRPr="005D65EF">
        <w:rPr>
          <w:bCs/>
          <w:sz w:val="22"/>
          <w:szCs w:val="22"/>
          <w:lang w:bidi="en-US"/>
        </w:rPr>
        <w:t xml:space="preserve"> 199-210.</w:t>
      </w:r>
    </w:p>
    <w:p w:rsidR="00785035" w:rsidRPr="005D65EF" w:rsidRDefault="00785035" w:rsidP="00785035">
      <w:pPr>
        <w:spacing w:line="480" w:lineRule="auto"/>
        <w:rPr>
          <w:sz w:val="22"/>
          <w:szCs w:val="22"/>
        </w:rPr>
      </w:pPr>
      <w:r w:rsidRPr="005D65EF">
        <w:rPr>
          <w:sz w:val="22"/>
          <w:szCs w:val="22"/>
        </w:rPr>
        <w:t>Fox-O’Mahoney, Lorna</w:t>
      </w:r>
      <w:r>
        <w:rPr>
          <w:sz w:val="22"/>
          <w:szCs w:val="22"/>
        </w:rPr>
        <w:t>,</w:t>
      </w:r>
      <w:r w:rsidRPr="005D65EF">
        <w:rPr>
          <w:sz w:val="22"/>
          <w:szCs w:val="22"/>
        </w:rPr>
        <w:t xml:space="preserve"> </w:t>
      </w:r>
      <w:r w:rsidRPr="005D65EF">
        <w:rPr>
          <w:i/>
          <w:sz w:val="22"/>
          <w:szCs w:val="22"/>
        </w:rPr>
        <w:t xml:space="preserve">Conceptualising Home: Theories, Laws and Policies </w:t>
      </w:r>
      <w:r>
        <w:rPr>
          <w:sz w:val="22"/>
          <w:szCs w:val="22"/>
        </w:rPr>
        <w:t>(</w:t>
      </w:r>
      <w:r w:rsidRPr="005D65EF">
        <w:rPr>
          <w:sz w:val="22"/>
          <w:szCs w:val="22"/>
        </w:rPr>
        <w:t>Oxford: Hart Publishing</w:t>
      </w:r>
      <w:r>
        <w:rPr>
          <w:sz w:val="22"/>
          <w:szCs w:val="22"/>
        </w:rPr>
        <w:t>, 2006).</w:t>
      </w:r>
    </w:p>
    <w:p w:rsidR="00785035" w:rsidRPr="005D65EF" w:rsidRDefault="00785035" w:rsidP="00785035">
      <w:pPr>
        <w:spacing w:line="480" w:lineRule="auto"/>
        <w:rPr>
          <w:sz w:val="22"/>
          <w:szCs w:val="22"/>
        </w:rPr>
      </w:pPr>
      <w:r w:rsidRPr="005D65EF">
        <w:rPr>
          <w:sz w:val="22"/>
          <w:szCs w:val="22"/>
        </w:rPr>
        <w:t>Fox-O’Mahoney, Lorna and Sweeney, James (eds)</w:t>
      </w:r>
      <w:r w:rsidRPr="005D65EF">
        <w:rPr>
          <w:i/>
          <w:sz w:val="22"/>
          <w:szCs w:val="22"/>
        </w:rPr>
        <w:t xml:space="preserve"> The Idea of Home in Law: Displacement and Dispossession </w:t>
      </w:r>
      <w:r>
        <w:rPr>
          <w:sz w:val="22"/>
          <w:szCs w:val="22"/>
        </w:rPr>
        <w:t>(</w:t>
      </w:r>
      <w:r w:rsidRPr="005D65EF">
        <w:rPr>
          <w:sz w:val="22"/>
          <w:szCs w:val="22"/>
        </w:rPr>
        <w:t>London: Routledge.</w:t>
      </w:r>
      <w:r>
        <w:rPr>
          <w:sz w:val="22"/>
          <w:szCs w:val="22"/>
        </w:rPr>
        <w:t xml:space="preserve"> 2011).</w:t>
      </w:r>
    </w:p>
    <w:p w:rsidR="00785035" w:rsidRPr="005D65EF" w:rsidRDefault="00785035" w:rsidP="00785035">
      <w:pPr>
        <w:spacing w:line="480" w:lineRule="auto"/>
        <w:rPr>
          <w:sz w:val="22"/>
          <w:szCs w:val="22"/>
        </w:rPr>
      </w:pPr>
      <w:r w:rsidRPr="005D65EF">
        <w:rPr>
          <w:sz w:val="22"/>
          <w:szCs w:val="22"/>
        </w:rPr>
        <w:t>Francione, Gary</w:t>
      </w:r>
      <w:r>
        <w:rPr>
          <w:sz w:val="22"/>
          <w:szCs w:val="22"/>
        </w:rPr>
        <w:t xml:space="preserve"> </w:t>
      </w:r>
      <w:r w:rsidRPr="005D65EF">
        <w:rPr>
          <w:i/>
          <w:sz w:val="22"/>
          <w:szCs w:val="22"/>
        </w:rPr>
        <w:t xml:space="preserve">Animals, Property and the Law </w:t>
      </w:r>
      <w:r>
        <w:rPr>
          <w:sz w:val="22"/>
          <w:szCs w:val="22"/>
        </w:rPr>
        <w:t>(</w:t>
      </w:r>
      <w:r w:rsidRPr="005D65EF">
        <w:rPr>
          <w:sz w:val="22"/>
          <w:szCs w:val="22"/>
        </w:rPr>
        <w:t>Rutgers: Temple University Press</w:t>
      </w:r>
      <w:r>
        <w:rPr>
          <w:sz w:val="22"/>
          <w:szCs w:val="22"/>
        </w:rPr>
        <w:t>, 1995).</w:t>
      </w:r>
    </w:p>
    <w:p w:rsidR="00785035" w:rsidRDefault="00785035" w:rsidP="00785035">
      <w:pPr>
        <w:spacing w:line="480" w:lineRule="auto"/>
        <w:rPr>
          <w:sz w:val="22"/>
          <w:szCs w:val="22"/>
        </w:rPr>
      </w:pPr>
      <w:r w:rsidRPr="005D65EF">
        <w:rPr>
          <w:sz w:val="22"/>
          <w:szCs w:val="22"/>
        </w:rPr>
        <w:t xml:space="preserve">Franklin, Adrian. </w:t>
      </w:r>
      <w:r>
        <w:rPr>
          <w:sz w:val="22"/>
          <w:szCs w:val="22"/>
        </w:rPr>
        <w:t>“</w:t>
      </w:r>
      <w:r w:rsidRPr="005D65EF">
        <w:rPr>
          <w:sz w:val="22"/>
          <w:szCs w:val="22"/>
        </w:rPr>
        <w:t>Human-Nonhuman Animal Relationships: An Overview of Results from the First National Survey and Follow-up Case Studies 2000- 2004</w:t>
      </w:r>
      <w:r>
        <w:rPr>
          <w:sz w:val="22"/>
          <w:szCs w:val="22"/>
        </w:rPr>
        <w:t>”</w:t>
      </w:r>
      <w:r w:rsidRPr="005D65EF">
        <w:rPr>
          <w:sz w:val="22"/>
          <w:szCs w:val="22"/>
        </w:rPr>
        <w:t xml:space="preserve"> </w:t>
      </w:r>
      <w:r w:rsidRPr="005D65EF">
        <w:rPr>
          <w:i/>
          <w:sz w:val="22"/>
          <w:szCs w:val="22"/>
        </w:rPr>
        <w:t>Journal of Human-Animal Studies</w:t>
      </w:r>
      <w:r w:rsidRPr="005D65EF">
        <w:rPr>
          <w:sz w:val="22"/>
          <w:szCs w:val="22"/>
        </w:rPr>
        <w:t xml:space="preserve"> </w:t>
      </w:r>
      <w:r>
        <w:rPr>
          <w:sz w:val="22"/>
          <w:szCs w:val="22"/>
        </w:rPr>
        <w:t xml:space="preserve">15 </w:t>
      </w:r>
      <w:r w:rsidRPr="00127CB7">
        <w:rPr>
          <w:sz w:val="22"/>
          <w:szCs w:val="22"/>
        </w:rPr>
        <w:t>(2007)</w:t>
      </w:r>
      <w:r>
        <w:rPr>
          <w:sz w:val="22"/>
          <w:szCs w:val="22"/>
        </w:rPr>
        <w:t xml:space="preserve">: </w:t>
      </w:r>
      <w:r w:rsidRPr="005D65EF">
        <w:rPr>
          <w:sz w:val="22"/>
          <w:szCs w:val="22"/>
        </w:rPr>
        <w:t>7.</w:t>
      </w:r>
    </w:p>
    <w:p w:rsidR="00785035" w:rsidRDefault="00785035" w:rsidP="00785035">
      <w:pPr>
        <w:spacing w:line="480" w:lineRule="auto"/>
        <w:rPr>
          <w:sz w:val="22"/>
          <w:szCs w:val="22"/>
        </w:rPr>
      </w:pPr>
      <w:r w:rsidRPr="005D65EF">
        <w:rPr>
          <w:sz w:val="22"/>
          <w:szCs w:val="22"/>
        </w:rPr>
        <w:t xml:space="preserve">Fudge, Erica </w:t>
      </w:r>
      <w:r w:rsidRPr="005D65EF">
        <w:rPr>
          <w:i/>
          <w:sz w:val="22"/>
          <w:szCs w:val="22"/>
        </w:rPr>
        <w:t>Pets: The Art of Living</w:t>
      </w:r>
      <w:r w:rsidRPr="005D65EF">
        <w:rPr>
          <w:sz w:val="22"/>
          <w:szCs w:val="22"/>
        </w:rPr>
        <w:t xml:space="preserve"> </w:t>
      </w:r>
      <w:r>
        <w:rPr>
          <w:sz w:val="22"/>
          <w:szCs w:val="22"/>
        </w:rPr>
        <w:t>(</w:t>
      </w:r>
      <w:r w:rsidRPr="005D65EF">
        <w:rPr>
          <w:sz w:val="22"/>
          <w:szCs w:val="22"/>
        </w:rPr>
        <w:t>London: Acumen Press</w:t>
      </w:r>
      <w:r>
        <w:rPr>
          <w:sz w:val="22"/>
          <w:szCs w:val="22"/>
        </w:rPr>
        <w:t>, 2008).</w:t>
      </w:r>
    </w:p>
    <w:p w:rsidR="00785035" w:rsidRPr="005D65EF" w:rsidRDefault="00785035" w:rsidP="00785035">
      <w:pPr>
        <w:spacing w:line="480" w:lineRule="auto"/>
        <w:rPr>
          <w:sz w:val="22"/>
          <w:szCs w:val="22"/>
        </w:rPr>
      </w:pPr>
      <w:r w:rsidRPr="009839F2">
        <w:rPr>
          <w:sz w:val="22"/>
          <w:szCs w:val="22"/>
        </w:rPr>
        <w:t xml:space="preserve">Gammonley, </w:t>
      </w:r>
      <w:r>
        <w:rPr>
          <w:sz w:val="22"/>
          <w:szCs w:val="22"/>
        </w:rPr>
        <w:t xml:space="preserve">Judith, </w:t>
      </w:r>
      <w:r w:rsidRPr="009839F2">
        <w:rPr>
          <w:sz w:val="22"/>
          <w:szCs w:val="22"/>
        </w:rPr>
        <w:t xml:space="preserve">Yates, </w:t>
      </w:r>
      <w:r>
        <w:rPr>
          <w:sz w:val="22"/>
          <w:szCs w:val="22"/>
        </w:rPr>
        <w:t xml:space="preserve">Judy, </w:t>
      </w:r>
      <w:r w:rsidRPr="009839F2">
        <w:rPr>
          <w:sz w:val="22"/>
          <w:szCs w:val="22"/>
        </w:rPr>
        <w:t>“Pet Projects: Animal Assisted Therapy in Nursing Homes” </w:t>
      </w:r>
      <w:r w:rsidRPr="009839F2">
        <w:rPr>
          <w:i/>
          <w:iCs/>
          <w:sz w:val="22"/>
          <w:szCs w:val="22"/>
        </w:rPr>
        <w:t>J Gerontol Nurs.</w:t>
      </w:r>
      <w:r w:rsidRPr="009839F2">
        <w:rPr>
          <w:sz w:val="22"/>
          <w:szCs w:val="22"/>
        </w:rPr>
        <w:t>17(1) (1991): 12-15.</w:t>
      </w:r>
    </w:p>
    <w:p w:rsidR="00785035" w:rsidRPr="005D65EF" w:rsidRDefault="00785035" w:rsidP="00785035">
      <w:pPr>
        <w:spacing w:line="480" w:lineRule="auto"/>
        <w:rPr>
          <w:sz w:val="22"/>
          <w:szCs w:val="22"/>
        </w:rPr>
      </w:pPr>
      <w:r w:rsidRPr="005D65EF">
        <w:rPr>
          <w:sz w:val="22"/>
          <w:szCs w:val="22"/>
        </w:rPr>
        <w:t xml:space="preserve">Garner, Robert </w:t>
      </w:r>
      <w:r w:rsidRPr="005D65EF">
        <w:rPr>
          <w:i/>
          <w:sz w:val="22"/>
          <w:szCs w:val="22"/>
        </w:rPr>
        <w:t>A Theory of Justice for Animals</w:t>
      </w:r>
      <w:r w:rsidRPr="005D65EF">
        <w:rPr>
          <w:sz w:val="22"/>
          <w:szCs w:val="22"/>
        </w:rPr>
        <w:t xml:space="preserve"> </w:t>
      </w:r>
      <w:r>
        <w:rPr>
          <w:sz w:val="22"/>
          <w:szCs w:val="22"/>
        </w:rPr>
        <w:t>(</w:t>
      </w:r>
      <w:r w:rsidRPr="005D65EF">
        <w:rPr>
          <w:sz w:val="22"/>
          <w:szCs w:val="22"/>
        </w:rPr>
        <w:t>Oxford: Oxford University Press</w:t>
      </w:r>
      <w:r>
        <w:rPr>
          <w:sz w:val="22"/>
          <w:szCs w:val="22"/>
        </w:rPr>
        <w:t>, 2013)</w:t>
      </w:r>
      <w:r w:rsidRPr="005D65EF">
        <w:rPr>
          <w:sz w:val="22"/>
          <w:szCs w:val="22"/>
        </w:rPr>
        <w:t>.</w:t>
      </w:r>
    </w:p>
    <w:p w:rsidR="00785035" w:rsidRDefault="00785035" w:rsidP="00785035">
      <w:pPr>
        <w:spacing w:line="480" w:lineRule="auto"/>
        <w:rPr>
          <w:sz w:val="22"/>
          <w:szCs w:val="22"/>
        </w:rPr>
      </w:pPr>
      <w:r w:rsidRPr="004D242D">
        <w:rPr>
          <w:sz w:val="22"/>
          <w:szCs w:val="22"/>
        </w:rPr>
        <w:t>Gennep, Arnold</w:t>
      </w:r>
      <w:r>
        <w:rPr>
          <w:sz w:val="22"/>
          <w:szCs w:val="22"/>
        </w:rPr>
        <w:t xml:space="preserve"> Van.</w:t>
      </w:r>
      <w:r w:rsidRPr="004D242D">
        <w:rPr>
          <w:sz w:val="22"/>
          <w:szCs w:val="22"/>
        </w:rPr>
        <w:t xml:space="preserve"> </w:t>
      </w:r>
      <w:r w:rsidRPr="004D242D">
        <w:rPr>
          <w:i/>
          <w:sz w:val="22"/>
          <w:szCs w:val="22"/>
        </w:rPr>
        <w:t>The Rites of Passage</w:t>
      </w:r>
      <w:r w:rsidRPr="004D242D">
        <w:rPr>
          <w:sz w:val="22"/>
          <w:szCs w:val="22"/>
        </w:rPr>
        <w:t xml:space="preserve"> (Chicago: University of Chicago Press, 1960).</w:t>
      </w:r>
    </w:p>
    <w:p w:rsidR="00785035" w:rsidRPr="005D65EF" w:rsidRDefault="00785035" w:rsidP="00785035">
      <w:pPr>
        <w:spacing w:line="480" w:lineRule="auto"/>
        <w:rPr>
          <w:i/>
          <w:sz w:val="22"/>
          <w:szCs w:val="22"/>
        </w:rPr>
      </w:pPr>
      <w:r w:rsidRPr="005D65EF">
        <w:rPr>
          <w:sz w:val="22"/>
          <w:szCs w:val="22"/>
        </w:rPr>
        <w:t>Glennon, Lisa</w:t>
      </w:r>
      <w:r>
        <w:rPr>
          <w:sz w:val="22"/>
          <w:szCs w:val="22"/>
        </w:rPr>
        <w:t xml:space="preserve"> </w:t>
      </w:r>
      <w:r w:rsidRPr="005D65EF">
        <w:rPr>
          <w:sz w:val="22"/>
          <w:szCs w:val="22"/>
        </w:rPr>
        <w:t xml:space="preserve">‘Displacing the Conjugal Family in Legal Policy – A Progressive Move’ 17 </w:t>
      </w:r>
      <w:r w:rsidRPr="005D65EF">
        <w:rPr>
          <w:i/>
          <w:sz w:val="22"/>
          <w:szCs w:val="22"/>
        </w:rPr>
        <w:t xml:space="preserve">Child and Family Law Quarterly </w:t>
      </w:r>
      <w:r>
        <w:rPr>
          <w:sz w:val="22"/>
          <w:szCs w:val="22"/>
        </w:rPr>
        <w:t xml:space="preserve">17 (2005): </w:t>
      </w:r>
      <w:r w:rsidRPr="005D65EF">
        <w:rPr>
          <w:sz w:val="22"/>
          <w:szCs w:val="22"/>
        </w:rPr>
        <w:t>141-63.</w:t>
      </w:r>
    </w:p>
    <w:p w:rsidR="00785035" w:rsidRPr="005D65EF" w:rsidRDefault="00785035" w:rsidP="00785035">
      <w:pPr>
        <w:spacing w:line="480" w:lineRule="auto"/>
        <w:rPr>
          <w:sz w:val="22"/>
          <w:szCs w:val="22"/>
        </w:rPr>
      </w:pPr>
      <w:r w:rsidRPr="005D65EF">
        <w:rPr>
          <w:sz w:val="22"/>
          <w:szCs w:val="22"/>
        </w:rPr>
        <w:t xml:space="preserve">Haraway, Donna. </w:t>
      </w:r>
      <w:r w:rsidRPr="005D65EF">
        <w:rPr>
          <w:i/>
          <w:sz w:val="22"/>
          <w:szCs w:val="22"/>
        </w:rPr>
        <w:t>The Companion Species Manifesto: Dogs, People and Significant Others</w:t>
      </w:r>
      <w:r w:rsidRPr="005D65EF">
        <w:rPr>
          <w:sz w:val="22"/>
          <w:szCs w:val="22"/>
        </w:rPr>
        <w:t xml:space="preserve"> </w:t>
      </w:r>
      <w:r>
        <w:rPr>
          <w:sz w:val="22"/>
          <w:szCs w:val="22"/>
        </w:rPr>
        <w:t>(</w:t>
      </w:r>
      <w:r w:rsidRPr="005D65EF">
        <w:rPr>
          <w:sz w:val="22"/>
          <w:szCs w:val="22"/>
        </w:rPr>
        <w:t>Chicago</w:t>
      </w:r>
      <w:r>
        <w:rPr>
          <w:sz w:val="22"/>
          <w:szCs w:val="22"/>
        </w:rPr>
        <w:t>:</w:t>
      </w:r>
      <w:r w:rsidRPr="005D65EF">
        <w:rPr>
          <w:sz w:val="22"/>
          <w:szCs w:val="22"/>
        </w:rPr>
        <w:t xml:space="preserve"> Prickly Paradigm Press</w:t>
      </w:r>
      <w:r>
        <w:rPr>
          <w:sz w:val="22"/>
          <w:szCs w:val="22"/>
        </w:rPr>
        <w:t>, 2003)</w:t>
      </w:r>
    </w:p>
    <w:p w:rsidR="00785035" w:rsidRDefault="00785035" w:rsidP="00785035">
      <w:pPr>
        <w:spacing w:line="480" w:lineRule="auto"/>
        <w:rPr>
          <w:sz w:val="22"/>
          <w:szCs w:val="22"/>
        </w:rPr>
      </w:pPr>
      <w:r w:rsidRPr="005D65EF">
        <w:rPr>
          <w:sz w:val="22"/>
          <w:szCs w:val="22"/>
        </w:rPr>
        <w:t>Haraway, Donna</w:t>
      </w:r>
      <w:r>
        <w:rPr>
          <w:sz w:val="22"/>
          <w:szCs w:val="22"/>
        </w:rPr>
        <w:t xml:space="preserve"> </w:t>
      </w:r>
      <w:r w:rsidRPr="005D65EF">
        <w:rPr>
          <w:i/>
          <w:sz w:val="22"/>
          <w:szCs w:val="22"/>
        </w:rPr>
        <w:t>When Species Meet</w:t>
      </w:r>
      <w:r w:rsidRPr="005D65EF">
        <w:rPr>
          <w:sz w:val="22"/>
          <w:szCs w:val="22"/>
        </w:rPr>
        <w:t xml:space="preserve"> </w:t>
      </w:r>
      <w:r>
        <w:rPr>
          <w:sz w:val="22"/>
          <w:szCs w:val="22"/>
        </w:rPr>
        <w:t>(</w:t>
      </w:r>
      <w:r w:rsidRPr="005D65EF">
        <w:rPr>
          <w:sz w:val="22"/>
          <w:szCs w:val="22"/>
        </w:rPr>
        <w:t>Minneapolis: University of Minnesota</w:t>
      </w:r>
      <w:r>
        <w:rPr>
          <w:sz w:val="22"/>
          <w:szCs w:val="22"/>
        </w:rPr>
        <w:t>, 2008).</w:t>
      </w:r>
    </w:p>
    <w:p w:rsidR="00785035" w:rsidRPr="00590F69" w:rsidRDefault="00785035" w:rsidP="00785035">
      <w:pPr>
        <w:spacing w:line="480" w:lineRule="auto"/>
        <w:rPr>
          <w:iCs/>
          <w:sz w:val="22"/>
          <w:szCs w:val="22"/>
        </w:rPr>
      </w:pPr>
      <w:r>
        <w:rPr>
          <w:sz w:val="22"/>
          <w:szCs w:val="22"/>
        </w:rPr>
        <w:t xml:space="preserve">Harding, Rosie. “Care and relationality: supported decision-making under the UN CPRD” in </w:t>
      </w:r>
      <w:r w:rsidRPr="00590F69">
        <w:rPr>
          <w:i/>
          <w:iCs/>
          <w:sz w:val="22"/>
          <w:szCs w:val="22"/>
        </w:rPr>
        <w:t>Revaluing care in theory, law and policy</w:t>
      </w:r>
      <w:r w:rsidRPr="00590F69">
        <w:rPr>
          <w:iCs/>
          <w:sz w:val="22"/>
          <w:szCs w:val="22"/>
        </w:rPr>
        <w:t xml:space="preserve"> edited by Rosie Harding, Ruth Fletcher and Christine Beasley (London: Routledge 2016)</w:t>
      </w:r>
      <w:r>
        <w:rPr>
          <w:iCs/>
          <w:sz w:val="22"/>
          <w:szCs w:val="22"/>
        </w:rPr>
        <w:t xml:space="preserve"> 114-130</w:t>
      </w:r>
      <w:r w:rsidRPr="00590F69">
        <w:rPr>
          <w:iCs/>
          <w:sz w:val="22"/>
          <w:szCs w:val="22"/>
        </w:rPr>
        <w:t>.</w:t>
      </w:r>
    </w:p>
    <w:p w:rsidR="00785035" w:rsidRPr="005D65EF" w:rsidRDefault="00785035" w:rsidP="00785035">
      <w:pPr>
        <w:spacing w:line="480" w:lineRule="auto"/>
        <w:rPr>
          <w:sz w:val="22"/>
          <w:szCs w:val="22"/>
        </w:rPr>
      </w:pPr>
      <w:r w:rsidRPr="005D65EF">
        <w:rPr>
          <w:sz w:val="22"/>
          <w:szCs w:val="22"/>
        </w:rPr>
        <w:t>Hawkins, Roxanne, McWilliams, Joanne and Scottish SPCA,</w:t>
      </w:r>
      <w:r>
        <w:rPr>
          <w:sz w:val="22"/>
          <w:szCs w:val="22"/>
        </w:rPr>
        <w:t xml:space="preserve"> “</w:t>
      </w:r>
      <w:r w:rsidRPr="005D65EF">
        <w:rPr>
          <w:sz w:val="22"/>
          <w:szCs w:val="22"/>
          <w:lang w:val="en-US"/>
        </w:rPr>
        <w:t>Childhood Attachment to Pets: Associations between Pet Attachment, Attitudes to Animals, Compassion, and Humane Behaviour</w:t>
      </w:r>
      <w:r>
        <w:rPr>
          <w:sz w:val="22"/>
          <w:szCs w:val="22"/>
          <w:lang w:val="en-US"/>
        </w:rPr>
        <w:t>”</w:t>
      </w:r>
      <w:r w:rsidRPr="005D65EF">
        <w:rPr>
          <w:sz w:val="22"/>
          <w:szCs w:val="22"/>
          <w:lang w:val="en-US"/>
        </w:rPr>
        <w:t xml:space="preserve"> </w:t>
      </w:r>
      <w:r w:rsidRPr="005D65EF">
        <w:rPr>
          <w:i/>
          <w:iCs/>
          <w:sz w:val="22"/>
          <w:szCs w:val="22"/>
        </w:rPr>
        <w:t>Int. J. Environ. Res. Public Health</w:t>
      </w:r>
      <w:r w:rsidRPr="005D65EF">
        <w:rPr>
          <w:sz w:val="22"/>
          <w:szCs w:val="22"/>
        </w:rPr>
        <w:t xml:space="preserve"> </w:t>
      </w:r>
      <w:r w:rsidRPr="00FE6C8D">
        <w:rPr>
          <w:sz w:val="22"/>
          <w:szCs w:val="22"/>
          <w:lang w:val="en-US"/>
        </w:rPr>
        <w:t xml:space="preserve">14(5) </w:t>
      </w:r>
      <w:r>
        <w:rPr>
          <w:sz w:val="22"/>
          <w:szCs w:val="22"/>
        </w:rPr>
        <w:t xml:space="preserve">(2017): </w:t>
      </w:r>
      <w:r w:rsidRPr="005D65EF">
        <w:rPr>
          <w:sz w:val="22"/>
          <w:szCs w:val="22"/>
        </w:rPr>
        <w:t>490-505.</w:t>
      </w:r>
    </w:p>
    <w:p w:rsidR="00785035" w:rsidRDefault="00785035" w:rsidP="00785035">
      <w:pPr>
        <w:spacing w:line="480" w:lineRule="auto"/>
        <w:rPr>
          <w:sz w:val="22"/>
          <w:szCs w:val="22"/>
        </w:rPr>
      </w:pPr>
      <w:r w:rsidRPr="005D65EF">
        <w:rPr>
          <w:sz w:val="22"/>
          <w:szCs w:val="22"/>
        </w:rPr>
        <w:t>Herring, Jonathan</w:t>
      </w:r>
      <w:r>
        <w:rPr>
          <w:sz w:val="22"/>
          <w:szCs w:val="22"/>
        </w:rPr>
        <w:t xml:space="preserve"> “</w:t>
      </w:r>
      <w:r w:rsidRPr="005D65EF">
        <w:rPr>
          <w:sz w:val="22"/>
          <w:szCs w:val="22"/>
        </w:rPr>
        <w:t>Making Family Law More Careful</w:t>
      </w:r>
      <w:r>
        <w:rPr>
          <w:sz w:val="22"/>
          <w:szCs w:val="22"/>
        </w:rPr>
        <w:t>”</w:t>
      </w:r>
      <w:r w:rsidRPr="005D65EF">
        <w:rPr>
          <w:sz w:val="22"/>
          <w:szCs w:val="22"/>
        </w:rPr>
        <w:t xml:space="preserve"> in </w:t>
      </w:r>
      <w:r w:rsidRPr="005D65EF">
        <w:rPr>
          <w:i/>
          <w:sz w:val="22"/>
          <w:szCs w:val="22"/>
        </w:rPr>
        <w:t xml:space="preserve">Vulnerabilities, Care and Family Law, </w:t>
      </w:r>
      <w:r w:rsidRPr="005D65EF">
        <w:rPr>
          <w:sz w:val="22"/>
          <w:szCs w:val="22"/>
        </w:rPr>
        <w:t>edited by</w:t>
      </w:r>
      <w:r w:rsidRPr="005D65EF">
        <w:rPr>
          <w:i/>
          <w:sz w:val="22"/>
          <w:szCs w:val="22"/>
        </w:rPr>
        <w:t xml:space="preserve"> </w:t>
      </w:r>
      <w:r w:rsidRPr="005D65EF">
        <w:rPr>
          <w:sz w:val="22"/>
          <w:szCs w:val="22"/>
        </w:rPr>
        <w:t>J. Wallbank and J. Herring</w:t>
      </w:r>
      <w:r w:rsidRPr="005D65EF">
        <w:rPr>
          <w:i/>
          <w:sz w:val="22"/>
          <w:szCs w:val="22"/>
        </w:rPr>
        <w:t xml:space="preserve"> </w:t>
      </w:r>
      <w:r>
        <w:rPr>
          <w:sz w:val="22"/>
          <w:szCs w:val="22"/>
        </w:rPr>
        <w:t>(</w:t>
      </w:r>
      <w:r w:rsidRPr="005D65EF">
        <w:rPr>
          <w:sz w:val="22"/>
          <w:szCs w:val="22"/>
        </w:rPr>
        <w:t>London: Routledge</w:t>
      </w:r>
      <w:r>
        <w:rPr>
          <w:sz w:val="22"/>
          <w:szCs w:val="22"/>
        </w:rPr>
        <w:t>, 2013) 43-58.</w:t>
      </w:r>
    </w:p>
    <w:p w:rsidR="00785035" w:rsidRDefault="00785035" w:rsidP="00785035">
      <w:pPr>
        <w:spacing w:line="480" w:lineRule="auto"/>
        <w:rPr>
          <w:sz w:val="22"/>
          <w:szCs w:val="22"/>
        </w:rPr>
      </w:pPr>
      <w:r w:rsidRPr="00C72699">
        <w:rPr>
          <w:sz w:val="22"/>
          <w:szCs w:val="22"/>
        </w:rPr>
        <w:t>Howell, Philip</w:t>
      </w:r>
      <w:r>
        <w:rPr>
          <w:sz w:val="22"/>
          <w:szCs w:val="22"/>
        </w:rPr>
        <w:t xml:space="preserve">, </w:t>
      </w:r>
      <w:r w:rsidRPr="00C72699">
        <w:rPr>
          <w:i/>
          <w:sz w:val="22"/>
          <w:szCs w:val="22"/>
        </w:rPr>
        <w:t>At Home and Astray: The Domestic Dog in Victorian Britain</w:t>
      </w:r>
      <w:r>
        <w:rPr>
          <w:sz w:val="22"/>
          <w:szCs w:val="22"/>
        </w:rPr>
        <w:t xml:space="preserve"> (</w:t>
      </w:r>
      <w:r w:rsidRPr="00C72699">
        <w:rPr>
          <w:sz w:val="22"/>
          <w:szCs w:val="22"/>
        </w:rPr>
        <w:t>Charlottesville: University of Virginia Press</w:t>
      </w:r>
      <w:r>
        <w:rPr>
          <w:sz w:val="22"/>
          <w:szCs w:val="22"/>
        </w:rPr>
        <w:t>, 2015).</w:t>
      </w:r>
    </w:p>
    <w:p w:rsidR="00785035" w:rsidRDefault="00785035" w:rsidP="00785035">
      <w:pPr>
        <w:spacing w:line="480" w:lineRule="auto"/>
        <w:rPr>
          <w:bCs/>
          <w:sz w:val="22"/>
          <w:szCs w:val="22"/>
        </w:rPr>
      </w:pPr>
      <w:r w:rsidRPr="005D65EF">
        <w:rPr>
          <w:sz w:val="22"/>
          <w:szCs w:val="22"/>
        </w:rPr>
        <w:t>Instone, Lesley and Sweeney, Jill “</w:t>
      </w:r>
      <w:r w:rsidRPr="005D65EF">
        <w:rPr>
          <w:bCs/>
          <w:sz w:val="22"/>
          <w:szCs w:val="22"/>
        </w:rPr>
        <w:t xml:space="preserve">Dog Waste, Wasted Dogs: The Contribution of Human–Dog Relations to the Political Ecology of Australian Urban Space” </w:t>
      </w:r>
      <w:r w:rsidRPr="005D65EF">
        <w:rPr>
          <w:bCs/>
          <w:i/>
          <w:sz w:val="22"/>
          <w:szCs w:val="22"/>
        </w:rPr>
        <w:t>Geographical Research</w:t>
      </w:r>
      <w:r w:rsidRPr="005D65EF">
        <w:rPr>
          <w:bCs/>
          <w:sz w:val="22"/>
          <w:szCs w:val="22"/>
        </w:rPr>
        <w:t xml:space="preserve"> 52(4) </w:t>
      </w:r>
      <w:r w:rsidRPr="00E17044">
        <w:rPr>
          <w:bCs/>
          <w:sz w:val="22"/>
          <w:szCs w:val="22"/>
        </w:rPr>
        <w:t>(2014)</w:t>
      </w:r>
      <w:r>
        <w:rPr>
          <w:bCs/>
          <w:sz w:val="22"/>
          <w:szCs w:val="22"/>
        </w:rPr>
        <w:t>:</w:t>
      </w:r>
      <w:r w:rsidRPr="00E17044">
        <w:rPr>
          <w:bCs/>
          <w:sz w:val="22"/>
          <w:szCs w:val="22"/>
        </w:rPr>
        <w:t xml:space="preserve"> </w:t>
      </w:r>
      <w:r w:rsidRPr="005D65EF">
        <w:rPr>
          <w:bCs/>
          <w:sz w:val="22"/>
          <w:szCs w:val="22"/>
        </w:rPr>
        <w:t>355-364.</w:t>
      </w:r>
    </w:p>
    <w:p w:rsidR="00785035" w:rsidRPr="005D65EF" w:rsidRDefault="00785035" w:rsidP="00785035">
      <w:pPr>
        <w:spacing w:line="480" w:lineRule="auto"/>
        <w:rPr>
          <w:sz w:val="22"/>
          <w:szCs w:val="22"/>
        </w:rPr>
      </w:pPr>
      <w:r w:rsidRPr="005E345D">
        <w:rPr>
          <w:bCs/>
          <w:sz w:val="22"/>
          <w:szCs w:val="22"/>
        </w:rPr>
        <w:t xml:space="preserve">International Federation on Aging, </w:t>
      </w:r>
      <w:r w:rsidRPr="005E345D">
        <w:rPr>
          <w:bCs/>
          <w:i/>
          <w:sz w:val="22"/>
          <w:szCs w:val="22"/>
        </w:rPr>
        <w:t>Measuring the Benefits: Companion Animals and the Health of Older Persons</w:t>
      </w:r>
      <w:r w:rsidRPr="005E345D">
        <w:rPr>
          <w:bCs/>
          <w:sz w:val="22"/>
          <w:szCs w:val="22"/>
        </w:rPr>
        <w:t xml:space="preserve"> 2014.</w:t>
      </w:r>
      <w:r>
        <w:rPr>
          <w:bCs/>
          <w:sz w:val="22"/>
          <w:szCs w:val="22"/>
        </w:rPr>
        <w:t xml:space="preserve"> </w:t>
      </w:r>
      <w:r w:rsidRPr="005E345D">
        <w:rPr>
          <w:bCs/>
          <w:sz w:val="22"/>
          <w:szCs w:val="22"/>
        </w:rPr>
        <w:t>https://www.ifa-fiv.org/wp-content/uploads/2014/09/Companion-Animals-and-Older-Persons-Full-Report-Online.pdf</w:t>
      </w:r>
    </w:p>
    <w:p w:rsidR="00785035" w:rsidRDefault="00785035" w:rsidP="00785035">
      <w:pPr>
        <w:spacing w:line="480" w:lineRule="auto"/>
        <w:rPr>
          <w:bCs/>
          <w:sz w:val="22"/>
          <w:szCs w:val="22"/>
        </w:rPr>
      </w:pPr>
      <w:r w:rsidRPr="005D65EF">
        <w:rPr>
          <w:sz w:val="22"/>
          <w:szCs w:val="22"/>
        </w:rPr>
        <w:t>Jackson, Emily</w:t>
      </w:r>
      <w:r>
        <w:rPr>
          <w:sz w:val="22"/>
          <w:szCs w:val="22"/>
        </w:rPr>
        <w:t xml:space="preserve"> “</w:t>
      </w:r>
      <w:r w:rsidRPr="005D65EF">
        <w:rPr>
          <w:sz w:val="22"/>
          <w:szCs w:val="22"/>
        </w:rPr>
        <w:t>From ‘doctor knows best’ to dignity: placing adults who lack capacity at the centre of decisions about their medical treatment</w:t>
      </w:r>
      <w:r>
        <w:rPr>
          <w:sz w:val="22"/>
          <w:szCs w:val="22"/>
        </w:rPr>
        <w:t>”</w:t>
      </w:r>
      <w:r w:rsidRPr="005D65EF">
        <w:rPr>
          <w:sz w:val="22"/>
          <w:szCs w:val="22"/>
        </w:rPr>
        <w:t xml:space="preserve"> </w:t>
      </w:r>
      <w:r w:rsidRPr="005D65EF">
        <w:rPr>
          <w:i/>
          <w:sz w:val="22"/>
          <w:szCs w:val="22"/>
        </w:rPr>
        <w:t>Modern Law Review</w:t>
      </w:r>
      <w:r w:rsidRPr="005D65EF">
        <w:rPr>
          <w:bCs/>
          <w:sz w:val="22"/>
          <w:szCs w:val="22"/>
        </w:rPr>
        <w:t xml:space="preserve"> 81(2)</w:t>
      </w:r>
      <w:r>
        <w:rPr>
          <w:bCs/>
          <w:sz w:val="22"/>
          <w:szCs w:val="22"/>
        </w:rPr>
        <w:t xml:space="preserve"> (2018)</w:t>
      </w:r>
      <w:r w:rsidRPr="005D65EF">
        <w:rPr>
          <w:bCs/>
          <w:sz w:val="22"/>
          <w:szCs w:val="22"/>
        </w:rPr>
        <w:t>:  247–281.</w:t>
      </w:r>
    </w:p>
    <w:p w:rsidR="00785035" w:rsidRPr="00D241E6" w:rsidRDefault="00785035" w:rsidP="00785035">
      <w:pPr>
        <w:spacing w:line="480" w:lineRule="auto"/>
        <w:rPr>
          <w:bCs/>
          <w:sz w:val="22"/>
          <w:szCs w:val="22"/>
        </w:rPr>
      </w:pPr>
      <w:r w:rsidRPr="00D241E6">
        <w:rPr>
          <w:bCs/>
          <w:sz w:val="22"/>
          <w:szCs w:val="22"/>
        </w:rPr>
        <w:t>Jacobs,</w:t>
      </w:r>
      <w:r>
        <w:rPr>
          <w:bCs/>
          <w:sz w:val="22"/>
          <w:szCs w:val="22"/>
        </w:rPr>
        <w:t xml:space="preserve"> Francis, </w:t>
      </w:r>
      <w:r w:rsidRPr="00D241E6">
        <w:rPr>
          <w:bCs/>
          <w:sz w:val="22"/>
          <w:szCs w:val="22"/>
        </w:rPr>
        <w:t>White</w:t>
      </w:r>
      <w:r>
        <w:rPr>
          <w:bCs/>
          <w:sz w:val="22"/>
          <w:szCs w:val="22"/>
        </w:rPr>
        <w:t>, Robin</w:t>
      </w:r>
      <w:r w:rsidRPr="00D241E6">
        <w:rPr>
          <w:bCs/>
          <w:sz w:val="22"/>
          <w:szCs w:val="22"/>
        </w:rPr>
        <w:t xml:space="preserve"> and Ovey,</w:t>
      </w:r>
      <w:r>
        <w:rPr>
          <w:bCs/>
          <w:sz w:val="22"/>
          <w:szCs w:val="22"/>
        </w:rPr>
        <w:t xml:space="preserve"> Clare.</w:t>
      </w:r>
      <w:r w:rsidRPr="00D241E6">
        <w:rPr>
          <w:bCs/>
          <w:sz w:val="22"/>
          <w:szCs w:val="22"/>
        </w:rPr>
        <w:t> </w:t>
      </w:r>
      <w:r w:rsidRPr="00D241E6">
        <w:rPr>
          <w:bCs/>
          <w:i/>
          <w:iCs/>
          <w:sz w:val="22"/>
          <w:szCs w:val="22"/>
        </w:rPr>
        <w:t>The European Convention on Human Rights</w:t>
      </w:r>
      <w:r w:rsidRPr="00D241E6">
        <w:rPr>
          <w:bCs/>
          <w:sz w:val="22"/>
          <w:szCs w:val="22"/>
        </w:rPr>
        <w:t> (6</w:t>
      </w:r>
      <w:r w:rsidRPr="00D241E6">
        <w:rPr>
          <w:bCs/>
          <w:sz w:val="22"/>
          <w:szCs w:val="22"/>
          <w:vertAlign w:val="superscript"/>
        </w:rPr>
        <w:t>th</w:t>
      </w:r>
      <w:r w:rsidRPr="00D241E6">
        <w:rPr>
          <w:bCs/>
          <w:sz w:val="22"/>
          <w:szCs w:val="22"/>
        </w:rPr>
        <w:t> ed. Oxford: OUP 2014) 82.</w:t>
      </w:r>
    </w:p>
    <w:p w:rsidR="00785035" w:rsidRPr="005D65EF" w:rsidRDefault="00785035" w:rsidP="00785035">
      <w:pPr>
        <w:spacing w:line="480" w:lineRule="auto"/>
        <w:rPr>
          <w:sz w:val="22"/>
          <w:szCs w:val="22"/>
        </w:rPr>
      </w:pPr>
      <w:bookmarkStart w:id="0" w:name="_Hlk521350351"/>
      <w:r w:rsidRPr="005D65EF">
        <w:rPr>
          <w:sz w:val="22"/>
          <w:szCs w:val="22"/>
        </w:rPr>
        <w:t xml:space="preserve">Kittay, Eva. </w:t>
      </w:r>
      <w:r>
        <w:rPr>
          <w:sz w:val="22"/>
          <w:szCs w:val="22"/>
        </w:rPr>
        <w:t>“</w:t>
      </w:r>
      <w:r w:rsidRPr="005D65EF">
        <w:rPr>
          <w:sz w:val="22"/>
          <w:szCs w:val="22"/>
        </w:rPr>
        <w:t>The Ethics of Care, Dependence, and Disability,</w:t>
      </w:r>
      <w:r>
        <w:rPr>
          <w:sz w:val="22"/>
          <w:szCs w:val="22"/>
        </w:rPr>
        <w:t>”</w:t>
      </w:r>
      <w:r w:rsidRPr="005D65EF">
        <w:rPr>
          <w:sz w:val="22"/>
          <w:szCs w:val="22"/>
        </w:rPr>
        <w:t xml:space="preserve"> </w:t>
      </w:r>
      <w:r w:rsidRPr="005D65EF">
        <w:rPr>
          <w:i/>
          <w:sz w:val="22"/>
          <w:szCs w:val="22"/>
        </w:rPr>
        <w:t xml:space="preserve">Ratio Juris </w:t>
      </w:r>
      <w:r w:rsidRPr="005D65EF">
        <w:rPr>
          <w:sz w:val="22"/>
          <w:szCs w:val="22"/>
        </w:rPr>
        <w:t>24(1)</w:t>
      </w:r>
      <w:r>
        <w:rPr>
          <w:sz w:val="22"/>
          <w:szCs w:val="22"/>
        </w:rPr>
        <w:t xml:space="preserve"> (2011)</w:t>
      </w:r>
      <w:r w:rsidRPr="005D65EF">
        <w:rPr>
          <w:sz w:val="22"/>
          <w:szCs w:val="22"/>
        </w:rPr>
        <w:t>: 249-59.</w:t>
      </w:r>
    </w:p>
    <w:p w:rsidR="00785035" w:rsidRDefault="00785035" w:rsidP="00785035">
      <w:pPr>
        <w:spacing w:line="480" w:lineRule="auto"/>
        <w:rPr>
          <w:sz w:val="22"/>
          <w:szCs w:val="22"/>
          <w:lang w:val="en-US"/>
        </w:rPr>
      </w:pPr>
      <w:r w:rsidRPr="005D65EF">
        <w:rPr>
          <w:sz w:val="22"/>
          <w:szCs w:val="22"/>
          <w:lang w:val="en-US"/>
        </w:rPr>
        <w:t xml:space="preserve">Knight, Sarah and Edwards, Victoria. </w:t>
      </w:r>
      <w:r>
        <w:rPr>
          <w:sz w:val="22"/>
          <w:szCs w:val="22"/>
          <w:lang w:val="en-US"/>
        </w:rPr>
        <w:t>“</w:t>
      </w:r>
      <w:r w:rsidRPr="005D65EF">
        <w:rPr>
          <w:sz w:val="22"/>
          <w:szCs w:val="22"/>
          <w:lang w:val="en-US"/>
        </w:rPr>
        <w:t>In the Company of Wolves: The Physical, Social, and Psychological Benefits of Dog Ownership</w:t>
      </w:r>
      <w:r>
        <w:rPr>
          <w:sz w:val="22"/>
          <w:szCs w:val="22"/>
          <w:lang w:val="en-US"/>
        </w:rPr>
        <w:t>”</w:t>
      </w:r>
      <w:r w:rsidRPr="005D65EF">
        <w:rPr>
          <w:sz w:val="22"/>
          <w:szCs w:val="22"/>
          <w:lang w:val="en-US"/>
        </w:rPr>
        <w:t xml:space="preserve"> </w:t>
      </w:r>
      <w:r w:rsidRPr="005D65EF">
        <w:rPr>
          <w:i/>
          <w:sz w:val="22"/>
          <w:szCs w:val="22"/>
          <w:lang w:val="en-US"/>
        </w:rPr>
        <w:t>J Aging Health</w:t>
      </w:r>
      <w:r w:rsidRPr="005D65EF">
        <w:rPr>
          <w:sz w:val="22"/>
          <w:szCs w:val="22"/>
          <w:lang w:val="en-US"/>
        </w:rPr>
        <w:t xml:space="preserve"> 20</w:t>
      </w:r>
      <w:r>
        <w:rPr>
          <w:sz w:val="22"/>
          <w:szCs w:val="22"/>
          <w:lang w:val="en-US"/>
        </w:rPr>
        <w:t xml:space="preserve"> (2008):</w:t>
      </w:r>
      <w:r w:rsidRPr="005D65EF">
        <w:rPr>
          <w:sz w:val="22"/>
          <w:szCs w:val="22"/>
          <w:lang w:val="en-US"/>
        </w:rPr>
        <w:t xml:space="preserve"> 437-455.</w:t>
      </w:r>
    </w:p>
    <w:p w:rsidR="00785035" w:rsidRPr="00E70A63" w:rsidRDefault="00785035" w:rsidP="00785035">
      <w:pPr>
        <w:spacing w:line="480" w:lineRule="auto"/>
        <w:rPr>
          <w:sz w:val="22"/>
          <w:szCs w:val="22"/>
        </w:rPr>
      </w:pPr>
      <w:r w:rsidRPr="00E70A63">
        <w:rPr>
          <w:sz w:val="22"/>
          <w:szCs w:val="22"/>
        </w:rPr>
        <w:t>Latimer</w:t>
      </w:r>
      <w:r>
        <w:rPr>
          <w:sz w:val="22"/>
          <w:szCs w:val="22"/>
        </w:rPr>
        <w:t>, Joanna</w:t>
      </w:r>
      <w:r w:rsidRPr="00E70A63">
        <w:rPr>
          <w:sz w:val="22"/>
          <w:szCs w:val="22"/>
        </w:rPr>
        <w:t xml:space="preserve"> and Lopez Gomez,</w:t>
      </w:r>
      <w:r>
        <w:rPr>
          <w:sz w:val="22"/>
          <w:szCs w:val="22"/>
        </w:rPr>
        <w:t xml:space="preserve"> Daniel</w:t>
      </w:r>
      <w:r w:rsidRPr="00E70A63">
        <w:rPr>
          <w:sz w:val="22"/>
          <w:szCs w:val="22"/>
        </w:rPr>
        <w:t xml:space="preserve"> “</w:t>
      </w:r>
      <w:r w:rsidRPr="00E70A63">
        <w:rPr>
          <w:i/>
          <w:sz w:val="22"/>
          <w:szCs w:val="22"/>
        </w:rPr>
        <w:t>Intimate Entanglements</w:t>
      </w:r>
      <w:r w:rsidRPr="00E70A63">
        <w:rPr>
          <w:sz w:val="22"/>
          <w:szCs w:val="22"/>
        </w:rPr>
        <w:t xml:space="preserve">: Affects, more-than-human intimacies and the politics of relations in science and technology” </w:t>
      </w:r>
      <w:r w:rsidRPr="00E70A63">
        <w:rPr>
          <w:i/>
          <w:sz w:val="22"/>
          <w:szCs w:val="22"/>
        </w:rPr>
        <w:t>The Sociological Review Monographs</w:t>
      </w:r>
      <w:r w:rsidRPr="00E70A63">
        <w:rPr>
          <w:sz w:val="22"/>
          <w:szCs w:val="22"/>
        </w:rPr>
        <w:t xml:space="preserve"> 67(2) (2019) 246-63.</w:t>
      </w:r>
    </w:p>
    <w:p w:rsidR="00785035" w:rsidRPr="005D65EF" w:rsidRDefault="00785035" w:rsidP="00785035">
      <w:pPr>
        <w:spacing w:line="480" w:lineRule="auto"/>
        <w:rPr>
          <w:sz w:val="22"/>
          <w:szCs w:val="22"/>
          <w:lang w:val="en-US"/>
        </w:rPr>
      </w:pPr>
      <w:r w:rsidRPr="00AD0DB5">
        <w:rPr>
          <w:sz w:val="22"/>
          <w:szCs w:val="22"/>
        </w:rPr>
        <w:t xml:space="preserve">Law Commission of Canada </w:t>
      </w:r>
      <w:r w:rsidRPr="00AD0DB5">
        <w:rPr>
          <w:i/>
          <w:iCs/>
          <w:sz w:val="22"/>
          <w:szCs w:val="22"/>
        </w:rPr>
        <w:t xml:space="preserve">Beyond Conjugality: Recognizing and Supporting Close Personal Adult Relationships </w:t>
      </w:r>
      <w:r w:rsidRPr="00AD0DB5">
        <w:rPr>
          <w:sz w:val="22"/>
          <w:szCs w:val="22"/>
        </w:rPr>
        <w:t>(2001)</w:t>
      </w:r>
      <w:r>
        <w:rPr>
          <w:sz w:val="22"/>
          <w:szCs w:val="22"/>
        </w:rPr>
        <w:t>.</w:t>
      </w:r>
    </w:p>
    <w:bookmarkEnd w:id="0"/>
    <w:p w:rsidR="00785035" w:rsidRPr="005D65EF" w:rsidRDefault="00785035" w:rsidP="00785035">
      <w:pPr>
        <w:spacing w:line="480" w:lineRule="auto"/>
        <w:rPr>
          <w:sz w:val="22"/>
          <w:szCs w:val="22"/>
        </w:rPr>
      </w:pPr>
      <w:r w:rsidRPr="005D65EF">
        <w:rPr>
          <w:sz w:val="22"/>
          <w:szCs w:val="22"/>
        </w:rPr>
        <w:t>Laurie, Graeme</w:t>
      </w:r>
      <w:r>
        <w:rPr>
          <w:sz w:val="22"/>
          <w:szCs w:val="22"/>
        </w:rPr>
        <w:t xml:space="preserve"> “</w:t>
      </w:r>
      <w:r w:rsidRPr="005D65EF">
        <w:rPr>
          <w:sz w:val="22"/>
          <w:szCs w:val="22"/>
        </w:rPr>
        <w:t>Liminality and the Limits of Law in Health Research Regulation</w:t>
      </w:r>
      <w:r>
        <w:rPr>
          <w:sz w:val="22"/>
          <w:szCs w:val="22"/>
        </w:rPr>
        <w:t>”</w:t>
      </w:r>
      <w:r w:rsidRPr="005D65EF">
        <w:rPr>
          <w:sz w:val="22"/>
          <w:szCs w:val="22"/>
        </w:rPr>
        <w:t xml:space="preserve"> </w:t>
      </w:r>
      <w:r w:rsidRPr="005D65EF">
        <w:rPr>
          <w:i/>
          <w:sz w:val="22"/>
          <w:szCs w:val="22"/>
        </w:rPr>
        <w:t>Medical Law Review</w:t>
      </w:r>
      <w:r w:rsidRPr="005D65EF">
        <w:rPr>
          <w:sz w:val="22"/>
          <w:szCs w:val="22"/>
        </w:rPr>
        <w:t xml:space="preserve"> 25(1)</w:t>
      </w:r>
      <w:r>
        <w:rPr>
          <w:sz w:val="22"/>
          <w:szCs w:val="22"/>
        </w:rPr>
        <w:t xml:space="preserve"> (2016)</w:t>
      </w:r>
      <w:r w:rsidRPr="005D65EF">
        <w:rPr>
          <w:sz w:val="22"/>
          <w:szCs w:val="22"/>
        </w:rPr>
        <w:t>: 47-72.</w:t>
      </w:r>
    </w:p>
    <w:p w:rsidR="00785035" w:rsidRPr="00B4070A" w:rsidRDefault="00785035" w:rsidP="00785035">
      <w:pPr>
        <w:spacing w:line="480" w:lineRule="auto"/>
        <w:rPr>
          <w:sz w:val="22"/>
          <w:szCs w:val="22"/>
        </w:rPr>
      </w:pPr>
      <w:r w:rsidRPr="00B4070A">
        <w:rPr>
          <w:sz w:val="22"/>
          <w:szCs w:val="22"/>
        </w:rPr>
        <w:t>Lee, Robert and Petts Judith 2013. “Adaptive Governance for Responsible Innovation” in Owen R, et al, </w:t>
      </w:r>
      <w:r w:rsidRPr="00B4070A">
        <w:rPr>
          <w:i/>
          <w:iCs/>
          <w:sz w:val="22"/>
          <w:szCs w:val="22"/>
        </w:rPr>
        <w:t>Responsible Innovation: Managing the Responsible Emergence of Science and Innovation in Society </w:t>
      </w:r>
      <w:r w:rsidRPr="00B4070A">
        <w:rPr>
          <w:iCs/>
          <w:sz w:val="22"/>
          <w:szCs w:val="22"/>
        </w:rPr>
        <w:t xml:space="preserve">(London: </w:t>
      </w:r>
      <w:r w:rsidRPr="00B4070A">
        <w:rPr>
          <w:sz w:val="22"/>
          <w:szCs w:val="22"/>
        </w:rPr>
        <w:t>Wiley, 2013)143-64.</w:t>
      </w:r>
    </w:p>
    <w:p w:rsidR="00785035" w:rsidRDefault="00785035" w:rsidP="00785035">
      <w:pPr>
        <w:spacing w:line="480" w:lineRule="auto"/>
        <w:rPr>
          <w:sz w:val="22"/>
          <w:szCs w:val="22"/>
        </w:rPr>
      </w:pPr>
      <w:r w:rsidRPr="00B4070A">
        <w:rPr>
          <w:sz w:val="22"/>
          <w:szCs w:val="22"/>
        </w:rPr>
        <w:t>Lee, V</w:t>
      </w:r>
      <w:r>
        <w:rPr>
          <w:sz w:val="22"/>
          <w:szCs w:val="22"/>
        </w:rPr>
        <w:t>irginia, et al</w:t>
      </w:r>
      <w:r w:rsidRPr="00B4070A">
        <w:rPr>
          <w:sz w:val="22"/>
          <w:szCs w:val="22"/>
        </w:rPr>
        <w:t xml:space="preserve">. “A narrative exploration of older people's transitions into residential care” </w:t>
      </w:r>
      <w:r w:rsidRPr="00B4070A">
        <w:rPr>
          <w:i/>
          <w:sz w:val="22"/>
          <w:szCs w:val="22"/>
        </w:rPr>
        <w:t>Aging &amp; mental health</w:t>
      </w:r>
      <w:r w:rsidRPr="00B4070A">
        <w:rPr>
          <w:sz w:val="22"/>
          <w:szCs w:val="22"/>
        </w:rPr>
        <w:t>, 17(1): (2013) 48-56.</w:t>
      </w:r>
    </w:p>
    <w:p w:rsidR="00785035" w:rsidRDefault="00785035" w:rsidP="00785035">
      <w:pPr>
        <w:spacing w:line="480" w:lineRule="auto"/>
        <w:rPr>
          <w:sz w:val="22"/>
          <w:szCs w:val="22"/>
        </w:rPr>
      </w:pPr>
      <w:r w:rsidRPr="00D241E6">
        <w:rPr>
          <w:sz w:val="22"/>
          <w:szCs w:val="22"/>
          <w:lang w:val="en-US"/>
        </w:rPr>
        <w:t>Letsas,</w:t>
      </w:r>
      <w:r>
        <w:rPr>
          <w:sz w:val="22"/>
          <w:szCs w:val="22"/>
          <w:lang w:val="en-US"/>
        </w:rPr>
        <w:t xml:space="preserve"> George,</w:t>
      </w:r>
      <w:r w:rsidRPr="00D241E6">
        <w:rPr>
          <w:sz w:val="22"/>
          <w:szCs w:val="22"/>
          <w:lang w:val="en-US"/>
        </w:rPr>
        <w:t xml:space="preserve"> “Strasbourg’s Interpretive Ethic: Lessons for the International Lawyer” </w:t>
      </w:r>
      <w:r w:rsidRPr="00D241E6">
        <w:rPr>
          <w:i/>
          <w:sz w:val="22"/>
          <w:szCs w:val="22"/>
          <w:lang w:val="en-US"/>
        </w:rPr>
        <w:t>European Journal of International Law</w:t>
      </w:r>
      <w:r w:rsidRPr="00D241E6">
        <w:rPr>
          <w:sz w:val="22"/>
          <w:szCs w:val="22"/>
          <w:lang w:val="en-US"/>
        </w:rPr>
        <w:t xml:space="preserve"> 21(3) (2010): 509-41.</w:t>
      </w:r>
    </w:p>
    <w:p w:rsidR="00785035" w:rsidRPr="00B4070A" w:rsidRDefault="00785035" w:rsidP="00785035">
      <w:pPr>
        <w:spacing w:line="480" w:lineRule="auto"/>
        <w:rPr>
          <w:sz w:val="22"/>
          <w:szCs w:val="22"/>
        </w:rPr>
      </w:pPr>
      <w:r w:rsidRPr="00CF79DB">
        <w:rPr>
          <w:sz w:val="22"/>
          <w:szCs w:val="22"/>
        </w:rPr>
        <w:t>Letsas,</w:t>
      </w:r>
      <w:r>
        <w:rPr>
          <w:sz w:val="22"/>
          <w:szCs w:val="22"/>
        </w:rPr>
        <w:t xml:space="preserve"> George</w:t>
      </w:r>
      <w:r w:rsidRPr="00CF79DB">
        <w:rPr>
          <w:sz w:val="22"/>
          <w:szCs w:val="22"/>
        </w:rPr>
        <w:t xml:space="preserve"> “The ECHR as a living instrument: Its meaning and legitimacy” In A. Føllesdal, B. Peters, &amp; G. Ulfstein (Eds.), </w:t>
      </w:r>
      <w:r w:rsidRPr="00CF79DB">
        <w:rPr>
          <w:i/>
          <w:iCs/>
          <w:sz w:val="22"/>
          <w:szCs w:val="22"/>
        </w:rPr>
        <w:t>Constituting Europe: The European Court of Human Rights in a National, European and Global Context</w:t>
      </w:r>
      <w:r w:rsidRPr="00CF79DB">
        <w:rPr>
          <w:sz w:val="22"/>
          <w:szCs w:val="22"/>
        </w:rPr>
        <w:t>  (Cambridge: CUP, 2013) 106-141.</w:t>
      </w:r>
    </w:p>
    <w:p w:rsidR="00785035" w:rsidRPr="005D65EF" w:rsidRDefault="00785035" w:rsidP="00785035">
      <w:pPr>
        <w:spacing w:line="480" w:lineRule="auto"/>
        <w:rPr>
          <w:sz w:val="22"/>
          <w:szCs w:val="22"/>
        </w:rPr>
      </w:pPr>
      <w:r w:rsidRPr="005D65EF">
        <w:rPr>
          <w:sz w:val="22"/>
          <w:szCs w:val="22"/>
        </w:rPr>
        <w:t xml:space="preserve">Linzey, Andrew and Cohn, Priscilla </w:t>
      </w:r>
      <w:r>
        <w:rPr>
          <w:sz w:val="22"/>
          <w:szCs w:val="22"/>
        </w:rPr>
        <w:t>“</w:t>
      </w:r>
      <w:r w:rsidRPr="005D65EF">
        <w:rPr>
          <w:sz w:val="22"/>
          <w:szCs w:val="22"/>
        </w:rPr>
        <w:t>Terms of Discourse</w:t>
      </w:r>
      <w:r>
        <w:rPr>
          <w:sz w:val="22"/>
          <w:szCs w:val="22"/>
        </w:rPr>
        <w:t>,”</w:t>
      </w:r>
      <w:r w:rsidRPr="005D65EF">
        <w:rPr>
          <w:sz w:val="22"/>
          <w:szCs w:val="22"/>
        </w:rPr>
        <w:t xml:space="preserve"> </w:t>
      </w:r>
      <w:r w:rsidRPr="005D65EF">
        <w:rPr>
          <w:i/>
          <w:sz w:val="22"/>
          <w:szCs w:val="22"/>
        </w:rPr>
        <w:t>Journal of Animal Ethics</w:t>
      </w:r>
      <w:r w:rsidRPr="006E033F">
        <w:rPr>
          <w:sz w:val="22"/>
          <w:szCs w:val="22"/>
        </w:rPr>
        <w:t xml:space="preserve"> 1(1)</w:t>
      </w:r>
      <w:r>
        <w:rPr>
          <w:sz w:val="22"/>
          <w:szCs w:val="22"/>
        </w:rPr>
        <w:t xml:space="preserve"> (2011):</w:t>
      </w:r>
      <w:r w:rsidRPr="006E033F">
        <w:rPr>
          <w:sz w:val="22"/>
          <w:szCs w:val="22"/>
        </w:rPr>
        <w:t xml:space="preserve"> </w:t>
      </w:r>
      <w:r w:rsidRPr="005D65EF">
        <w:rPr>
          <w:sz w:val="22"/>
          <w:szCs w:val="22"/>
        </w:rPr>
        <w:t>vii-ix.</w:t>
      </w:r>
    </w:p>
    <w:p w:rsidR="00785035" w:rsidRDefault="00785035" w:rsidP="00785035">
      <w:pPr>
        <w:spacing w:line="480" w:lineRule="auto"/>
        <w:rPr>
          <w:sz w:val="22"/>
          <w:szCs w:val="22"/>
        </w:rPr>
      </w:pPr>
      <w:r w:rsidRPr="005D65EF">
        <w:rPr>
          <w:sz w:val="22"/>
          <w:szCs w:val="22"/>
        </w:rPr>
        <w:t>Lloyd, L</w:t>
      </w:r>
      <w:r>
        <w:rPr>
          <w:sz w:val="22"/>
          <w:szCs w:val="22"/>
        </w:rPr>
        <w:t>iz,</w:t>
      </w:r>
      <w:r w:rsidRPr="005D65EF">
        <w:rPr>
          <w:sz w:val="22"/>
          <w:szCs w:val="22"/>
        </w:rPr>
        <w:t xml:space="preserve"> </w:t>
      </w:r>
      <w:r>
        <w:rPr>
          <w:sz w:val="22"/>
          <w:szCs w:val="22"/>
        </w:rPr>
        <w:t>“</w:t>
      </w:r>
      <w:r w:rsidRPr="005D65EF">
        <w:rPr>
          <w:sz w:val="22"/>
          <w:szCs w:val="22"/>
        </w:rPr>
        <w:t xml:space="preserve">The </w:t>
      </w:r>
      <w:r>
        <w:rPr>
          <w:sz w:val="22"/>
          <w:szCs w:val="22"/>
        </w:rPr>
        <w:t>F</w:t>
      </w:r>
      <w:r w:rsidRPr="005D65EF">
        <w:rPr>
          <w:sz w:val="22"/>
          <w:szCs w:val="22"/>
        </w:rPr>
        <w:t>ourth Age</w:t>
      </w:r>
      <w:r>
        <w:rPr>
          <w:sz w:val="22"/>
          <w:szCs w:val="22"/>
        </w:rPr>
        <w:t>” in</w:t>
      </w:r>
      <w:r w:rsidRPr="005D65EF">
        <w:rPr>
          <w:sz w:val="22"/>
          <w:szCs w:val="22"/>
        </w:rPr>
        <w:t xml:space="preserve"> </w:t>
      </w:r>
      <w:r w:rsidRPr="00453B64">
        <w:rPr>
          <w:i/>
          <w:sz w:val="22"/>
          <w:szCs w:val="22"/>
        </w:rPr>
        <w:t>Routledge Handbook of Cultural Gerontology</w:t>
      </w:r>
      <w:r w:rsidRPr="005D65EF">
        <w:rPr>
          <w:sz w:val="22"/>
          <w:szCs w:val="22"/>
        </w:rPr>
        <w:t>,</w:t>
      </w:r>
      <w:r>
        <w:rPr>
          <w:sz w:val="22"/>
          <w:szCs w:val="22"/>
        </w:rPr>
        <w:t xml:space="preserve"> edited by </w:t>
      </w:r>
      <w:r w:rsidRPr="00453B64">
        <w:rPr>
          <w:sz w:val="22"/>
          <w:szCs w:val="22"/>
        </w:rPr>
        <w:t>J. Twigg and W. Martin</w:t>
      </w:r>
      <w:r w:rsidRPr="005D65EF">
        <w:rPr>
          <w:sz w:val="22"/>
          <w:szCs w:val="22"/>
        </w:rPr>
        <w:t xml:space="preserve"> </w:t>
      </w:r>
      <w:r>
        <w:rPr>
          <w:sz w:val="22"/>
          <w:szCs w:val="22"/>
        </w:rPr>
        <w:t>(</w:t>
      </w:r>
      <w:r w:rsidRPr="005D65EF">
        <w:rPr>
          <w:sz w:val="22"/>
          <w:szCs w:val="22"/>
        </w:rPr>
        <w:t>London</w:t>
      </w:r>
      <w:r>
        <w:rPr>
          <w:sz w:val="22"/>
          <w:szCs w:val="22"/>
        </w:rPr>
        <w:t>:</w:t>
      </w:r>
      <w:r w:rsidRPr="005D65EF">
        <w:rPr>
          <w:sz w:val="22"/>
          <w:szCs w:val="22"/>
        </w:rPr>
        <w:t xml:space="preserve"> Routledge</w:t>
      </w:r>
      <w:r>
        <w:rPr>
          <w:sz w:val="22"/>
          <w:szCs w:val="22"/>
        </w:rPr>
        <w:t>, 2015),</w:t>
      </w:r>
      <w:r w:rsidRPr="005D65EF">
        <w:rPr>
          <w:sz w:val="22"/>
          <w:szCs w:val="22"/>
        </w:rPr>
        <w:t xml:space="preserve"> 261-268</w:t>
      </w:r>
      <w:r>
        <w:rPr>
          <w:sz w:val="22"/>
          <w:szCs w:val="22"/>
        </w:rPr>
        <w:t>.</w:t>
      </w:r>
    </w:p>
    <w:p w:rsidR="00785035" w:rsidRPr="00AD0DB5" w:rsidRDefault="00785035" w:rsidP="00785035">
      <w:pPr>
        <w:spacing w:line="480" w:lineRule="auto"/>
        <w:rPr>
          <w:sz w:val="22"/>
          <w:szCs w:val="22"/>
          <w:lang w:val="en-US"/>
        </w:rPr>
      </w:pPr>
      <w:r w:rsidRPr="00AD0DB5">
        <w:rPr>
          <w:sz w:val="22"/>
          <w:szCs w:val="22"/>
          <w:lang w:val="en-US"/>
        </w:rPr>
        <w:t>McCandless,</w:t>
      </w:r>
      <w:r>
        <w:rPr>
          <w:sz w:val="22"/>
          <w:szCs w:val="22"/>
          <w:lang w:val="en-US"/>
        </w:rPr>
        <w:t xml:space="preserve"> Julie</w:t>
      </w:r>
      <w:r w:rsidRPr="00AD0DB5">
        <w:rPr>
          <w:sz w:val="22"/>
          <w:szCs w:val="22"/>
          <w:lang w:val="en-US"/>
        </w:rPr>
        <w:t xml:space="preserve"> and Sheldon</w:t>
      </w:r>
      <w:r>
        <w:rPr>
          <w:sz w:val="22"/>
          <w:szCs w:val="22"/>
          <w:lang w:val="en-US"/>
        </w:rPr>
        <w:t>, Sally,</w:t>
      </w:r>
      <w:r w:rsidRPr="00AD0DB5">
        <w:rPr>
          <w:sz w:val="22"/>
          <w:szCs w:val="22"/>
          <w:lang w:val="en-US"/>
        </w:rPr>
        <w:t xml:space="preserve"> “The HFEA (2008) and the Tenacity of the Sexual Family” </w:t>
      </w:r>
      <w:r>
        <w:rPr>
          <w:sz w:val="22"/>
          <w:szCs w:val="22"/>
          <w:lang w:val="en-US"/>
        </w:rPr>
        <w:t xml:space="preserve">73 </w:t>
      </w:r>
      <w:r w:rsidRPr="00AD0DB5">
        <w:rPr>
          <w:sz w:val="22"/>
          <w:szCs w:val="22"/>
          <w:lang w:val="en-US"/>
        </w:rPr>
        <w:t>(2010)</w:t>
      </w:r>
      <w:r>
        <w:rPr>
          <w:sz w:val="22"/>
          <w:szCs w:val="22"/>
          <w:lang w:val="en-US"/>
        </w:rPr>
        <w:t>:</w:t>
      </w:r>
      <w:r w:rsidRPr="00AD0DB5">
        <w:rPr>
          <w:sz w:val="22"/>
          <w:szCs w:val="22"/>
          <w:lang w:val="en-US"/>
        </w:rPr>
        <w:t xml:space="preserve"> </w:t>
      </w:r>
      <w:r w:rsidRPr="00AD0DB5">
        <w:rPr>
          <w:i/>
          <w:sz w:val="22"/>
          <w:szCs w:val="22"/>
          <w:lang w:val="en-US"/>
        </w:rPr>
        <w:t>Modern Law Review</w:t>
      </w:r>
      <w:r w:rsidRPr="00AD0DB5">
        <w:rPr>
          <w:sz w:val="22"/>
          <w:szCs w:val="22"/>
          <w:lang w:val="en-US"/>
        </w:rPr>
        <w:t xml:space="preserve"> 175-207.</w:t>
      </w:r>
    </w:p>
    <w:p w:rsidR="00785035" w:rsidRPr="005D65EF" w:rsidRDefault="00785035" w:rsidP="00785035">
      <w:pPr>
        <w:spacing w:line="480" w:lineRule="auto"/>
        <w:rPr>
          <w:sz w:val="22"/>
          <w:szCs w:val="22"/>
        </w:rPr>
      </w:pPr>
      <w:r w:rsidRPr="005D65EF">
        <w:rPr>
          <w:sz w:val="22"/>
          <w:szCs w:val="22"/>
        </w:rPr>
        <w:t>McMillan, Katy and Sethi, Nayha. 2016. “Recent Reports Highlight Key Issues in Regulating Elderly Care” http://masoninstitute.blogspot.com/2016/12/recent-reports-highlight-key-issues-in_1.html</w:t>
      </w:r>
    </w:p>
    <w:p w:rsidR="00785035" w:rsidRDefault="00785035" w:rsidP="00785035">
      <w:pPr>
        <w:spacing w:after="160" w:line="480" w:lineRule="auto"/>
        <w:rPr>
          <w:sz w:val="22"/>
          <w:szCs w:val="22"/>
        </w:rPr>
      </w:pPr>
      <w:r w:rsidRPr="005D65EF">
        <w:rPr>
          <w:sz w:val="22"/>
          <w:szCs w:val="22"/>
        </w:rPr>
        <w:t>McNicholas, J</w:t>
      </w:r>
      <w:r>
        <w:rPr>
          <w:sz w:val="22"/>
          <w:szCs w:val="22"/>
        </w:rPr>
        <w:t>une et al,</w:t>
      </w:r>
      <w:r w:rsidRPr="005D65EF">
        <w:rPr>
          <w:sz w:val="22"/>
          <w:szCs w:val="22"/>
        </w:rPr>
        <w:t xml:space="preserve"> ‘Pet ownership and human health: a brief review of evidence and issues’ (2005) </w:t>
      </w:r>
      <w:r w:rsidRPr="005D65EF">
        <w:rPr>
          <w:i/>
          <w:sz w:val="22"/>
          <w:szCs w:val="22"/>
        </w:rPr>
        <w:t>BMJ</w:t>
      </w:r>
      <w:r w:rsidRPr="005D65EF">
        <w:rPr>
          <w:sz w:val="22"/>
          <w:szCs w:val="22"/>
        </w:rPr>
        <w:t>, 331(7527), 1252-1254.</w:t>
      </w:r>
      <w:bookmarkStart w:id="1" w:name="_Hlk521349503"/>
      <w:bookmarkStart w:id="2" w:name="_Hlk521350609"/>
    </w:p>
    <w:p w:rsidR="00785035" w:rsidRPr="00505F7A" w:rsidRDefault="00785035" w:rsidP="00785035">
      <w:pPr>
        <w:spacing w:after="160" w:line="480" w:lineRule="auto"/>
        <w:rPr>
          <w:sz w:val="22"/>
          <w:szCs w:val="22"/>
        </w:rPr>
      </w:pPr>
      <w:r w:rsidRPr="00505F7A">
        <w:rPr>
          <w:sz w:val="22"/>
          <w:szCs w:val="22"/>
        </w:rPr>
        <w:t>McNicholas, June,  "The role of pets in the lives of older people: a review", </w:t>
      </w:r>
      <w:r w:rsidRPr="00505F7A">
        <w:rPr>
          <w:i/>
          <w:sz w:val="22"/>
          <w:szCs w:val="22"/>
        </w:rPr>
        <w:t>Working with Older People</w:t>
      </w:r>
      <w:r w:rsidRPr="00505F7A">
        <w:rPr>
          <w:sz w:val="22"/>
          <w:szCs w:val="22"/>
        </w:rPr>
        <w:t>, 18 (3) (2014):128-133.</w:t>
      </w:r>
    </w:p>
    <w:p w:rsidR="00785035" w:rsidRPr="005D65EF" w:rsidRDefault="00785035" w:rsidP="00785035">
      <w:pPr>
        <w:spacing w:line="480" w:lineRule="auto"/>
        <w:rPr>
          <w:sz w:val="22"/>
          <w:szCs w:val="22"/>
        </w:rPr>
      </w:pPr>
      <w:r w:rsidRPr="005D65EF">
        <w:rPr>
          <w:sz w:val="22"/>
          <w:szCs w:val="22"/>
        </w:rPr>
        <w:t xml:space="preserve">Millbank, Jenny, </w:t>
      </w:r>
      <w:r>
        <w:rPr>
          <w:sz w:val="22"/>
          <w:szCs w:val="22"/>
        </w:rPr>
        <w:t>“</w:t>
      </w:r>
      <w:r w:rsidRPr="005D65EF">
        <w:rPr>
          <w:sz w:val="22"/>
          <w:szCs w:val="22"/>
        </w:rPr>
        <w:t>The role of ‘functional’ family in same-sex family recognition trends</w:t>
      </w:r>
      <w:r>
        <w:rPr>
          <w:sz w:val="22"/>
          <w:szCs w:val="22"/>
        </w:rPr>
        <w:t>”</w:t>
      </w:r>
      <w:r w:rsidRPr="005D65EF">
        <w:rPr>
          <w:sz w:val="22"/>
          <w:szCs w:val="22"/>
        </w:rPr>
        <w:t xml:space="preserve">  20 </w:t>
      </w:r>
      <w:r w:rsidRPr="005D65EF">
        <w:rPr>
          <w:i/>
          <w:sz w:val="22"/>
          <w:szCs w:val="22"/>
        </w:rPr>
        <w:t>Child and Family Law Quarterly</w:t>
      </w:r>
      <w:r w:rsidRPr="005D65EF">
        <w:rPr>
          <w:sz w:val="22"/>
          <w:szCs w:val="22"/>
        </w:rPr>
        <w:t xml:space="preserve"> </w:t>
      </w:r>
      <w:r>
        <w:rPr>
          <w:sz w:val="22"/>
          <w:szCs w:val="22"/>
        </w:rPr>
        <w:t xml:space="preserve">20 (2008): </w:t>
      </w:r>
      <w:r w:rsidRPr="005D65EF">
        <w:rPr>
          <w:sz w:val="22"/>
          <w:szCs w:val="22"/>
        </w:rPr>
        <w:t>155-182.</w:t>
      </w:r>
    </w:p>
    <w:p w:rsidR="00785035" w:rsidRPr="005D65EF" w:rsidRDefault="00785035" w:rsidP="00785035">
      <w:pPr>
        <w:spacing w:line="480" w:lineRule="auto"/>
        <w:rPr>
          <w:sz w:val="22"/>
          <w:szCs w:val="22"/>
        </w:rPr>
      </w:pPr>
      <w:r w:rsidRPr="005D65EF">
        <w:rPr>
          <w:sz w:val="22"/>
          <w:szCs w:val="22"/>
        </w:rPr>
        <w:t>Naffine, Ngaire</w:t>
      </w:r>
      <w:r>
        <w:rPr>
          <w:sz w:val="22"/>
          <w:szCs w:val="22"/>
        </w:rPr>
        <w:t>,</w:t>
      </w:r>
      <w:r w:rsidRPr="005D65EF">
        <w:rPr>
          <w:sz w:val="22"/>
          <w:szCs w:val="22"/>
        </w:rPr>
        <w:t xml:space="preserve"> </w:t>
      </w:r>
      <w:r>
        <w:rPr>
          <w:sz w:val="22"/>
          <w:szCs w:val="22"/>
        </w:rPr>
        <w:t>“</w:t>
      </w:r>
      <w:r w:rsidRPr="005D65EF">
        <w:rPr>
          <w:sz w:val="22"/>
          <w:szCs w:val="22"/>
          <w:lang w:val="en-US"/>
        </w:rPr>
        <w:t>Who are Law’s Persons? From Cheshire Cats to Responsible Subjects</w:t>
      </w:r>
      <w:r w:rsidRPr="005D65EF">
        <w:rPr>
          <w:sz w:val="22"/>
          <w:szCs w:val="22"/>
        </w:rPr>
        <w:t xml:space="preserve">’ </w:t>
      </w:r>
      <w:r w:rsidRPr="005D65EF">
        <w:rPr>
          <w:i/>
          <w:sz w:val="22"/>
          <w:szCs w:val="22"/>
        </w:rPr>
        <w:t>Modern Law Review</w:t>
      </w:r>
      <w:r w:rsidRPr="005D65EF">
        <w:rPr>
          <w:sz w:val="22"/>
          <w:szCs w:val="22"/>
        </w:rPr>
        <w:t xml:space="preserve"> 66</w:t>
      </w:r>
      <w:r>
        <w:rPr>
          <w:sz w:val="22"/>
          <w:szCs w:val="22"/>
        </w:rPr>
        <w:t xml:space="preserve"> (2003)</w:t>
      </w:r>
      <w:r w:rsidRPr="005D65EF">
        <w:rPr>
          <w:sz w:val="22"/>
          <w:szCs w:val="22"/>
        </w:rPr>
        <w:t>: 346-367.</w:t>
      </w:r>
    </w:p>
    <w:p w:rsidR="00785035" w:rsidRDefault="00785035" w:rsidP="00785035">
      <w:pPr>
        <w:spacing w:line="480" w:lineRule="auto"/>
        <w:rPr>
          <w:sz w:val="22"/>
          <w:szCs w:val="22"/>
          <w:lang w:val="en-US"/>
        </w:rPr>
      </w:pPr>
      <w:r w:rsidRPr="005D65EF">
        <w:rPr>
          <w:sz w:val="22"/>
          <w:szCs w:val="22"/>
          <w:lang w:val="en-US"/>
        </w:rPr>
        <w:t xml:space="preserve">Pemberton, Neil “The Burnley Dog War: The Politics of Dog-Walking and the Battle over Public Parks in Post-Industrial Britain” </w:t>
      </w:r>
      <w:r w:rsidRPr="00E17044">
        <w:rPr>
          <w:i/>
          <w:sz w:val="22"/>
          <w:szCs w:val="22"/>
          <w:lang w:val="en-US"/>
        </w:rPr>
        <w:t>Twentieth Century British History</w:t>
      </w:r>
      <w:r w:rsidRPr="005D65EF">
        <w:rPr>
          <w:sz w:val="22"/>
          <w:szCs w:val="22"/>
          <w:lang w:val="en-US"/>
        </w:rPr>
        <w:t xml:space="preserve"> </w:t>
      </w:r>
      <w:r w:rsidRPr="00E17044">
        <w:rPr>
          <w:sz w:val="22"/>
          <w:szCs w:val="22"/>
          <w:lang w:val="en-US"/>
        </w:rPr>
        <w:t xml:space="preserve">28(2) (2017): </w:t>
      </w:r>
      <w:r w:rsidRPr="005D65EF">
        <w:rPr>
          <w:sz w:val="22"/>
          <w:szCs w:val="22"/>
          <w:lang w:val="en-US"/>
        </w:rPr>
        <w:t>239-67.</w:t>
      </w:r>
    </w:p>
    <w:p w:rsidR="00785035" w:rsidRPr="005020C9" w:rsidRDefault="00785035" w:rsidP="00785035">
      <w:pPr>
        <w:spacing w:line="480" w:lineRule="auto"/>
        <w:rPr>
          <w:b/>
          <w:bCs/>
          <w:sz w:val="22"/>
          <w:szCs w:val="22"/>
        </w:rPr>
      </w:pPr>
      <w:r>
        <w:rPr>
          <w:sz w:val="22"/>
          <w:szCs w:val="22"/>
          <w:lang w:val="en-US"/>
        </w:rPr>
        <w:t xml:space="preserve">Pierce, Jessica </w:t>
      </w:r>
      <w:r w:rsidRPr="005020C9">
        <w:rPr>
          <w:i/>
          <w:sz w:val="22"/>
          <w:szCs w:val="22"/>
          <w:lang w:val="en-US"/>
        </w:rPr>
        <w:t>R</w:t>
      </w:r>
      <w:r w:rsidRPr="005020C9">
        <w:rPr>
          <w:bCs/>
          <w:i/>
          <w:sz w:val="22"/>
          <w:szCs w:val="22"/>
        </w:rPr>
        <w:t>un, Spot, Run: The Ethics of Keeping Pets</w:t>
      </w:r>
      <w:r>
        <w:rPr>
          <w:bCs/>
          <w:sz w:val="22"/>
          <w:szCs w:val="22"/>
        </w:rPr>
        <w:t xml:space="preserve"> (Chicago: University of Chicago Press, 2016).</w:t>
      </w:r>
    </w:p>
    <w:bookmarkEnd w:id="1"/>
    <w:bookmarkEnd w:id="2"/>
    <w:p w:rsidR="00785035" w:rsidRPr="005D65EF" w:rsidRDefault="00785035" w:rsidP="00785035">
      <w:pPr>
        <w:spacing w:line="480" w:lineRule="auto"/>
        <w:rPr>
          <w:sz w:val="22"/>
          <w:szCs w:val="22"/>
        </w:rPr>
      </w:pPr>
      <w:r w:rsidRPr="005D65EF">
        <w:rPr>
          <w:sz w:val="22"/>
          <w:szCs w:val="22"/>
        </w:rPr>
        <w:t xml:space="preserve">Polikoff, Nancy, </w:t>
      </w:r>
      <w:r w:rsidRPr="005D65EF">
        <w:rPr>
          <w:i/>
          <w:iCs/>
          <w:sz w:val="22"/>
          <w:szCs w:val="22"/>
        </w:rPr>
        <w:t xml:space="preserve">Beyond (Straight and Gay) Marriage: Valuing All Families Under the Law </w:t>
      </w:r>
      <w:r>
        <w:rPr>
          <w:iCs/>
          <w:sz w:val="22"/>
          <w:szCs w:val="22"/>
        </w:rPr>
        <w:t xml:space="preserve">(Boston: </w:t>
      </w:r>
      <w:r w:rsidRPr="005D65EF">
        <w:rPr>
          <w:sz w:val="22"/>
          <w:szCs w:val="22"/>
        </w:rPr>
        <w:t>Beacon Press</w:t>
      </w:r>
      <w:r>
        <w:rPr>
          <w:sz w:val="22"/>
          <w:szCs w:val="22"/>
        </w:rPr>
        <w:t>, 2008).</w:t>
      </w:r>
    </w:p>
    <w:p w:rsidR="00785035" w:rsidRDefault="00785035" w:rsidP="00785035">
      <w:pPr>
        <w:spacing w:line="480" w:lineRule="auto"/>
        <w:rPr>
          <w:sz w:val="22"/>
          <w:szCs w:val="22"/>
          <w:lang w:val="en-US"/>
        </w:rPr>
      </w:pPr>
      <w:r w:rsidRPr="005D65EF">
        <w:rPr>
          <w:sz w:val="22"/>
          <w:szCs w:val="22"/>
        </w:rPr>
        <w:t xml:space="preserve">Regan, Tom. </w:t>
      </w:r>
      <w:r w:rsidRPr="005D65EF">
        <w:rPr>
          <w:i/>
          <w:sz w:val="22"/>
          <w:szCs w:val="22"/>
          <w:lang w:val="en-US"/>
        </w:rPr>
        <w:t>The Case for Animal Rights</w:t>
      </w:r>
      <w:r w:rsidRPr="005D65EF">
        <w:rPr>
          <w:sz w:val="22"/>
          <w:szCs w:val="22"/>
          <w:lang w:val="en-US"/>
        </w:rPr>
        <w:t xml:space="preserve">, </w:t>
      </w:r>
      <w:r>
        <w:rPr>
          <w:sz w:val="22"/>
          <w:szCs w:val="22"/>
          <w:lang w:val="en-US"/>
        </w:rPr>
        <w:t xml:space="preserve">(Oakland: </w:t>
      </w:r>
      <w:r w:rsidRPr="005D65EF">
        <w:rPr>
          <w:sz w:val="22"/>
          <w:szCs w:val="22"/>
          <w:lang w:val="en-US"/>
        </w:rPr>
        <w:t>University of California Press</w:t>
      </w:r>
      <w:r>
        <w:rPr>
          <w:sz w:val="22"/>
          <w:szCs w:val="22"/>
          <w:lang w:val="en-US"/>
        </w:rPr>
        <w:t>, 1984).</w:t>
      </w:r>
    </w:p>
    <w:p w:rsidR="00785035" w:rsidRDefault="00785035" w:rsidP="00785035">
      <w:pPr>
        <w:spacing w:line="480" w:lineRule="auto"/>
        <w:rPr>
          <w:sz w:val="22"/>
          <w:szCs w:val="22"/>
        </w:rPr>
      </w:pPr>
      <w:r>
        <w:rPr>
          <w:sz w:val="22"/>
          <w:szCs w:val="22"/>
        </w:rPr>
        <w:t xml:space="preserve">Riggs, Damian and Peel, Elizabeth, </w:t>
      </w:r>
      <w:r>
        <w:rPr>
          <w:i/>
          <w:sz w:val="22"/>
          <w:szCs w:val="22"/>
        </w:rPr>
        <w:t>Critical Kinship Studies: An Introduction to the Field</w:t>
      </w:r>
      <w:r>
        <w:rPr>
          <w:sz w:val="22"/>
          <w:szCs w:val="22"/>
        </w:rPr>
        <w:t xml:space="preserve"> (London: Palgrave, 2016).</w:t>
      </w:r>
    </w:p>
    <w:p w:rsidR="00785035" w:rsidRPr="00324932" w:rsidRDefault="00785035" w:rsidP="00785035">
      <w:pPr>
        <w:spacing w:line="480" w:lineRule="auto"/>
        <w:rPr>
          <w:sz w:val="22"/>
          <w:szCs w:val="22"/>
        </w:rPr>
      </w:pPr>
      <w:r>
        <w:rPr>
          <w:sz w:val="22"/>
          <w:szCs w:val="22"/>
        </w:rPr>
        <w:t xml:space="preserve">Rook, Deborah, </w:t>
      </w:r>
      <w:r w:rsidRPr="00944D83">
        <w:rPr>
          <w:sz w:val="22"/>
          <w:szCs w:val="22"/>
        </w:rPr>
        <w:t>“</w:t>
      </w:r>
      <w:r w:rsidRPr="00944D83">
        <w:rPr>
          <w:bCs/>
          <w:sz w:val="22"/>
          <w:szCs w:val="22"/>
        </w:rPr>
        <w:t>Who Gets Charlie? The Emergence of Pet Custody Disputes in Family Law: Adapting Theoretical Tools from Child Law”</w:t>
      </w:r>
      <w:r w:rsidRPr="00944D83">
        <w:rPr>
          <w:sz w:val="22"/>
          <w:szCs w:val="22"/>
        </w:rPr>
        <w:t xml:space="preserve"> </w:t>
      </w:r>
      <w:r w:rsidRPr="00944D83">
        <w:rPr>
          <w:i/>
          <w:iCs/>
          <w:sz w:val="22"/>
          <w:szCs w:val="22"/>
        </w:rPr>
        <w:t>International Journal of Law, Policy and the Family</w:t>
      </w:r>
      <w:r w:rsidRPr="00944D83">
        <w:rPr>
          <w:sz w:val="22"/>
          <w:szCs w:val="22"/>
        </w:rPr>
        <w:t>, 28(2) (2014): 177–193</w:t>
      </w:r>
      <w:r>
        <w:rPr>
          <w:sz w:val="22"/>
          <w:szCs w:val="22"/>
        </w:rPr>
        <w:t>.</w:t>
      </w:r>
    </w:p>
    <w:p w:rsidR="00785035" w:rsidRPr="005D65EF" w:rsidRDefault="00785035" w:rsidP="00785035">
      <w:pPr>
        <w:spacing w:line="480" w:lineRule="auto"/>
        <w:rPr>
          <w:i/>
          <w:sz w:val="22"/>
          <w:szCs w:val="22"/>
        </w:rPr>
      </w:pPr>
      <w:r w:rsidRPr="005D65EF">
        <w:rPr>
          <w:sz w:val="22"/>
          <w:szCs w:val="22"/>
        </w:rPr>
        <w:t>Rook, Deborah.</w:t>
      </w:r>
      <w:r>
        <w:rPr>
          <w:sz w:val="22"/>
          <w:szCs w:val="22"/>
        </w:rPr>
        <w:t xml:space="preserve"> “</w:t>
      </w:r>
      <w:r w:rsidRPr="005D65EF">
        <w:rPr>
          <w:sz w:val="22"/>
          <w:szCs w:val="22"/>
        </w:rPr>
        <w:t>For the Love of Darcie: Recognising the Human-Companion Animal Relationship in Housing Law and Policy</w:t>
      </w:r>
      <w:r>
        <w:rPr>
          <w:sz w:val="22"/>
          <w:szCs w:val="22"/>
        </w:rPr>
        <w:t xml:space="preserve">” </w:t>
      </w:r>
      <w:r w:rsidRPr="005D65EF">
        <w:rPr>
          <w:sz w:val="22"/>
          <w:szCs w:val="22"/>
        </w:rPr>
        <w:t xml:space="preserve"> </w:t>
      </w:r>
      <w:r w:rsidRPr="005D65EF">
        <w:rPr>
          <w:i/>
          <w:sz w:val="22"/>
          <w:szCs w:val="22"/>
        </w:rPr>
        <w:t>Liverpool Law Review</w:t>
      </w:r>
      <w:r>
        <w:rPr>
          <w:i/>
          <w:sz w:val="22"/>
          <w:szCs w:val="22"/>
        </w:rPr>
        <w:t xml:space="preserve"> </w:t>
      </w:r>
      <w:r>
        <w:rPr>
          <w:sz w:val="22"/>
          <w:szCs w:val="22"/>
        </w:rPr>
        <w:t xml:space="preserve">39 </w:t>
      </w:r>
      <w:r w:rsidRPr="00D779A9">
        <w:rPr>
          <w:sz w:val="22"/>
          <w:szCs w:val="22"/>
        </w:rPr>
        <w:t>(2018):</w:t>
      </w:r>
      <w:r>
        <w:rPr>
          <w:sz w:val="22"/>
          <w:szCs w:val="22"/>
        </w:rPr>
        <w:t xml:space="preserve"> 29-46.</w:t>
      </w:r>
    </w:p>
    <w:p w:rsidR="00785035" w:rsidRPr="005D65EF" w:rsidRDefault="00785035" w:rsidP="00785035">
      <w:pPr>
        <w:spacing w:line="480" w:lineRule="auto"/>
        <w:rPr>
          <w:sz w:val="22"/>
          <w:szCs w:val="22"/>
        </w:rPr>
      </w:pPr>
      <w:r w:rsidRPr="005D65EF">
        <w:rPr>
          <w:sz w:val="22"/>
          <w:szCs w:val="22"/>
        </w:rPr>
        <w:t xml:space="preserve">Root, W. </w:t>
      </w:r>
      <w:r>
        <w:rPr>
          <w:sz w:val="22"/>
          <w:szCs w:val="22"/>
        </w:rPr>
        <w:t>“</w:t>
      </w:r>
      <w:r w:rsidRPr="005D65EF">
        <w:rPr>
          <w:sz w:val="22"/>
          <w:szCs w:val="22"/>
        </w:rPr>
        <w:t>Man’s Best Friend: Property or Family Member- An Examination of the Legal Classification of Companion Animals and Its Impact of Damages Recoverable for Their Wrongful Death or Injury</w:t>
      </w:r>
      <w:r>
        <w:rPr>
          <w:sz w:val="22"/>
          <w:szCs w:val="22"/>
        </w:rPr>
        <w:t>”</w:t>
      </w:r>
      <w:r w:rsidRPr="005D65EF">
        <w:rPr>
          <w:sz w:val="22"/>
          <w:szCs w:val="22"/>
        </w:rPr>
        <w:t xml:space="preserve"> </w:t>
      </w:r>
      <w:r w:rsidRPr="005D65EF">
        <w:rPr>
          <w:i/>
          <w:sz w:val="22"/>
          <w:szCs w:val="22"/>
        </w:rPr>
        <w:t>Villanova Law Review</w:t>
      </w:r>
      <w:r w:rsidRPr="005D65EF">
        <w:rPr>
          <w:sz w:val="22"/>
          <w:szCs w:val="22"/>
        </w:rPr>
        <w:t xml:space="preserve"> 47</w:t>
      </w:r>
      <w:r>
        <w:rPr>
          <w:sz w:val="22"/>
          <w:szCs w:val="22"/>
        </w:rPr>
        <w:t xml:space="preserve"> (2002)</w:t>
      </w:r>
      <w:r w:rsidRPr="005D65EF">
        <w:rPr>
          <w:sz w:val="22"/>
          <w:szCs w:val="22"/>
        </w:rPr>
        <w:t>: 423.</w:t>
      </w:r>
    </w:p>
    <w:p w:rsidR="00785035" w:rsidRDefault="00785035" w:rsidP="00785035">
      <w:pPr>
        <w:spacing w:line="480" w:lineRule="auto"/>
        <w:rPr>
          <w:sz w:val="22"/>
          <w:szCs w:val="22"/>
        </w:rPr>
      </w:pPr>
      <w:r w:rsidRPr="005D65EF">
        <w:rPr>
          <w:sz w:val="22"/>
          <w:szCs w:val="22"/>
        </w:rPr>
        <w:t>Ruck Keene, A</w:t>
      </w:r>
      <w:r>
        <w:rPr>
          <w:sz w:val="22"/>
          <w:szCs w:val="22"/>
        </w:rPr>
        <w:t>drian et al, 2015.</w:t>
      </w:r>
      <w:r w:rsidRPr="005D65EF">
        <w:rPr>
          <w:sz w:val="22"/>
          <w:szCs w:val="22"/>
        </w:rPr>
        <w:t xml:space="preserve"> </w:t>
      </w:r>
      <w:r w:rsidRPr="005D65EF">
        <w:rPr>
          <w:i/>
          <w:sz w:val="22"/>
          <w:szCs w:val="22"/>
        </w:rPr>
        <w:t>Mental Capacity Law Guidance Note: Best Interests Assessments</w:t>
      </w:r>
      <w:r w:rsidRPr="005D65EF">
        <w:rPr>
          <w:sz w:val="22"/>
          <w:szCs w:val="22"/>
        </w:rPr>
        <w:t xml:space="preserve"> 39 Essex Chambers</w:t>
      </w:r>
      <w:r>
        <w:rPr>
          <w:sz w:val="22"/>
          <w:szCs w:val="22"/>
        </w:rPr>
        <w:t xml:space="preserve">. </w:t>
      </w:r>
      <w:r w:rsidRPr="005D65EF">
        <w:rPr>
          <w:sz w:val="22"/>
          <w:szCs w:val="22"/>
        </w:rPr>
        <w:t>http://www.39essex.com/content/wp-content/uploads/2015/10/Best-Interests-Assessments-Guide-October-2015.pdf</w:t>
      </w:r>
    </w:p>
    <w:p w:rsidR="00785035" w:rsidRDefault="00785035" w:rsidP="00785035">
      <w:pPr>
        <w:spacing w:line="480" w:lineRule="auto"/>
        <w:rPr>
          <w:sz w:val="22"/>
          <w:szCs w:val="22"/>
          <w:lang w:val="en-US"/>
        </w:rPr>
      </w:pPr>
      <w:r w:rsidRPr="000912F4">
        <w:rPr>
          <w:sz w:val="22"/>
          <w:szCs w:val="22"/>
          <w:lang w:val="en-US"/>
        </w:rPr>
        <w:t xml:space="preserve">Sable, Pat. “Attachment, Anxiety and Loss of a Husband” </w:t>
      </w:r>
      <w:r w:rsidRPr="000912F4">
        <w:rPr>
          <w:i/>
          <w:sz w:val="22"/>
          <w:szCs w:val="22"/>
          <w:lang w:val="en-US"/>
        </w:rPr>
        <w:t>American Journal of Orthopsychiatry</w:t>
      </w:r>
      <w:r w:rsidRPr="000912F4">
        <w:rPr>
          <w:sz w:val="22"/>
          <w:szCs w:val="22"/>
          <w:lang w:val="en-US"/>
        </w:rPr>
        <w:t xml:space="preserve"> 59 (1989): 550-556</w:t>
      </w:r>
      <w:r>
        <w:rPr>
          <w:sz w:val="22"/>
          <w:szCs w:val="22"/>
          <w:lang w:val="en-US"/>
        </w:rPr>
        <w:t>.</w:t>
      </w:r>
    </w:p>
    <w:p w:rsidR="00785035" w:rsidRDefault="00785035" w:rsidP="00785035">
      <w:pPr>
        <w:spacing w:line="480" w:lineRule="auto"/>
        <w:rPr>
          <w:sz w:val="22"/>
          <w:szCs w:val="22"/>
        </w:rPr>
      </w:pPr>
      <w:r w:rsidRPr="000912F4">
        <w:rPr>
          <w:sz w:val="22"/>
          <w:szCs w:val="22"/>
          <w:lang w:val="en-US"/>
        </w:rPr>
        <w:t xml:space="preserve">Sable, Pat. “Attachment, loss of spouse and grief in elderly adults” </w:t>
      </w:r>
      <w:r w:rsidRPr="000912F4">
        <w:rPr>
          <w:i/>
          <w:sz w:val="22"/>
          <w:szCs w:val="22"/>
          <w:lang w:val="en-US"/>
        </w:rPr>
        <w:t xml:space="preserve">Omega </w:t>
      </w:r>
      <w:r w:rsidRPr="000912F4">
        <w:rPr>
          <w:sz w:val="22"/>
          <w:szCs w:val="22"/>
          <w:lang w:val="en-US"/>
        </w:rPr>
        <w:t>23 (1991): 129-42</w:t>
      </w:r>
      <w:r>
        <w:rPr>
          <w:sz w:val="22"/>
          <w:szCs w:val="22"/>
          <w:lang w:val="en-US"/>
        </w:rPr>
        <w:t>.</w:t>
      </w:r>
    </w:p>
    <w:p w:rsidR="00785035" w:rsidRPr="005D65EF" w:rsidRDefault="00785035" w:rsidP="00785035">
      <w:pPr>
        <w:spacing w:line="480" w:lineRule="auto"/>
        <w:rPr>
          <w:sz w:val="22"/>
          <w:szCs w:val="22"/>
        </w:rPr>
      </w:pPr>
      <w:r w:rsidRPr="00431461">
        <w:rPr>
          <w:sz w:val="22"/>
          <w:szCs w:val="22"/>
        </w:rPr>
        <w:t>Sable,</w:t>
      </w:r>
      <w:r>
        <w:rPr>
          <w:sz w:val="22"/>
          <w:szCs w:val="22"/>
        </w:rPr>
        <w:t xml:space="preserve"> Pat</w:t>
      </w:r>
      <w:r w:rsidRPr="00431461">
        <w:rPr>
          <w:sz w:val="22"/>
          <w:szCs w:val="22"/>
        </w:rPr>
        <w:t xml:space="preserve"> </w:t>
      </w:r>
      <w:r>
        <w:rPr>
          <w:sz w:val="22"/>
          <w:szCs w:val="22"/>
        </w:rPr>
        <w:t>“</w:t>
      </w:r>
      <w:r w:rsidRPr="00431461">
        <w:rPr>
          <w:sz w:val="22"/>
          <w:szCs w:val="22"/>
        </w:rPr>
        <w:t>The pet connection: An attachment perspective</w:t>
      </w:r>
      <w:r>
        <w:rPr>
          <w:sz w:val="22"/>
          <w:szCs w:val="22"/>
        </w:rPr>
        <w:t>”</w:t>
      </w:r>
      <w:r w:rsidRPr="00431461">
        <w:rPr>
          <w:sz w:val="22"/>
          <w:szCs w:val="22"/>
        </w:rPr>
        <w:t xml:space="preserve"> </w:t>
      </w:r>
      <w:r w:rsidRPr="00431461">
        <w:rPr>
          <w:i/>
          <w:iCs/>
          <w:sz w:val="22"/>
          <w:szCs w:val="22"/>
        </w:rPr>
        <w:t>Clinical Social Work Journal</w:t>
      </w:r>
      <w:r w:rsidRPr="00D77F14">
        <w:rPr>
          <w:sz w:val="22"/>
          <w:szCs w:val="22"/>
        </w:rPr>
        <w:t xml:space="preserve"> 41(1) </w:t>
      </w:r>
      <w:r>
        <w:rPr>
          <w:sz w:val="22"/>
          <w:szCs w:val="22"/>
        </w:rPr>
        <w:t xml:space="preserve">(2013): </w:t>
      </w:r>
      <w:r w:rsidRPr="00431461">
        <w:rPr>
          <w:sz w:val="22"/>
          <w:szCs w:val="22"/>
        </w:rPr>
        <w:t>93-99.</w:t>
      </w:r>
    </w:p>
    <w:p w:rsidR="00785035" w:rsidRPr="005D65EF" w:rsidRDefault="00785035" w:rsidP="00785035">
      <w:pPr>
        <w:spacing w:line="480" w:lineRule="auto"/>
        <w:rPr>
          <w:sz w:val="22"/>
          <w:szCs w:val="22"/>
        </w:rPr>
      </w:pPr>
      <w:r w:rsidRPr="005D65EF">
        <w:rPr>
          <w:sz w:val="22"/>
          <w:szCs w:val="22"/>
        </w:rPr>
        <w:t>Satz, Ani. “Animals as Vulnerable Subjects: Beyond Interest Convergence, Hierarchy and Property</w:t>
      </w:r>
      <w:r>
        <w:rPr>
          <w:sz w:val="22"/>
          <w:szCs w:val="22"/>
        </w:rPr>
        <w:t>”</w:t>
      </w:r>
      <w:r w:rsidRPr="005D65EF">
        <w:rPr>
          <w:sz w:val="22"/>
          <w:szCs w:val="22"/>
        </w:rPr>
        <w:t xml:space="preserve"> </w:t>
      </w:r>
      <w:r w:rsidRPr="005D65EF">
        <w:rPr>
          <w:i/>
          <w:sz w:val="22"/>
          <w:szCs w:val="22"/>
        </w:rPr>
        <w:t>Animal Law</w:t>
      </w:r>
      <w:r w:rsidRPr="005D65EF">
        <w:rPr>
          <w:sz w:val="22"/>
          <w:szCs w:val="22"/>
        </w:rPr>
        <w:t xml:space="preserve">: </w:t>
      </w:r>
      <w:r>
        <w:rPr>
          <w:sz w:val="22"/>
          <w:szCs w:val="22"/>
        </w:rPr>
        <w:t xml:space="preserve">16 (2009): </w:t>
      </w:r>
      <w:r w:rsidRPr="005D65EF">
        <w:rPr>
          <w:sz w:val="22"/>
          <w:szCs w:val="22"/>
        </w:rPr>
        <w:t>1.</w:t>
      </w:r>
      <w:bookmarkStart w:id="3" w:name="_Hlk521351505"/>
    </w:p>
    <w:p w:rsidR="00785035" w:rsidRPr="00E17044" w:rsidRDefault="00785035" w:rsidP="00785035">
      <w:pPr>
        <w:spacing w:line="480" w:lineRule="auto"/>
        <w:rPr>
          <w:sz w:val="22"/>
          <w:szCs w:val="22"/>
          <w:lang w:val="en-US"/>
        </w:rPr>
      </w:pPr>
      <w:r w:rsidRPr="005D65EF">
        <w:rPr>
          <w:sz w:val="22"/>
          <w:szCs w:val="22"/>
          <w:lang w:val="en-US"/>
        </w:rPr>
        <w:t xml:space="preserve">Serpell, James “From paragon to pariah: some reflections on human attitudes to dogs” in </w:t>
      </w:r>
      <w:r w:rsidRPr="005D65EF">
        <w:rPr>
          <w:i/>
          <w:sz w:val="22"/>
          <w:szCs w:val="22"/>
          <w:lang w:val="en-US"/>
        </w:rPr>
        <w:t>The Domestic Dog: its evolution, behaviour and interventions with people</w:t>
      </w:r>
      <w:r>
        <w:rPr>
          <w:i/>
          <w:sz w:val="22"/>
          <w:szCs w:val="22"/>
          <w:lang w:val="en-US"/>
        </w:rPr>
        <w:t>,</w:t>
      </w:r>
      <w:r>
        <w:rPr>
          <w:sz w:val="22"/>
          <w:szCs w:val="22"/>
          <w:lang w:val="en-US"/>
        </w:rPr>
        <w:t xml:space="preserve"> edited by Serpell</w:t>
      </w:r>
    </w:p>
    <w:p w:rsidR="00785035" w:rsidRPr="005D65EF" w:rsidRDefault="00785035" w:rsidP="00785035">
      <w:pPr>
        <w:spacing w:line="480" w:lineRule="auto"/>
        <w:rPr>
          <w:sz w:val="22"/>
          <w:szCs w:val="22"/>
          <w:lang w:val="en-US"/>
        </w:rPr>
      </w:pPr>
      <w:r w:rsidRPr="005D65EF">
        <w:rPr>
          <w:sz w:val="22"/>
          <w:szCs w:val="22"/>
          <w:lang w:val="en-US"/>
        </w:rPr>
        <w:t>(Cambridge: Cambridge University Press, 1995) 245-56.</w:t>
      </w:r>
    </w:p>
    <w:p w:rsidR="00785035" w:rsidRDefault="00785035" w:rsidP="00785035">
      <w:pPr>
        <w:spacing w:line="480" w:lineRule="auto"/>
        <w:rPr>
          <w:sz w:val="22"/>
          <w:szCs w:val="22"/>
          <w:lang w:val="en-US"/>
        </w:rPr>
      </w:pPr>
      <w:r w:rsidRPr="005D65EF">
        <w:rPr>
          <w:sz w:val="22"/>
          <w:szCs w:val="22"/>
          <w:lang w:val="en-US"/>
        </w:rPr>
        <w:t>Serpell</w:t>
      </w:r>
      <w:r>
        <w:rPr>
          <w:sz w:val="22"/>
          <w:szCs w:val="22"/>
          <w:lang w:val="en-US"/>
        </w:rPr>
        <w:t>,</w:t>
      </w:r>
      <w:r w:rsidRPr="005D65EF">
        <w:rPr>
          <w:sz w:val="22"/>
          <w:szCs w:val="22"/>
          <w:lang w:val="en-US"/>
        </w:rPr>
        <w:t xml:space="preserve"> James and Paul</w:t>
      </w:r>
      <w:r>
        <w:rPr>
          <w:sz w:val="22"/>
          <w:szCs w:val="22"/>
          <w:lang w:val="en-US"/>
        </w:rPr>
        <w:t>,</w:t>
      </w:r>
      <w:r w:rsidRPr="005D65EF">
        <w:rPr>
          <w:sz w:val="22"/>
          <w:szCs w:val="22"/>
          <w:lang w:val="en-US"/>
        </w:rPr>
        <w:t xml:space="preserve"> Elizabeth, </w:t>
      </w:r>
      <w:r>
        <w:rPr>
          <w:sz w:val="22"/>
          <w:szCs w:val="22"/>
          <w:lang w:val="en-US"/>
        </w:rPr>
        <w:t>“</w:t>
      </w:r>
      <w:r w:rsidRPr="005D65EF">
        <w:rPr>
          <w:sz w:val="22"/>
          <w:szCs w:val="22"/>
          <w:lang w:val="en-US"/>
        </w:rPr>
        <w:t>Pets in the Family: An Evolutionary Perspective</w:t>
      </w:r>
      <w:r>
        <w:rPr>
          <w:sz w:val="22"/>
          <w:szCs w:val="22"/>
          <w:lang w:val="en-US"/>
        </w:rPr>
        <w:t>”</w:t>
      </w:r>
      <w:r w:rsidRPr="005D65EF">
        <w:rPr>
          <w:sz w:val="22"/>
          <w:szCs w:val="22"/>
          <w:lang w:val="en-US"/>
        </w:rPr>
        <w:t xml:space="preserve"> in </w:t>
      </w:r>
      <w:r w:rsidRPr="005D65EF">
        <w:rPr>
          <w:i/>
          <w:sz w:val="22"/>
          <w:szCs w:val="22"/>
          <w:lang w:val="en-US"/>
        </w:rPr>
        <w:t>Oxford Handbook of Evolutionary Family Psychology</w:t>
      </w:r>
      <w:r w:rsidRPr="005D65EF">
        <w:rPr>
          <w:sz w:val="22"/>
          <w:szCs w:val="22"/>
          <w:lang w:val="en-US"/>
        </w:rPr>
        <w:t xml:space="preserve"> </w:t>
      </w:r>
      <w:r>
        <w:rPr>
          <w:sz w:val="22"/>
          <w:szCs w:val="22"/>
          <w:lang w:val="en-US"/>
        </w:rPr>
        <w:t xml:space="preserve">edited by </w:t>
      </w:r>
      <w:r w:rsidRPr="00944D83">
        <w:rPr>
          <w:sz w:val="22"/>
          <w:szCs w:val="22"/>
          <w:lang w:val="en-US"/>
        </w:rPr>
        <w:t xml:space="preserve">Salmon, C and Shackleford, TK </w:t>
      </w:r>
      <w:r w:rsidRPr="005D65EF">
        <w:rPr>
          <w:sz w:val="22"/>
          <w:szCs w:val="22"/>
          <w:lang w:val="en-US"/>
        </w:rPr>
        <w:t>(Oxford: Oxford University Press, 2011) 297-309.</w:t>
      </w:r>
    </w:p>
    <w:p w:rsidR="00785035" w:rsidRPr="005D65EF" w:rsidRDefault="00785035" w:rsidP="00785035">
      <w:pPr>
        <w:spacing w:line="480" w:lineRule="auto"/>
        <w:rPr>
          <w:sz w:val="22"/>
          <w:szCs w:val="22"/>
          <w:lang w:val="en-US"/>
        </w:rPr>
      </w:pPr>
      <w:r w:rsidRPr="009B0F5A">
        <w:rPr>
          <w:sz w:val="22"/>
          <w:szCs w:val="22"/>
        </w:rPr>
        <w:t xml:space="preserve"> Sethi,</w:t>
      </w:r>
      <w:r>
        <w:rPr>
          <w:sz w:val="22"/>
          <w:szCs w:val="22"/>
        </w:rPr>
        <w:t xml:space="preserve"> Nayha,</w:t>
      </w:r>
      <w:r w:rsidRPr="009B0F5A">
        <w:rPr>
          <w:sz w:val="22"/>
          <w:szCs w:val="22"/>
        </w:rPr>
        <w:t xml:space="preserve"> “Regulating for uncertainty: bridging blurred boundaries in medical innovation, research and treatment, Law, Innovation and Technology, 11(1) (2019) 112-133</w:t>
      </w:r>
      <w:r>
        <w:rPr>
          <w:sz w:val="22"/>
          <w:szCs w:val="22"/>
        </w:rPr>
        <w:t>.</w:t>
      </w:r>
    </w:p>
    <w:p w:rsidR="00785035" w:rsidRPr="005D65EF" w:rsidRDefault="00785035" w:rsidP="00785035">
      <w:pPr>
        <w:spacing w:line="480" w:lineRule="auto"/>
        <w:rPr>
          <w:sz w:val="22"/>
          <w:szCs w:val="22"/>
        </w:rPr>
      </w:pPr>
      <w:r w:rsidRPr="005D65EF">
        <w:rPr>
          <w:sz w:val="22"/>
          <w:szCs w:val="22"/>
        </w:rPr>
        <w:t xml:space="preserve">Smith, R., Johnson, J., &amp; Rolph, S. </w:t>
      </w:r>
      <w:r>
        <w:rPr>
          <w:sz w:val="22"/>
          <w:szCs w:val="22"/>
        </w:rPr>
        <w:t>“</w:t>
      </w:r>
      <w:r w:rsidRPr="005D65EF">
        <w:rPr>
          <w:sz w:val="22"/>
          <w:szCs w:val="22"/>
        </w:rPr>
        <w:t>People, pets and care homes: a story of ambivalence</w:t>
      </w:r>
      <w:r>
        <w:rPr>
          <w:sz w:val="22"/>
          <w:szCs w:val="22"/>
        </w:rPr>
        <w:t>”</w:t>
      </w:r>
      <w:r w:rsidRPr="005D65EF">
        <w:rPr>
          <w:sz w:val="22"/>
          <w:szCs w:val="22"/>
        </w:rPr>
        <w:t xml:space="preserve"> </w:t>
      </w:r>
      <w:r w:rsidRPr="005D65EF">
        <w:rPr>
          <w:i/>
          <w:iCs/>
          <w:sz w:val="22"/>
          <w:szCs w:val="22"/>
        </w:rPr>
        <w:t>Quality in Ageing and Older Adults</w:t>
      </w:r>
      <w:r>
        <w:rPr>
          <w:i/>
          <w:iCs/>
          <w:sz w:val="22"/>
          <w:szCs w:val="22"/>
        </w:rPr>
        <w:t>”</w:t>
      </w:r>
      <w:r w:rsidRPr="005D65EF">
        <w:rPr>
          <w:sz w:val="22"/>
          <w:szCs w:val="22"/>
        </w:rPr>
        <w:t xml:space="preserve"> 12(4)</w:t>
      </w:r>
      <w:r>
        <w:rPr>
          <w:sz w:val="22"/>
          <w:szCs w:val="22"/>
        </w:rPr>
        <w:t xml:space="preserve"> (2011):</w:t>
      </w:r>
      <w:r w:rsidRPr="005D65EF">
        <w:rPr>
          <w:sz w:val="22"/>
          <w:szCs w:val="22"/>
        </w:rPr>
        <w:t xml:space="preserve"> 217-228.</w:t>
      </w:r>
    </w:p>
    <w:p w:rsidR="00785035" w:rsidRPr="005D65EF" w:rsidRDefault="00785035" w:rsidP="00785035">
      <w:pPr>
        <w:spacing w:line="480" w:lineRule="auto"/>
        <w:rPr>
          <w:sz w:val="22"/>
          <w:szCs w:val="22"/>
        </w:rPr>
      </w:pPr>
      <w:r w:rsidRPr="005D65EF">
        <w:rPr>
          <w:sz w:val="22"/>
          <w:szCs w:val="22"/>
          <w:lang w:val="en-US"/>
        </w:rPr>
        <w:t>Squier, Susan</w:t>
      </w:r>
      <w:r>
        <w:rPr>
          <w:sz w:val="22"/>
          <w:szCs w:val="22"/>
          <w:lang w:val="en-US"/>
        </w:rPr>
        <w:t xml:space="preserve"> Merrill</w:t>
      </w:r>
      <w:r w:rsidRPr="005D65EF">
        <w:rPr>
          <w:sz w:val="22"/>
          <w:szCs w:val="22"/>
          <w:lang w:val="en-US"/>
        </w:rPr>
        <w:t xml:space="preserve">. </w:t>
      </w:r>
      <w:r w:rsidRPr="005D65EF">
        <w:rPr>
          <w:i/>
          <w:sz w:val="22"/>
          <w:szCs w:val="22"/>
          <w:lang w:val="en-US"/>
        </w:rPr>
        <w:t>Liminal Lives: Imaging the Human at the Frontiers of Biomedicine</w:t>
      </w:r>
      <w:r w:rsidRPr="005D65EF">
        <w:rPr>
          <w:sz w:val="22"/>
          <w:szCs w:val="22"/>
          <w:lang w:val="en-US"/>
        </w:rPr>
        <w:t xml:space="preserve"> </w:t>
      </w:r>
      <w:r>
        <w:rPr>
          <w:sz w:val="22"/>
          <w:szCs w:val="22"/>
          <w:lang w:val="en-US"/>
        </w:rPr>
        <w:t xml:space="preserve">(Durham: </w:t>
      </w:r>
      <w:r w:rsidRPr="005D65EF">
        <w:rPr>
          <w:sz w:val="22"/>
          <w:szCs w:val="22"/>
          <w:lang w:val="en-US"/>
        </w:rPr>
        <w:t>Duke University Press</w:t>
      </w:r>
      <w:r>
        <w:rPr>
          <w:sz w:val="22"/>
          <w:szCs w:val="22"/>
          <w:lang w:val="en-US"/>
        </w:rPr>
        <w:t>, 2004).</w:t>
      </w:r>
    </w:p>
    <w:p w:rsidR="00785035" w:rsidRDefault="00785035" w:rsidP="00785035">
      <w:pPr>
        <w:spacing w:line="480" w:lineRule="auto"/>
        <w:rPr>
          <w:sz w:val="22"/>
          <w:szCs w:val="22"/>
        </w:rPr>
      </w:pPr>
      <w:r w:rsidRPr="005D65EF">
        <w:rPr>
          <w:sz w:val="22"/>
          <w:szCs w:val="22"/>
        </w:rPr>
        <w:t xml:space="preserve">Stanley, I. </w:t>
      </w:r>
      <w:r>
        <w:rPr>
          <w:sz w:val="22"/>
          <w:szCs w:val="22"/>
        </w:rPr>
        <w:t>et al</w:t>
      </w:r>
      <w:r w:rsidRPr="005D65EF">
        <w:rPr>
          <w:sz w:val="22"/>
          <w:szCs w:val="22"/>
        </w:rPr>
        <w:t xml:space="preserve"> </w:t>
      </w:r>
      <w:r>
        <w:rPr>
          <w:sz w:val="22"/>
          <w:szCs w:val="22"/>
        </w:rPr>
        <w:t>“</w:t>
      </w:r>
      <w:r w:rsidRPr="005D65EF">
        <w:rPr>
          <w:sz w:val="22"/>
          <w:szCs w:val="22"/>
        </w:rPr>
        <w:t>Pet ownership may attenuate loneliness among older adult primary care patients who live alone</w:t>
      </w:r>
      <w:r>
        <w:rPr>
          <w:sz w:val="22"/>
          <w:szCs w:val="22"/>
        </w:rPr>
        <w:t>,”</w:t>
      </w:r>
      <w:r w:rsidRPr="005D65EF">
        <w:rPr>
          <w:sz w:val="22"/>
          <w:szCs w:val="22"/>
        </w:rPr>
        <w:t xml:space="preserve"> </w:t>
      </w:r>
      <w:r w:rsidRPr="005D65EF">
        <w:rPr>
          <w:i/>
          <w:iCs/>
          <w:sz w:val="22"/>
          <w:szCs w:val="22"/>
        </w:rPr>
        <w:t>Aging &amp; Mental Health</w:t>
      </w:r>
      <w:r w:rsidRPr="005D65EF">
        <w:rPr>
          <w:sz w:val="22"/>
          <w:szCs w:val="22"/>
        </w:rPr>
        <w:t xml:space="preserve"> 18(3)</w:t>
      </w:r>
      <w:r>
        <w:rPr>
          <w:sz w:val="22"/>
          <w:szCs w:val="22"/>
        </w:rPr>
        <w:t xml:space="preserve"> (2014):</w:t>
      </w:r>
      <w:r w:rsidRPr="005D65EF">
        <w:rPr>
          <w:sz w:val="22"/>
          <w:szCs w:val="22"/>
        </w:rPr>
        <w:t xml:space="preserve"> 394-399.</w:t>
      </w:r>
    </w:p>
    <w:p w:rsidR="00785035" w:rsidRDefault="00785035" w:rsidP="00785035">
      <w:pPr>
        <w:spacing w:line="480" w:lineRule="auto"/>
        <w:rPr>
          <w:sz w:val="22"/>
          <w:szCs w:val="22"/>
        </w:rPr>
      </w:pPr>
      <w:r>
        <w:rPr>
          <w:sz w:val="22"/>
          <w:szCs w:val="22"/>
        </w:rPr>
        <w:t xml:space="preserve">Stoller, Paul. </w:t>
      </w:r>
      <w:r w:rsidRPr="00710C0B">
        <w:rPr>
          <w:i/>
          <w:sz w:val="22"/>
          <w:szCs w:val="22"/>
        </w:rPr>
        <w:t xml:space="preserve">Stranger in the Village of the Sick: A Memoir of Cancer, Sorcery and Healing </w:t>
      </w:r>
      <w:r>
        <w:rPr>
          <w:sz w:val="22"/>
          <w:szCs w:val="22"/>
        </w:rPr>
        <w:t xml:space="preserve">(Boston: Beacon Press, </w:t>
      </w:r>
      <w:r w:rsidRPr="00944D83">
        <w:rPr>
          <w:sz w:val="22"/>
          <w:szCs w:val="22"/>
        </w:rPr>
        <w:t>2004</w:t>
      </w:r>
      <w:r>
        <w:rPr>
          <w:sz w:val="22"/>
          <w:szCs w:val="22"/>
        </w:rPr>
        <w:t>).</w:t>
      </w:r>
    </w:p>
    <w:p w:rsidR="00785035" w:rsidRPr="005D65EF" w:rsidRDefault="00785035" w:rsidP="00785035">
      <w:pPr>
        <w:spacing w:line="480" w:lineRule="auto"/>
        <w:rPr>
          <w:sz w:val="22"/>
          <w:szCs w:val="22"/>
        </w:rPr>
      </w:pPr>
      <w:r>
        <w:rPr>
          <w:sz w:val="22"/>
          <w:szCs w:val="22"/>
        </w:rPr>
        <w:t xml:space="preserve">Timmer, Alexandra “A Quiet Revolution: Vulnerability in the European Court of Human Rights” in </w:t>
      </w:r>
      <w:r w:rsidRPr="00536DE3">
        <w:rPr>
          <w:i/>
          <w:sz w:val="22"/>
          <w:szCs w:val="22"/>
        </w:rPr>
        <w:t>Vulnerability: Reflections on a New Ethical Foundation for Law and Politics</w:t>
      </w:r>
      <w:r w:rsidRPr="00536DE3">
        <w:rPr>
          <w:sz w:val="22"/>
          <w:szCs w:val="22"/>
        </w:rPr>
        <w:t xml:space="preserve"> edited by Fineman and Grear (London: Routledge, 2013).</w:t>
      </w:r>
    </w:p>
    <w:p w:rsidR="00785035" w:rsidRPr="005D65EF" w:rsidRDefault="00785035" w:rsidP="00785035">
      <w:pPr>
        <w:spacing w:line="480" w:lineRule="auto"/>
        <w:rPr>
          <w:b/>
          <w:bCs/>
          <w:sz w:val="22"/>
          <w:szCs w:val="22"/>
        </w:rPr>
      </w:pPr>
      <w:r w:rsidRPr="005D65EF">
        <w:rPr>
          <w:sz w:val="22"/>
          <w:szCs w:val="22"/>
        </w:rPr>
        <w:t>Tuan, Yi-Fu</w:t>
      </w:r>
      <w:r>
        <w:rPr>
          <w:sz w:val="22"/>
          <w:szCs w:val="22"/>
        </w:rPr>
        <w:t>,</w:t>
      </w:r>
      <w:r w:rsidRPr="005D65EF">
        <w:rPr>
          <w:sz w:val="22"/>
          <w:szCs w:val="22"/>
        </w:rPr>
        <w:t xml:space="preserve"> </w:t>
      </w:r>
      <w:r w:rsidRPr="005D65EF">
        <w:rPr>
          <w:bCs/>
          <w:i/>
          <w:sz w:val="22"/>
          <w:szCs w:val="22"/>
        </w:rPr>
        <w:t>Dominance &amp; Affection: The Making of Pets</w:t>
      </w:r>
      <w:r w:rsidRPr="005D65EF">
        <w:rPr>
          <w:bCs/>
          <w:sz w:val="22"/>
          <w:szCs w:val="22"/>
        </w:rPr>
        <w:t xml:space="preserve"> </w:t>
      </w:r>
      <w:r>
        <w:rPr>
          <w:bCs/>
          <w:sz w:val="22"/>
          <w:szCs w:val="22"/>
        </w:rPr>
        <w:t>(</w:t>
      </w:r>
      <w:r w:rsidRPr="005D65EF">
        <w:rPr>
          <w:bCs/>
          <w:sz w:val="22"/>
          <w:szCs w:val="22"/>
        </w:rPr>
        <w:t>New Haven: Yale University Press</w:t>
      </w:r>
      <w:r>
        <w:rPr>
          <w:bCs/>
          <w:sz w:val="22"/>
          <w:szCs w:val="22"/>
        </w:rPr>
        <w:t>, 1984)</w:t>
      </w:r>
      <w:r w:rsidRPr="005D65EF">
        <w:rPr>
          <w:bCs/>
          <w:sz w:val="22"/>
          <w:szCs w:val="22"/>
        </w:rPr>
        <w:t>.</w:t>
      </w:r>
    </w:p>
    <w:p w:rsidR="00785035" w:rsidRDefault="00785035" w:rsidP="00785035">
      <w:pPr>
        <w:spacing w:after="160" w:line="480" w:lineRule="auto"/>
        <w:rPr>
          <w:rFonts w:eastAsiaTheme="minorHAnsi"/>
          <w:sz w:val="22"/>
          <w:szCs w:val="22"/>
        </w:rPr>
      </w:pPr>
      <w:r w:rsidRPr="005D65EF">
        <w:rPr>
          <w:rFonts w:eastAsiaTheme="minorHAnsi"/>
          <w:sz w:val="22"/>
          <w:szCs w:val="22"/>
        </w:rPr>
        <w:t>Taylor-Alexander, Samuel Edward S. Dove, Isabel Fletcher, Agomoni Ganguli Mitra, Catriona McMillan &amp; Graeme Laurie</w:t>
      </w:r>
      <w:r>
        <w:rPr>
          <w:rFonts w:eastAsiaTheme="minorHAnsi"/>
          <w:sz w:val="22"/>
          <w:szCs w:val="22"/>
        </w:rPr>
        <w:t>, “</w:t>
      </w:r>
      <w:r w:rsidRPr="005D65EF">
        <w:rPr>
          <w:rFonts w:eastAsiaTheme="minorHAnsi"/>
          <w:sz w:val="22"/>
          <w:szCs w:val="22"/>
        </w:rPr>
        <w:t>Beyond regulatory compression: confronting the liminal spaces of health research regulation</w:t>
      </w:r>
      <w:r>
        <w:rPr>
          <w:rFonts w:eastAsiaTheme="minorHAnsi"/>
          <w:sz w:val="22"/>
          <w:szCs w:val="22"/>
        </w:rPr>
        <w:t>”</w:t>
      </w:r>
      <w:r w:rsidRPr="005D65EF">
        <w:rPr>
          <w:rFonts w:eastAsiaTheme="minorHAnsi"/>
          <w:sz w:val="22"/>
          <w:szCs w:val="22"/>
        </w:rPr>
        <w:t> </w:t>
      </w:r>
      <w:r w:rsidRPr="005D65EF">
        <w:rPr>
          <w:rFonts w:eastAsiaTheme="minorHAnsi"/>
          <w:i/>
          <w:sz w:val="22"/>
          <w:szCs w:val="22"/>
        </w:rPr>
        <w:t>Law, Innovation and Technology</w:t>
      </w:r>
      <w:r w:rsidRPr="005D65EF">
        <w:rPr>
          <w:rFonts w:eastAsiaTheme="minorHAnsi"/>
          <w:sz w:val="22"/>
          <w:szCs w:val="22"/>
        </w:rPr>
        <w:t> 8:2</w:t>
      </w:r>
      <w:r>
        <w:rPr>
          <w:rFonts w:eastAsiaTheme="minorHAnsi"/>
          <w:sz w:val="22"/>
          <w:szCs w:val="22"/>
        </w:rPr>
        <w:t xml:space="preserve"> (2016)</w:t>
      </w:r>
      <w:r w:rsidRPr="005D65EF">
        <w:rPr>
          <w:rFonts w:eastAsiaTheme="minorHAnsi"/>
          <w:sz w:val="22"/>
          <w:szCs w:val="22"/>
        </w:rPr>
        <w:t>: 149-176</w:t>
      </w:r>
      <w:r>
        <w:rPr>
          <w:rFonts w:eastAsiaTheme="minorHAnsi"/>
          <w:sz w:val="22"/>
          <w:szCs w:val="22"/>
        </w:rPr>
        <w:t>.</w:t>
      </w:r>
    </w:p>
    <w:p w:rsidR="00785035" w:rsidRPr="00710C0B" w:rsidRDefault="00785035" w:rsidP="00785035">
      <w:pPr>
        <w:spacing w:after="160" w:line="480" w:lineRule="auto"/>
        <w:rPr>
          <w:rFonts w:eastAsiaTheme="minorHAnsi"/>
          <w:sz w:val="22"/>
          <w:szCs w:val="22"/>
        </w:rPr>
      </w:pPr>
      <w:r>
        <w:rPr>
          <w:rFonts w:eastAsiaTheme="minorHAnsi"/>
          <w:sz w:val="22"/>
          <w:szCs w:val="22"/>
        </w:rPr>
        <w:t xml:space="preserve">Turner, Victor </w:t>
      </w:r>
      <w:r>
        <w:rPr>
          <w:rFonts w:eastAsiaTheme="minorHAnsi"/>
          <w:i/>
          <w:sz w:val="22"/>
          <w:szCs w:val="22"/>
        </w:rPr>
        <w:t xml:space="preserve">The Ritual Process: Structure and Anti-Structure </w:t>
      </w:r>
      <w:r>
        <w:rPr>
          <w:rFonts w:eastAsiaTheme="minorHAnsi"/>
          <w:sz w:val="22"/>
          <w:szCs w:val="22"/>
        </w:rPr>
        <w:t>(Chicago: Aldine Publishing, 1969).</w:t>
      </w:r>
    </w:p>
    <w:p w:rsidR="00785035" w:rsidRDefault="00785035" w:rsidP="00785035">
      <w:pPr>
        <w:spacing w:after="160" w:line="480" w:lineRule="auto"/>
        <w:rPr>
          <w:rFonts w:eastAsiaTheme="minorHAnsi"/>
          <w:sz w:val="22"/>
          <w:szCs w:val="22"/>
          <w:lang w:val="en-US"/>
        </w:rPr>
      </w:pPr>
      <w:r w:rsidRPr="006754D3">
        <w:rPr>
          <w:rFonts w:eastAsiaTheme="minorHAnsi"/>
          <w:sz w:val="22"/>
          <w:szCs w:val="22"/>
          <w:lang w:val="en-US"/>
        </w:rPr>
        <w:t>Westwood</w:t>
      </w:r>
      <w:r>
        <w:rPr>
          <w:rFonts w:eastAsiaTheme="minorHAnsi"/>
          <w:sz w:val="22"/>
          <w:szCs w:val="22"/>
          <w:lang w:val="en-US"/>
        </w:rPr>
        <w:t>, Sue,</w:t>
      </w:r>
      <w:r w:rsidRPr="006754D3">
        <w:rPr>
          <w:rFonts w:eastAsiaTheme="minorHAnsi"/>
          <w:sz w:val="22"/>
          <w:szCs w:val="22"/>
          <w:lang w:val="en-US"/>
        </w:rPr>
        <w:t xml:space="preserve"> </w:t>
      </w:r>
      <w:r>
        <w:rPr>
          <w:rFonts w:eastAsiaTheme="minorHAnsi"/>
          <w:sz w:val="22"/>
          <w:szCs w:val="22"/>
          <w:lang w:val="en-US"/>
        </w:rPr>
        <w:t>“</w:t>
      </w:r>
      <w:r w:rsidRPr="006754D3">
        <w:rPr>
          <w:rFonts w:eastAsiaTheme="minorHAnsi"/>
          <w:sz w:val="22"/>
          <w:szCs w:val="22"/>
          <w:lang w:val="en-US"/>
        </w:rPr>
        <w:t>My Friends are my Family’: an argument about the</w:t>
      </w:r>
      <w:r>
        <w:rPr>
          <w:rFonts w:eastAsiaTheme="minorHAnsi"/>
          <w:sz w:val="22"/>
          <w:szCs w:val="22"/>
          <w:lang w:val="en-US"/>
        </w:rPr>
        <w:t xml:space="preserve"> </w:t>
      </w:r>
      <w:r w:rsidRPr="006754D3">
        <w:rPr>
          <w:rFonts w:eastAsiaTheme="minorHAnsi"/>
          <w:sz w:val="22"/>
          <w:szCs w:val="22"/>
          <w:lang w:val="en-US"/>
        </w:rPr>
        <w:t>limitations of contemporary law's recognition of relationships in later life,</w:t>
      </w:r>
      <w:r>
        <w:rPr>
          <w:rFonts w:eastAsiaTheme="minorHAnsi"/>
          <w:sz w:val="22"/>
          <w:szCs w:val="22"/>
          <w:lang w:val="en-US"/>
        </w:rPr>
        <w:t>”</w:t>
      </w:r>
      <w:r w:rsidRPr="006754D3">
        <w:rPr>
          <w:rFonts w:eastAsiaTheme="minorHAnsi"/>
          <w:sz w:val="22"/>
          <w:szCs w:val="22"/>
          <w:lang w:val="en-US"/>
        </w:rPr>
        <w:t xml:space="preserve"> </w:t>
      </w:r>
      <w:r w:rsidRPr="006754D3">
        <w:rPr>
          <w:rFonts w:eastAsiaTheme="minorHAnsi"/>
          <w:i/>
          <w:sz w:val="22"/>
          <w:szCs w:val="22"/>
          <w:lang w:val="en-US"/>
        </w:rPr>
        <w:t>Journal of Social Welfare and Family Law</w:t>
      </w:r>
      <w:r w:rsidRPr="006754D3">
        <w:rPr>
          <w:rFonts w:eastAsiaTheme="minorHAnsi"/>
          <w:sz w:val="22"/>
          <w:szCs w:val="22"/>
          <w:lang w:val="en-US"/>
        </w:rPr>
        <w:t xml:space="preserve"> 35</w:t>
      </w:r>
      <w:r>
        <w:rPr>
          <w:rFonts w:eastAsiaTheme="minorHAnsi"/>
          <w:sz w:val="22"/>
          <w:szCs w:val="22"/>
          <w:lang w:val="en-US"/>
        </w:rPr>
        <w:t>(3) 2-13:</w:t>
      </w:r>
      <w:r w:rsidRPr="006754D3">
        <w:rPr>
          <w:rFonts w:eastAsiaTheme="minorHAnsi"/>
          <w:sz w:val="22"/>
          <w:szCs w:val="22"/>
          <w:lang w:val="en-US"/>
        </w:rPr>
        <w:t xml:space="preserve"> 347-363</w:t>
      </w:r>
      <w:r>
        <w:rPr>
          <w:rFonts w:eastAsiaTheme="minorHAnsi"/>
          <w:sz w:val="22"/>
          <w:szCs w:val="22"/>
          <w:lang w:val="en-US"/>
        </w:rPr>
        <w:t>.</w:t>
      </w:r>
    </w:p>
    <w:p w:rsidR="00785035" w:rsidRPr="00460249" w:rsidRDefault="00785035" w:rsidP="00785035">
      <w:pPr>
        <w:spacing w:after="160" w:line="480" w:lineRule="auto"/>
        <w:rPr>
          <w:rFonts w:eastAsiaTheme="minorHAnsi"/>
          <w:sz w:val="22"/>
          <w:szCs w:val="22"/>
        </w:rPr>
      </w:pPr>
      <w:r w:rsidRPr="00460249">
        <w:rPr>
          <w:rFonts w:eastAsiaTheme="minorHAnsi"/>
          <w:sz w:val="22"/>
          <w:szCs w:val="22"/>
        </w:rPr>
        <w:t>Westwood, S</w:t>
      </w:r>
      <w:r>
        <w:rPr>
          <w:rFonts w:eastAsiaTheme="minorHAnsi"/>
          <w:sz w:val="22"/>
          <w:szCs w:val="22"/>
        </w:rPr>
        <w:t>ue,</w:t>
      </w:r>
      <w:r w:rsidRPr="00460249">
        <w:rPr>
          <w:rFonts w:eastAsiaTheme="minorHAnsi"/>
          <w:sz w:val="22"/>
          <w:szCs w:val="22"/>
        </w:rPr>
        <w:t xml:space="preserve"> (2016) ‘Institutions, they’re very straight. My god I hope I don’t have to go into a care home’: Spatial inequalities anticipated by older lesbians and gay men” in </w:t>
      </w:r>
      <w:r w:rsidRPr="00460249">
        <w:rPr>
          <w:rFonts w:eastAsiaTheme="minorHAnsi"/>
          <w:i/>
          <w:iCs/>
          <w:sz w:val="22"/>
          <w:szCs w:val="22"/>
        </w:rPr>
        <w:t>Revaluing care in theory, law and policy</w:t>
      </w:r>
      <w:r w:rsidRPr="00460249">
        <w:rPr>
          <w:rFonts w:eastAsiaTheme="minorHAnsi"/>
          <w:iCs/>
          <w:sz w:val="22"/>
          <w:szCs w:val="22"/>
        </w:rPr>
        <w:t xml:space="preserve"> edited by Rosie Harding, Ruth Fletcher and Christine Beasley (London: Routledge 2016) </w:t>
      </w:r>
      <w:r w:rsidRPr="00460249">
        <w:rPr>
          <w:rFonts w:eastAsiaTheme="minorHAnsi"/>
          <w:sz w:val="22"/>
          <w:szCs w:val="22"/>
        </w:rPr>
        <w:t xml:space="preserve"> 215-232.</w:t>
      </w:r>
    </w:p>
    <w:p w:rsidR="00785035" w:rsidRPr="005D65EF" w:rsidRDefault="00785035" w:rsidP="00785035">
      <w:pPr>
        <w:spacing w:line="480" w:lineRule="auto"/>
        <w:rPr>
          <w:sz w:val="22"/>
          <w:szCs w:val="22"/>
        </w:rPr>
      </w:pPr>
      <w:bookmarkStart w:id="4" w:name="_Hlk521351200"/>
      <w:bookmarkEnd w:id="3"/>
      <w:r w:rsidRPr="005D65EF">
        <w:rPr>
          <w:sz w:val="22"/>
          <w:szCs w:val="22"/>
        </w:rPr>
        <w:t>Wise, Steven</w:t>
      </w:r>
      <w:r>
        <w:rPr>
          <w:sz w:val="22"/>
          <w:szCs w:val="22"/>
        </w:rPr>
        <w:t xml:space="preserve"> “</w:t>
      </w:r>
      <w:r w:rsidRPr="005D65EF">
        <w:rPr>
          <w:sz w:val="22"/>
          <w:szCs w:val="22"/>
        </w:rPr>
        <w:t xml:space="preserve">The Legal Thinghood of Non-human Animals’ </w:t>
      </w:r>
      <w:r w:rsidRPr="005D65EF">
        <w:rPr>
          <w:i/>
          <w:sz w:val="22"/>
          <w:szCs w:val="22"/>
        </w:rPr>
        <w:t>BC Envl Aff  L Rev</w:t>
      </w:r>
      <w:r w:rsidRPr="005D65EF">
        <w:rPr>
          <w:sz w:val="22"/>
          <w:szCs w:val="22"/>
        </w:rPr>
        <w:t xml:space="preserve"> 23</w:t>
      </w:r>
      <w:r>
        <w:rPr>
          <w:sz w:val="22"/>
          <w:szCs w:val="22"/>
        </w:rPr>
        <w:t xml:space="preserve"> (1996):</w:t>
      </w:r>
      <w:r w:rsidRPr="005D65EF">
        <w:rPr>
          <w:sz w:val="22"/>
          <w:szCs w:val="22"/>
        </w:rPr>
        <w:t xml:space="preserve"> 471.</w:t>
      </w:r>
    </w:p>
    <w:p w:rsidR="00785035" w:rsidRPr="005D65EF" w:rsidRDefault="00785035" w:rsidP="00785035">
      <w:pPr>
        <w:spacing w:line="480" w:lineRule="auto"/>
        <w:rPr>
          <w:sz w:val="22"/>
          <w:szCs w:val="22"/>
        </w:rPr>
      </w:pPr>
      <w:r w:rsidRPr="005D65EF">
        <w:rPr>
          <w:sz w:val="22"/>
          <w:szCs w:val="22"/>
        </w:rPr>
        <w:t>Wise, Steven</w:t>
      </w:r>
      <w:r>
        <w:rPr>
          <w:sz w:val="22"/>
          <w:szCs w:val="22"/>
        </w:rPr>
        <w:t>,</w:t>
      </w:r>
      <w:r w:rsidRPr="005D65EF">
        <w:rPr>
          <w:sz w:val="22"/>
          <w:szCs w:val="22"/>
        </w:rPr>
        <w:t xml:space="preserve"> </w:t>
      </w:r>
      <w:r>
        <w:rPr>
          <w:sz w:val="22"/>
          <w:szCs w:val="22"/>
        </w:rPr>
        <w:t>“</w:t>
      </w:r>
      <w:r w:rsidRPr="005D65EF">
        <w:rPr>
          <w:sz w:val="22"/>
          <w:szCs w:val="22"/>
        </w:rPr>
        <w:t>Recovery of Common Law Damages for Emotional Distress, Loss of Society, and Loss of Companionship for the Wrongful Death of a Companion Animal,</w:t>
      </w:r>
      <w:r>
        <w:rPr>
          <w:sz w:val="22"/>
          <w:szCs w:val="22"/>
        </w:rPr>
        <w:t>”</w:t>
      </w:r>
      <w:r w:rsidRPr="005D65EF">
        <w:rPr>
          <w:sz w:val="22"/>
          <w:szCs w:val="22"/>
        </w:rPr>
        <w:t xml:space="preserve"> </w:t>
      </w:r>
      <w:r w:rsidRPr="005D65EF">
        <w:rPr>
          <w:i/>
          <w:sz w:val="22"/>
          <w:szCs w:val="22"/>
        </w:rPr>
        <w:t>Animal Law</w:t>
      </w:r>
      <w:r w:rsidRPr="005D65EF">
        <w:rPr>
          <w:sz w:val="22"/>
          <w:szCs w:val="22"/>
        </w:rPr>
        <w:t xml:space="preserve"> </w:t>
      </w:r>
      <w:r>
        <w:rPr>
          <w:sz w:val="22"/>
          <w:szCs w:val="22"/>
        </w:rPr>
        <w:t xml:space="preserve">4 </w:t>
      </w:r>
      <w:r w:rsidRPr="00536DE3">
        <w:rPr>
          <w:sz w:val="22"/>
          <w:szCs w:val="22"/>
        </w:rPr>
        <w:t>(1998)</w:t>
      </w:r>
      <w:r>
        <w:rPr>
          <w:sz w:val="22"/>
          <w:szCs w:val="22"/>
        </w:rPr>
        <w:t xml:space="preserve">: </w:t>
      </w:r>
      <w:r w:rsidRPr="005D65EF">
        <w:rPr>
          <w:sz w:val="22"/>
          <w:szCs w:val="22"/>
        </w:rPr>
        <w:t>33.</w:t>
      </w:r>
    </w:p>
    <w:bookmarkEnd w:id="4"/>
    <w:p w:rsidR="00785035" w:rsidRPr="005D65EF" w:rsidRDefault="00785035" w:rsidP="00785035">
      <w:pPr>
        <w:spacing w:line="480" w:lineRule="auto"/>
        <w:rPr>
          <w:sz w:val="22"/>
          <w:szCs w:val="22"/>
        </w:rPr>
      </w:pPr>
      <w:r w:rsidRPr="005D65EF">
        <w:rPr>
          <w:sz w:val="22"/>
          <w:szCs w:val="22"/>
        </w:rPr>
        <w:t>Wood, Jamie</w:t>
      </w:r>
      <w:r>
        <w:rPr>
          <w:sz w:val="22"/>
          <w:szCs w:val="22"/>
        </w:rPr>
        <w:t>, “</w:t>
      </w:r>
      <w:r w:rsidRPr="005D65EF">
        <w:rPr>
          <w:sz w:val="22"/>
          <w:szCs w:val="22"/>
        </w:rPr>
        <w:t>Moving Beyond the Bedrooms of our Nation: Redefining Canadian Families from the P</w:t>
      </w:r>
      <w:r>
        <w:rPr>
          <w:sz w:val="22"/>
          <w:szCs w:val="22"/>
        </w:rPr>
        <w:t>e</w:t>
      </w:r>
      <w:r w:rsidRPr="005D65EF">
        <w:rPr>
          <w:sz w:val="22"/>
          <w:szCs w:val="22"/>
        </w:rPr>
        <w:t>rspective of Non-Conjugal Caregiving</w:t>
      </w:r>
      <w:r>
        <w:rPr>
          <w:sz w:val="22"/>
          <w:szCs w:val="22"/>
        </w:rPr>
        <w:t>”</w:t>
      </w:r>
      <w:r w:rsidRPr="005D65EF">
        <w:rPr>
          <w:sz w:val="22"/>
          <w:szCs w:val="22"/>
        </w:rPr>
        <w:t xml:space="preserve"> 13 </w:t>
      </w:r>
      <w:r w:rsidRPr="005D65EF">
        <w:rPr>
          <w:i/>
          <w:sz w:val="22"/>
          <w:szCs w:val="22"/>
        </w:rPr>
        <w:t>Appeal</w:t>
      </w:r>
      <w:r w:rsidRPr="005D65EF">
        <w:rPr>
          <w:sz w:val="22"/>
          <w:szCs w:val="22"/>
        </w:rPr>
        <w:t xml:space="preserve"> </w:t>
      </w:r>
      <w:r>
        <w:rPr>
          <w:sz w:val="22"/>
          <w:szCs w:val="22"/>
        </w:rPr>
        <w:t xml:space="preserve">4 </w:t>
      </w:r>
      <w:r w:rsidRPr="00536DE3">
        <w:rPr>
          <w:sz w:val="22"/>
          <w:szCs w:val="22"/>
        </w:rPr>
        <w:t>(1998)</w:t>
      </w:r>
      <w:r>
        <w:rPr>
          <w:sz w:val="22"/>
          <w:szCs w:val="22"/>
        </w:rPr>
        <w:t>:</w:t>
      </w:r>
      <w:r w:rsidRPr="00536DE3">
        <w:rPr>
          <w:sz w:val="22"/>
          <w:szCs w:val="22"/>
        </w:rPr>
        <w:t xml:space="preserve"> </w:t>
      </w:r>
      <w:r w:rsidRPr="005D65EF">
        <w:rPr>
          <w:sz w:val="22"/>
          <w:szCs w:val="22"/>
        </w:rPr>
        <w:t>7-13.</w:t>
      </w:r>
    </w:p>
    <w:p w:rsidR="00785035" w:rsidRDefault="00785035" w:rsidP="0078503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900884"/>
      <w:docPartObj>
        <w:docPartGallery w:val="Page Numbers (Bottom of Page)"/>
        <w:docPartUnique/>
      </w:docPartObj>
    </w:sdtPr>
    <w:sdtEndPr>
      <w:rPr>
        <w:rStyle w:val="PageNumber"/>
      </w:rPr>
    </w:sdtEndPr>
    <w:sdtContent>
      <w:p w:rsidR="00CE46AC" w:rsidRDefault="00120069" w:rsidP="00AE3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E46AC" w:rsidRDefault="00120069" w:rsidP="009530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2767804"/>
      <w:docPartObj>
        <w:docPartGallery w:val="Page Numbers (Bottom of Page)"/>
        <w:docPartUnique/>
      </w:docPartObj>
    </w:sdtPr>
    <w:sdtEndPr>
      <w:rPr>
        <w:rStyle w:val="PageNumber"/>
      </w:rPr>
    </w:sdtEndPr>
    <w:sdtContent>
      <w:p w:rsidR="00CE46AC" w:rsidRDefault="00120069" w:rsidP="00AE3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5035">
          <w:rPr>
            <w:rStyle w:val="PageNumber"/>
            <w:noProof/>
          </w:rPr>
          <w:t>23</w:t>
        </w:r>
        <w:r>
          <w:rPr>
            <w:rStyle w:val="PageNumber"/>
          </w:rPr>
          <w:fldChar w:fldCharType="end"/>
        </w:r>
      </w:p>
    </w:sdtContent>
  </w:sdt>
  <w:p w:rsidR="00CE46AC" w:rsidRDefault="00120069" w:rsidP="009530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69" w:rsidRDefault="00120069" w:rsidP="00785035">
      <w:r>
        <w:separator/>
      </w:r>
    </w:p>
  </w:footnote>
  <w:footnote w:type="continuationSeparator" w:id="0">
    <w:p w:rsidR="00120069" w:rsidRDefault="00120069" w:rsidP="00785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5FE"/>
    <w:multiLevelType w:val="multilevel"/>
    <w:tmpl w:val="7102E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56B72"/>
    <w:multiLevelType w:val="multilevel"/>
    <w:tmpl w:val="9AA0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67327"/>
    <w:multiLevelType w:val="hybridMultilevel"/>
    <w:tmpl w:val="23B07F40"/>
    <w:lvl w:ilvl="0" w:tplc="4544B9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55F03"/>
    <w:multiLevelType w:val="multilevel"/>
    <w:tmpl w:val="93A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A1F"/>
    <w:multiLevelType w:val="hybridMultilevel"/>
    <w:tmpl w:val="230C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A10D0D"/>
    <w:multiLevelType w:val="multilevel"/>
    <w:tmpl w:val="D49E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D0BA4"/>
    <w:multiLevelType w:val="multilevel"/>
    <w:tmpl w:val="AAB8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30D29"/>
    <w:multiLevelType w:val="hybridMultilevel"/>
    <w:tmpl w:val="1CC0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50336"/>
    <w:multiLevelType w:val="hybridMultilevel"/>
    <w:tmpl w:val="A2D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D45DB"/>
    <w:multiLevelType w:val="hybridMultilevel"/>
    <w:tmpl w:val="2DF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9"/>
  </w:num>
  <w:num w:numId="6">
    <w:abstractNumId w:val="1"/>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35"/>
    <w:rsid w:val="00110899"/>
    <w:rsid w:val="00120069"/>
    <w:rsid w:val="00785035"/>
    <w:rsid w:val="0082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A1E60-2EE5-4C9A-B5CE-1461C581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503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50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503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850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8503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78503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85035"/>
    <w:rPr>
      <w:sz w:val="20"/>
      <w:szCs w:val="20"/>
    </w:rPr>
  </w:style>
  <w:style w:type="character" w:styleId="FootnoteReference">
    <w:name w:val="footnote reference"/>
    <w:basedOn w:val="DefaultParagraphFont"/>
    <w:unhideWhenUsed/>
    <w:rsid w:val="00785035"/>
    <w:rPr>
      <w:vertAlign w:val="superscript"/>
    </w:rPr>
  </w:style>
  <w:style w:type="paragraph" w:styleId="ListParagraph">
    <w:name w:val="List Paragraph"/>
    <w:basedOn w:val="Normal"/>
    <w:uiPriority w:val="34"/>
    <w:qFormat/>
    <w:rsid w:val="0078503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850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5035"/>
  </w:style>
  <w:style w:type="paragraph" w:styleId="Footer">
    <w:name w:val="footer"/>
    <w:basedOn w:val="Normal"/>
    <w:link w:val="FooterChar"/>
    <w:uiPriority w:val="99"/>
    <w:unhideWhenUsed/>
    <w:rsid w:val="007850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5035"/>
  </w:style>
  <w:style w:type="paragraph" w:styleId="BalloonText">
    <w:name w:val="Balloon Text"/>
    <w:basedOn w:val="Normal"/>
    <w:link w:val="BalloonTextChar"/>
    <w:uiPriority w:val="99"/>
    <w:semiHidden/>
    <w:unhideWhenUsed/>
    <w:rsid w:val="00785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3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5035"/>
    <w:rPr>
      <w:sz w:val="16"/>
      <w:szCs w:val="16"/>
    </w:rPr>
  </w:style>
  <w:style w:type="paragraph" w:styleId="CommentText">
    <w:name w:val="annotation text"/>
    <w:basedOn w:val="Normal"/>
    <w:link w:val="CommentTextChar"/>
    <w:uiPriority w:val="99"/>
    <w:unhideWhenUsed/>
    <w:rsid w:val="0078503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85035"/>
    <w:rPr>
      <w:sz w:val="20"/>
      <w:szCs w:val="20"/>
    </w:rPr>
  </w:style>
  <w:style w:type="paragraph" w:styleId="CommentSubject">
    <w:name w:val="annotation subject"/>
    <w:basedOn w:val="CommentText"/>
    <w:next w:val="CommentText"/>
    <w:link w:val="CommentSubjectChar"/>
    <w:uiPriority w:val="99"/>
    <w:semiHidden/>
    <w:unhideWhenUsed/>
    <w:rsid w:val="00785035"/>
    <w:rPr>
      <w:b/>
      <w:bCs/>
    </w:rPr>
  </w:style>
  <w:style w:type="character" w:customStyle="1" w:styleId="CommentSubjectChar">
    <w:name w:val="Comment Subject Char"/>
    <w:basedOn w:val="CommentTextChar"/>
    <w:link w:val="CommentSubject"/>
    <w:uiPriority w:val="99"/>
    <w:semiHidden/>
    <w:rsid w:val="00785035"/>
    <w:rPr>
      <w:b/>
      <w:bCs/>
      <w:sz w:val="20"/>
      <w:szCs w:val="20"/>
    </w:rPr>
  </w:style>
  <w:style w:type="paragraph" w:styleId="Revision">
    <w:name w:val="Revision"/>
    <w:hidden/>
    <w:uiPriority w:val="99"/>
    <w:semiHidden/>
    <w:rsid w:val="00785035"/>
    <w:pPr>
      <w:spacing w:after="0" w:line="240" w:lineRule="auto"/>
    </w:pPr>
  </w:style>
  <w:style w:type="paragraph" w:styleId="EndnoteText">
    <w:name w:val="endnote text"/>
    <w:basedOn w:val="Normal"/>
    <w:link w:val="EndnoteTextChar"/>
    <w:uiPriority w:val="99"/>
    <w:semiHidden/>
    <w:unhideWhenUsed/>
    <w:rsid w:val="00785035"/>
    <w:rPr>
      <w:sz w:val="20"/>
      <w:szCs w:val="20"/>
    </w:rPr>
  </w:style>
  <w:style w:type="character" w:customStyle="1" w:styleId="EndnoteTextChar">
    <w:name w:val="Endnote Text Char"/>
    <w:basedOn w:val="DefaultParagraphFont"/>
    <w:link w:val="EndnoteText"/>
    <w:uiPriority w:val="99"/>
    <w:semiHidden/>
    <w:rsid w:val="0078503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85035"/>
    <w:rPr>
      <w:vertAlign w:val="superscript"/>
    </w:rPr>
  </w:style>
  <w:style w:type="character" w:styleId="Hyperlink">
    <w:name w:val="Hyperlink"/>
    <w:rsid w:val="00785035"/>
    <w:rPr>
      <w:color w:val="0000FF"/>
      <w:u w:val="single"/>
    </w:rPr>
  </w:style>
  <w:style w:type="character" w:customStyle="1" w:styleId="UnresolvedMention1">
    <w:name w:val="Unresolved Mention1"/>
    <w:basedOn w:val="DefaultParagraphFont"/>
    <w:uiPriority w:val="99"/>
    <w:semiHidden/>
    <w:unhideWhenUsed/>
    <w:rsid w:val="00785035"/>
    <w:rPr>
      <w:color w:val="605E5C"/>
      <w:shd w:val="clear" w:color="auto" w:fill="E1DFDD"/>
    </w:rPr>
  </w:style>
  <w:style w:type="character" w:styleId="PageNumber">
    <w:name w:val="page number"/>
    <w:basedOn w:val="DefaultParagraphFont"/>
    <w:uiPriority w:val="99"/>
    <w:semiHidden/>
    <w:unhideWhenUsed/>
    <w:rsid w:val="00785035"/>
  </w:style>
  <w:style w:type="paragraph" w:styleId="NormalWeb">
    <w:name w:val="Normal (Web)"/>
    <w:basedOn w:val="Normal"/>
    <w:uiPriority w:val="99"/>
    <w:unhideWhenUsed/>
    <w:rsid w:val="00785035"/>
  </w:style>
  <w:style w:type="character" w:styleId="Strong">
    <w:name w:val="Strong"/>
    <w:basedOn w:val="DefaultParagraphFont"/>
    <w:uiPriority w:val="22"/>
    <w:qFormat/>
    <w:rsid w:val="00785035"/>
    <w:rPr>
      <w:b/>
      <w:bCs/>
    </w:rPr>
  </w:style>
  <w:style w:type="character" w:customStyle="1" w:styleId="UnresolvedMention">
    <w:name w:val="Unresolved Mention"/>
    <w:basedOn w:val="DefaultParagraphFont"/>
    <w:uiPriority w:val="99"/>
    <w:rsid w:val="00785035"/>
    <w:rPr>
      <w:color w:val="605E5C"/>
      <w:shd w:val="clear" w:color="auto" w:fill="E1DFDD"/>
    </w:rPr>
  </w:style>
  <w:style w:type="character" w:styleId="FollowedHyperlink">
    <w:name w:val="FollowedHyperlink"/>
    <w:basedOn w:val="DefaultParagraphFont"/>
    <w:uiPriority w:val="99"/>
    <w:semiHidden/>
    <w:unhideWhenUsed/>
    <w:rsid w:val="00785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ageuk.org.uk/documents/en-gb/for-professionals/equality-and-human-rights/older_people_human_rights__expert_series_pro.pdf?dtrk=true" TargetMode="External"/><Relationship Id="rId2" Type="http://schemas.openxmlformats.org/officeDocument/2006/relationships/hyperlink" Target="http://www.ageuk.org.uk/documents/en-gb/for-professionals/equality-and-human-rights/older_people_human_rights__expert_series_pro.pdf?dtrk=true" TargetMode="External"/><Relationship Id="rId1" Type="http://schemas.openxmlformats.org/officeDocument/2006/relationships/hyperlink" Target="https://americanpetproducts.org/Uploads/MemServices/GPE2017_NPOS_Seminar.pdf" TargetMode="External"/><Relationship Id="rId4" Type="http://schemas.openxmlformats.org/officeDocument/2006/relationships/hyperlink" Target="https://americanpetproducts.org/Uploads/MemServices/GPE2017_NPOS_Semin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8393</Words>
  <Characters>47841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David [dmcgowan]</dc:creator>
  <cp:keywords/>
  <dc:description/>
  <cp:lastModifiedBy>McGowan, David [dmcgowan]</cp:lastModifiedBy>
  <cp:revision>2</cp:revision>
  <dcterms:created xsi:type="dcterms:W3CDTF">2019-04-12T07:14:00Z</dcterms:created>
  <dcterms:modified xsi:type="dcterms:W3CDTF">2019-04-12T07:15:00Z</dcterms:modified>
</cp:coreProperties>
</file>