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6E1AC" w14:textId="77777777" w:rsidR="008C36A7" w:rsidRDefault="008C36A7" w:rsidP="008C36A7">
      <w:pPr>
        <w:pStyle w:val="Heading1"/>
        <w:spacing w:before="0"/>
        <w:textAlignment w:val="baseline"/>
        <w:rPr>
          <w:color w:val="2A2A2A"/>
        </w:rPr>
      </w:pPr>
      <w:r>
        <w:rPr>
          <w:color w:val="2A2A2A"/>
        </w:rPr>
        <w:t>Prison versus Western Australia: Which worked best, the Australian penal colony or the English convict prison system?</w:t>
      </w:r>
    </w:p>
    <w:p w14:paraId="680C2D84" w14:textId="77777777" w:rsidR="008C36A7" w:rsidRDefault="008C36A7" w:rsidP="008C36A7">
      <w:pPr>
        <w:textAlignment w:val="baseline"/>
        <w:rPr>
          <w:rFonts w:ascii="inherit" w:hAnsi="inherit"/>
          <w:color w:val="2A2A2A"/>
          <w:sz w:val="26"/>
          <w:szCs w:val="26"/>
        </w:rPr>
      </w:pPr>
      <w:r>
        <w:rPr>
          <w:rStyle w:val="al-author-name-more"/>
          <w:rFonts w:ascii="inherit" w:hAnsi="inherit"/>
          <w:color w:val="2A2A2A"/>
          <w:sz w:val="26"/>
          <w:szCs w:val="26"/>
          <w:bdr w:val="none" w:sz="0" w:space="0" w:color="auto" w:frame="1"/>
        </w:rPr>
        <w:t>Barry Godfrey</w:t>
      </w:r>
    </w:p>
    <w:p w14:paraId="4343B2CF" w14:textId="77777777" w:rsidR="008C36A7" w:rsidRDefault="008C36A7" w:rsidP="008C36A7">
      <w:pPr>
        <w:textAlignment w:val="baseline"/>
        <w:rPr>
          <w:rStyle w:val="Emphasis"/>
          <w:rFonts w:ascii="inherit" w:hAnsi="inherit"/>
          <w:color w:val="2A2A2A"/>
          <w:sz w:val="26"/>
          <w:szCs w:val="26"/>
          <w:bdr w:val="none" w:sz="0" w:space="0" w:color="auto" w:frame="1"/>
        </w:rPr>
      </w:pPr>
    </w:p>
    <w:p w14:paraId="607A3EF7" w14:textId="13E5CA9D" w:rsidR="008C36A7" w:rsidRPr="008C36A7" w:rsidRDefault="008C36A7" w:rsidP="008C36A7">
      <w:pPr>
        <w:textAlignment w:val="baseline"/>
        <w:rPr>
          <w:rFonts w:ascii="inherit" w:hAnsi="inherit"/>
          <w:color w:val="2A2A2A"/>
          <w:sz w:val="26"/>
          <w:szCs w:val="26"/>
        </w:rPr>
      </w:pPr>
      <w:r>
        <w:rPr>
          <w:rStyle w:val="Emphasis"/>
          <w:rFonts w:ascii="inherit" w:hAnsi="inherit"/>
          <w:color w:val="2A2A2A"/>
          <w:sz w:val="26"/>
          <w:szCs w:val="26"/>
          <w:bdr w:val="none" w:sz="0" w:space="0" w:color="auto" w:frame="1"/>
        </w:rPr>
        <w:t>The British Journal of Criminology</w:t>
      </w:r>
      <w:r>
        <w:rPr>
          <w:rFonts w:ascii="inherit" w:hAnsi="inherit"/>
          <w:color w:val="2A2A2A"/>
          <w:sz w:val="26"/>
          <w:szCs w:val="26"/>
        </w:rPr>
        <w:t>, azz012,</w:t>
      </w:r>
      <w:r>
        <w:rPr>
          <w:rStyle w:val="apple-converted-space"/>
          <w:rFonts w:ascii="inherit" w:hAnsi="inherit"/>
          <w:color w:val="2A2A2A"/>
          <w:sz w:val="26"/>
          <w:szCs w:val="26"/>
        </w:rPr>
        <w:t> </w:t>
      </w:r>
      <w:hyperlink r:id="rId8" w:history="1">
        <w:r>
          <w:rPr>
            <w:rStyle w:val="Hyperlink"/>
            <w:rFonts w:ascii="inherit" w:hAnsi="inherit"/>
            <w:color w:val="006FB7"/>
            <w:sz w:val="26"/>
            <w:szCs w:val="26"/>
            <w:bdr w:val="none" w:sz="0" w:space="0" w:color="auto" w:frame="1"/>
          </w:rPr>
          <w:t>https://doi.org/10.1093/bjc/azz012</w:t>
        </w:r>
      </w:hyperlink>
      <w:bookmarkStart w:id="0" w:name="_GoBack"/>
      <w:bookmarkEnd w:id="0"/>
      <w:r>
        <w:rPr>
          <w:rStyle w:val="apple-converted-space"/>
          <w:rFonts w:ascii="inherit" w:hAnsi="inherit"/>
          <w:color w:val="2A2A2A"/>
          <w:sz w:val="26"/>
          <w:szCs w:val="26"/>
        </w:rPr>
        <w:t> </w:t>
      </w:r>
    </w:p>
    <w:p w14:paraId="245BAEE3" w14:textId="77777777" w:rsidR="008C36A7" w:rsidRDefault="008C36A7" w:rsidP="00B101EC">
      <w:pPr>
        <w:spacing w:line="360" w:lineRule="auto"/>
        <w:jc w:val="both"/>
        <w:rPr>
          <w:color w:val="000000" w:themeColor="text1"/>
          <w:sz w:val="22"/>
          <w:szCs w:val="22"/>
        </w:rPr>
      </w:pPr>
    </w:p>
    <w:p w14:paraId="4B45760D" w14:textId="4CCE6092" w:rsidR="00717566" w:rsidRDefault="00AB4FD6" w:rsidP="00B101EC">
      <w:pPr>
        <w:spacing w:line="360" w:lineRule="auto"/>
        <w:jc w:val="both"/>
        <w:rPr>
          <w:color w:val="000000" w:themeColor="text1"/>
          <w:sz w:val="22"/>
          <w:szCs w:val="22"/>
        </w:rPr>
      </w:pPr>
      <w:r w:rsidRPr="00567C90">
        <w:rPr>
          <w:color w:val="000000" w:themeColor="text1"/>
          <w:sz w:val="22"/>
          <w:szCs w:val="22"/>
        </w:rPr>
        <w:t>This year marks the 150</w:t>
      </w:r>
      <w:r w:rsidRPr="00567C90">
        <w:rPr>
          <w:color w:val="000000" w:themeColor="text1"/>
          <w:sz w:val="22"/>
          <w:szCs w:val="22"/>
          <w:vertAlign w:val="superscript"/>
        </w:rPr>
        <w:t>th</w:t>
      </w:r>
      <w:r w:rsidRPr="00567C90">
        <w:rPr>
          <w:color w:val="000000" w:themeColor="text1"/>
          <w:sz w:val="22"/>
          <w:szCs w:val="22"/>
        </w:rPr>
        <w:t xml:space="preserve"> anniversary of the </w:t>
      </w:r>
      <w:r w:rsidR="00B8390E">
        <w:rPr>
          <w:color w:val="000000" w:themeColor="text1"/>
          <w:sz w:val="22"/>
          <w:szCs w:val="22"/>
        </w:rPr>
        <w:t xml:space="preserve">landing of </w:t>
      </w:r>
      <w:r w:rsidR="00C1423A">
        <w:rPr>
          <w:color w:val="000000" w:themeColor="text1"/>
          <w:sz w:val="22"/>
          <w:szCs w:val="22"/>
        </w:rPr>
        <w:t xml:space="preserve">the </w:t>
      </w:r>
      <w:r w:rsidR="00DA428F">
        <w:rPr>
          <w:color w:val="000000" w:themeColor="text1"/>
          <w:sz w:val="22"/>
          <w:szCs w:val="22"/>
        </w:rPr>
        <w:t xml:space="preserve">last convict ship </w:t>
      </w:r>
      <w:r w:rsidR="00DD64A7">
        <w:rPr>
          <w:color w:val="000000" w:themeColor="text1"/>
          <w:sz w:val="22"/>
          <w:szCs w:val="22"/>
        </w:rPr>
        <w:t>docked in</w:t>
      </w:r>
      <w:r w:rsidR="0068538A">
        <w:rPr>
          <w:color w:val="000000" w:themeColor="text1"/>
          <w:sz w:val="22"/>
          <w:szCs w:val="22"/>
        </w:rPr>
        <w:t xml:space="preserve"> Western Australia,</w:t>
      </w:r>
      <w:r w:rsidR="00DD64A7">
        <w:rPr>
          <w:color w:val="000000" w:themeColor="text1"/>
          <w:sz w:val="22"/>
          <w:szCs w:val="22"/>
        </w:rPr>
        <w:t xml:space="preserve"> </w:t>
      </w:r>
      <w:r w:rsidR="00DA428F">
        <w:rPr>
          <w:color w:val="000000" w:themeColor="text1"/>
          <w:sz w:val="22"/>
          <w:szCs w:val="22"/>
        </w:rPr>
        <w:t>and the end</w:t>
      </w:r>
      <w:r w:rsidRPr="00567C90">
        <w:rPr>
          <w:color w:val="000000" w:themeColor="text1"/>
          <w:sz w:val="22"/>
          <w:szCs w:val="22"/>
        </w:rPr>
        <w:t xml:space="preserve"> of </w:t>
      </w:r>
      <w:r w:rsidR="00DA428F">
        <w:rPr>
          <w:color w:val="000000" w:themeColor="text1"/>
          <w:sz w:val="22"/>
          <w:szCs w:val="22"/>
        </w:rPr>
        <w:t>transportation to Australia.</w:t>
      </w:r>
      <w:r w:rsidR="00717566" w:rsidRPr="00567C90">
        <w:rPr>
          <w:color w:val="000000" w:themeColor="text1"/>
          <w:sz w:val="22"/>
          <w:szCs w:val="22"/>
        </w:rPr>
        <w:t xml:space="preserve"> </w:t>
      </w:r>
      <w:r w:rsidR="00717566">
        <w:rPr>
          <w:color w:val="000000" w:themeColor="text1"/>
          <w:sz w:val="22"/>
          <w:szCs w:val="22"/>
        </w:rPr>
        <w:t>Aside from local commemorations and events</w:t>
      </w:r>
      <w:r w:rsidR="00717566" w:rsidRPr="00DD64A7">
        <w:rPr>
          <w:color w:val="000000" w:themeColor="text1"/>
          <w:sz w:val="22"/>
          <w:szCs w:val="22"/>
        </w:rPr>
        <w:t xml:space="preserve"> </w:t>
      </w:r>
      <w:r w:rsidR="00717566">
        <w:rPr>
          <w:color w:val="000000" w:themeColor="text1"/>
          <w:sz w:val="22"/>
          <w:szCs w:val="22"/>
        </w:rPr>
        <w:t xml:space="preserve">in Fremantle and Perth, there has also been </w:t>
      </w:r>
      <w:r w:rsidR="00717566" w:rsidRPr="00567C90">
        <w:rPr>
          <w:color w:val="000000" w:themeColor="text1"/>
          <w:sz w:val="22"/>
          <w:szCs w:val="22"/>
        </w:rPr>
        <w:t>a</w:t>
      </w:r>
      <w:r w:rsidR="00717566">
        <w:rPr>
          <w:color w:val="000000" w:themeColor="text1"/>
          <w:sz w:val="22"/>
          <w:szCs w:val="22"/>
        </w:rPr>
        <w:t>n academic</w:t>
      </w:r>
      <w:r w:rsidR="00717566" w:rsidRPr="00567C90">
        <w:rPr>
          <w:color w:val="000000" w:themeColor="text1"/>
          <w:sz w:val="22"/>
          <w:szCs w:val="22"/>
        </w:rPr>
        <w:t xml:space="preserve"> re-appraisal of the global transportation system.</w:t>
      </w:r>
      <w:r w:rsidR="00717566" w:rsidRPr="00567C90">
        <w:rPr>
          <w:rStyle w:val="FootnoteReference"/>
          <w:color w:val="000000" w:themeColor="text1"/>
          <w:sz w:val="22"/>
          <w:szCs w:val="22"/>
        </w:rPr>
        <w:footnoteReference w:id="1"/>
      </w:r>
      <w:r w:rsidR="00717566" w:rsidRPr="00567C90">
        <w:rPr>
          <w:color w:val="000000" w:themeColor="text1"/>
          <w:sz w:val="22"/>
          <w:szCs w:val="22"/>
        </w:rPr>
        <w:t xml:space="preserve"> </w:t>
      </w:r>
      <w:r w:rsidR="00717566">
        <w:rPr>
          <w:color w:val="000000" w:themeColor="text1"/>
          <w:sz w:val="22"/>
          <w:szCs w:val="22"/>
        </w:rPr>
        <w:t xml:space="preserve">The system of transporting convicts from Britain to Australia was only one part of a world-wide system operated by Imperial </w:t>
      </w:r>
      <w:r w:rsidR="00A24DD6">
        <w:rPr>
          <w:color w:val="000000" w:themeColor="text1"/>
          <w:sz w:val="22"/>
          <w:szCs w:val="22"/>
        </w:rPr>
        <w:t>force</w:t>
      </w:r>
      <w:r w:rsidR="00717566">
        <w:rPr>
          <w:color w:val="000000" w:themeColor="text1"/>
          <w:sz w:val="22"/>
          <w:szCs w:val="22"/>
        </w:rPr>
        <w:t>s</w:t>
      </w:r>
      <w:r w:rsidR="00CD658D">
        <w:rPr>
          <w:color w:val="000000" w:themeColor="text1"/>
          <w:sz w:val="22"/>
          <w:szCs w:val="22"/>
        </w:rPr>
        <w:t>,</w:t>
      </w:r>
      <w:r w:rsidR="00717566">
        <w:rPr>
          <w:color w:val="000000" w:themeColor="text1"/>
          <w:sz w:val="22"/>
          <w:szCs w:val="22"/>
        </w:rPr>
        <w:t xml:space="preserve"> as Anderson (</w:t>
      </w:r>
      <w:r w:rsidR="00717566" w:rsidRPr="004E6CC6">
        <w:rPr>
          <w:color w:val="000000" w:themeColor="text1"/>
          <w:sz w:val="22"/>
          <w:szCs w:val="22"/>
        </w:rPr>
        <w:t>2016</w:t>
      </w:r>
      <w:r w:rsidR="00717566">
        <w:rPr>
          <w:color w:val="000000" w:themeColor="text1"/>
          <w:sz w:val="22"/>
          <w:szCs w:val="22"/>
        </w:rPr>
        <w:t xml:space="preserve">) </w:t>
      </w:r>
      <w:r w:rsidR="00A24DD6">
        <w:rPr>
          <w:color w:val="000000" w:themeColor="text1"/>
          <w:sz w:val="22"/>
          <w:szCs w:val="22"/>
        </w:rPr>
        <w:t>has shown; and</w:t>
      </w:r>
      <w:r w:rsidR="00717566" w:rsidRPr="004E6CC6">
        <w:rPr>
          <w:color w:val="000000" w:themeColor="text1"/>
          <w:sz w:val="22"/>
          <w:szCs w:val="22"/>
        </w:rPr>
        <w:t xml:space="preserve"> </w:t>
      </w:r>
      <w:r w:rsidR="00717566">
        <w:rPr>
          <w:color w:val="000000" w:themeColor="text1"/>
          <w:sz w:val="22"/>
          <w:szCs w:val="22"/>
        </w:rPr>
        <w:t>convict transportation to the eastern colonies (V</w:t>
      </w:r>
      <w:r w:rsidR="00B17872">
        <w:rPr>
          <w:color w:val="000000" w:themeColor="text1"/>
          <w:sz w:val="22"/>
          <w:szCs w:val="22"/>
        </w:rPr>
        <w:t xml:space="preserve">DL </w:t>
      </w:r>
      <w:r w:rsidR="00717566">
        <w:rPr>
          <w:color w:val="000000" w:themeColor="text1"/>
          <w:sz w:val="22"/>
          <w:szCs w:val="22"/>
        </w:rPr>
        <w:t xml:space="preserve">and </w:t>
      </w:r>
      <w:r w:rsidR="00B17872">
        <w:rPr>
          <w:color w:val="000000" w:themeColor="text1"/>
          <w:sz w:val="22"/>
          <w:szCs w:val="22"/>
        </w:rPr>
        <w:t>NSW</w:t>
      </w:r>
      <w:r w:rsidR="00717566">
        <w:rPr>
          <w:color w:val="000000" w:themeColor="text1"/>
          <w:sz w:val="22"/>
          <w:szCs w:val="22"/>
        </w:rPr>
        <w:t xml:space="preserve">) </w:t>
      </w:r>
      <w:r w:rsidR="00717566" w:rsidRPr="004E6CC6">
        <w:rPr>
          <w:color w:val="000000" w:themeColor="text1"/>
          <w:sz w:val="22"/>
          <w:szCs w:val="22"/>
        </w:rPr>
        <w:t xml:space="preserve">has received a large amount of scholarly attention </w:t>
      </w:r>
      <w:r w:rsidR="00717566" w:rsidRPr="00B109C1">
        <w:rPr>
          <w:color w:val="000000" w:themeColor="text1"/>
          <w:sz w:val="22"/>
          <w:szCs w:val="22"/>
        </w:rPr>
        <w:t>(Hughes 1987</w:t>
      </w:r>
      <w:r w:rsidR="00717566">
        <w:rPr>
          <w:color w:val="000000" w:themeColor="text1"/>
          <w:sz w:val="22"/>
          <w:szCs w:val="22"/>
        </w:rPr>
        <w:t>;</w:t>
      </w:r>
      <w:r w:rsidR="00717566" w:rsidRPr="00B109C1">
        <w:rPr>
          <w:color w:val="000000" w:themeColor="text1"/>
          <w:sz w:val="22"/>
          <w:szCs w:val="22"/>
        </w:rPr>
        <w:t xml:space="preserve"> O’Toole 2006</w:t>
      </w:r>
      <w:r w:rsidR="00717566">
        <w:rPr>
          <w:color w:val="000000" w:themeColor="text1"/>
          <w:sz w:val="22"/>
          <w:szCs w:val="22"/>
        </w:rPr>
        <w:t>;</w:t>
      </w:r>
      <w:r w:rsidR="00717566" w:rsidRPr="00B109C1">
        <w:rPr>
          <w:color w:val="000000" w:themeColor="text1"/>
          <w:sz w:val="22"/>
          <w:szCs w:val="22"/>
        </w:rPr>
        <w:t xml:space="preserve"> Maxwell-Stewart and Godfrey 2018). </w:t>
      </w:r>
      <w:r w:rsidR="00717566">
        <w:rPr>
          <w:color w:val="000000" w:themeColor="text1"/>
          <w:sz w:val="22"/>
          <w:szCs w:val="22"/>
        </w:rPr>
        <w:t xml:space="preserve">However, the transportation of </w:t>
      </w:r>
      <w:r w:rsidR="008A5DA8">
        <w:rPr>
          <w:color w:val="000000" w:themeColor="text1"/>
          <w:sz w:val="22"/>
          <w:szCs w:val="22"/>
        </w:rPr>
        <w:t>nearly</w:t>
      </w:r>
      <w:r w:rsidR="00CD658D">
        <w:rPr>
          <w:color w:val="000000" w:themeColor="text1"/>
          <w:sz w:val="22"/>
          <w:szCs w:val="22"/>
        </w:rPr>
        <w:t xml:space="preserve"> </w:t>
      </w:r>
      <w:r w:rsidR="00717566">
        <w:rPr>
          <w:color w:val="000000" w:themeColor="text1"/>
          <w:sz w:val="22"/>
          <w:szCs w:val="22"/>
        </w:rPr>
        <w:t xml:space="preserve">ten thousand </w:t>
      </w:r>
      <w:r w:rsidR="00717566" w:rsidRPr="00633144">
        <w:rPr>
          <w:color w:val="000000" w:themeColor="text1"/>
          <w:sz w:val="22"/>
          <w:szCs w:val="22"/>
        </w:rPr>
        <w:t>convicts to Western Australia has received less attention (</w:t>
      </w:r>
      <w:proofErr w:type="spellStart"/>
      <w:r w:rsidR="00717566" w:rsidRPr="00633144">
        <w:rPr>
          <w:color w:val="000000" w:themeColor="text1"/>
          <w:sz w:val="22"/>
          <w:szCs w:val="22"/>
        </w:rPr>
        <w:t>Gertzel</w:t>
      </w:r>
      <w:proofErr w:type="spellEnd"/>
      <w:r w:rsidR="00717566" w:rsidRPr="00633144">
        <w:rPr>
          <w:color w:val="000000" w:themeColor="text1"/>
          <w:sz w:val="22"/>
          <w:szCs w:val="22"/>
        </w:rPr>
        <w:t xml:space="preserve"> 1949; Anderson 1964; Calvert 1894;</w:t>
      </w:r>
      <w:r w:rsidR="00717566">
        <w:rPr>
          <w:color w:val="000000" w:themeColor="text1"/>
          <w:sz w:val="22"/>
          <w:szCs w:val="22"/>
        </w:rPr>
        <w:t xml:space="preserve"> </w:t>
      </w:r>
      <w:r w:rsidR="00717566" w:rsidRPr="00633144">
        <w:rPr>
          <w:color w:val="000000" w:themeColor="text1"/>
          <w:sz w:val="22"/>
          <w:szCs w:val="22"/>
        </w:rPr>
        <w:t xml:space="preserve">Crowley 1960). </w:t>
      </w:r>
      <w:r w:rsidR="00A24DD6">
        <w:rPr>
          <w:color w:val="000000" w:themeColor="text1"/>
          <w:sz w:val="22"/>
          <w:szCs w:val="22"/>
        </w:rPr>
        <w:t>One could argue that t</w:t>
      </w:r>
      <w:r w:rsidR="00717566" w:rsidRPr="00633144">
        <w:rPr>
          <w:color w:val="000000" w:themeColor="text1"/>
          <w:sz w:val="22"/>
          <w:szCs w:val="22"/>
        </w:rPr>
        <w:t xml:space="preserve">he British or ‘home’ convict system has received </w:t>
      </w:r>
      <w:r w:rsidR="00A24DD6">
        <w:rPr>
          <w:color w:val="000000" w:themeColor="text1"/>
          <w:sz w:val="22"/>
          <w:szCs w:val="22"/>
        </w:rPr>
        <w:t>the least</w:t>
      </w:r>
      <w:r w:rsidR="00717566" w:rsidRPr="00633144">
        <w:rPr>
          <w:color w:val="000000" w:themeColor="text1"/>
          <w:sz w:val="22"/>
          <w:szCs w:val="22"/>
        </w:rPr>
        <w:t xml:space="preserve"> attention </w:t>
      </w:r>
      <w:r w:rsidR="00A24DD6">
        <w:rPr>
          <w:color w:val="000000" w:themeColor="text1"/>
          <w:sz w:val="22"/>
          <w:szCs w:val="22"/>
        </w:rPr>
        <w:t xml:space="preserve">of all the convict systems in operation in the nineteenth-century </w:t>
      </w:r>
      <w:r w:rsidR="00717566" w:rsidRPr="00633144">
        <w:rPr>
          <w:color w:val="000000" w:themeColor="text1"/>
          <w:sz w:val="22"/>
          <w:szCs w:val="22"/>
        </w:rPr>
        <w:t xml:space="preserve">(McConville 1981; Johnston 2015). </w:t>
      </w:r>
    </w:p>
    <w:p w14:paraId="342523F2" w14:textId="34693EE6" w:rsidR="00DF273E" w:rsidRDefault="00CE21E8" w:rsidP="00B101EC">
      <w:pPr>
        <w:spacing w:line="360" w:lineRule="auto"/>
        <w:jc w:val="both"/>
        <w:rPr>
          <w:color w:val="000000" w:themeColor="text1"/>
          <w:sz w:val="22"/>
          <w:szCs w:val="22"/>
        </w:rPr>
      </w:pPr>
      <w:r>
        <w:rPr>
          <w:color w:val="000000" w:themeColor="text1"/>
          <w:sz w:val="22"/>
          <w:szCs w:val="22"/>
        </w:rPr>
        <w:t>Using digital data (</w:t>
      </w:r>
      <w:r w:rsidRPr="00020E40">
        <w:rPr>
          <w:color w:val="000000" w:themeColor="text1"/>
          <w:sz w:val="22"/>
          <w:szCs w:val="22"/>
        </w:rPr>
        <w:t>www.digitalpanop</w:t>
      </w:r>
      <w:r>
        <w:rPr>
          <w:color w:val="000000" w:themeColor="text1"/>
          <w:sz w:val="22"/>
          <w:szCs w:val="22"/>
        </w:rPr>
        <w:t>ticon.org) i</w:t>
      </w:r>
      <w:r w:rsidR="00A24DD6">
        <w:rPr>
          <w:color w:val="000000" w:themeColor="text1"/>
          <w:sz w:val="22"/>
          <w:szCs w:val="22"/>
        </w:rPr>
        <w:t>t ha</w:t>
      </w:r>
      <w:r w:rsidR="00717566">
        <w:rPr>
          <w:color w:val="000000" w:themeColor="text1"/>
          <w:sz w:val="22"/>
          <w:szCs w:val="22"/>
        </w:rPr>
        <w:t xml:space="preserve">s now </w:t>
      </w:r>
      <w:r w:rsidR="00A24DD6">
        <w:rPr>
          <w:color w:val="000000" w:themeColor="text1"/>
          <w:sz w:val="22"/>
          <w:szCs w:val="22"/>
        </w:rPr>
        <w:t xml:space="preserve">become </w:t>
      </w:r>
      <w:r w:rsidR="00717566">
        <w:rPr>
          <w:color w:val="000000" w:themeColor="text1"/>
          <w:sz w:val="22"/>
          <w:szCs w:val="22"/>
        </w:rPr>
        <w:t xml:space="preserve">possible to compare </w:t>
      </w:r>
      <w:r w:rsidR="00717566" w:rsidRPr="00FF3D82">
        <w:rPr>
          <w:color w:val="000000" w:themeColor="text1"/>
          <w:sz w:val="22"/>
          <w:szCs w:val="22"/>
        </w:rPr>
        <w:t>the eff</w:t>
      </w:r>
      <w:r w:rsidR="00717566">
        <w:rPr>
          <w:color w:val="000000" w:themeColor="text1"/>
          <w:sz w:val="22"/>
          <w:szCs w:val="22"/>
        </w:rPr>
        <w:t xml:space="preserve">ectiveness </w:t>
      </w:r>
      <w:r w:rsidR="00717566" w:rsidRPr="00FF3D82">
        <w:rPr>
          <w:color w:val="000000" w:themeColor="text1"/>
          <w:sz w:val="22"/>
          <w:szCs w:val="22"/>
        </w:rPr>
        <w:t>of the convict systems</w:t>
      </w:r>
      <w:r w:rsidR="00717566" w:rsidRPr="00020E40">
        <w:rPr>
          <w:color w:val="000000" w:themeColor="text1"/>
          <w:sz w:val="22"/>
          <w:szCs w:val="22"/>
        </w:rPr>
        <w:t xml:space="preserve"> </w:t>
      </w:r>
      <w:r w:rsidR="00717566">
        <w:rPr>
          <w:color w:val="000000" w:themeColor="text1"/>
          <w:sz w:val="22"/>
          <w:szCs w:val="22"/>
        </w:rPr>
        <w:t>that, between 1850 and 1868, oper</w:t>
      </w:r>
      <w:r w:rsidR="00A24DD6">
        <w:rPr>
          <w:color w:val="000000" w:themeColor="text1"/>
          <w:sz w:val="22"/>
          <w:szCs w:val="22"/>
        </w:rPr>
        <w:t>ated in tandem with each other - a natural experiment</w:t>
      </w:r>
      <w:r w:rsidR="00717566" w:rsidRPr="00FF3D82">
        <w:rPr>
          <w:color w:val="000000" w:themeColor="text1"/>
          <w:sz w:val="22"/>
          <w:szCs w:val="22"/>
        </w:rPr>
        <w:t xml:space="preserve"> when men convicted of similar crimes could either serve their </w:t>
      </w:r>
      <w:r w:rsidR="00A24DD6">
        <w:rPr>
          <w:color w:val="000000" w:themeColor="text1"/>
          <w:sz w:val="22"/>
          <w:szCs w:val="22"/>
        </w:rPr>
        <w:t xml:space="preserve">sentence of </w:t>
      </w:r>
      <w:r w:rsidR="00717566" w:rsidRPr="00FF3D82">
        <w:rPr>
          <w:color w:val="000000" w:themeColor="text1"/>
          <w:sz w:val="22"/>
          <w:szCs w:val="22"/>
        </w:rPr>
        <w:t xml:space="preserve">penal servitude in Britain or in Australia. For </w:t>
      </w:r>
      <w:r w:rsidR="00B17872">
        <w:rPr>
          <w:color w:val="000000" w:themeColor="text1"/>
          <w:sz w:val="22"/>
          <w:szCs w:val="22"/>
        </w:rPr>
        <w:t>researchers</w:t>
      </w:r>
      <w:r w:rsidR="00717566" w:rsidRPr="00FF3D82">
        <w:rPr>
          <w:color w:val="000000" w:themeColor="text1"/>
          <w:sz w:val="22"/>
          <w:szCs w:val="22"/>
        </w:rPr>
        <w:t>, this offers the prospect of addressing a key question</w:t>
      </w:r>
      <w:r w:rsidR="00717566">
        <w:rPr>
          <w:color w:val="000000" w:themeColor="text1"/>
          <w:sz w:val="22"/>
          <w:szCs w:val="22"/>
        </w:rPr>
        <w:t xml:space="preserve"> posed over two-hundred years ago</w:t>
      </w:r>
      <w:r w:rsidR="00A24DD6">
        <w:rPr>
          <w:color w:val="000000" w:themeColor="text1"/>
          <w:sz w:val="22"/>
          <w:szCs w:val="22"/>
        </w:rPr>
        <w:t xml:space="preserve"> by</w:t>
      </w:r>
      <w:r w:rsidR="00717566" w:rsidRPr="00FF3D82">
        <w:rPr>
          <w:color w:val="000000" w:themeColor="text1"/>
          <w:sz w:val="22"/>
          <w:szCs w:val="22"/>
        </w:rPr>
        <w:t xml:space="preserve"> the philosopher</w:t>
      </w:r>
      <w:r w:rsidR="00B17872">
        <w:rPr>
          <w:color w:val="000000" w:themeColor="text1"/>
          <w:sz w:val="22"/>
          <w:szCs w:val="22"/>
        </w:rPr>
        <w:t xml:space="preserve"> and </w:t>
      </w:r>
      <w:r w:rsidR="00717566" w:rsidRPr="00FF3D82">
        <w:rPr>
          <w:color w:val="000000" w:themeColor="text1"/>
          <w:sz w:val="22"/>
          <w:szCs w:val="22"/>
        </w:rPr>
        <w:t>penal reformer Jeremy Bentham</w:t>
      </w:r>
      <w:r w:rsidR="00CD658D">
        <w:rPr>
          <w:color w:val="000000" w:themeColor="text1"/>
          <w:sz w:val="22"/>
          <w:szCs w:val="22"/>
        </w:rPr>
        <w:t>,</w:t>
      </w:r>
      <w:r w:rsidR="00717566" w:rsidRPr="00FF3D82">
        <w:rPr>
          <w:color w:val="000000" w:themeColor="text1"/>
          <w:sz w:val="22"/>
          <w:szCs w:val="22"/>
        </w:rPr>
        <w:t xml:space="preserve"> </w:t>
      </w:r>
      <w:r w:rsidR="00A24DD6">
        <w:rPr>
          <w:color w:val="000000" w:themeColor="text1"/>
          <w:sz w:val="22"/>
          <w:szCs w:val="22"/>
        </w:rPr>
        <w:t xml:space="preserve">when he </w:t>
      </w:r>
      <w:r w:rsidR="00717566" w:rsidRPr="00FF3D82">
        <w:rPr>
          <w:color w:val="000000" w:themeColor="text1"/>
          <w:sz w:val="22"/>
          <w:szCs w:val="22"/>
        </w:rPr>
        <w:t xml:space="preserve">authored a lengthy letter entitled </w:t>
      </w:r>
      <w:r w:rsidR="00717566" w:rsidRPr="00C72322">
        <w:rPr>
          <w:color w:val="000000" w:themeColor="text1"/>
          <w:sz w:val="22"/>
          <w:szCs w:val="22"/>
        </w:rPr>
        <w:t>‘PANOPTICON versus NEW SOUTH WALES: OR, THE PANOPTICON PENITENTIARY SYSTEM, AND THE PENAL COLONIZATION SYSTEM, COMPARED.</w:t>
      </w:r>
      <w:r w:rsidR="00717566" w:rsidRPr="00C72322">
        <w:rPr>
          <w:rStyle w:val="FootnoteReference"/>
          <w:color w:val="000000" w:themeColor="text1"/>
          <w:sz w:val="22"/>
          <w:szCs w:val="22"/>
        </w:rPr>
        <w:footnoteReference w:id="2"/>
      </w:r>
      <w:r w:rsidR="00717566" w:rsidRPr="00C72322">
        <w:rPr>
          <w:color w:val="000000" w:themeColor="text1"/>
          <w:sz w:val="22"/>
          <w:szCs w:val="22"/>
        </w:rPr>
        <w:t xml:space="preserve"> To his mind, his design </w:t>
      </w:r>
      <w:r w:rsidR="00717566">
        <w:rPr>
          <w:color w:val="000000" w:themeColor="text1"/>
          <w:sz w:val="22"/>
          <w:szCs w:val="22"/>
        </w:rPr>
        <w:t xml:space="preserve">for the </w:t>
      </w:r>
      <w:r w:rsidR="00717566" w:rsidRPr="00FF3D82">
        <w:rPr>
          <w:color w:val="000000" w:themeColor="text1"/>
          <w:sz w:val="22"/>
          <w:szCs w:val="22"/>
        </w:rPr>
        <w:t xml:space="preserve">Panopticon prison </w:t>
      </w:r>
      <w:r w:rsidR="00717566">
        <w:rPr>
          <w:color w:val="000000" w:themeColor="text1"/>
          <w:sz w:val="22"/>
          <w:szCs w:val="22"/>
        </w:rPr>
        <w:t xml:space="preserve">(which was </w:t>
      </w:r>
      <w:r w:rsidR="00A24DD6">
        <w:rPr>
          <w:color w:val="000000" w:themeColor="text1"/>
          <w:sz w:val="22"/>
          <w:szCs w:val="22"/>
        </w:rPr>
        <w:t xml:space="preserve">in fact </w:t>
      </w:r>
      <w:r w:rsidR="00717566">
        <w:rPr>
          <w:color w:val="000000" w:themeColor="text1"/>
          <w:sz w:val="22"/>
          <w:szCs w:val="22"/>
        </w:rPr>
        <w:t xml:space="preserve">never built) </w:t>
      </w:r>
      <w:r w:rsidR="00717566" w:rsidRPr="00FF3D82">
        <w:rPr>
          <w:color w:val="000000" w:themeColor="text1"/>
          <w:sz w:val="22"/>
          <w:szCs w:val="22"/>
        </w:rPr>
        <w:t>offered a better and more rational solution to the problem of criminality</w:t>
      </w:r>
      <w:r w:rsidR="00717566">
        <w:rPr>
          <w:color w:val="000000" w:themeColor="text1"/>
          <w:sz w:val="22"/>
          <w:szCs w:val="22"/>
        </w:rPr>
        <w:t xml:space="preserve"> than </w:t>
      </w:r>
      <w:r w:rsidR="00A24DD6">
        <w:rPr>
          <w:color w:val="000000" w:themeColor="text1"/>
          <w:sz w:val="22"/>
          <w:szCs w:val="22"/>
        </w:rPr>
        <w:t>‘</w:t>
      </w:r>
      <w:r w:rsidR="00717566">
        <w:rPr>
          <w:color w:val="000000" w:themeColor="text1"/>
          <w:sz w:val="22"/>
          <w:szCs w:val="22"/>
        </w:rPr>
        <w:t>off-shoring</w:t>
      </w:r>
      <w:r w:rsidR="00A24DD6">
        <w:rPr>
          <w:color w:val="000000" w:themeColor="text1"/>
          <w:sz w:val="22"/>
          <w:szCs w:val="22"/>
        </w:rPr>
        <w:t>’</w:t>
      </w:r>
      <w:r w:rsidR="00717566">
        <w:rPr>
          <w:color w:val="000000" w:themeColor="text1"/>
          <w:sz w:val="22"/>
          <w:szCs w:val="22"/>
        </w:rPr>
        <w:t xml:space="preserve"> Britain’s convicts</w:t>
      </w:r>
      <w:r w:rsidR="00A24DD6">
        <w:rPr>
          <w:color w:val="000000" w:themeColor="text1"/>
          <w:sz w:val="22"/>
          <w:szCs w:val="22"/>
        </w:rPr>
        <w:t xml:space="preserve"> in the Antipodes</w:t>
      </w:r>
      <w:r w:rsidR="00717566" w:rsidRPr="00FF3D82">
        <w:rPr>
          <w:color w:val="000000" w:themeColor="text1"/>
          <w:sz w:val="22"/>
          <w:szCs w:val="22"/>
        </w:rPr>
        <w:t xml:space="preserve">. </w:t>
      </w:r>
      <w:r w:rsidR="00717566">
        <w:rPr>
          <w:color w:val="000000" w:themeColor="text1"/>
          <w:sz w:val="22"/>
          <w:szCs w:val="22"/>
        </w:rPr>
        <w:t xml:space="preserve">We now have the data to </w:t>
      </w:r>
      <w:r w:rsidR="00717566" w:rsidRPr="00FF3D82">
        <w:rPr>
          <w:color w:val="000000" w:themeColor="text1"/>
          <w:sz w:val="22"/>
          <w:szCs w:val="22"/>
        </w:rPr>
        <w:t>answer</w:t>
      </w:r>
      <w:r w:rsidR="00A24DD6">
        <w:rPr>
          <w:color w:val="000000" w:themeColor="text1"/>
          <w:sz w:val="22"/>
          <w:szCs w:val="22"/>
        </w:rPr>
        <w:t xml:space="preserve"> the underlying tenet of</w:t>
      </w:r>
      <w:r w:rsidR="00717566" w:rsidRPr="00FF3D82">
        <w:rPr>
          <w:color w:val="000000" w:themeColor="text1"/>
          <w:sz w:val="22"/>
          <w:szCs w:val="22"/>
        </w:rPr>
        <w:t xml:space="preserve"> </w:t>
      </w:r>
      <w:r w:rsidR="00717566">
        <w:rPr>
          <w:color w:val="000000" w:themeColor="text1"/>
          <w:sz w:val="22"/>
          <w:szCs w:val="22"/>
        </w:rPr>
        <w:t>Bentham’s question: W</w:t>
      </w:r>
      <w:r w:rsidR="00717566" w:rsidRPr="00FF3D82">
        <w:rPr>
          <w:color w:val="000000" w:themeColor="text1"/>
          <w:sz w:val="22"/>
          <w:szCs w:val="22"/>
        </w:rPr>
        <w:t>hich wa</w:t>
      </w:r>
      <w:r w:rsidR="00717566">
        <w:rPr>
          <w:color w:val="000000" w:themeColor="text1"/>
          <w:sz w:val="22"/>
          <w:szCs w:val="22"/>
        </w:rPr>
        <w:t xml:space="preserve">s best </w:t>
      </w:r>
      <w:r w:rsidR="00717566" w:rsidRPr="00FF3D82">
        <w:rPr>
          <w:color w:val="000000" w:themeColor="text1"/>
          <w:sz w:val="22"/>
          <w:szCs w:val="22"/>
        </w:rPr>
        <w:t xml:space="preserve">- at least in terms of </w:t>
      </w:r>
      <w:r w:rsidR="00717566">
        <w:rPr>
          <w:color w:val="000000" w:themeColor="text1"/>
          <w:sz w:val="22"/>
          <w:szCs w:val="22"/>
        </w:rPr>
        <w:t>re-offending and rehabilitation – prison or transportation?</w:t>
      </w:r>
    </w:p>
    <w:p w14:paraId="50F3B8E2" w14:textId="77777777" w:rsidR="00BC7BC1" w:rsidRDefault="00BC7BC1" w:rsidP="00B101EC">
      <w:pPr>
        <w:spacing w:line="360" w:lineRule="auto"/>
        <w:jc w:val="both"/>
        <w:rPr>
          <w:color w:val="000000" w:themeColor="text1"/>
          <w:sz w:val="22"/>
          <w:szCs w:val="22"/>
        </w:rPr>
      </w:pPr>
    </w:p>
    <w:p w14:paraId="2014E24D" w14:textId="6A72C6CA" w:rsidR="00717566" w:rsidRDefault="00717566" w:rsidP="00B101EC">
      <w:pPr>
        <w:spacing w:line="360" w:lineRule="auto"/>
        <w:jc w:val="both"/>
        <w:rPr>
          <w:b/>
          <w:color w:val="000000" w:themeColor="text1"/>
          <w:sz w:val="22"/>
          <w:szCs w:val="22"/>
        </w:rPr>
      </w:pPr>
      <w:r w:rsidRPr="006806CB">
        <w:rPr>
          <w:b/>
          <w:color w:val="000000" w:themeColor="text1"/>
          <w:sz w:val="22"/>
          <w:szCs w:val="22"/>
        </w:rPr>
        <w:t>The establishment of a new penal colony in the West</w:t>
      </w:r>
    </w:p>
    <w:p w14:paraId="182D6C92" w14:textId="77777777" w:rsidR="00E868E7" w:rsidRPr="006D6553" w:rsidRDefault="00E868E7" w:rsidP="00B101EC">
      <w:pPr>
        <w:spacing w:line="360" w:lineRule="auto"/>
        <w:jc w:val="both"/>
        <w:rPr>
          <w:b/>
          <w:color w:val="000000" w:themeColor="text1"/>
          <w:sz w:val="22"/>
          <w:szCs w:val="22"/>
        </w:rPr>
      </w:pPr>
    </w:p>
    <w:p w14:paraId="2508D29C" w14:textId="1D77AB8D" w:rsidR="003A54C9" w:rsidRDefault="00717566" w:rsidP="00B101EC">
      <w:pPr>
        <w:spacing w:line="360" w:lineRule="auto"/>
        <w:jc w:val="both"/>
        <w:rPr>
          <w:color w:val="000000" w:themeColor="text1"/>
          <w:sz w:val="22"/>
          <w:szCs w:val="22"/>
        </w:rPr>
      </w:pPr>
      <w:r w:rsidRPr="006806CB">
        <w:rPr>
          <w:color w:val="000000" w:themeColor="text1"/>
          <w:sz w:val="22"/>
          <w:szCs w:val="22"/>
        </w:rPr>
        <w:lastRenderedPageBreak/>
        <w:t xml:space="preserve">When New South Wales </w:t>
      </w:r>
      <w:r w:rsidR="00B17872">
        <w:rPr>
          <w:color w:val="000000" w:themeColor="text1"/>
          <w:sz w:val="22"/>
          <w:szCs w:val="22"/>
        </w:rPr>
        <w:t xml:space="preserve">(NSW) </w:t>
      </w:r>
      <w:r w:rsidRPr="006806CB">
        <w:rPr>
          <w:color w:val="000000" w:themeColor="text1"/>
          <w:sz w:val="22"/>
          <w:szCs w:val="22"/>
        </w:rPr>
        <w:t xml:space="preserve">and </w:t>
      </w:r>
      <w:r>
        <w:rPr>
          <w:color w:val="000000" w:themeColor="text1"/>
          <w:sz w:val="22"/>
          <w:szCs w:val="22"/>
        </w:rPr>
        <w:t>Van Diemen’s Land (</w:t>
      </w:r>
      <w:r w:rsidR="00163CF5">
        <w:rPr>
          <w:color w:val="000000" w:themeColor="text1"/>
          <w:sz w:val="22"/>
          <w:szCs w:val="22"/>
        </w:rPr>
        <w:t xml:space="preserve">VDL, </w:t>
      </w:r>
      <w:r>
        <w:rPr>
          <w:color w:val="000000" w:themeColor="text1"/>
          <w:sz w:val="22"/>
          <w:szCs w:val="22"/>
        </w:rPr>
        <w:t xml:space="preserve">later renamed </w:t>
      </w:r>
      <w:r w:rsidRPr="006806CB">
        <w:rPr>
          <w:color w:val="000000" w:themeColor="text1"/>
          <w:sz w:val="22"/>
          <w:szCs w:val="22"/>
        </w:rPr>
        <w:t>Tasmania</w:t>
      </w:r>
      <w:r>
        <w:rPr>
          <w:color w:val="000000" w:themeColor="text1"/>
          <w:sz w:val="22"/>
          <w:szCs w:val="22"/>
        </w:rPr>
        <w:t>)</w:t>
      </w:r>
      <w:r w:rsidRPr="006806CB">
        <w:rPr>
          <w:color w:val="000000" w:themeColor="text1"/>
          <w:sz w:val="22"/>
          <w:szCs w:val="22"/>
        </w:rPr>
        <w:t xml:space="preserve"> began to grow </w:t>
      </w:r>
      <w:r>
        <w:rPr>
          <w:color w:val="000000" w:themeColor="text1"/>
          <w:sz w:val="22"/>
          <w:szCs w:val="22"/>
        </w:rPr>
        <w:t xml:space="preserve">from penal colony to civil society and develop </w:t>
      </w:r>
      <w:r w:rsidRPr="006806CB">
        <w:rPr>
          <w:color w:val="000000" w:themeColor="text1"/>
          <w:sz w:val="22"/>
          <w:szCs w:val="22"/>
        </w:rPr>
        <w:t>into successful communities, agi</w:t>
      </w:r>
      <w:r>
        <w:rPr>
          <w:color w:val="000000" w:themeColor="text1"/>
          <w:sz w:val="22"/>
          <w:szCs w:val="22"/>
        </w:rPr>
        <w:t xml:space="preserve">tation </w:t>
      </w:r>
      <w:r w:rsidRPr="006806CB">
        <w:rPr>
          <w:color w:val="000000" w:themeColor="text1"/>
          <w:sz w:val="22"/>
          <w:szCs w:val="22"/>
        </w:rPr>
        <w:t>to end transportation</w:t>
      </w:r>
      <w:r>
        <w:rPr>
          <w:color w:val="000000" w:themeColor="text1"/>
          <w:sz w:val="22"/>
          <w:szCs w:val="22"/>
        </w:rPr>
        <w:t xml:space="preserve"> increased</w:t>
      </w:r>
      <w:r w:rsidRPr="006806CB">
        <w:rPr>
          <w:color w:val="000000" w:themeColor="text1"/>
          <w:sz w:val="22"/>
          <w:szCs w:val="22"/>
        </w:rPr>
        <w:t xml:space="preserve">. In 1840 the transport ships were diverted from </w:t>
      </w:r>
      <w:r w:rsidR="00B17872">
        <w:rPr>
          <w:color w:val="000000" w:themeColor="text1"/>
          <w:sz w:val="22"/>
          <w:szCs w:val="22"/>
        </w:rPr>
        <w:t>NSW</w:t>
      </w:r>
      <w:r>
        <w:rPr>
          <w:color w:val="000000" w:themeColor="text1"/>
          <w:sz w:val="22"/>
          <w:szCs w:val="22"/>
        </w:rPr>
        <w:t xml:space="preserve"> to V</w:t>
      </w:r>
      <w:r w:rsidR="00063529">
        <w:rPr>
          <w:color w:val="000000" w:themeColor="text1"/>
          <w:sz w:val="22"/>
          <w:szCs w:val="22"/>
        </w:rPr>
        <w:t>DL</w:t>
      </w:r>
      <w:r w:rsidRPr="006806CB">
        <w:rPr>
          <w:color w:val="000000" w:themeColor="text1"/>
          <w:sz w:val="22"/>
          <w:szCs w:val="22"/>
        </w:rPr>
        <w:t xml:space="preserve"> until 1856 when transportation ended there too. (Kingston 1988:161-2; Statham 1981; Calvert 1894: 17).</w:t>
      </w:r>
      <w:r>
        <w:rPr>
          <w:color w:val="000000" w:themeColor="text1"/>
          <w:sz w:val="22"/>
          <w:szCs w:val="22"/>
        </w:rPr>
        <w:t xml:space="preserve"> </w:t>
      </w:r>
      <w:r w:rsidR="003A54C9">
        <w:rPr>
          <w:color w:val="000000" w:themeColor="text1"/>
          <w:sz w:val="22"/>
          <w:szCs w:val="22"/>
        </w:rPr>
        <w:t>In the first decades of its creation, the</w:t>
      </w:r>
      <w:r w:rsidRPr="003B585A">
        <w:rPr>
          <w:color w:val="000000" w:themeColor="text1"/>
          <w:sz w:val="22"/>
          <w:szCs w:val="22"/>
        </w:rPr>
        <w:t xml:space="preserve"> Swan River settlement</w:t>
      </w:r>
      <w:r w:rsidR="00971E64">
        <w:rPr>
          <w:color w:val="000000" w:themeColor="text1"/>
          <w:sz w:val="22"/>
          <w:szCs w:val="22"/>
        </w:rPr>
        <w:t>, which had never been intended to be a penal colony,</w:t>
      </w:r>
      <w:r w:rsidRPr="003B585A">
        <w:rPr>
          <w:color w:val="000000" w:themeColor="text1"/>
          <w:sz w:val="22"/>
          <w:szCs w:val="22"/>
        </w:rPr>
        <w:t xml:space="preserve"> </w:t>
      </w:r>
      <w:r>
        <w:rPr>
          <w:color w:val="000000" w:themeColor="text1"/>
          <w:sz w:val="22"/>
          <w:szCs w:val="22"/>
        </w:rPr>
        <w:t>was far</w:t>
      </w:r>
      <w:r w:rsidR="00CD658D">
        <w:rPr>
          <w:color w:val="000000" w:themeColor="text1"/>
          <w:sz w:val="22"/>
          <w:szCs w:val="22"/>
        </w:rPr>
        <w:t xml:space="preserve"> </w:t>
      </w:r>
      <w:r>
        <w:rPr>
          <w:color w:val="000000" w:themeColor="text1"/>
          <w:sz w:val="22"/>
          <w:szCs w:val="22"/>
        </w:rPr>
        <w:t xml:space="preserve">less successful than the eastern colonies. Indeed, by the late 1840s it </w:t>
      </w:r>
      <w:r w:rsidRPr="003B585A">
        <w:rPr>
          <w:color w:val="000000" w:themeColor="text1"/>
          <w:sz w:val="22"/>
          <w:szCs w:val="22"/>
        </w:rPr>
        <w:t>was struggling (Statham 1981;</w:t>
      </w:r>
      <w:r>
        <w:rPr>
          <w:color w:val="000000" w:themeColor="text1"/>
          <w:sz w:val="22"/>
          <w:szCs w:val="22"/>
        </w:rPr>
        <w:t xml:space="preserve"> Gill 2016</w:t>
      </w:r>
      <w:r w:rsidRPr="000916A6">
        <w:rPr>
          <w:color w:val="000000" w:themeColor="text1"/>
          <w:sz w:val="22"/>
          <w:szCs w:val="22"/>
        </w:rPr>
        <w:t>)</w:t>
      </w:r>
      <w:r>
        <w:rPr>
          <w:color w:val="000000" w:themeColor="text1"/>
          <w:sz w:val="22"/>
          <w:szCs w:val="22"/>
        </w:rPr>
        <w:t xml:space="preserve">. </w:t>
      </w:r>
      <w:r w:rsidRPr="00567C90">
        <w:rPr>
          <w:color w:val="000000" w:themeColor="text1"/>
          <w:sz w:val="22"/>
          <w:szCs w:val="22"/>
        </w:rPr>
        <w:t xml:space="preserve">When transportation to the eastern colonies </w:t>
      </w:r>
      <w:r>
        <w:rPr>
          <w:color w:val="000000" w:themeColor="text1"/>
          <w:sz w:val="22"/>
          <w:szCs w:val="22"/>
        </w:rPr>
        <w:t>became less and less tenable</w:t>
      </w:r>
      <w:r w:rsidRPr="00567C90">
        <w:rPr>
          <w:color w:val="000000" w:themeColor="text1"/>
          <w:sz w:val="22"/>
          <w:szCs w:val="22"/>
        </w:rPr>
        <w:t xml:space="preserve">, the </w:t>
      </w:r>
      <w:r w:rsidR="003A54C9">
        <w:rPr>
          <w:color w:val="000000" w:themeColor="text1"/>
          <w:sz w:val="22"/>
          <w:szCs w:val="22"/>
        </w:rPr>
        <w:t>colonist</w:t>
      </w:r>
      <w:r w:rsidR="00CD658D">
        <w:rPr>
          <w:color w:val="000000" w:themeColor="text1"/>
          <w:sz w:val="22"/>
          <w:szCs w:val="22"/>
        </w:rPr>
        <w:t>s</w:t>
      </w:r>
      <w:r w:rsidR="003A54C9">
        <w:rPr>
          <w:color w:val="000000" w:themeColor="text1"/>
          <w:sz w:val="22"/>
          <w:szCs w:val="22"/>
        </w:rPr>
        <w:t xml:space="preserve"> of Western Australia (renamed from Swan River in 1832)</w:t>
      </w:r>
      <w:r w:rsidRPr="00567C90">
        <w:rPr>
          <w:color w:val="000000" w:themeColor="text1"/>
          <w:sz w:val="22"/>
          <w:szCs w:val="22"/>
        </w:rPr>
        <w:t xml:space="preserve"> petitioned for convicts </w:t>
      </w:r>
      <w:r>
        <w:rPr>
          <w:color w:val="000000" w:themeColor="text1"/>
          <w:sz w:val="22"/>
          <w:szCs w:val="22"/>
        </w:rPr>
        <w:t xml:space="preserve">to be sent </w:t>
      </w:r>
      <w:r w:rsidR="004B767D">
        <w:rPr>
          <w:color w:val="000000" w:themeColor="text1"/>
          <w:sz w:val="22"/>
          <w:szCs w:val="22"/>
        </w:rPr>
        <w:t>to them</w:t>
      </w:r>
      <w:r>
        <w:rPr>
          <w:color w:val="000000" w:themeColor="text1"/>
          <w:sz w:val="22"/>
          <w:szCs w:val="22"/>
        </w:rPr>
        <w:t xml:space="preserve"> </w:t>
      </w:r>
      <w:r w:rsidRPr="00567C90">
        <w:rPr>
          <w:color w:val="000000" w:themeColor="text1"/>
          <w:sz w:val="22"/>
          <w:szCs w:val="22"/>
        </w:rPr>
        <w:t>in order to build the</w:t>
      </w:r>
      <w:r>
        <w:rPr>
          <w:color w:val="000000" w:themeColor="text1"/>
          <w:sz w:val="22"/>
          <w:szCs w:val="22"/>
        </w:rPr>
        <w:t xml:space="preserve"> settlement</w:t>
      </w:r>
      <w:r w:rsidRPr="00567C90">
        <w:rPr>
          <w:color w:val="000000" w:themeColor="text1"/>
          <w:sz w:val="22"/>
          <w:szCs w:val="22"/>
        </w:rPr>
        <w:t xml:space="preserve"> into a viable </w:t>
      </w:r>
      <w:r w:rsidR="003A54C9">
        <w:rPr>
          <w:color w:val="000000" w:themeColor="text1"/>
          <w:sz w:val="22"/>
          <w:szCs w:val="22"/>
        </w:rPr>
        <w:t xml:space="preserve">colony. </w:t>
      </w:r>
      <w:r w:rsidR="003A54C9" w:rsidRPr="00FF57D6">
        <w:rPr>
          <w:color w:val="000000" w:themeColor="text1"/>
          <w:sz w:val="22"/>
          <w:szCs w:val="22"/>
        </w:rPr>
        <w:t xml:space="preserve">Anthony Trollope </w:t>
      </w:r>
      <w:r w:rsidR="003A54C9">
        <w:rPr>
          <w:color w:val="000000" w:themeColor="text1"/>
          <w:sz w:val="22"/>
          <w:szCs w:val="22"/>
        </w:rPr>
        <w:t xml:space="preserve">later </w:t>
      </w:r>
      <w:r w:rsidR="003A54C9" w:rsidRPr="00FF57D6">
        <w:rPr>
          <w:color w:val="000000" w:themeColor="text1"/>
          <w:sz w:val="22"/>
          <w:szCs w:val="22"/>
        </w:rPr>
        <w:t xml:space="preserve">acerbically </w:t>
      </w:r>
      <w:r w:rsidR="003A54C9">
        <w:rPr>
          <w:color w:val="000000" w:themeColor="text1"/>
          <w:sz w:val="22"/>
          <w:szCs w:val="22"/>
        </w:rPr>
        <w:t>remarked</w:t>
      </w:r>
      <w:r w:rsidR="003A54C9" w:rsidRPr="00FF57D6">
        <w:rPr>
          <w:color w:val="000000" w:themeColor="text1"/>
          <w:sz w:val="22"/>
          <w:szCs w:val="22"/>
        </w:rPr>
        <w:t xml:space="preserve"> </w:t>
      </w:r>
      <w:r w:rsidR="003A54C9">
        <w:rPr>
          <w:color w:val="000000" w:themeColor="text1"/>
          <w:sz w:val="22"/>
          <w:szCs w:val="22"/>
        </w:rPr>
        <w:t xml:space="preserve">that convictism continued </w:t>
      </w:r>
      <w:r w:rsidR="003A54C9" w:rsidRPr="00FF57D6">
        <w:rPr>
          <w:color w:val="000000" w:themeColor="text1"/>
          <w:sz w:val="22"/>
          <w:szCs w:val="22"/>
        </w:rPr>
        <w:t xml:space="preserve">in Australia </w:t>
      </w:r>
      <w:r w:rsidR="003A54C9">
        <w:rPr>
          <w:color w:val="000000" w:themeColor="text1"/>
          <w:sz w:val="22"/>
          <w:szCs w:val="22"/>
        </w:rPr>
        <w:t xml:space="preserve">because </w:t>
      </w:r>
      <w:r w:rsidR="003A54C9" w:rsidRPr="00FF57D6">
        <w:rPr>
          <w:color w:val="000000" w:themeColor="text1"/>
          <w:sz w:val="22"/>
          <w:szCs w:val="22"/>
        </w:rPr>
        <w:t>‘the ‘taste for slavery had not yet lost its relish’</w:t>
      </w:r>
      <w:r w:rsidR="003A54C9">
        <w:rPr>
          <w:color w:val="000000" w:themeColor="text1"/>
          <w:sz w:val="22"/>
          <w:szCs w:val="22"/>
        </w:rPr>
        <w:t xml:space="preserve"> </w:t>
      </w:r>
      <w:r w:rsidR="003A54C9" w:rsidRPr="00FF57D6">
        <w:rPr>
          <w:color w:val="000000" w:themeColor="text1"/>
          <w:sz w:val="22"/>
          <w:szCs w:val="22"/>
        </w:rPr>
        <w:t>(</w:t>
      </w:r>
      <w:r w:rsidR="003A54C9">
        <w:rPr>
          <w:color w:val="000000" w:themeColor="text1"/>
          <w:sz w:val="22"/>
          <w:szCs w:val="22"/>
        </w:rPr>
        <w:t xml:space="preserve">1873: </w:t>
      </w:r>
      <w:r w:rsidR="003A54C9" w:rsidRPr="00FF57D6">
        <w:rPr>
          <w:color w:val="000000" w:themeColor="text1"/>
          <w:sz w:val="22"/>
          <w:szCs w:val="22"/>
        </w:rPr>
        <w:t>501)</w:t>
      </w:r>
      <w:r w:rsidR="003A54C9">
        <w:rPr>
          <w:color w:val="000000" w:themeColor="text1"/>
          <w:sz w:val="22"/>
          <w:szCs w:val="22"/>
        </w:rPr>
        <w:t>.</w:t>
      </w:r>
      <w:r w:rsidR="003A54C9" w:rsidRPr="00FF57D6">
        <w:rPr>
          <w:color w:val="000000" w:themeColor="text1"/>
          <w:sz w:val="22"/>
          <w:szCs w:val="22"/>
        </w:rPr>
        <w:t xml:space="preserve"> </w:t>
      </w:r>
      <w:r w:rsidR="003A54C9">
        <w:rPr>
          <w:color w:val="000000" w:themeColor="text1"/>
          <w:sz w:val="22"/>
          <w:szCs w:val="22"/>
        </w:rPr>
        <w:t xml:space="preserve">However, Western Australia’s need for labour also suited the British government who were </w:t>
      </w:r>
      <w:r>
        <w:rPr>
          <w:color w:val="000000" w:themeColor="text1"/>
          <w:sz w:val="22"/>
          <w:szCs w:val="22"/>
        </w:rPr>
        <w:t xml:space="preserve">only too pleased to </w:t>
      </w:r>
      <w:r w:rsidR="004B767D">
        <w:rPr>
          <w:color w:val="000000" w:themeColor="text1"/>
          <w:sz w:val="22"/>
          <w:szCs w:val="22"/>
        </w:rPr>
        <w:t>have the prospect of</w:t>
      </w:r>
      <w:r>
        <w:rPr>
          <w:color w:val="000000" w:themeColor="text1"/>
          <w:sz w:val="22"/>
          <w:szCs w:val="22"/>
        </w:rPr>
        <w:t xml:space="preserve"> another </w:t>
      </w:r>
      <w:r w:rsidRPr="006806CB">
        <w:rPr>
          <w:color w:val="000000" w:themeColor="text1"/>
          <w:sz w:val="22"/>
          <w:szCs w:val="22"/>
        </w:rPr>
        <w:t>destination for their convicts</w:t>
      </w:r>
      <w:r>
        <w:rPr>
          <w:color w:val="000000" w:themeColor="text1"/>
          <w:sz w:val="22"/>
          <w:szCs w:val="22"/>
        </w:rPr>
        <w:t xml:space="preserve"> (male convict</w:t>
      </w:r>
      <w:r w:rsidR="00AF2C52">
        <w:rPr>
          <w:color w:val="000000" w:themeColor="text1"/>
          <w:sz w:val="22"/>
          <w:szCs w:val="22"/>
        </w:rPr>
        <w:t>s</w:t>
      </w:r>
      <w:r w:rsidR="003A54C9">
        <w:rPr>
          <w:color w:val="000000" w:themeColor="text1"/>
          <w:sz w:val="22"/>
          <w:szCs w:val="22"/>
        </w:rPr>
        <w:t xml:space="preserve">, as the Western Australian colony </w:t>
      </w:r>
      <w:r w:rsidR="006B229D">
        <w:rPr>
          <w:color w:val="000000" w:themeColor="text1"/>
          <w:sz w:val="22"/>
          <w:szCs w:val="22"/>
        </w:rPr>
        <w:t>never received female convicts</w:t>
      </w:r>
      <w:r w:rsidR="004B767D">
        <w:rPr>
          <w:color w:val="000000" w:themeColor="text1"/>
          <w:sz w:val="22"/>
          <w:szCs w:val="22"/>
        </w:rPr>
        <w:t>,</w:t>
      </w:r>
      <w:r w:rsidR="006B229D">
        <w:rPr>
          <w:color w:val="000000" w:themeColor="text1"/>
          <w:sz w:val="22"/>
          <w:szCs w:val="22"/>
        </w:rPr>
        <w:t xml:space="preserve"> as the eastern colonies had</w:t>
      </w:r>
      <w:r>
        <w:rPr>
          <w:color w:val="000000" w:themeColor="text1"/>
          <w:sz w:val="22"/>
          <w:szCs w:val="22"/>
        </w:rPr>
        <w:t>);</w:t>
      </w:r>
      <w:r w:rsidRPr="006806CB">
        <w:rPr>
          <w:color w:val="000000" w:themeColor="text1"/>
          <w:sz w:val="22"/>
          <w:szCs w:val="22"/>
        </w:rPr>
        <w:t xml:space="preserve"> and </w:t>
      </w:r>
      <w:r>
        <w:rPr>
          <w:color w:val="000000" w:themeColor="text1"/>
          <w:sz w:val="22"/>
          <w:szCs w:val="22"/>
        </w:rPr>
        <w:t xml:space="preserve">so the </w:t>
      </w:r>
      <w:r w:rsidR="004B767D">
        <w:rPr>
          <w:color w:val="000000" w:themeColor="text1"/>
          <w:sz w:val="22"/>
          <w:szCs w:val="22"/>
        </w:rPr>
        <w:t>new</w:t>
      </w:r>
      <w:r w:rsidRPr="006806CB">
        <w:rPr>
          <w:color w:val="000000" w:themeColor="text1"/>
          <w:sz w:val="22"/>
          <w:szCs w:val="22"/>
        </w:rPr>
        <w:t xml:space="preserve"> penal colony was established in May 1849</w:t>
      </w:r>
      <w:r w:rsidR="005B4A23">
        <w:rPr>
          <w:color w:val="000000" w:themeColor="text1"/>
          <w:sz w:val="22"/>
          <w:szCs w:val="22"/>
        </w:rPr>
        <w:t>.</w:t>
      </w:r>
    </w:p>
    <w:p w14:paraId="6E9995C7" w14:textId="627756D7" w:rsidR="00717566" w:rsidRPr="00783C41" w:rsidRDefault="00783C41" w:rsidP="00783C41">
      <w:pPr>
        <w:spacing w:line="360" w:lineRule="auto"/>
        <w:jc w:val="both"/>
        <w:rPr>
          <w:color w:val="000000" w:themeColor="text1"/>
          <w:sz w:val="22"/>
          <w:szCs w:val="22"/>
        </w:rPr>
      </w:pPr>
      <w:r w:rsidRPr="00783C41">
        <w:rPr>
          <w:color w:val="000000" w:themeColor="text1"/>
          <w:sz w:val="22"/>
          <w:szCs w:val="22"/>
        </w:rPr>
        <w:t>The 1853 Penal Servitude act effectively removed the distinction between serving in Australia and home.</w:t>
      </w:r>
      <w:r>
        <w:rPr>
          <w:color w:val="000000" w:themeColor="text1"/>
          <w:sz w:val="22"/>
          <w:szCs w:val="22"/>
        </w:rPr>
        <w:t xml:space="preserve"> Until 1868</w:t>
      </w:r>
      <w:r w:rsidR="00717566" w:rsidRPr="00783C41">
        <w:rPr>
          <w:color w:val="000000" w:themeColor="text1"/>
          <w:sz w:val="22"/>
          <w:szCs w:val="22"/>
        </w:rPr>
        <w:t>, in theory</w:t>
      </w:r>
      <w:r w:rsidR="003A54C9" w:rsidRPr="00783C41">
        <w:rPr>
          <w:color w:val="000000" w:themeColor="text1"/>
          <w:sz w:val="22"/>
          <w:szCs w:val="22"/>
        </w:rPr>
        <w:t xml:space="preserve"> and in law</w:t>
      </w:r>
      <w:r w:rsidR="00717566" w:rsidRPr="00783C41">
        <w:rPr>
          <w:color w:val="000000" w:themeColor="text1"/>
          <w:sz w:val="22"/>
          <w:szCs w:val="22"/>
        </w:rPr>
        <w:t>, any man convicted of an indictable offence could expect to either set sail for the southern hemisphere, or to spend years in confinement behind British prison wall</w:t>
      </w:r>
      <w:r>
        <w:rPr>
          <w:color w:val="000000" w:themeColor="text1"/>
          <w:sz w:val="22"/>
          <w:szCs w:val="22"/>
        </w:rPr>
        <w:t xml:space="preserve">s </w:t>
      </w:r>
      <w:r w:rsidR="001A29C8">
        <w:rPr>
          <w:color w:val="000000" w:themeColor="text1"/>
          <w:sz w:val="22"/>
          <w:szCs w:val="22"/>
        </w:rPr>
        <w:t>–</w:t>
      </w:r>
      <w:r>
        <w:rPr>
          <w:color w:val="000000" w:themeColor="text1"/>
          <w:sz w:val="22"/>
          <w:szCs w:val="22"/>
        </w:rPr>
        <w:t xml:space="preserve"> a</w:t>
      </w:r>
      <w:r w:rsidR="001A29C8">
        <w:rPr>
          <w:color w:val="000000" w:themeColor="text1"/>
          <w:sz w:val="22"/>
          <w:szCs w:val="22"/>
        </w:rPr>
        <w:t xml:space="preserve"> </w:t>
      </w:r>
      <w:r w:rsidR="00750855" w:rsidRPr="00783C41">
        <w:rPr>
          <w:color w:val="000000" w:themeColor="text1"/>
          <w:sz w:val="22"/>
          <w:szCs w:val="22"/>
        </w:rPr>
        <w:t>unique moment in the penal landscape</w:t>
      </w:r>
      <w:r>
        <w:rPr>
          <w:color w:val="000000" w:themeColor="text1"/>
          <w:sz w:val="22"/>
          <w:szCs w:val="22"/>
        </w:rPr>
        <w:t xml:space="preserve"> when</w:t>
      </w:r>
      <w:r w:rsidRPr="00783C41">
        <w:rPr>
          <w:color w:val="000000" w:themeColor="text1"/>
          <w:sz w:val="22"/>
          <w:szCs w:val="22"/>
        </w:rPr>
        <w:t xml:space="preserve"> </w:t>
      </w:r>
      <w:r w:rsidRPr="003D2990">
        <w:rPr>
          <w:color w:val="000000" w:themeColor="text1"/>
          <w:sz w:val="22"/>
          <w:szCs w:val="22"/>
        </w:rPr>
        <w:t>no man in the dock</w:t>
      </w:r>
      <w:r>
        <w:rPr>
          <w:color w:val="000000" w:themeColor="text1"/>
          <w:sz w:val="22"/>
          <w:szCs w:val="22"/>
        </w:rPr>
        <w:t xml:space="preserve"> would know where they would serve out their sentence. </w:t>
      </w:r>
      <w:r w:rsidR="00717566" w:rsidRPr="003D2990">
        <w:rPr>
          <w:color w:val="000000" w:themeColor="text1"/>
          <w:sz w:val="22"/>
          <w:szCs w:val="22"/>
        </w:rPr>
        <w:t xml:space="preserve">For example, in January 1865, two </w:t>
      </w:r>
      <w:r w:rsidR="002430C3" w:rsidRPr="003D2990">
        <w:rPr>
          <w:color w:val="000000" w:themeColor="text1"/>
          <w:sz w:val="22"/>
          <w:szCs w:val="22"/>
        </w:rPr>
        <w:t xml:space="preserve">young </w:t>
      </w:r>
      <w:r w:rsidR="00717566" w:rsidRPr="003D2990">
        <w:rPr>
          <w:color w:val="000000" w:themeColor="text1"/>
          <w:sz w:val="22"/>
          <w:szCs w:val="22"/>
        </w:rPr>
        <w:t xml:space="preserve">men walked into the Old Bailey. </w:t>
      </w:r>
      <w:r w:rsidR="00717566" w:rsidRPr="003D2990">
        <w:rPr>
          <w:iCs/>
          <w:color w:val="000000" w:themeColor="text1"/>
          <w:sz w:val="22"/>
          <w:szCs w:val="22"/>
        </w:rPr>
        <w:t xml:space="preserve">Thomas Osborne, aged twenty-eight, was convicted of burglary. He and a co-defendant had stolen some cloth and ribbons from a draper’s shop in </w:t>
      </w:r>
      <w:r w:rsidR="00717566" w:rsidRPr="003D2990">
        <w:rPr>
          <w:color w:val="000000" w:themeColor="text1"/>
          <w:sz w:val="22"/>
          <w:szCs w:val="22"/>
        </w:rPr>
        <w:t xml:space="preserve">Great Dover-Street, Newington. Osborne pleaded guilty and was sentenced to seven years’ penal servitude </w:t>
      </w:r>
      <w:r w:rsidR="003D2990">
        <w:rPr>
          <w:color w:val="000000" w:themeColor="text1"/>
          <w:sz w:val="22"/>
          <w:szCs w:val="22"/>
        </w:rPr>
        <w:t xml:space="preserve">which would subsequently </w:t>
      </w:r>
      <w:r w:rsidR="00717566" w:rsidRPr="003D2990">
        <w:rPr>
          <w:color w:val="000000" w:themeColor="text1"/>
          <w:sz w:val="22"/>
          <w:szCs w:val="22"/>
        </w:rPr>
        <w:t>be s</w:t>
      </w:r>
      <w:r w:rsidR="003D2990">
        <w:rPr>
          <w:color w:val="000000" w:themeColor="text1"/>
          <w:sz w:val="22"/>
          <w:szCs w:val="22"/>
        </w:rPr>
        <w:t xml:space="preserve">erved </w:t>
      </w:r>
      <w:r w:rsidR="00717566" w:rsidRPr="003D2990">
        <w:rPr>
          <w:color w:val="000000" w:themeColor="text1"/>
          <w:sz w:val="22"/>
          <w:szCs w:val="22"/>
        </w:rPr>
        <w:t xml:space="preserve">in an English convict prison. Later that day, George Grant, also aged twenty-eight, pleaded guilty to the </w:t>
      </w:r>
      <w:r w:rsidR="00717566" w:rsidRPr="003D2990">
        <w:rPr>
          <w:color w:val="000000" w:themeColor="text1"/>
          <w:sz w:val="22"/>
          <w:szCs w:val="22"/>
          <w:shd w:val="clear" w:color="auto" w:fill="FFFFFF"/>
        </w:rPr>
        <w:t>burglary of a dwelling-house at</w:t>
      </w:r>
      <w:r w:rsidR="00717566" w:rsidRPr="003D2990">
        <w:rPr>
          <w:rStyle w:val="apple-converted-space"/>
          <w:color w:val="000000" w:themeColor="text1"/>
          <w:sz w:val="22"/>
          <w:szCs w:val="22"/>
          <w:shd w:val="clear" w:color="auto" w:fill="FFFFFF"/>
        </w:rPr>
        <w:t> </w:t>
      </w:r>
      <w:r w:rsidR="00717566" w:rsidRPr="003D2990">
        <w:rPr>
          <w:color w:val="000000" w:themeColor="text1"/>
          <w:sz w:val="22"/>
          <w:szCs w:val="22"/>
          <w:shd w:val="clear" w:color="auto" w:fill="FFFFFF"/>
        </w:rPr>
        <w:t>St. Pancras.</w:t>
      </w:r>
      <w:r w:rsidR="00717566" w:rsidRPr="003D2990">
        <w:rPr>
          <w:rStyle w:val="apple-converted-space"/>
          <w:color w:val="000000" w:themeColor="text1"/>
          <w:sz w:val="22"/>
          <w:szCs w:val="22"/>
          <w:shd w:val="clear" w:color="auto" w:fill="FFFFFF"/>
        </w:rPr>
        <w:t> </w:t>
      </w:r>
      <w:r w:rsidR="00717566" w:rsidRPr="003D2990">
        <w:rPr>
          <w:iCs/>
          <w:color w:val="000000" w:themeColor="text1"/>
          <w:sz w:val="22"/>
          <w:szCs w:val="22"/>
        </w:rPr>
        <w:t xml:space="preserve"> He was sentenced to ten years' penal servitude, transported on the </w:t>
      </w:r>
      <w:r w:rsidR="00717566" w:rsidRPr="003D2990">
        <w:rPr>
          <w:i/>
          <w:iCs/>
          <w:color w:val="000000" w:themeColor="text1"/>
          <w:sz w:val="22"/>
          <w:szCs w:val="22"/>
        </w:rPr>
        <w:t>Belgravia,</w:t>
      </w:r>
      <w:r w:rsidR="00717566" w:rsidRPr="003D2990">
        <w:rPr>
          <w:iCs/>
          <w:color w:val="000000" w:themeColor="text1"/>
          <w:sz w:val="22"/>
          <w:szCs w:val="22"/>
        </w:rPr>
        <w:t xml:space="preserve"> and arrived</w:t>
      </w:r>
      <w:r w:rsidR="002430C3" w:rsidRPr="003D2990">
        <w:rPr>
          <w:iCs/>
          <w:color w:val="000000" w:themeColor="text1"/>
          <w:sz w:val="22"/>
          <w:szCs w:val="22"/>
        </w:rPr>
        <w:t xml:space="preserve"> in Fremantle in </w:t>
      </w:r>
      <w:r w:rsidR="00DB1ACC" w:rsidRPr="003D2990">
        <w:rPr>
          <w:iCs/>
          <w:color w:val="000000" w:themeColor="text1"/>
          <w:sz w:val="22"/>
          <w:szCs w:val="22"/>
        </w:rPr>
        <w:t>July</w:t>
      </w:r>
      <w:r w:rsidR="002430C3" w:rsidRPr="003D2990">
        <w:rPr>
          <w:iCs/>
          <w:color w:val="000000" w:themeColor="text1"/>
          <w:sz w:val="22"/>
          <w:szCs w:val="22"/>
        </w:rPr>
        <w:t xml:space="preserve"> 1</w:t>
      </w:r>
      <w:r w:rsidR="00717566" w:rsidRPr="003D2990">
        <w:rPr>
          <w:iCs/>
          <w:color w:val="000000" w:themeColor="text1"/>
          <w:sz w:val="22"/>
          <w:szCs w:val="22"/>
        </w:rPr>
        <w:t xml:space="preserve">866 (as convict no.8055). </w:t>
      </w:r>
    </w:p>
    <w:p w14:paraId="1D7A9532" w14:textId="78232BC7" w:rsidR="00A00FB0" w:rsidRDefault="00717566" w:rsidP="00E169CD">
      <w:pPr>
        <w:spacing w:line="360" w:lineRule="auto"/>
        <w:jc w:val="both"/>
        <w:rPr>
          <w:color w:val="000000" w:themeColor="text1"/>
          <w:sz w:val="22"/>
          <w:szCs w:val="22"/>
        </w:rPr>
      </w:pPr>
      <w:r w:rsidRPr="003D2990">
        <w:rPr>
          <w:iCs/>
          <w:color w:val="000000" w:themeColor="text1"/>
          <w:sz w:val="22"/>
          <w:szCs w:val="22"/>
        </w:rPr>
        <w:t xml:space="preserve">George was one of the </w:t>
      </w:r>
      <w:r w:rsidR="00E868E7" w:rsidRPr="003D2990">
        <w:rPr>
          <w:color w:val="000000" w:themeColor="text1"/>
          <w:sz w:val="22"/>
          <w:szCs w:val="22"/>
        </w:rPr>
        <w:t>almost ten-</w:t>
      </w:r>
      <w:r w:rsidRPr="003D2990">
        <w:rPr>
          <w:color w:val="000000" w:themeColor="text1"/>
          <w:sz w:val="22"/>
          <w:szCs w:val="22"/>
        </w:rPr>
        <w:t>thousand convicts sent to Western Australia over an eighteen-year period</w:t>
      </w:r>
      <w:r w:rsidRPr="00EF7A4E">
        <w:rPr>
          <w:color w:val="000000" w:themeColor="text1"/>
          <w:sz w:val="22"/>
          <w:szCs w:val="22"/>
        </w:rPr>
        <w:t xml:space="preserve">. </w:t>
      </w:r>
      <w:r>
        <w:rPr>
          <w:color w:val="000000" w:themeColor="text1"/>
          <w:sz w:val="22"/>
          <w:szCs w:val="22"/>
        </w:rPr>
        <w:t>Unlike George, however, m</w:t>
      </w:r>
      <w:r w:rsidRPr="00EF7A4E">
        <w:rPr>
          <w:color w:val="000000" w:themeColor="text1"/>
          <w:sz w:val="22"/>
          <w:szCs w:val="22"/>
        </w:rPr>
        <w:t xml:space="preserve">ost of these men were not newly-sentenced prisoners; the bulk of those who were sent to Fremantle and Perth </w:t>
      </w:r>
      <w:r w:rsidRPr="00ED6AD9">
        <w:rPr>
          <w:color w:val="000000" w:themeColor="text1"/>
          <w:sz w:val="22"/>
          <w:szCs w:val="22"/>
        </w:rPr>
        <w:t xml:space="preserve">had already been held </w:t>
      </w:r>
      <w:r>
        <w:rPr>
          <w:color w:val="000000" w:themeColor="text1"/>
          <w:sz w:val="22"/>
          <w:szCs w:val="22"/>
        </w:rPr>
        <w:t xml:space="preserve">for several years </w:t>
      </w:r>
      <w:r w:rsidRPr="00ED6AD9">
        <w:rPr>
          <w:color w:val="000000" w:themeColor="text1"/>
          <w:sz w:val="22"/>
          <w:szCs w:val="22"/>
        </w:rPr>
        <w:t>in hulks (mast-less ships) moored in t</w:t>
      </w:r>
      <w:r>
        <w:rPr>
          <w:color w:val="000000" w:themeColor="text1"/>
          <w:sz w:val="22"/>
          <w:szCs w:val="22"/>
        </w:rPr>
        <w:t>he Thames. The ‘backlog’ in transported convicts had been caused by t</w:t>
      </w:r>
      <w:r w:rsidRPr="00ED6AD9">
        <w:rPr>
          <w:color w:val="000000" w:themeColor="text1"/>
          <w:sz w:val="22"/>
          <w:szCs w:val="22"/>
        </w:rPr>
        <w:t xml:space="preserve">he ending of </w:t>
      </w:r>
      <w:r>
        <w:rPr>
          <w:color w:val="000000" w:themeColor="text1"/>
          <w:sz w:val="22"/>
          <w:szCs w:val="22"/>
        </w:rPr>
        <w:t xml:space="preserve">large-scale </w:t>
      </w:r>
      <w:r w:rsidRPr="00ED6AD9">
        <w:rPr>
          <w:color w:val="000000" w:themeColor="text1"/>
          <w:sz w:val="22"/>
          <w:szCs w:val="22"/>
        </w:rPr>
        <w:t xml:space="preserve">transportation to </w:t>
      </w:r>
      <w:r w:rsidR="00063529">
        <w:rPr>
          <w:color w:val="000000" w:themeColor="text1"/>
          <w:sz w:val="22"/>
          <w:szCs w:val="22"/>
        </w:rPr>
        <w:t>VDL</w:t>
      </w:r>
      <w:r w:rsidRPr="00ED6AD9">
        <w:rPr>
          <w:color w:val="000000" w:themeColor="text1"/>
          <w:sz w:val="22"/>
          <w:szCs w:val="22"/>
        </w:rPr>
        <w:t xml:space="preserve"> in 1853</w:t>
      </w:r>
      <w:r>
        <w:rPr>
          <w:color w:val="000000" w:themeColor="text1"/>
          <w:sz w:val="22"/>
          <w:szCs w:val="22"/>
        </w:rPr>
        <w:t xml:space="preserve">. This shift also </w:t>
      </w:r>
      <w:r w:rsidRPr="00ED6AD9">
        <w:rPr>
          <w:color w:val="000000" w:themeColor="text1"/>
          <w:sz w:val="22"/>
          <w:szCs w:val="22"/>
        </w:rPr>
        <w:t>had considerable impact on sent</w:t>
      </w:r>
      <w:r>
        <w:rPr>
          <w:color w:val="000000" w:themeColor="text1"/>
          <w:sz w:val="22"/>
          <w:szCs w:val="22"/>
        </w:rPr>
        <w:t>encing patterns.</w:t>
      </w:r>
      <w:r>
        <w:rPr>
          <w:color w:val="1F4E79" w:themeColor="accent1" w:themeShade="80"/>
          <w:sz w:val="22"/>
          <w:szCs w:val="22"/>
        </w:rPr>
        <w:t xml:space="preserve"> </w:t>
      </w:r>
      <w:r>
        <w:rPr>
          <w:color w:val="000000" w:themeColor="text1"/>
          <w:sz w:val="22"/>
          <w:szCs w:val="22"/>
        </w:rPr>
        <w:t>In 1853,</w:t>
      </w:r>
      <w:r w:rsidRPr="00ED6AD9">
        <w:rPr>
          <w:color w:val="000000" w:themeColor="text1"/>
          <w:sz w:val="22"/>
          <w:szCs w:val="22"/>
        </w:rPr>
        <w:t xml:space="preserve"> </w:t>
      </w:r>
      <w:r>
        <w:rPr>
          <w:color w:val="000000" w:themeColor="text1"/>
          <w:sz w:val="22"/>
          <w:szCs w:val="22"/>
        </w:rPr>
        <w:t>nearly two-thousand (</w:t>
      </w:r>
      <w:r w:rsidRPr="00ED6AD9">
        <w:rPr>
          <w:color w:val="000000" w:themeColor="text1"/>
          <w:sz w:val="22"/>
          <w:szCs w:val="22"/>
        </w:rPr>
        <w:t>1,864</w:t>
      </w:r>
      <w:r>
        <w:rPr>
          <w:color w:val="000000" w:themeColor="text1"/>
          <w:sz w:val="22"/>
          <w:szCs w:val="22"/>
        </w:rPr>
        <w:t>)</w:t>
      </w:r>
      <w:r w:rsidRPr="00ED6AD9">
        <w:rPr>
          <w:color w:val="000000" w:themeColor="text1"/>
          <w:sz w:val="22"/>
          <w:szCs w:val="22"/>
        </w:rPr>
        <w:t xml:space="preserve"> men </w:t>
      </w:r>
      <w:r w:rsidRPr="00060A79">
        <w:rPr>
          <w:color w:val="000000" w:themeColor="text1"/>
          <w:sz w:val="22"/>
          <w:szCs w:val="22"/>
        </w:rPr>
        <w:t>w</w:t>
      </w:r>
      <w:r>
        <w:rPr>
          <w:color w:val="000000" w:themeColor="text1"/>
          <w:sz w:val="22"/>
          <w:szCs w:val="22"/>
        </w:rPr>
        <w:t>ere sentenced to transportation</w:t>
      </w:r>
      <w:r w:rsidRPr="00060A79">
        <w:rPr>
          <w:color w:val="000000" w:themeColor="text1"/>
          <w:sz w:val="22"/>
          <w:szCs w:val="22"/>
        </w:rPr>
        <w:t xml:space="preserve"> and </w:t>
      </w:r>
      <w:r>
        <w:rPr>
          <w:color w:val="000000" w:themeColor="text1"/>
          <w:sz w:val="22"/>
          <w:szCs w:val="22"/>
        </w:rPr>
        <w:t>five hundred</w:t>
      </w:r>
      <w:r w:rsidRPr="00060A79">
        <w:rPr>
          <w:color w:val="000000" w:themeColor="text1"/>
          <w:sz w:val="22"/>
          <w:szCs w:val="22"/>
        </w:rPr>
        <w:t xml:space="preserve"> to penal servitude </w:t>
      </w:r>
      <w:r>
        <w:rPr>
          <w:color w:val="000000" w:themeColor="text1"/>
          <w:sz w:val="22"/>
          <w:szCs w:val="22"/>
        </w:rPr>
        <w:t>‘</w:t>
      </w:r>
      <w:r w:rsidRPr="00060A79">
        <w:rPr>
          <w:color w:val="000000" w:themeColor="text1"/>
          <w:sz w:val="22"/>
          <w:szCs w:val="22"/>
        </w:rPr>
        <w:t>at home</w:t>
      </w:r>
      <w:r>
        <w:rPr>
          <w:color w:val="000000" w:themeColor="text1"/>
          <w:sz w:val="22"/>
          <w:szCs w:val="22"/>
        </w:rPr>
        <w:t>’ (and over eleven-hundred men were transported to Western Australia that year)</w:t>
      </w:r>
      <w:r w:rsidRPr="00060A79">
        <w:rPr>
          <w:color w:val="000000" w:themeColor="text1"/>
          <w:sz w:val="22"/>
          <w:szCs w:val="22"/>
        </w:rPr>
        <w:t>, but the following year only 325 men were sentenced to transportation, and over two-thousand consigned to the British convict estate. Between 1857</w:t>
      </w:r>
      <w:r w:rsidR="00E169CD">
        <w:rPr>
          <w:color w:val="000000" w:themeColor="text1"/>
          <w:sz w:val="22"/>
          <w:szCs w:val="22"/>
        </w:rPr>
        <w:t xml:space="preserve">, when the </w:t>
      </w:r>
      <w:r w:rsidR="00CE21E8">
        <w:rPr>
          <w:color w:val="000000" w:themeColor="text1"/>
          <w:sz w:val="22"/>
          <w:szCs w:val="22"/>
        </w:rPr>
        <w:t>option of transportation had</w:t>
      </w:r>
      <w:r w:rsidR="00E169CD">
        <w:rPr>
          <w:color w:val="000000" w:themeColor="text1"/>
          <w:sz w:val="22"/>
          <w:szCs w:val="22"/>
        </w:rPr>
        <w:t xml:space="preserve"> virtually </w:t>
      </w:r>
      <w:r w:rsidR="00CE21E8">
        <w:rPr>
          <w:color w:val="000000" w:themeColor="text1"/>
          <w:sz w:val="22"/>
          <w:szCs w:val="22"/>
        </w:rPr>
        <w:lastRenderedPageBreak/>
        <w:t xml:space="preserve">been </w:t>
      </w:r>
      <w:r w:rsidR="00E169CD">
        <w:rPr>
          <w:color w:val="000000" w:themeColor="text1"/>
          <w:sz w:val="22"/>
          <w:szCs w:val="22"/>
        </w:rPr>
        <w:t xml:space="preserve">removed (it remained only for those sentenced to penal servitude in place or places beyond the seas) </w:t>
      </w:r>
      <w:r w:rsidRPr="00060A79">
        <w:rPr>
          <w:color w:val="000000" w:themeColor="text1"/>
          <w:sz w:val="22"/>
          <w:szCs w:val="22"/>
        </w:rPr>
        <w:t xml:space="preserve">and 1867, a </w:t>
      </w:r>
      <w:r>
        <w:rPr>
          <w:color w:val="000000" w:themeColor="text1"/>
          <w:sz w:val="22"/>
          <w:szCs w:val="22"/>
        </w:rPr>
        <w:t xml:space="preserve">mere </w:t>
      </w:r>
      <w:r w:rsidRPr="00060A79">
        <w:rPr>
          <w:color w:val="000000" w:themeColor="text1"/>
          <w:sz w:val="22"/>
          <w:szCs w:val="22"/>
        </w:rPr>
        <w:t xml:space="preserve">hundred men were sent to </w:t>
      </w:r>
      <w:r w:rsidR="00E169CD">
        <w:rPr>
          <w:color w:val="000000" w:themeColor="text1"/>
          <w:sz w:val="22"/>
          <w:szCs w:val="22"/>
        </w:rPr>
        <w:t>serve their time overseas</w:t>
      </w:r>
      <w:r w:rsidRPr="00060A79">
        <w:rPr>
          <w:color w:val="000000" w:themeColor="text1"/>
          <w:sz w:val="22"/>
          <w:szCs w:val="22"/>
        </w:rPr>
        <w:t>.</w:t>
      </w:r>
      <w:r>
        <w:rPr>
          <w:rStyle w:val="FootnoteReference"/>
          <w:color w:val="000000" w:themeColor="text1"/>
          <w:sz w:val="22"/>
          <w:szCs w:val="22"/>
        </w:rPr>
        <w:footnoteReference w:id="3"/>
      </w:r>
      <w:r w:rsidRPr="00060A79">
        <w:rPr>
          <w:color w:val="000000" w:themeColor="text1"/>
          <w:sz w:val="22"/>
          <w:szCs w:val="22"/>
        </w:rPr>
        <w:t xml:space="preserve"> </w:t>
      </w:r>
    </w:p>
    <w:p w14:paraId="1AC1518F" w14:textId="4CFFE1A4" w:rsidR="00793FBC" w:rsidRDefault="00717566" w:rsidP="00325428">
      <w:pPr>
        <w:spacing w:line="360" w:lineRule="auto"/>
        <w:jc w:val="both"/>
        <w:rPr>
          <w:color w:val="000000" w:themeColor="text1"/>
          <w:sz w:val="22"/>
          <w:szCs w:val="22"/>
        </w:rPr>
      </w:pPr>
      <w:r w:rsidRPr="00060A79">
        <w:rPr>
          <w:color w:val="000000" w:themeColor="text1"/>
          <w:sz w:val="22"/>
          <w:szCs w:val="22"/>
        </w:rPr>
        <w:t>During the same period, over twenty-six thousand men were sentenced to spend their time on penal servitude on home soil.</w:t>
      </w:r>
      <w:r w:rsidRPr="00060A79">
        <w:rPr>
          <w:rStyle w:val="FootnoteReference"/>
          <w:color w:val="000000" w:themeColor="text1"/>
          <w:sz w:val="22"/>
          <w:szCs w:val="22"/>
        </w:rPr>
        <w:footnoteReference w:id="4"/>
      </w:r>
      <w:r w:rsidRPr="00060A79">
        <w:rPr>
          <w:color w:val="000000" w:themeColor="text1"/>
          <w:sz w:val="22"/>
          <w:szCs w:val="22"/>
        </w:rPr>
        <w:t xml:space="preserve"> </w:t>
      </w:r>
      <w:r w:rsidR="00E868E7">
        <w:rPr>
          <w:color w:val="000000" w:themeColor="text1"/>
          <w:sz w:val="22"/>
          <w:szCs w:val="22"/>
        </w:rPr>
        <w:t>Overall then, a relatively-</w:t>
      </w:r>
      <w:r>
        <w:rPr>
          <w:color w:val="000000" w:themeColor="text1"/>
          <w:sz w:val="22"/>
          <w:szCs w:val="22"/>
        </w:rPr>
        <w:t xml:space="preserve">small </w:t>
      </w:r>
      <w:r w:rsidRPr="00ED6AD9">
        <w:rPr>
          <w:color w:val="000000" w:themeColor="text1"/>
          <w:sz w:val="22"/>
          <w:szCs w:val="22"/>
        </w:rPr>
        <w:t xml:space="preserve">number of people </w:t>
      </w:r>
      <w:r w:rsidRPr="00F723EA">
        <w:rPr>
          <w:color w:val="000000" w:themeColor="text1"/>
          <w:sz w:val="22"/>
          <w:szCs w:val="22"/>
        </w:rPr>
        <w:t xml:space="preserve">were sentenced to transportation after </w:t>
      </w:r>
      <w:r w:rsidR="00063529">
        <w:rPr>
          <w:color w:val="000000" w:themeColor="text1"/>
          <w:sz w:val="22"/>
          <w:szCs w:val="22"/>
        </w:rPr>
        <w:t>VDL</w:t>
      </w:r>
      <w:r w:rsidRPr="00F723EA">
        <w:rPr>
          <w:color w:val="000000" w:themeColor="text1"/>
          <w:sz w:val="22"/>
          <w:szCs w:val="22"/>
        </w:rPr>
        <w:t xml:space="preserve"> </w:t>
      </w:r>
      <w:r w:rsidR="00793FBC">
        <w:rPr>
          <w:color w:val="000000" w:themeColor="text1"/>
          <w:sz w:val="22"/>
          <w:szCs w:val="22"/>
        </w:rPr>
        <w:t xml:space="preserve">had </w:t>
      </w:r>
      <w:r w:rsidRPr="00F723EA">
        <w:rPr>
          <w:color w:val="000000" w:themeColor="text1"/>
          <w:sz w:val="22"/>
          <w:szCs w:val="22"/>
        </w:rPr>
        <w:t xml:space="preserve">closed for business. This </w:t>
      </w:r>
      <w:r>
        <w:rPr>
          <w:color w:val="000000" w:themeColor="text1"/>
          <w:sz w:val="22"/>
          <w:szCs w:val="22"/>
        </w:rPr>
        <w:t xml:space="preserve">reduction </w:t>
      </w:r>
      <w:r w:rsidRPr="00F723EA">
        <w:rPr>
          <w:color w:val="000000" w:themeColor="text1"/>
          <w:sz w:val="22"/>
          <w:szCs w:val="22"/>
        </w:rPr>
        <w:t>was compounded by the 1853 Penal Servitude Act which stipulated that shorter terms of ‘penal servitude’ were to be served in Britain, further reducing the number of men</w:t>
      </w:r>
      <w:r>
        <w:rPr>
          <w:color w:val="000000" w:themeColor="text1"/>
          <w:sz w:val="22"/>
          <w:szCs w:val="22"/>
        </w:rPr>
        <w:t xml:space="preserve"> who were actually</w:t>
      </w:r>
      <w:r w:rsidRPr="00F723EA">
        <w:rPr>
          <w:color w:val="000000" w:themeColor="text1"/>
          <w:sz w:val="22"/>
          <w:szCs w:val="22"/>
        </w:rPr>
        <w:t xml:space="preserve"> transported. </w:t>
      </w:r>
      <w:r w:rsidRPr="00ED6AD9">
        <w:rPr>
          <w:color w:val="000000" w:themeColor="text1"/>
          <w:sz w:val="22"/>
          <w:szCs w:val="22"/>
        </w:rPr>
        <w:t xml:space="preserve">Fewer than three-hundred men were transported </w:t>
      </w:r>
      <w:r w:rsidR="008337CA">
        <w:rPr>
          <w:color w:val="000000" w:themeColor="text1"/>
          <w:sz w:val="22"/>
          <w:szCs w:val="22"/>
        </w:rPr>
        <w:t xml:space="preserve">from England and Wales </w:t>
      </w:r>
      <w:r w:rsidRPr="00ED6AD9">
        <w:rPr>
          <w:color w:val="000000" w:themeColor="text1"/>
          <w:sz w:val="22"/>
          <w:szCs w:val="22"/>
        </w:rPr>
        <w:t xml:space="preserve">between 1854 and 1856; just 224 in 1859 (Shaw 1966: 355). </w:t>
      </w:r>
      <w:r>
        <w:rPr>
          <w:color w:val="000000" w:themeColor="text1"/>
          <w:sz w:val="22"/>
          <w:szCs w:val="22"/>
        </w:rPr>
        <w:t xml:space="preserve">The British government then </w:t>
      </w:r>
      <w:r w:rsidRPr="00ED6AD9">
        <w:rPr>
          <w:color w:val="000000" w:themeColor="text1"/>
          <w:sz w:val="22"/>
          <w:szCs w:val="22"/>
        </w:rPr>
        <w:t>suspended the regulation that had stipulated that c</w:t>
      </w:r>
      <w:r>
        <w:rPr>
          <w:color w:val="000000" w:themeColor="text1"/>
          <w:sz w:val="22"/>
          <w:szCs w:val="22"/>
        </w:rPr>
        <w:t>onvicts serve half their time o</w:t>
      </w:r>
      <w:r w:rsidRPr="00ED6AD9">
        <w:rPr>
          <w:color w:val="000000" w:themeColor="text1"/>
          <w:sz w:val="22"/>
          <w:szCs w:val="22"/>
        </w:rPr>
        <w:t xml:space="preserve">n hulks or </w:t>
      </w:r>
      <w:r>
        <w:rPr>
          <w:color w:val="000000" w:themeColor="text1"/>
          <w:sz w:val="22"/>
          <w:szCs w:val="22"/>
        </w:rPr>
        <w:t xml:space="preserve">inside </w:t>
      </w:r>
      <w:r w:rsidRPr="00ED6AD9">
        <w:rPr>
          <w:color w:val="000000" w:themeColor="text1"/>
          <w:sz w:val="22"/>
          <w:szCs w:val="22"/>
        </w:rPr>
        <w:t>prisons before sailing so</w:t>
      </w:r>
      <w:r>
        <w:rPr>
          <w:color w:val="000000" w:themeColor="text1"/>
          <w:sz w:val="22"/>
          <w:szCs w:val="22"/>
        </w:rPr>
        <w:t>uth, and there was an increase in convict traffic from 1861 to 1868 when the last convict ship</w:t>
      </w:r>
      <w:r w:rsidR="00CE21E8">
        <w:rPr>
          <w:color w:val="000000" w:themeColor="text1"/>
          <w:sz w:val="22"/>
          <w:szCs w:val="22"/>
        </w:rPr>
        <w:t xml:space="preserve"> </w:t>
      </w:r>
      <w:r>
        <w:rPr>
          <w:color w:val="000000" w:themeColor="text1"/>
          <w:sz w:val="22"/>
          <w:szCs w:val="22"/>
        </w:rPr>
        <w:t xml:space="preserve">docked in Fremantle. </w:t>
      </w:r>
      <w:r w:rsidR="00793FBC" w:rsidRPr="00F324FB">
        <w:rPr>
          <w:color w:val="000000" w:themeColor="text1"/>
          <w:sz w:val="22"/>
          <w:szCs w:val="22"/>
        </w:rPr>
        <w:t xml:space="preserve">When Thomas Osborne and George Grant started their respective sentences, </w:t>
      </w:r>
      <w:r w:rsidR="00793FBC">
        <w:rPr>
          <w:color w:val="000000" w:themeColor="text1"/>
          <w:sz w:val="22"/>
          <w:szCs w:val="22"/>
        </w:rPr>
        <w:t xml:space="preserve">one in Fremantle, the other in London’s Millbank Prison, </w:t>
      </w:r>
      <w:r w:rsidR="00793FBC" w:rsidRPr="00F324FB">
        <w:rPr>
          <w:color w:val="000000" w:themeColor="text1"/>
          <w:sz w:val="22"/>
          <w:szCs w:val="22"/>
        </w:rPr>
        <w:t xml:space="preserve">they </w:t>
      </w:r>
      <w:r w:rsidR="00793FBC">
        <w:rPr>
          <w:color w:val="000000" w:themeColor="text1"/>
          <w:sz w:val="22"/>
          <w:szCs w:val="22"/>
        </w:rPr>
        <w:t xml:space="preserve">began to feel their way around </w:t>
      </w:r>
      <w:r w:rsidR="00793FBC" w:rsidRPr="00F324FB">
        <w:rPr>
          <w:color w:val="000000" w:themeColor="text1"/>
          <w:sz w:val="22"/>
          <w:szCs w:val="22"/>
        </w:rPr>
        <w:t>very different regimes.</w:t>
      </w:r>
    </w:p>
    <w:p w14:paraId="32F04102" w14:textId="6082BBF5" w:rsidR="00717566" w:rsidRDefault="00717566" w:rsidP="00B101EC">
      <w:pPr>
        <w:spacing w:line="360" w:lineRule="auto"/>
        <w:jc w:val="both"/>
        <w:rPr>
          <w:b/>
          <w:i/>
          <w:color w:val="000000" w:themeColor="text1"/>
          <w:sz w:val="22"/>
          <w:szCs w:val="22"/>
          <w:highlight w:val="yellow"/>
        </w:rPr>
      </w:pPr>
    </w:p>
    <w:p w14:paraId="0D632B91" w14:textId="55A7A902" w:rsidR="00717566" w:rsidRDefault="00717566" w:rsidP="00B101EC">
      <w:pPr>
        <w:spacing w:line="360" w:lineRule="auto"/>
        <w:jc w:val="both"/>
        <w:rPr>
          <w:b/>
          <w:color w:val="000000" w:themeColor="text1"/>
          <w:sz w:val="22"/>
          <w:szCs w:val="22"/>
        </w:rPr>
      </w:pPr>
      <w:r>
        <w:rPr>
          <w:b/>
          <w:color w:val="000000" w:themeColor="text1"/>
          <w:sz w:val="22"/>
          <w:szCs w:val="22"/>
        </w:rPr>
        <w:t xml:space="preserve">The Western Australian system </w:t>
      </w:r>
    </w:p>
    <w:p w14:paraId="1C0B9276" w14:textId="77777777" w:rsidR="00E868E7" w:rsidRPr="006D6553" w:rsidRDefault="00E868E7" w:rsidP="00B101EC">
      <w:pPr>
        <w:spacing w:line="360" w:lineRule="auto"/>
        <w:jc w:val="both"/>
        <w:rPr>
          <w:b/>
          <w:color w:val="000000" w:themeColor="text1"/>
          <w:sz w:val="22"/>
          <w:szCs w:val="22"/>
        </w:rPr>
      </w:pPr>
    </w:p>
    <w:p w14:paraId="1DECC6A4" w14:textId="28B23A4F" w:rsidR="00717566" w:rsidRDefault="00717566" w:rsidP="00B101EC">
      <w:pPr>
        <w:spacing w:line="360" w:lineRule="auto"/>
        <w:jc w:val="both"/>
        <w:rPr>
          <w:color w:val="000000" w:themeColor="text1"/>
          <w:sz w:val="22"/>
          <w:szCs w:val="22"/>
        </w:rPr>
      </w:pPr>
      <w:r w:rsidRPr="00407B5F">
        <w:rPr>
          <w:color w:val="000000" w:themeColor="text1"/>
          <w:sz w:val="22"/>
          <w:szCs w:val="22"/>
        </w:rPr>
        <w:t xml:space="preserve">Western Australian convicts passed through a number of progressive stages journeying towards release, each with a </w:t>
      </w:r>
      <w:r w:rsidRPr="00EF5B1C">
        <w:rPr>
          <w:color w:val="000000" w:themeColor="text1"/>
          <w:sz w:val="22"/>
          <w:szCs w:val="22"/>
        </w:rPr>
        <w:t xml:space="preserve">larger measure of autonomy and liberty (Kerr 1984; Braithwaite 2001). Following a period in Fremantle Depot and serving on the work gangs that were constructing parts of the colony, </w:t>
      </w:r>
      <w:r>
        <w:rPr>
          <w:color w:val="000000" w:themeColor="text1"/>
          <w:sz w:val="22"/>
          <w:szCs w:val="22"/>
        </w:rPr>
        <w:t xml:space="preserve">convicts were licensed with a </w:t>
      </w:r>
      <w:r w:rsidR="00A41265">
        <w:rPr>
          <w:color w:val="000000" w:themeColor="text1"/>
          <w:sz w:val="22"/>
          <w:szCs w:val="22"/>
        </w:rPr>
        <w:t>ticket-of-l</w:t>
      </w:r>
      <w:r w:rsidRPr="00EF5B1C">
        <w:rPr>
          <w:color w:val="000000" w:themeColor="text1"/>
          <w:sz w:val="22"/>
          <w:szCs w:val="22"/>
        </w:rPr>
        <w:t>eave</w:t>
      </w:r>
      <w:r>
        <w:rPr>
          <w:color w:val="000000" w:themeColor="text1"/>
          <w:sz w:val="22"/>
          <w:szCs w:val="22"/>
        </w:rPr>
        <w:t xml:space="preserve"> as a form of conditional early release</w:t>
      </w:r>
      <w:r w:rsidRPr="00C2715D">
        <w:rPr>
          <w:color w:val="000000" w:themeColor="text1"/>
          <w:sz w:val="22"/>
          <w:szCs w:val="22"/>
        </w:rPr>
        <w:t xml:space="preserve">. </w:t>
      </w:r>
      <w:r>
        <w:rPr>
          <w:color w:val="000000" w:themeColor="text1"/>
          <w:sz w:val="22"/>
          <w:szCs w:val="22"/>
        </w:rPr>
        <w:t>Even w</w:t>
      </w:r>
      <w:r w:rsidRPr="00C2715D">
        <w:rPr>
          <w:color w:val="000000" w:themeColor="text1"/>
          <w:sz w:val="22"/>
          <w:szCs w:val="22"/>
        </w:rPr>
        <w:t xml:space="preserve">hen </w:t>
      </w:r>
      <w:r>
        <w:rPr>
          <w:color w:val="000000" w:themeColor="text1"/>
          <w:sz w:val="22"/>
          <w:szCs w:val="22"/>
        </w:rPr>
        <w:t xml:space="preserve">in receipt of </w:t>
      </w:r>
      <w:r w:rsidRPr="00C2715D">
        <w:rPr>
          <w:color w:val="000000" w:themeColor="text1"/>
          <w:sz w:val="22"/>
          <w:szCs w:val="22"/>
        </w:rPr>
        <w:t xml:space="preserve">their ticket – which they were required to carry around with them for inspection by police constables - convicts were conﬁned to a geographical area, were </w:t>
      </w:r>
      <w:r w:rsidR="00CD658D">
        <w:rPr>
          <w:color w:val="000000" w:themeColor="text1"/>
          <w:sz w:val="22"/>
          <w:szCs w:val="22"/>
        </w:rPr>
        <w:t>required to</w:t>
      </w:r>
      <w:r w:rsidRPr="00C2715D">
        <w:rPr>
          <w:color w:val="000000" w:themeColor="text1"/>
          <w:sz w:val="22"/>
          <w:szCs w:val="22"/>
        </w:rPr>
        <w:t xml:space="preserve"> make regular reports to the local resident magistrate, had restrictions on their drinking of alcohol, could not apply </w:t>
      </w:r>
      <w:r w:rsidR="00A41265">
        <w:rPr>
          <w:color w:val="000000" w:themeColor="text1"/>
          <w:sz w:val="22"/>
          <w:szCs w:val="22"/>
        </w:rPr>
        <w:t>for civil s</w:t>
      </w:r>
      <w:r w:rsidRPr="00C2715D">
        <w:rPr>
          <w:color w:val="000000" w:themeColor="text1"/>
          <w:sz w:val="22"/>
          <w:szCs w:val="22"/>
        </w:rPr>
        <w:t xml:space="preserve">ervice posts, or serve on juries (although they </w:t>
      </w:r>
      <w:r w:rsidR="00A41265">
        <w:rPr>
          <w:color w:val="000000" w:themeColor="text1"/>
          <w:sz w:val="22"/>
          <w:szCs w:val="22"/>
        </w:rPr>
        <w:t xml:space="preserve">were permitted to prosecute cases </w:t>
      </w:r>
      <w:r w:rsidRPr="00C2715D">
        <w:rPr>
          <w:color w:val="000000" w:themeColor="text1"/>
          <w:sz w:val="22"/>
          <w:szCs w:val="22"/>
        </w:rPr>
        <w:t>and act as witnesses in court)</w:t>
      </w:r>
      <w:r>
        <w:rPr>
          <w:color w:val="000000" w:themeColor="text1"/>
          <w:sz w:val="22"/>
          <w:szCs w:val="22"/>
        </w:rPr>
        <w:t xml:space="preserve">. </w:t>
      </w:r>
      <w:r w:rsidRPr="00C2715D">
        <w:rPr>
          <w:color w:val="000000" w:themeColor="text1"/>
          <w:sz w:val="22"/>
          <w:szCs w:val="22"/>
        </w:rPr>
        <w:t xml:space="preserve">They were subject to </w:t>
      </w:r>
      <w:r w:rsidRPr="00D571F5">
        <w:rPr>
          <w:color w:val="000000" w:themeColor="text1"/>
          <w:sz w:val="22"/>
          <w:szCs w:val="22"/>
        </w:rPr>
        <w:t>curfew at 10pm</w:t>
      </w:r>
      <w:r w:rsidR="00CD658D">
        <w:rPr>
          <w:color w:val="000000" w:themeColor="text1"/>
          <w:sz w:val="22"/>
          <w:szCs w:val="22"/>
        </w:rPr>
        <w:t>,</w:t>
      </w:r>
      <w:r w:rsidRPr="00D571F5">
        <w:rPr>
          <w:color w:val="000000" w:themeColor="text1"/>
          <w:sz w:val="22"/>
          <w:szCs w:val="22"/>
        </w:rPr>
        <w:t xml:space="preserve"> which Vivienne (1902: 39) says was still in operation in the 1890s, </w:t>
      </w:r>
      <w:r w:rsidR="00A41265">
        <w:rPr>
          <w:color w:val="000000" w:themeColor="text1"/>
          <w:sz w:val="22"/>
          <w:szCs w:val="22"/>
        </w:rPr>
        <w:t xml:space="preserve">when very few ticket-of-leave men would still be wandering around the streets of Perth and Fremantle, </w:t>
      </w:r>
      <w:r w:rsidRPr="00D571F5">
        <w:rPr>
          <w:color w:val="000000" w:themeColor="text1"/>
          <w:sz w:val="22"/>
          <w:szCs w:val="22"/>
        </w:rPr>
        <w:t xml:space="preserve">and they remained under the supervision of the police (in a similar way to the British </w:t>
      </w:r>
      <w:r>
        <w:rPr>
          <w:color w:val="000000" w:themeColor="text1"/>
          <w:sz w:val="22"/>
          <w:szCs w:val="22"/>
        </w:rPr>
        <w:t>convicts who were</w:t>
      </w:r>
      <w:r w:rsidRPr="00D571F5">
        <w:rPr>
          <w:color w:val="000000" w:themeColor="text1"/>
          <w:sz w:val="22"/>
          <w:szCs w:val="22"/>
        </w:rPr>
        <w:t xml:space="preserve"> subject to habitual offender legislation</w:t>
      </w:r>
      <w:r w:rsidR="00A41265">
        <w:rPr>
          <w:color w:val="000000" w:themeColor="text1"/>
          <w:sz w:val="22"/>
          <w:szCs w:val="22"/>
        </w:rPr>
        <w:t xml:space="preserve"> passed in the 1860s and 70s</w:t>
      </w:r>
      <w:r w:rsidRPr="00D571F5">
        <w:rPr>
          <w:color w:val="000000" w:themeColor="text1"/>
          <w:sz w:val="22"/>
          <w:szCs w:val="22"/>
        </w:rPr>
        <w:t xml:space="preserve">). However, </w:t>
      </w:r>
      <w:r>
        <w:rPr>
          <w:color w:val="000000" w:themeColor="text1"/>
          <w:sz w:val="22"/>
          <w:szCs w:val="22"/>
        </w:rPr>
        <w:t>ticket-of-leave holders</w:t>
      </w:r>
      <w:r w:rsidRPr="00D571F5">
        <w:rPr>
          <w:color w:val="000000" w:themeColor="text1"/>
          <w:sz w:val="22"/>
          <w:szCs w:val="22"/>
        </w:rPr>
        <w:t xml:space="preserve"> were eligible to earn money on assignment</w:t>
      </w:r>
      <w:r w:rsidR="00A41265">
        <w:rPr>
          <w:color w:val="000000" w:themeColor="text1"/>
          <w:sz w:val="22"/>
          <w:szCs w:val="22"/>
        </w:rPr>
        <w:t xml:space="preserve"> with local employers</w:t>
      </w:r>
      <w:r w:rsidRPr="00D571F5">
        <w:rPr>
          <w:color w:val="000000" w:themeColor="text1"/>
          <w:sz w:val="22"/>
          <w:szCs w:val="22"/>
        </w:rPr>
        <w:t xml:space="preserve">. </w:t>
      </w:r>
    </w:p>
    <w:p w14:paraId="5EF5E058" w14:textId="6DBB2034" w:rsidR="00717566" w:rsidRDefault="00717566" w:rsidP="005F65F0">
      <w:pPr>
        <w:pStyle w:val="CommentText"/>
        <w:spacing w:line="360" w:lineRule="auto"/>
        <w:jc w:val="both"/>
        <w:rPr>
          <w:color w:val="000000" w:themeColor="text1"/>
          <w:sz w:val="22"/>
          <w:szCs w:val="22"/>
        </w:rPr>
      </w:pPr>
      <w:r w:rsidRPr="00D571F5">
        <w:rPr>
          <w:color w:val="000000" w:themeColor="text1"/>
          <w:sz w:val="22"/>
          <w:szCs w:val="22"/>
        </w:rPr>
        <w:t xml:space="preserve">Assigning had been considered a failure in the eastern Australian colonies and </w:t>
      </w:r>
      <w:r w:rsidR="00A41265">
        <w:rPr>
          <w:color w:val="000000" w:themeColor="text1"/>
          <w:sz w:val="22"/>
          <w:szCs w:val="22"/>
        </w:rPr>
        <w:t>was discontinued</w:t>
      </w:r>
      <w:r w:rsidRPr="00D571F5">
        <w:rPr>
          <w:color w:val="000000" w:themeColor="text1"/>
          <w:sz w:val="22"/>
          <w:szCs w:val="22"/>
        </w:rPr>
        <w:t xml:space="preserve"> in the </w:t>
      </w:r>
      <w:r w:rsidRPr="005A30A3">
        <w:rPr>
          <w:color w:val="000000" w:themeColor="text1"/>
          <w:sz w:val="22"/>
          <w:szCs w:val="22"/>
        </w:rPr>
        <w:t>1830s (</w:t>
      </w:r>
      <w:r>
        <w:rPr>
          <w:color w:val="000000" w:themeColor="text1"/>
          <w:sz w:val="22"/>
          <w:szCs w:val="22"/>
        </w:rPr>
        <w:t>Sean Winter 2013</w:t>
      </w:r>
      <w:r w:rsidRPr="005A30A3">
        <w:rPr>
          <w:color w:val="000000" w:themeColor="text1"/>
          <w:sz w:val="22"/>
          <w:szCs w:val="22"/>
        </w:rPr>
        <w:t>).</w:t>
      </w:r>
      <w:r w:rsidRPr="00D571F5">
        <w:rPr>
          <w:color w:val="000000" w:themeColor="text1"/>
          <w:sz w:val="22"/>
          <w:szCs w:val="22"/>
        </w:rPr>
        <w:t xml:space="preserve"> </w:t>
      </w:r>
      <w:r>
        <w:rPr>
          <w:color w:val="000000" w:themeColor="text1"/>
          <w:sz w:val="22"/>
          <w:szCs w:val="22"/>
        </w:rPr>
        <w:t>Nevertheless,</w:t>
      </w:r>
      <w:r w:rsidRPr="00D571F5">
        <w:rPr>
          <w:color w:val="000000" w:themeColor="text1"/>
          <w:sz w:val="22"/>
          <w:szCs w:val="22"/>
        </w:rPr>
        <w:t xml:space="preserve"> the scheme was popular in the west, as a way of supplying labour to geographical areas </w:t>
      </w:r>
      <w:r>
        <w:rPr>
          <w:color w:val="000000" w:themeColor="text1"/>
          <w:sz w:val="22"/>
          <w:szCs w:val="22"/>
        </w:rPr>
        <w:t>where</w:t>
      </w:r>
      <w:r w:rsidRPr="00D571F5">
        <w:rPr>
          <w:color w:val="000000" w:themeColor="text1"/>
          <w:sz w:val="22"/>
          <w:szCs w:val="22"/>
        </w:rPr>
        <w:t xml:space="preserve"> free labour would not </w:t>
      </w:r>
      <w:r>
        <w:rPr>
          <w:color w:val="000000" w:themeColor="text1"/>
          <w:sz w:val="22"/>
          <w:szCs w:val="22"/>
        </w:rPr>
        <w:t xml:space="preserve">venture (usually geographically dispersed </w:t>
      </w:r>
      <w:r>
        <w:rPr>
          <w:color w:val="000000" w:themeColor="text1"/>
          <w:sz w:val="22"/>
          <w:szCs w:val="22"/>
        </w:rPr>
        <w:lastRenderedPageBreak/>
        <w:t>settlements in Western Australia)</w:t>
      </w:r>
      <w:r w:rsidRPr="00D571F5">
        <w:rPr>
          <w:color w:val="000000" w:themeColor="text1"/>
          <w:sz w:val="22"/>
          <w:szCs w:val="22"/>
        </w:rPr>
        <w:t xml:space="preserve">. Because they had already served time in British prisons or prison hulks, approximately a quarter of the convicts had already been issued with tickets-of-leave on entry to Western Australia, and so they were able to take employment assignments from the start of their life in the colony (Crowley 1960: 33; Kercher 1995: 41). By December 1852, over half of the transported men were working for private employers (Shaw 1966: 355). However, when the </w:t>
      </w:r>
      <w:r>
        <w:rPr>
          <w:color w:val="000000" w:themeColor="text1"/>
          <w:sz w:val="22"/>
          <w:szCs w:val="22"/>
        </w:rPr>
        <w:t xml:space="preserve">government removed the </w:t>
      </w:r>
      <w:r w:rsidRPr="00D571F5">
        <w:rPr>
          <w:color w:val="000000" w:themeColor="text1"/>
          <w:sz w:val="22"/>
          <w:szCs w:val="22"/>
        </w:rPr>
        <w:t xml:space="preserve">stipulation that </w:t>
      </w:r>
      <w:r>
        <w:rPr>
          <w:color w:val="000000" w:themeColor="text1"/>
          <w:sz w:val="22"/>
          <w:szCs w:val="22"/>
        </w:rPr>
        <w:t>convicts</w:t>
      </w:r>
      <w:r w:rsidRPr="00D571F5">
        <w:rPr>
          <w:color w:val="000000" w:themeColor="text1"/>
          <w:sz w:val="22"/>
          <w:szCs w:val="22"/>
        </w:rPr>
        <w:t xml:space="preserve"> had to spend half their sentence in Britain </w:t>
      </w:r>
      <w:r>
        <w:rPr>
          <w:color w:val="000000" w:themeColor="text1"/>
          <w:sz w:val="22"/>
          <w:szCs w:val="22"/>
        </w:rPr>
        <w:t xml:space="preserve">prisons </w:t>
      </w:r>
      <w:r w:rsidRPr="00D571F5">
        <w:rPr>
          <w:color w:val="000000" w:themeColor="text1"/>
          <w:sz w:val="22"/>
          <w:szCs w:val="22"/>
        </w:rPr>
        <w:t xml:space="preserve">before being transported, new arrivals </w:t>
      </w:r>
      <w:r>
        <w:rPr>
          <w:color w:val="000000" w:themeColor="text1"/>
          <w:sz w:val="22"/>
          <w:szCs w:val="22"/>
        </w:rPr>
        <w:t xml:space="preserve">were forced to spend </w:t>
      </w:r>
      <w:r w:rsidRPr="00D571F5">
        <w:rPr>
          <w:color w:val="000000" w:themeColor="text1"/>
          <w:sz w:val="22"/>
          <w:szCs w:val="22"/>
        </w:rPr>
        <w:t>more time on road gangs and government work before being eligible for tickets-of-leave (Kercher 2003, 548).</w:t>
      </w:r>
      <w:r w:rsidRPr="00D60EE3">
        <w:rPr>
          <w:color w:val="000000" w:themeColor="text1"/>
          <w:sz w:val="22"/>
          <w:szCs w:val="22"/>
        </w:rPr>
        <w:t xml:space="preserve"> </w:t>
      </w:r>
      <w:r>
        <w:rPr>
          <w:color w:val="000000" w:themeColor="text1"/>
          <w:sz w:val="22"/>
          <w:szCs w:val="22"/>
        </w:rPr>
        <w:t xml:space="preserve">When the period under ’ticket’ had been successfully completed, convicts were issued with Certificates of Freedom. </w:t>
      </w:r>
      <w:r w:rsidRPr="00EF5B1C">
        <w:rPr>
          <w:color w:val="000000" w:themeColor="text1"/>
          <w:sz w:val="22"/>
          <w:szCs w:val="22"/>
        </w:rPr>
        <w:t>The Ticket-of-Leave was only an intermediary stage towards freedom or emancipation.</w:t>
      </w:r>
      <w:r>
        <w:rPr>
          <w:color w:val="000000" w:themeColor="text1"/>
          <w:sz w:val="22"/>
          <w:szCs w:val="22"/>
        </w:rPr>
        <w:t xml:space="preserve"> Convicts who either had their tickets</w:t>
      </w:r>
      <w:r w:rsidRPr="00EF5B1C">
        <w:rPr>
          <w:color w:val="000000" w:themeColor="text1"/>
          <w:sz w:val="22"/>
          <w:szCs w:val="22"/>
        </w:rPr>
        <w:t xml:space="preserve"> revoked</w:t>
      </w:r>
      <w:r>
        <w:rPr>
          <w:color w:val="000000" w:themeColor="text1"/>
          <w:sz w:val="22"/>
          <w:szCs w:val="22"/>
        </w:rPr>
        <w:t xml:space="preserve"> (for committing new offences or breaching some regulations),</w:t>
      </w:r>
      <w:r w:rsidRPr="00EF5B1C">
        <w:rPr>
          <w:color w:val="000000" w:themeColor="text1"/>
          <w:sz w:val="22"/>
          <w:szCs w:val="22"/>
        </w:rPr>
        <w:t xml:space="preserve"> were required to spend additional time in the Convict Establishment before being issued with a ticket again.</w:t>
      </w:r>
      <w:r>
        <w:rPr>
          <w:color w:val="000000" w:themeColor="text1"/>
          <w:sz w:val="22"/>
          <w:szCs w:val="22"/>
        </w:rPr>
        <w:t xml:space="preserve"> </w:t>
      </w:r>
      <w:r w:rsidR="00A644C8">
        <w:rPr>
          <w:color w:val="000000" w:themeColor="text1"/>
          <w:sz w:val="22"/>
          <w:szCs w:val="22"/>
        </w:rPr>
        <w:t>Their perambulations up and down the progressive stages varied, of course</w:t>
      </w:r>
      <w:r w:rsidR="00F43702">
        <w:rPr>
          <w:color w:val="000000" w:themeColor="text1"/>
          <w:sz w:val="22"/>
          <w:szCs w:val="22"/>
        </w:rPr>
        <w:t>,</w:t>
      </w:r>
      <w:r w:rsidR="00A644C8">
        <w:rPr>
          <w:color w:val="000000" w:themeColor="text1"/>
          <w:sz w:val="22"/>
          <w:szCs w:val="22"/>
        </w:rPr>
        <w:t xml:space="preserve"> on ‘offences’ being detected, and the willingness of the authorities to take action (bribery and corruption must have been a factor). </w:t>
      </w:r>
      <w:r>
        <w:rPr>
          <w:color w:val="000000" w:themeColor="text1"/>
          <w:sz w:val="22"/>
          <w:szCs w:val="22"/>
        </w:rPr>
        <w:t xml:space="preserve">So, it could take many goes around the conditional-leave merry-go-round before convicts finally left the system. As ‘expirees’ they were then considered to be free, although </w:t>
      </w:r>
      <w:r w:rsidR="00F43702">
        <w:rPr>
          <w:color w:val="000000" w:themeColor="text1"/>
          <w:sz w:val="22"/>
          <w:szCs w:val="22"/>
        </w:rPr>
        <w:t>men</w:t>
      </w:r>
      <w:r w:rsidR="00A644C8">
        <w:rPr>
          <w:color w:val="000000" w:themeColor="text1"/>
          <w:sz w:val="22"/>
          <w:szCs w:val="22"/>
        </w:rPr>
        <w:t xml:space="preserve"> sentenced to transportation for life </w:t>
      </w:r>
      <w:r>
        <w:rPr>
          <w:color w:val="000000" w:themeColor="text1"/>
          <w:sz w:val="22"/>
          <w:szCs w:val="22"/>
        </w:rPr>
        <w:t xml:space="preserve">were not </w:t>
      </w:r>
      <w:r w:rsidR="00F43702">
        <w:rPr>
          <w:color w:val="000000" w:themeColor="text1"/>
          <w:sz w:val="22"/>
          <w:szCs w:val="22"/>
        </w:rPr>
        <w:t>allowed</w:t>
      </w:r>
      <w:r>
        <w:rPr>
          <w:color w:val="000000" w:themeColor="text1"/>
          <w:sz w:val="22"/>
          <w:szCs w:val="22"/>
        </w:rPr>
        <w:t xml:space="preserve"> to return back to their motherland.</w:t>
      </w:r>
      <w:r w:rsidR="008337CA" w:rsidRPr="008337CA">
        <w:t xml:space="preserve"> </w:t>
      </w:r>
    </w:p>
    <w:p w14:paraId="6AA14FBB" w14:textId="77777777" w:rsidR="00717566" w:rsidRDefault="00717566" w:rsidP="00B101EC">
      <w:pPr>
        <w:spacing w:line="360" w:lineRule="auto"/>
        <w:jc w:val="both"/>
        <w:rPr>
          <w:color w:val="000000" w:themeColor="text1"/>
          <w:sz w:val="22"/>
          <w:szCs w:val="22"/>
        </w:rPr>
      </w:pPr>
    </w:p>
    <w:p w14:paraId="786C3CA9" w14:textId="48905081" w:rsidR="00E868E7" w:rsidRDefault="00717566" w:rsidP="00B101EC">
      <w:pPr>
        <w:spacing w:line="360" w:lineRule="auto"/>
        <w:jc w:val="both"/>
        <w:rPr>
          <w:b/>
          <w:color w:val="000000" w:themeColor="text1"/>
          <w:sz w:val="22"/>
          <w:szCs w:val="22"/>
        </w:rPr>
      </w:pPr>
      <w:r w:rsidRPr="00E929F6">
        <w:rPr>
          <w:b/>
          <w:color w:val="000000" w:themeColor="text1"/>
          <w:sz w:val="22"/>
          <w:szCs w:val="22"/>
        </w:rPr>
        <w:t xml:space="preserve">The British Convict System </w:t>
      </w:r>
    </w:p>
    <w:p w14:paraId="636D31F6" w14:textId="77777777" w:rsidR="00B101EC" w:rsidRPr="00B101EC" w:rsidRDefault="00B101EC" w:rsidP="00B101EC">
      <w:pPr>
        <w:spacing w:line="360" w:lineRule="auto"/>
        <w:jc w:val="both"/>
        <w:rPr>
          <w:b/>
          <w:color w:val="000000" w:themeColor="text1"/>
          <w:sz w:val="22"/>
          <w:szCs w:val="22"/>
        </w:rPr>
      </w:pPr>
    </w:p>
    <w:p w14:paraId="0D046EF6" w14:textId="3ECF6B2B" w:rsidR="00AE0F76" w:rsidRDefault="00717566" w:rsidP="00B101EC">
      <w:pPr>
        <w:spacing w:line="360" w:lineRule="auto"/>
        <w:jc w:val="both"/>
        <w:rPr>
          <w:color w:val="000000" w:themeColor="text1"/>
          <w:sz w:val="22"/>
          <w:szCs w:val="22"/>
        </w:rPr>
      </w:pPr>
      <w:r w:rsidRPr="00E929F6">
        <w:rPr>
          <w:color w:val="000000" w:themeColor="text1"/>
          <w:sz w:val="22"/>
          <w:szCs w:val="22"/>
        </w:rPr>
        <w:t xml:space="preserve">In anticipation of transportation ending, </w:t>
      </w:r>
      <w:r>
        <w:rPr>
          <w:color w:val="000000" w:themeColor="text1"/>
          <w:sz w:val="22"/>
          <w:szCs w:val="22"/>
        </w:rPr>
        <w:t xml:space="preserve">British </w:t>
      </w:r>
      <w:r w:rsidRPr="00E929F6">
        <w:rPr>
          <w:color w:val="000000" w:themeColor="text1"/>
          <w:sz w:val="22"/>
          <w:szCs w:val="22"/>
        </w:rPr>
        <w:t>convict prison</w:t>
      </w:r>
      <w:r>
        <w:rPr>
          <w:color w:val="000000" w:themeColor="text1"/>
          <w:sz w:val="22"/>
          <w:szCs w:val="22"/>
        </w:rPr>
        <w:t>s</w:t>
      </w:r>
      <w:r w:rsidRPr="00E929F6">
        <w:rPr>
          <w:color w:val="000000" w:themeColor="text1"/>
          <w:sz w:val="22"/>
          <w:szCs w:val="22"/>
        </w:rPr>
        <w:t xml:space="preserve"> had been </w:t>
      </w:r>
      <w:r>
        <w:rPr>
          <w:color w:val="000000" w:themeColor="text1"/>
          <w:sz w:val="22"/>
          <w:szCs w:val="22"/>
        </w:rPr>
        <w:t xml:space="preserve">increasing </w:t>
      </w:r>
      <w:r w:rsidRPr="00E929F6">
        <w:rPr>
          <w:color w:val="000000" w:themeColor="text1"/>
          <w:sz w:val="22"/>
          <w:szCs w:val="22"/>
        </w:rPr>
        <w:t xml:space="preserve">their capacity from </w:t>
      </w:r>
      <w:r w:rsidR="007A29AE">
        <w:rPr>
          <w:color w:val="000000" w:themeColor="text1"/>
          <w:sz w:val="22"/>
          <w:szCs w:val="22"/>
        </w:rPr>
        <w:t>the 184</w:t>
      </w:r>
      <w:r w:rsidRPr="00167B70">
        <w:rPr>
          <w:color w:val="000000" w:themeColor="text1"/>
          <w:sz w:val="22"/>
          <w:szCs w:val="22"/>
        </w:rPr>
        <w:t xml:space="preserve">0s. Existing penitentiaries </w:t>
      </w:r>
      <w:r w:rsidRPr="00E929F6">
        <w:rPr>
          <w:color w:val="000000" w:themeColor="text1"/>
          <w:sz w:val="22"/>
          <w:szCs w:val="22"/>
        </w:rPr>
        <w:t xml:space="preserve">had extensions added to create more beds, and new </w:t>
      </w:r>
      <w:r w:rsidR="00C97871">
        <w:rPr>
          <w:color w:val="000000" w:themeColor="text1"/>
          <w:sz w:val="22"/>
          <w:szCs w:val="22"/>
        </w:rPr>
        <w:t>public works</w:t>
      </w:r>
      <w:r w:rsidRPr="00E929F6">
        <w:rPr>
          <w:color w:val="000000" w:themeColor="text1"/>
          <w:sz w:val="22"/>
          <w:szCs w:val="22"/>
        </w:rPr>
        <w:t xml:space="preserve"> </w:t>
      </w:r>
      <w:r>
        <w:rPr>
          <w:color w:val="000000" w:themeColor="text1"/>
          <w:sz w:val="22"/>
          <w:szCs w:val="22"/>
        </w:rPr>
        <w:t>establishments</w:t>
      </w:r>
      <w:r w:rsidRPr="00E929F6">
        <w:rPr>
          <w:color w:val="000000" w:themeColor="text1"/>
          <w:sz w:val="22"/>
          <w:szCs w:val="22"/>
        </w:rPr>
        <w:t xml:space="preserve"> were constructed (Brodie, Croom and Davies 2002:122-125</w:t>
      </w:r>
      <w:r w:rsidR="00C97871">
        <w:rPr>
          <w:color w:val="000000" w:themeColor="text1"/>
          <w:sz w:val="22"/>
          <w:szCs w:val="22"/>
        </w:rPr>
        <w:t>; Johnston 2015: 106-113</w:t>
      </w:r>
      <w:r w:rsidRPr="00E929F6">
        <w:rPr>
          <w:color w:val="000000" w:themeColor="text1"/>
          <w:sz w:val="22"/>
          <w:szCs w:val="22"/>
        </w:rPr>
        <w:t>). Th</w:t>
      </w:r>
      <w:r>
        <w:rPr>
          <w:color w:val="000000" w:themeColor="text1"/>
          <w:sz w:val="22"/>
          <w:szCs w:val="22"/>
        </w:rPr>
        <w:t>r</w:t>
      </w:r>
      <w:r w:rsidRPr="00E929F6">
        <w:rPr>
          <w:color w:val="000000" w:themeColor="text1"/>
          <w:sz w:val="22"/>
          <w:szCs w:val="22"/>
        </w:rPr>
        <w:t>e</w:t>
      </w:r>
      <w:r>
        <w:rPr>
          <w:color w:val="000000" w:themeColor="text1"/>
          <w:sz w:val="22"/>
          <w:szCs w:val="22"/>
        </w:rPr>
        <w:t>e</w:t>
      </w:r>
      <w:r w:rsidRPr="00E929F6">
        <w:rPr>
          <w:color w:val="000000" w:themeColor="text1"/>
          <w:sz w:val="22"/>
          <w:szCs w:val="22"/>
        </w:rPr>
        <w:t xml:space="preserve"> </w:t>
      </w:r>
      <w:r>
        <w:rPr>
          <w:color w:val="000000" w:themeColor="text1"/>
          <w:sz w:val="22"/>
          <w:szCs w:val="22"/>
        </w:rPr>
        <w:t xml:space="preserve">years before </w:t>
      </w:r>
      <w:r w:rsidR="00063529">
        <w:rPr>
          <w:color w:val="000000" w:themeColor="text1"/>
          <w:sz w:val="22"/>
          <w:szCs w:val="22"/>
        </w:rPr>
        <w:t>VDL</w:t>
      </w:r>
      <w:r>
        <w:rPr>
          <w:color w:val="000000" w:themeColor="text1"/>
          <w:sz w:val="22"/>
          <w:szCs w:val="22"/>
        </w:rPr>
        <w:t xml:space="preserve"> refused new convicts, the </w:t>
      </w:r>
      <w:r w:rsidRPr="00E929F6">
        <w:rPr>
          <w:color w:val="000000" w:themeColor="text1"/>
          <w:sz w:val="22"/>
          <w:szCs w:val="22"/>
        </w:rPr>
        <w:t xml:space="preserve">1853 Penal Servitude Act </w:t>
      </w:r>
      <w:r>
        <w:rPr>
          <w:color w:val="000000" w:themeColor="text1"/>
          <w:sz w:val="22"/>
          <w:szCs w:val="22"/>
        </w:rPr>
        <w:t>replaced</w:t>
      </w:r>
      <w:r w:rsidR="00C97871">
        <w:rPr>
          <w:color w:val="000000" w:themeColor="text1"/>
          <w:sz w:val="22"/>
          <w:szCs w:val="22"/>
        </w:rPr>
        <w:t xml:space="preserve"> sentences of ten to fourteen years transportation to six to eight years penal servitude in the UK; seven to ten years </w:t>
      </w:r>
      <w:r w:rsidRPr="00E929F6">
        <w:rPr>
          <w:color w:val="000000" w:themeColor="text1"/>
          <w:sz w:val="22"/>
          <w:szCs w:val="22"/>
        </w:rPr>
        <w:t xml:space="preserve">transportation </w:t>
      </w:r>
      <w:r w:rsidR="00C97871">
        <w:rPr>
          <w:color w:val="000000" w:themeColor="text1"/>
          <w:sz w:val="22"/>
          <w:szCs w:val="22"/>
        </w:rPr>
        <w:t xml:space="preserve">was replaced with between four </w:t>
      </w:r>
      <w:r w:rsidR="005B4A23">
        <w:rPr>
          <w:color w:val="000000" w:themeColor="text1"/>
          <w:sz w:val="22"/>
          <w:szCs w:val="22"/>
        </w:rPr>
        <w:t>to</w:t>
      </w:r>
      <w:r w:rsidR="00C97871">
        <w:rPr>
          <w:color w:val="000000" w:themeColor="text1"/>
          <w:sz w:val="22"/>
          <w:szCs w:val="22"/>
        </w:rPr>
        <w:t xml:space="preserve"> six years</w:t>
      </w:r>
      <w:r w:rsidR="007A29AE">
        <w:rPr>
          <w:color w:val="000000" w:themeColor="text1"/>
          <w:sz w:val="22"/>
          <w:szCs w:val="22"/>
        </w:rPr>
        <w:t xml:space="preserve"> </w:t>
      </w:r>
      <w:r w:rsidRPr="00E929F6">
        <w:rPr>
          <w:color w:val="000000" w:themeColor="text1"/>
          <w:sz w:val="22"/>
          <w:szCs w:val="22"/>
        </w:rPr>
        <w:t>penal servitude</w:t>
      </w:r>
      <w:r w:rsidR="007A29AE">
        <w:rPr>
          <w:color w:val="000000" w:themeColor="text1"/>
          <w:sz w:val="22"/>
          <w:szCs w:val="22"/>
        </w:rPr>
        <w:t xml:space="preserve">; </w:t>
      </w:r>
      <w:r w:rsidR="00C97871">
        <w:rPr>
          <w:color w:val="000000" w:themeColor="text1"/>
          <w:sz w:val="22"/>
          <w:szCs w:val="22"/>
        </w:rPr>
        <w:t xml:space="preserve">and only those sentenced to over fourteen years transportation could still expect to </w:t>
      </w:r>
      <w:r w:rsidR="00CE1067">
        <w:rPr>
          <w:color w:val="000000" w:themeColor="text1"/>
          <w:sz w:val="22"/>
          <w:szCs w:val="22"/>
        </w:rPr>
        <w:t>be transporte</w:t>
      </w:r>
      <w:r w:rsidR="00CE1067" w:rsidRPr="00CE1067">
        <w:rPr>
          <w:color w:val="000000" w:themeColor="text1"/>
          <w:sz w:val="22"/>
          <w:szCs w:val="22"/>
        </w:rPr>
        <w:t>d</w:t>
      </w:r>
      <w:r w:rsidR="00CE1067" w:rsidRPr="00CE1067">
        <w:rPr>
          <w:color w:val="FF0000"/>
        </w:rPr>
        <w:t>.</w:t>
      </w:r>
      <w:r w:rsidRPr="008337CA">
        <w:rPr>
          <w:color w:val="FF0000"/>
          <w:sz w:val="22"/>
          <w:szCs w:val="22"/>
        </w:rPr>
        <w:t xml:space="preserve"> </w:t>
      </w:r>
      <w:r w:rsidRPr="00E929F6">
        <w:rPr>
          <w:color w:val="000000" w:themeColor="text1"/>
          <w:sz w:val="22"/>
          <w:szCs w:val="22"/>
        </w:rPr>
        <w:t xml:space="preserve">In 1857 </w:t>
      </w:r>
      <w:r w:rsidR="007A29AE">
        <w:rPr>
          <w:color w:val="000000" w:themeColor="text1"/>
          <w:sz w:val="22"/>
          <w:szCs w:val="22"/>
        </w:rPr>
        <w:t xml:space="preserve">the calibration changed once-again, </w:t>
      </w:r>
      <w:r w:rsidRPr="00E929F6">
        <w:rPr>
          <w:color w:val="000000" w:themeColor="text1"/>
          <w:sz w:val="22"/>
          <w:szCs w:val="22"/>
        </w:rPr>
        <w:t>longer periods of penal servitude were imposed</w:t>
      </w:r>
      <w:r>
        <w:rPr>
          <w:color w:val="000000" w:themeColor="text1"/>
          <w:sz w:val="22"/>
          <w:szCs w:val="22"/>
        </w:rPr>
        <w:t xml:space="preserve"> on people who would previously have been transported</w:t>
      </w:r>
      <w:r w:rsidRPr="00E929F6">
        <w:rPr>
          <w:color w:val="000000" w:themeColor="text1"/>
          <w:sz w:val="22"/>
          <w:szCs w:val="22"/>
        </w:rPr>
        <w:t xml:space="preserve">. </w:t>
      </w:r>
      <w:r>
        <w:rPr>
          <w:color w:val="000000" w:themeColor="text1"/>
          <w:sz w:val="22"/>
          <w:szCs w:val="22"/>
        </w:rPr>
        <w:t xml:space="preserve">The tide had turned. </w:t>
      </w:r>
      <w:r w:rsidR="007A29AE">
        <w:rPr>
          <w:color w:val="000000" w:themeColor="text1"/>
          <w:sz w:val="22"/>
          <w:szCs w:val="22"/>
        </w:rPr>
        <w:t>These changes were</w:t>
      </w:r>
      <w:r>
        <w:rPr>
          <w:color w:val="000000" w:themeColor="text1"/>
          <w:sz w:val="22"/>
          <w:szCs w:val="22"/>
        </w:rPr>
        <w:t xml:space="preserve"> reflected in the </w:t>
      </w:r>
      <w:r w:rsidR="007A29AE">
        <w:rPr>
          <w:color w:val="000000" w:themeColor="text1"/>
          <w:sz w:val="22"/>
          <w:szCs w:val="22"/>
        </w:rPr>
        <w:t xml:space="preserve">growth of the British </w:t>
      </w:r>
      <w:r>
        <w:rPr>
          <w:color w:val="000000" w:themeColor="text1"/>
          <w:sz w:val="22"/>
          <w:szCs w:val="22"/>
        </w:rPr>
        <w:t xml:space="preserve">convict population, which had averaged around six thousand between 1856 and 1868, </w:t>
      </w:r>
      <w:r w:rsidR="007A29AE">
        <w:rPr>
          <w:color w:val="000000" w:themeColor="text1"/>
          <w:sz w:val="22"/>
          <w:szCs w:val="22"/>
        </w:rPr>
        <w:t xml:space="preserve">but </w:t>
      </w:r>
      <w:r>
        <w:rPr>
          <w:color w:val="000000" w:themeColor="text1"/>
          <w:sz w:val="22"/>
          <w:szCs w:val="22"/>
        </w:rPr>
        <w:t>with the end of tra</w:t>
      </w:r>
      <w:r w:rsidR="00E868E7">
        <w:rPr>
          <w:color w:val="000000" w:themeColor="text1"/>
          <w:sz w:val="22"/>
          <w:szCs w:val="22"/>
        </w:rPr>
        <w:t>nsportation, rose to nearly ten-</w:t>
      </w:r>
      <w:r>
        <w:rPr>
          <w:color w:val="000000" w:themeColor="text1"/>
          <w:sz w:val="22"/>
          <w:szCs w:val="22"/>
        </w:rPr>
        <w:t xml:space="preserve">thousand, </w:t>
      </w:r>
      <w:r w:rsidR="007A29AE">
        <w:rPr>
          <w:color w:val="000000" w:themeColor="text1"/>
          <w:sz w:val="22"/>
          <w:szCs w:val="22"/>
        </w:rPr>
        <w:t>before falling</w:t>
      </w:r>
      <w:r>
        <w:rPr>
          <w:color w:val="000000" w:themeColor="text1"/>
          <w:sz w:val="22"/>
          <w:szCs w:val="22"/>
        </w:rPr>
        <w:t xml:space="preserve"> back in the late 1880s and 1890s (see Fig </w:t>
      </w:r>
      <w:r w:rsidR="00BC7BC1">
        <w:rPr>
          <w:color w:val="000000" w:themeColor="text1"/>
          <w:sz w:val="22"/>
          <w:szCs w:val="22"/>
        </w:rPr>
        <w:t>1</w:t>
      </w:r>
      <w:r>
        <w:rPr>
          <w:color w:val="000000" w:themeColor="text1"/>
          <w:sz w:val="22"/>
          <w:szCs w:val="22"/>
        </w:rPr>
        <w:t>).</w:t>
      </w:r>
    </w:p>
    <w:p w14:paraId="65A0F0C3" w14:textId="6A41545C" w:rsidR="00AE0F76" w:rsidRDefault="00AE0F76" w:rsidP="00B101EC">
      <w:pPr>
        <w:spacing w:line="360" w:lineRule="auto"/>
        <w:jc w:val="both"/>
        <w:rPr>
          <w:color w:val="000000" w:themeColor="text1"/>
          <w:sz w:val="22"/>
          <w:szCs w:val="22"/>
        </w:rPr>
      </w:pPr>
    </w:p>
    <w:p w14:paraId="674E405C" w14:textId="77777777" w:rsidR="00AE0F76" w:rsidRDefault="00AE0F76" w:rsidP="00B101EC">
      <w:pPr>
        <w:spacing w:line="360" w:lineRule="auto"/>
        <w:jc w:val="both"/>
        <w:rPr>
          <w:color w:val="000000" w:themeColor="text1"/>
          <w:sz w:val="22"/>
          <w:szCs w:val="22"/>
        </w:rPr>
      </w:pPr>
    </w:p>
    <w:p w14:paraId="7B510357" w14:textId="3582744B" w:rsidR="00717566" w:rsidRDefault="00717566" w:rsidP="00B101EC">
      <w:pPr>
        <w:spacing w:line="360" w:lineRule="auto"/>
        <w:jc w:val="both"/>
        <w:rPr>
          <w:b/>
          <w:color w:val="000000" w:themeColor="text1"/>
          <w:sz w:val="22"/>
          <w:szCs w:val="22"/>
        </w:rPr>
      </w:pPr>
      <w:r>
        <w:rPr>
          <w:b/>
          <w:color w:val="000000" w:themeColor="text1"/>
          <w:sz w:val="22"/>
          <w:szCs w:val="22"/>
        </w:rPr>
        <w:t>Fig 1</w:t>
      </w:r>
      <w:r w:rsidRPr="00166751">
        <w:rPr>
          <w:b/>
          <w:color w:val="000000" w:themeColor="text1"/>
          <w:sz w:val="22"/>
          <w:szCs w:val="22"/>
        </w:rPr>
        <w:t xml:space="preserve">:  </w:t>
      </w:r>
      <w:r>
        <w:rPr>
          <w:b/>
          <w:color w:val="000000" w:themeColor="text1"/>
          <w:sz w:val="22"/>
          <w:szCs w:val="22"/>
        </w:rPr>
        <w:t>Number of convicts in England and Wales, 1856-1914</w:t>
      </w:r>
      <w:r>
        <w:rPr>
          <w:rStyle w:val="FootnoteReference"/>
          <w:b/>
          <w:color w:val="000000" w:themeColor="text1"/>
          <w:sz w:val="22"/>
          <w:szCs w:val="22"/>
        </w:rPr>
        <w:footnoteReference w:id="5"/>
      </w:r>
      <w:r w:rsidRPr="005E1A27">
        <w:rPr>
          <w:b/>
          <w:color w:val="000000" w:themeColor="text1"/>
          <w:sz w:val="22"/>
          <w:szCs w:val="22"/>
        </w:rPr>
        <w:t xml:space="preserve"> </w:t>
      </w:r>
    </w:p>
    <w:p w14:paraId="3E58E192" w14:textId="77777777" w:rsidR="00717566" w:rsidRPr="005E1A27" w:rsidRDefault="00717566" w:rsidP="00B101EC">
      <w:pPr>
        <w:spacing w:line="360" w:lineRule="auto"/>
        <w:jc w:val="both"/>
        <w:rPr>
          <w:b/>
          <w:color w:val="000000" w:themeColor="text1"/>
          <w:sz w:val="22"/>
          <w:szCs w:val="22"/>
        </w:rPr>
      </w:pPr>
    </w:p>
    <w:p w14:paraId="310B6876" w14:textId="5C90BBE1" w:rsidR="00717566" w:rsidRDefault="00717566" w:rsidP="00B101EC">
      <w:pPr>
        <w:spacing w:line="360" w:lineRule="auto"/>
        <w:jc w:val="both"/>
        <w:rPr>
          <w:color w:val="000000" w:themeColor="text1"/>
          <w:sz w:val="22"/>
          <w:szCs w:val="22"/>
        </w:rPr>
      </w:pPr>
      <w:r>
        <w:rPr>
          <w:noProof/>
        </w:rPr>
        <w:lastRenderedPageBreak/>
        <w:drawing>
          <wp:inline distT="0" distB="0" distL="0" distR="0" wp14:anchorId="37849BED" wp14:editId="5EFBCAED">
            <wp:extent cx="4446494" cy="1900518"/>
            <wp:effectExtent l="0" t="0" r="11430" b="17780"/>
            <wp:docPr id="2" name="Chart 2">
              <a:extLst xmlns:a="http://schemas.openxmlformats.org/drawingml/2006/main">
                <a:ext uri="{FF2B5EF4-FFF2-40B4-BE49-F238E27FC236}">
                  <a16:creationId xmlns:a16="http://schemas.microsoft.com/office/drawing/2014/main" id="{7D959996-7D8E-DC46-8BA6-97D58044E1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56C9981" w14:textId="43189566" w:rsidR="00717566" w:rsidRPr="00567C90" w:rsidRDefault="00717566" w:rsidP="00B101EC">
      <w:pPr>
        <w:spacing w:line="360" w:lineRule="auto"/>
        <w:jc w:val="both"/>
        <w:rPr>
          <w:i/>
          <w:color w:val="000000" w:themeColor="text1"/>
          <w:sz w:val="22"/>
          <w:szCs w:val="22"/>
        </w:rPr>
      </w:pPr>
    </w:p>
    <w:p w14:paraId="3AA52682" w14:textId="7CB6775D" w:rsidR="00717566" w:rsidRDefault="00717566" w:rsidP="00B101EC">
      <w:pPr>
        <w:spacing w:line="360" w:lineRule="auto"/>
        <w:jc w:val="both"/>
        <w:rPr>
          <w:color w:val="000000" w:themeColor="text1"/>
          <w:sz w:val="22"/>
          <w:szCs w:val="22"/>
        </w:rPr>
      </w:pPr>
      <w:r>
        <w:rPr>
          <w:color w:val="000000" w:themeColor="text1"/>
          <w:sz w:val="22"/>
          <w:szCs w:val="22"/>
        </w:rPr>
        <w:t xml:space="preserve">As </w:t>
      </w:r>
      <w:r w:rsidR="007426CD">
        <w:rPr>
          <w:color w:val="000000" w:themeColor="text1"/>
          <w:sz w:val="22"/>
          <w:szCs w:val="22"/>
        </w:rPr>
        <w:t xml:space="preserve">with their </w:t>
      </w:r>
      <w:r w:rsidRPr="00083E9C">
        <w:rPr>
          <w:color w:val="000000" w:themeColor="text1"/>
          <w:sz w:val="22"/>
          <w:szCs w:val="22"/>
        </w:rPr>
        <w:t>Western Australia</w:t>
      </w:r>
      <w:r w:rsidR="007426CD">
        <w:rPr>
          <w:color w:val="000000" w:themeColor="text1"/>
          <w:sz w:val="22"/>
          <w:szCs w:val="22"/>
        </w:rPr>
        <w:t>n counterparts</w:t>
      </w:r>
      <w:r w:rsidRPr="00083E9C">
        <w:rPr>
          <w:color w:val="000000" w:themeColor="text1"/>
          <w:sz w:val="22"/>
          <w:szCs w:val="22"/>
        </w:rPr>
        <w:t xml:space="preserve">, British convicts </w:t>
      </w:r>
      <w:r>
        <w:rPr>
          <w:color w:val="000000" w:themeColor="text1"/>
          <w:sz w:val="22"/>
          <w:szCs w:val="22"/>
        </w:rPr>
        <w:t>found themselves entering</w:t>
      </w:r>
      <w:r w:rsidRPr="00083E9C">
        <w:rPr>
          <w:color w:val="000000" w:themeColor="text1"/>
          <w:sz w:val="22"/>
          <w:szCs w:val="22"/>
        </w:rPr>
        <w:t xml:space="preserve"> into a </w:t>
      </w:r>
      <w:r>
        <w:rPr>
          <w:color w:val="000000" w:themeColor="text1"/>
          <w:sz w:val="22"/>
          <w:szCs w:val="22"/>
        </w:rPr>
        <w:t>system structured with progressive-stages</w:t>
      </w:r>
      <w:r w:rsidRPr="00083E9C">
        <w:rPr>
          <w:color w:val="000000" w:themeColor="text1"/>
          <w:sz w:val="22"/>
          <w:szCs w:val="22"/>
        </w:rPr>
        <w:t>. Penal servitude in the</w:t>
      </w:r>
      <w:r>
        <w:rPr>
          <w:color w:val="000000" w:themeColor="text1"/>
          <w:sz w:val="22"/>
          <w:szCs w:val="22"/>
        </w:rPr>
        <w:t xml:space="preserve"> UK involved just three stages</w:t>
      </w:r>
      <w:r w:rsidR="007426CD">
        <w:rPr>
          <w:color w:val="000000" w:themeColor="text1"/>
          <w:sz w:val="22"/>
          <w:szCs w:val="22"/>
        </w:rPr>
        <w:t xml:space="preserve"> during the 1850s and 60s</w:t>
      </w:r>
      <w:r>
        <w:rPr>
          <w:color w:val="000000" w:themeColor="text1"/>
          <w:sz w:val="22"/>
          <w:szCs w:val="22"/>
        </w:rPr>
        <w:t xml:space="preserve">, the first of which was designed to isolate convicts from their environment so that they could focus on their moral redemption. They were left </w:t>
      </w:r>
      <w:r w:rsidRPr="00657997">
        <w:rPr>
          <w:sz w:val="22"/>
          <w:szCs w:val="22"/>
        </w:rPr>
        <w:t xml:space="preserve">in complete silence </w:t>
      </w:r>
      <w:r>
        <w:rPr>
          <w:sz w:val="22"/>
          <w:szCs w:val="22"/>
        </w:rPr>
        <w:t xml:space="preserve">for a number of months </w:t>
      </w:r>
      <w:r w:rsidRPr="00657997">
        <w:rPr>
          <w:sz w:val="22"/>
          <w:szCs w:val="22"/>
        </w:rPr>
        <w:t xml:space="preserve">with only </w:t>
      </w:r>
      <w:r>
        <w:rPr>
          <w:sz w:val="22"/>
          <w:szCs w:val="22"/>
        </w:rPr>
        <w:t>a meagre diet and the spiritual guidance provided by the Prison Chaplains to sustain them. W</w:t>
      </w:r>
      <w:r w:rsidRPr="00657997">
        <w:rPr>
          <w:sz w:val="22"/>
          <w:szCs w:val="22"/>
        </w:rPr>
        <w:t xml:space="preserve">hen taking exercise, or in chapel, prisoners </w:t>
      </w:r>
      <w:r>
        <w:rPr>
          <w:sz w:val="22"/>
          <w:szCs w:val="22"/>
        </w:rPr>
        <w:t xml:space="preserve">wore masks so that they </w:t>
      </w:r>
      <w:r w:rsidRPr="00657997">
        <w:rPr>
          <w:sz w:val="22"/>
          <w:szCs w:val="22"/>
        </w:rPr>
        <w:t>could not see or talk to other</w:t>
      </w:r>
      <w:r>
        <w:rPr>
          <w:sz w:val="22"/>
          <w:szCs w:val="22"/>
        </w:rPr>
        <w:t xml:space="preserve"> inmates</w:t>
      </w:r>
      <w:r w:rsidRPr="00657997">
        <w:rPr>
          <w:sz w:val="22"/>
          <w:szCs w:val="22"/>
        </w:rPr>
        <w:t xml:space="preserve">. </w:t>
      </w:r>
      <w:r w:rsidRPr="00AD72D4">
        <w:rPr>
          <w:color w:val="000000" w:themeColor="text1"/>
          <w:sz w:val="22"/>
          <w:szCs w:val="22"/>
        </w:rPr>
        <w:t xml:space="preserve">In the public works </w:t>
      </w:r>
      <w:r w:rsidR="007426CD">
        <w:rPr>
          <w:color w:val="000000" w:themeColor="text1"/>
          <w:sz w:val="22"/>
          <w:szCs w:val="22"/>
        </w:rPr>
        <w:t>stage</w:t>
      </w:r>
      <w:r w:rsidRPr="00AD72D4">
        <w:rPr>
          <w:color w:val="000000" w:themeColor="text1"/>
          <w:sz w:val="22"/>
          <w:szCs w:val="22"/>
        </w:rPr>
        <w:t xml:space="preserve">, British convicts </w:t>
      </w:r>
      <w:r>
        <w:rPr>
          <w:color w:val="000000" w:themeColor="text1"/>
          <w:sz w:val="22"/>
          <w:szCs w:val="22"/>
        </w:rPr>
        <w:t xml:space="preserve">then </w:t>
      </w:r>
      <w:r w:rsidRPr="00AD72D4">
        <w:rPr>
          <w:color w:val="000000" w:themeColor="text1"/>
          <w:sz w:val="22"/>
          <w:szCs w:val="22"/>
        </w:rPr>
        <w:t>laboured on dock-building schemes, fortifying the coastline defences, quarrying stone, or by aiding the running of the prison in the laundry, kitchens, or prison farms. The work was hard, the conditions dangerous, and accidents frequent (McConville 1981: 381-</w:t>
      </w:r>
      <w:r w:rsidRPr="005511D3">
        <w:rPr>
          <w:color w:val="000000" w:themeColor="text1"/>
          <w:sz w:val="22"/>
          <w:szCs w:val="22"/>
        </w:rPr>
        <w:t xml:space="preserve">431; Johnston </w:t>
      </w:r>
      <w:r w:rsidRPr="005511D3">
        <w:rPr>
          <w:i/>
          <w:color w:val="000000" w:themeColor="text1"/>
          <w:sz w:val="22"/>
          <w:szCs w:val="22"/>
        </w:rPr>
        <w:t>et al</w:t>
      </w:r>
      <w:r w:rsidRPr="005511D3">
        <w:rPr>
          <w:color w:val="000000" w:themeColor="text1"/>
          <w:sz w:val="22"/>
          <w:szCs w:val="22"/>
        </w:rPr>
        <w:t xml:space="preserve"> 2013).</w:t>
      </w:r>
      <w:r>
        <w:rPr>
          <w:color w:val="000000"/>
          <w:sz w:val="22"/>
          <w:szCs w:val="22"/>
          <w14:textFill>
            <w14:solidFill>
              <w14:srgbClr w14:val="000000">
                <w14:lumMod w14:val="50000"/>
              </w14:srgbClr>
            </w14:solidFill>
          </w14:textFill>
        </w:rPr>
        <w:t xml:space="preserve"> </w:t>
      </w:r>
      <w:r>
        <w:rPr>
          <w:color w:val="000000" w:themeColor="text1"/>
          <w:sz w:val="22"/>
          <w:szCs w:val="22"/>
        </w:rPr>
        <w:t xml:space="preserve">The last </w:t>
      </w:r>
      <w:r w:rsidR="007426CD">
        <w:rPr>
          <w:color w:val="000000" w:themeColor="text1"/>
          <w:sz w:val="22"/>
          <w:szCs w:val="22"/>
        </w:rPr>
        <w:t>stage</w:t>
      </w:r>
      <w:r>
        <w:rPr>
          <w:color w:val="000000" w:themeColor="text1"/>
          <w:sz w:val="22"/>
          <w:szCs w:val="22"/>
        </w:rPr>
        <w:t xml:space="preserve"> was when the convict was issued with a Ticket-of-Leave and given </w:t>
      </w:r>
      <w:r w:rsidRPr="00083E9C">
        <w:rPr>
          <w:color w:val="000000" w:themeColor="text1"/>
          <w:sz w:val="22"/>
          <w:szCs w:val="22"/>
        </w:rPr>
        <w:t>conditional license (after 1857 when the scheme was introduced).</w:t>
      </w:r>
      <w:r>
        <w:rPr>
          <w:color w:val="000000" w:themeColor="text1"/>
          <w:sz w:val="22"/>
          <w:szCs w:val="22"/>
        </w:rPr>
        <w:t xml:space="preserve"> </w:t>
      </w:r>
      <w:r w:rsidR="007426CD">
        <w:rPr>
          <w:color w:val="000000" w:themeColor="text1"/>
          <w:sz w:val="22"/>
          <w:szCs w:val="22"/>
        </w:rPr>
        <w:t>As previously noted, t</w:t>
      </w:r>
      <w:r w:rsidRPr="00083E9C">
        <w:rPr>
          <w:color w:val="000000" w:themeColor="text1"/>
          <w:sz w:val="22"/>
          <w:szCs w:val="22"/>
        </w:rPr>
        <w:t xml:space="preserve">icket-holders in Western Australia were restricted to the places they could go, the times they could wander the streets, the type of behaviour that was permitted (not too drunk, not too resistive to authority, not too louche) but they were allowed to own property, to </w:t>
      </w:r>
      <w:r w:rsidR="00F43702">
        <w:rPr>
          <w:color w:val="000000" w:themeColor="text1"/>
          <w:sz w:val="22"/>
          <w:szCs w:val="22"/>
        </w:rPr>
        <w:t>earn wages</w:t>
      </w:r>
      <w:r w:rsidRPr="00083E9C">
        <w:rPr>
          <w:color w:val="000000" w:themeColor="text1"/>
          <w:sz w:val="22"/>
          <w:szCs w:val="22"/>
        </w:rPr>
        <w:t xml:space="preserve">, to marry, </w:t>
      </w:r>
      <w:r>
        <w:rPr>
          <w:color w:val="000000" w:themeColor="text1"/>
          <w:sz w:val="22"/>
          <w:szCs w:val="22"/>
        </w:rPr>
        <w:t>in the same way as</w:t>
      </w:r>
      <w:r w:rsidRPr="00083E9C">
        <w:rPr>
          <w:color w:val="000000" w:themeColor="text1"/>
          <w:sz w:val="22"/>
          <w:szCs w:val="22"/>
        </w:rPr>
        <w:t xml:space="preserve"> </w:t>
      </w:r>
      <w:r w:rsidR="00F43702">
        <w:rPr>
          <w:color w:val="000000" w:themeColor="text1"/>
          <w:sz w:val="22"/>
          <w:szCs w:val="22"/>
        </w:rPr>
        <w:t xml:space="preserve">were </w:t>
      </w:r>
      <w:r w:rsidRPr="00083E9C">
        <w:rPr>
          <w:color w:val="000000" w:themeColor="text1"/>
          <w:sz w:val="22"/>
          <w:szCs w:val="22"/>
        </w:rPr>
        <w:t>British convicts released on license</w:t>
      </w:r>
      <w:r>
        <w:rPr>
          <w:color w:val="000000" w:themeColor="text1"/>
          <w:sz w:val="22"/>
          <w:szCs w:val="22"/>
        </w:rPr>
        <w:t xml:space="preserve"> </w:t>
      </w:r>
      <w:r w:rsidRPr="00083E9C">
        <w:rPr>
          <w:color w:val="000000" w:themeColor="text1"/>
          <w:sz w:val="22"/>
          <w:szCs w:val="22"/>
        </w:rPr>
        <w:t xml:space="preserve">(Shaw 1966: 355). </w:t>
      </w:r>
    </w:p>
    <w:p w14:paraId="2E4374B8" w14:textId="34CD6A1F" w:rsidR="00717566" w:rsidRDefault="00717566" w:rsidP="00B101EC">
      <w:pPr>
        <w:spacing w:line="360" w:lineRule="auto"/>
        <w:jc w:val="both"/>
        <w:rPr>
          <w:color w:val="000000" w:themeColor="text1"/>
          <w:sz w:val="22"/>
          <w:szCs w:val="22"/>
        </w:rPr>
      </w:pPr>
      <w:r>
        <w:rPr>
          <w:color w:val="000000" w:themeColor="text1"/>
          <w:sz w:val="22"/>
          <w:szCs w:val="22"/>
        </w:rPr>
        <w:t xml:space="preserve">In the UK, from 1864, prisoners released from prison had rigorous reporting conditions, and from 1869 any prisoner subject to habitual offender legislation could be stopped at any point by a police constable and asked to prove that they were not living a dishonest life. Those deemed to be deviating from the path of honesty could be imprisoned for up to twelve months by a magistrate. However, in tandem with official measure, informal sanctions applied. Employers were often told by police officers that their new employee had a record; word spread around the neighbourhood, and so on. Not only was life made uncomfortable for released prisoners, but </w:t>
      </w:r>
      <w:r w:rsidR="007426CD">
        <w:rPr>
          <w:color w:val="000000" w:themeColor="text1"/>
          <w:sz w:val="22"/>
          <w:szCs w:val="22"/>
        </w:rPr>
        <w:t xml:space="preserve">capacity for gaining </w:t>
      </w:r>
      <w:r>
        <w:rPr>
          <w:color w:val="000000" w:themeColor="text1"/>
          <w:sz w:val="22"/>
          <w:szCs w:val="22"/>
        </w:rPr>
        <w:t xml:space="preserve">employment and </w:t>
      </w:r>
      <w:r w:rsidR="007426CD">
        <w:rPr>
          <w:color w:val="000000" w:themeColor="text1"/>
          <w:sz w:val="22"/>
          <w:szCs w:val="22"/>
        </w:rPr>
        <w:t xml:space="preserve">securing </w:t>
      </w:r>
      <w:r>
        <w:rPr>
          <w:color w:val="000000" w:themeColor="text1"/>
          <w:sz w:val="22"/>
          <w:szCs w:val="22"/>
        </w:rPr>
        <w:t xml:space="preserve">social opportunities </w:t>
      </w:r>
      <w:r w:rsidR="007426CD">
        <w:rPr>
          <w:color w:val="000000" w:themeColor="text1"/>
          <w:sz w:val="22"/>
          <w:szCs w:val="22"/>
        </w:rPr>
        <w:t>was degraded</w:t>
      </w:r>
      <w:r>
        <w:rPr>
          <w:color w:val="000000" w:themeColor="text1"/>
          <w:sz w:val="22"/>
          <w:szCs w:val="22"/>
        </w:rPr>
        <w:t xml:space="preserve"> (Godfrey </w:t>
      </w:r>
      <w:r w:rsidRPr="00811259">
        <w:rPr>
          <w:i/>
          <w:color w:val="000000" w:themeColor="text1"/>
          <w:sz w:val="22"/>
          <w:szCs w:val="22"/>
        </w:rPr>
        <w:t>et al</w:t>
      </w:r>
      <w:r>
        <w:rPr>
          <w:color w:val="000000" w:themeColor="text1"/>
          <w:sz w:val="22"/>
          <w:szCs w:val="22"/>
        </w:rPr>
        <w:t xml:space="preserve"> 2010). </w:t>
      </w:r>
    </w:p>
    <w:p w14:paraId="1BA20C42" w14:textId="6F13DA6F" w:rsidR="00AA5A02" w:rsidRDefault="00717566" w:rsidP="00B101EC">
      <w:pPr>
        <w:spacing w:before="100" w:beforeAutospacing="1" w:after="100" w:afterAutospacing="1" w:line="360" w:lineRule="auto"/>
        <w:contextualSpacing/>
        <w:jc w:val="both"/>
        <w:rPr>
          <w:color w:val="000000" w:themeColor="text1"/>
          <w:sz w:val="22"/>
          <w:szCs w:val="22"/>
        </w:rPr>
      </w:pPr>
      <w:r w:rsidRPr="00083E9C">
        <w:rPr>
          <w:color w:val="000000" w:themeColor="text1"/>
          <w:sz w:val="22"/>
          <w:szCs w:val="22"/>
        </w:rPr>
        <w:t>Both Australian and British convicts c</w:t>
      </w:r>
      <w:r>
        <w:rPr>
          <w:color w:val="000000" w:themeColor="text1"/>
          <w:sz w:val="22"/>
          <w:szCs w:val="22"/>
        </w:rPr>
        <w:t>ould progress through the stages</w:t>
      </w:r>
      <w:r w:rsidRPr="00083E9C">
        <w:rPr>
          <w:color w:val="000000" w:themeColor="text1"/>
          <w:sz w:val="22"/>
          <w:szCs w:val="22"/>
        </w:rPr>
        <w:t xml:space="preserve"> with good behaviour, or they could fall back to a former stage if they resisted the system</w:t>
      </w:r>
      <w:r>
        <w:rPr>
          <w:color w:val="000000" w:themeColor="text1"/>
          <w:sz w:val="22"/>
          <w:szCs w:val="22"/>
        </w:rPr>
        <w:t xml:space="preserve">. In that sense, both were progressive systems, </w:t>
      </w:r>
      <w:r w:rsidRPr="00DA590E">
        <w:rPr>
          <w:color w:val="000000" w:themeColor="text1"/>
          <w:sz w:val="22"/>
          <w:szCs w:val="22"/>
        </w:rPr>
        <w:t xml:space="preserve">but as Marshall notes, the </w:t>
      </w:r>
      <w:r w:rsidR="007426CD">
        <w:rPr>
          <w:color w:val="000000" w:themeColor="text1"/>
          <w:sz w:val="22"/>
          <w:szCs w:val="22"/>
        </w:rPr>
        <w:t xml:space="preserve">Australian </w:t>
      </w:r>
      <w:r w:rsidRPr="00DA590E">
        <w:rPr>
          <w:color w:val="000000" w:themeColor="text1"/>
          <w:sz w:val="22"/>
          <w:szCs w:val="22"/>
        </w:rPr>
        <w:t>system ‘</w:t>
      </w:r>
      <w:r w:rsidRPr="004D3D4F">
        <w:rPr>
          <w:color w:val="000000" w:themeColor="text1"/>
          <w:sz w:val="22"/>
          <w:szCs w:val="22"/>
        </w:rPr>
        <w:t>was frequently circumvented in the pursuit of productivity goals</w:t>
      </w:r>
      <w:r w:rsidRPr="00DA590E">
        <w:rPr>
          <w:color w:val="000000" w:themeColor="text1"/>
          <w:sz w:val="22"/>
          <w:szCs w:val="22"/>
        </w:rPr>
        <w:t xml:space="preserve">. </w:t>
      </w:r>
      <w:r w:rsidRPr="004D3D4F">
        <w:rPr>
          <w:color w:val="000000" w:themeColor="text1"/>
          <w:sz w:val="22"/>
          <w:szCs w:val="22"/>
        </w:rPr>
        <w:t xml:space="preserve">Although Fremantle’s labour hierarchy was officially conceptualised as a promotional pathway </w:t>
      </w:r>
      <w:r w:rsidRPr="004D3D4F">
        <w:rPr>
          <w:color w:val="000000" w:themeColor="text1"/>
          <w:sz w:val="22"/>
          <w:szCs w:val="22"/>
        </w:rPr>
        <w:lastRenderedPageBreak/>
        <w:t xml:space="preserve">for the well-behaved and a descent mechanism for incorrigibles, in practice the degree of punishment a convict suffered depended more upon the skills he possessed than the level of reform he had </w:t>
      </w:r>
      <w:r w:rsidRPr="00002E01">
        <w:rPr>
          <w:color w:val="000000" w:themeColor="text1"/>
          <w:sz w:val="22"/>
          <w:szCs w:val="22"/>
        </w:rPr>
        <w:t>achieved</w:t>
      </w:r>
      <w:r w:rsidR="001D4948" w:rsidRPr="00002E01">
        <w:rPr>
          <w:color w:val="000000" w:themeColor="text1"/>
          <w:sz w:val="22"/>
          <w:szCs w:val="22"/>
        </w:rPr>
        <w:t>’</w:t>
      </w:r>
      <w:r w:rsidRPr="00002E01">
        <w:rPr>
          <w:color w:val="000000" w:themeColor="text1"/>
          <w:sz w:val="22"/>
          <w:szCs w:val="22"/>
        </w:rPr>
        <w:t>. (Marshall</w:t>
      </w:r>
      <w:r w:rsidRPr="00002E01">
        <w:rPr>
          <w:b/>
          <w:color w:val="000000" w:themeColor="text1"/>
          <w:sz w:val="22"/>
          <w:szCs w:val="22"/>
        </w:rPr>
        <w:t xml:space="preserve"> </w:t>
      </w:r>
      <w:r w:rsidRPr="00002E01">
        <w:rPr>
          <w:color w:val="000000" w:themeColor="text1"/>
          <w:sz w:val="22"/>
          <w:szCs w:val="22"/>
        </w:rPr>
        <w:t>2018).</w:t>
      </w:r>
      <w:r w:rsidRPr="00DA590E">
        <w:rPr>
          <w:color w:val="000000" w:themeColor="text1"/>
          <w:sz w:val="22"/>
          <w:szCs w:val="22"/>
        </w:rPr>
        <w:t xml:space="preserve"> The Wester</w:t>
      </w:r>
      <w:r w:rsidR="007426CD">
        <w:rPr>
          <w:color w:val="000000" w:themeColor="text1"/>
          <w:sz w:val="22"/>
          <w:szCs w:val="22"/>
        </w:rPr>
        <w:t>n Australian system was a supply-and-</w:t>
      </w:r>
      <w:r w:rsidRPr="00DA590E">
        <w:rPr>
          <w:color w:val="000000" w:themeColor="text1"/>
          <w:sz w:val="22"/>
          <w:szCs w:val="22"/>
        </w:rPr>
        <w:t xml:space="preserve">demand labour system which sent skilled workers to the market as soon as was practically possible. The stock-in-trade of the British system were those </w:t>
      </w:r>
      <w:r w:rsidR="00AA5A02">
        <w:rPr>
          <w:color w:val="000000" w:themeColor="text1"/>
          <w:sz w:val="22"/>
          <w:szCs w:val="22"/>
        </w:rPr>
        <w:t xml:space="preserve">people </w:t>
      </w:r>
      <w:r w:rsidRPr="00DA590E">
        <w:rPr>
          <w:color w:val="000000" w:themeColor="text1"/>
          <w:sz w:val="22"/>
          <w:szCs w:val="22"/>
        </w:rPr>
        <w:t>for wh</w:t>
      </w:r>
      <w:r w:rsidR="005C69D2">
        <w:rPr>
          <w:color w:val="000000" w:themeColor="text1"/>
          <w:sz w:val="22"/>
          <w:szCs w:val="22"/>
        </w:rPr>
        <w:t>om</w:t>
      </w:r>
      <w:r w:rsidRPr="00DA590E">
        <w:rPr>
          <w:color w:val="000000" w:themeColor="text1"/>
          <w:sz w:val="22"/>
          <w:szCs w:val="22"/>
        </w:rPr>
        <w:t xml:space="preserve"> the market had no need or use. </w:t>
      </w:r>
      <w:r w:rsidR="007426CD">
        <w:rPr>
          <w:color w:val="000000" w:themeColor="text1"/>
          <w:sz w:val="22"/>
          <w:szCs w:val="22"/>
        </w:rPr>
        <w:t>The Australian system was driven by labour-need, but the British system was focused on controlling surplus labour – not extrac</w:t>
      </w:r>
      <w:r w:rsidR="009E6B37">
        <w:rPr>
          <w:color w:val="000000" w:themeColor="text1"/>
          <w:sz w:val="22"/>
          <w:szCs w:val="22"/>
        </w:rPr>
        <w:t>ting labour from convict bodies</w:t>
      </w:r>
      <w:r w:rsidR="007426CD">
        <w:rPr>
          <w:color w:val="000000" w:themeColor="text1"/>
          <w:sz w:val="22"/>
          <w:szCs w:val="22"/>
        </w:rPr>
        <w:t xml:space="preserve"> but removing ‘unproductive’ labour from the market (</w:t>
      </w:r>
      <w:proofErr w:type="spellStart"/>
      <w:r w:rsidR="00C97871">
        <w:rPr>
          <w:color w:val="000000" w:themeColor="text1"/>
          <w:sz w:val="22"/>
          <w:szCs w:val="22"/>
        </w:rPr>
        <w:t>Melossi</w:t>
      </w:r>
      <w:proofErr w:type="spellEnd"/>
      <w:r w:rsidR="00C97871">
        <w:rPr>
          <w:color w:val="000000" w:themeColor="text1"/>
          <w:sz w:val="22"/>
          <w:szCs w:val="22"/>
        </w:rPr>
        <w:t xml:space="preserve"> 1981</w:t>
      </w:r>
      <w:r w:rsidR="007426CD">
        <w:rPr>
          <w:color w:val="000000" w:themeColor="text1"/>
          <w:sz w:val="22"/>
          <w:szCs w:val="22"/>
        </w:rPr>
        <w:t>).</w:t>
      </w:r>
    </w:p>
    <w:p w14:paraId="347189E6" w14:textId="79570D59" w:rsidR="00717566" w:rsidRDefault="00717566" w:rsidP="00B101EC">
      <w:pPr>
        <w:spacing w:before="100" w:beforeAutospacing="1" w:after="100" w:afterAutospacing="1" w:line="360" w:lineRule="auto"/>
        <w:contextualSpacing/>
        <w:jc w:val="both"/>
        <w:rPr>
          <w:color w:val="000000" w:themeColor="text1"/>
          <w:sz w:val="22"/>
          <w:szCs w:val="22"/>
        </w:rPr>
      </w:pPr>
      <w:r w:rsidRPr="00DA590E">
        <w:rPr>
          <w:color w:val="000000" w:themeColor="text1"/>
          <w:sz w:val="22"/>
          <w:szCs w:val="22"/>
        </w:rPr>
        <w:t xml:space="preserve">Both systems </w:t>
      </w:r>
      <w:r w:rsidR="00AA5A02">
        <w:rPr>
          <w:color w:val="000000" w:themeColor="text1"/>
          <w:sz w:val="22"/>
          <w:szCs w:val="22"/>
        </w:rPr>
        <w:t>maintained</w:t>
      </w:r>
      <w:r w:rsidRPr="00DA590E">
        <w:rPr>
          <w:color w:val="000000" w:themeColor="text1"/>
          <w:sz w:val="22"/>
          <w:szCs w:val="22"/>
        </w:rPr>
        <w:t xml:space="preserve"> the rhetoric that they </w:t>
      </w:r>
      <w:r w:rsidR="00AA5A02">
        <w:rPr>
          <w:color w:val="000000" w:themeColor="text1"/>
          <w:sz w:val="22"/>
          <w:szCs w:val="22"/>
        </w:rPr>
        <w:t xml:space="preserve">encouraged and facilitated </w:t>
      </w:r>
      <w:r w:rsidRPr="00DA590E">
        <w:rPr>
          <w:color w:val="000000" w:themeColor="text1"/>
          <w:sz w:val="22"/>
          <w:szCs w:val="22"/>
        </w:rPr>
        <w:t xml:space="preserve">rehabilitation, no matter how </w:t>
      </w:r>
      <w:r w:rsidR="00F43702">
        <w:rPr>
          <w:color w:val="000000" w:themeColor="text1"/>
          <w:sz w:val="22"/>
          <w:szCs w:val="22"/>
        </w:rPr>
        <w:t xml:space="preserve">hard </w:t>
      </w:r>
      <w:r w:rsidRPr="00DA590E">
        <w:rPr>
          <w:color w:val="000000" w:themeColor="text1"/>
          <w:sz w:val="22"/>
          <w:szCs w:val="22"/>
        </w:rPr>
        <w:t xml:space="preserve">that view came to be challenged </w:t>
      </w:r>
      <w:r w:rsidR="00AA5A02">
        <w:rPr>
          <w:color w:val="000000" w:themeColor="text1"/>
          <w:sz w:val="22"/>
          <w:szCs w:val="22"/>
        </w:rPr>
        <w:t>in the later nineteenth-century.</w:t>
      </w:r>
      <w:r w:rsidRPr="00DA590E">
        <w:rPr>
          <w:color w:val="000000" w:themeColor="text1"/>
          <w:sz w:val="22"/>
          <w:szCs w:val="22"/>
        </w:rPr>
        <w:t xml:space="preserve"> </w:t>
      </w:r>
      <w:r w:rsidR="00AA5A02">
        <w:rPr>
          <w:color w:val="000000" w:themeColor="text1"/>
          <w:sz w:val="22"/>
          <w:szCs w:val="22"/>
        </w:rPr>
        <w:t xml:space="preserve">Their priority was </w:t>
      </w:r>
      <w:r w:rsidRPr="00DA590E">
        <w:rPr>
          <w:color w:val="000000" w:themeColor="text1"/>
          <w:sz w:val="22"/>
          <w:szCs w:val="22"/>
        </w:rPr>
        <w:t xml:space="preserve">to supervise </w:t>
      </w:r>
      <w:r w:rsidR="00AA5A02">
        <w:rPr>
          <w:color w:val="000000" w:themeColor="text1"/>
          <w:sz w:val="22"/>
          <w:szCs w:val="22"/>
        </w:rPr>
        <w:t xml:space="preserve">offenders </w:t>
      </w:r>
      <w:r w:rsidRPr="00DA590E">
        <w:rPr>
          <w:color w:val="000000" w:themeColor="text1"/>
          <w:sz w:val="22"/>
          <w:szCs w:val="22"/>
        </w:rPr>
        <w:t xml:space="preserve">and </w:t>
      </w:r>
      <w:r w:rsidR="00AA5A02">
        <w:rPr>
          <w:color w:val="000000" w:themeColor="text1"/>
          <w:sz w:val="22"/>
          <w:szCs w:val="22"/>
        </w:rPr>
        <w:t xml:space="preserve">to </w:t>
      </w:r>
      <w:r w:rsidRPr="00DA590E">
        <w:rPr>
          <w:color w:val="000000" w:themeColor="text1"/>
          <w:sz w:val="22"/>
          <w:szCs w:val="22"/>
        </w:rPr>
        <w:t xml:space="preserve">watch for signs of re-offending, rather than to </w:t>
      </w:r>
      <w:r w:rsidR="00AA5A02">
        <w:rPr>
          <w:color w:val="000000" w:themeColor="text1"/>
          <w:sz w:val="22"/>
          <w:szCs w:val="22"/>
        </w:rPr>
        <w:t xml:space="preserve">equip inmates with the skills and training to </w:t>
      </w:r>
      <w:r w:rsidRPr="00DA590E">
        <w:rPr>
          <w:color w:val="000000" w:themeColor="text1"/>
          <w:sz w:val="22"/>
          <w:szCs w:val="22"/>
        </w:rPr>
        <w:t xml:space="preserve">lead honest and useful </w:t>
      </w:r>
      <w:r>
        <w:rPr>
          <w:color w:val="000000" w:themeColor="text1"/>
          <w:sz w:val="22"/>
          <w:szCs w:val="22"/>
        </w:rPr>
        <w:t>lives</w:t>
      </w:r>
      <w:r w:rsidR="00AA5A02">
        <w:rPr>
          <w:color w:val="000000" w:themeColor="text1"/>
          <w:sz w:val="22"/>
          <w:szCs w:val="22"/>
        </w:rPr>
        <w:t xml:space="preserve"> on release</w:t>
      </w:r>
      <w:r w:rsidRPr="00083E9C">
        <w:rPr>
          <w:color w:val="000000" w:themeColor="text1"/>
          <w:sz w:val="22"/>
          <w:szCs w:val="22"/>
        </w:rPr>
        <w:t>.</w:t>
      </w:r>
      <w:r>
        <w:rPr>
          <w:color w:val="000000"/>
          <w:sz w:val="22"/>
          <w:szCs w:val="22"/>
          <w14:textFill>
            <w14:solidFill>
              <w14:srgbClr w14:val="000000">
                <w14:lumMod w14:val="50000"/>
              </w14:srgbClr>
            </w14:solidFill>
          </w14:textFill>
        </w:rPr>
        <w:t xml:space="preserve"> </w:t>
      </w:r>
      <w:r w:rsidR="00AA5A02">
        <w:rPr>
          <w:color w:val="000000"/>
          <w:sz w:val="22"/>
          <w:szCs w:val="22"/>
          <w14:textFill>
            <w14:solidFill>
              <w14:srgbClr w14:val="000000">
                <w14:lumMod w14:val="50000"/>
              </w14:srgbClr>
            </w14:solidFill>
          </w14:textFill>
        </w:rPr>
        <w:t xml:space="preserve">The systems were also </w:t>
      </w:r>
      <w:r w:rsidR="00AA5A02">
        <w:rPr>
          <w:color w:val="000000" w:themeColor="text1"/>
          <w:sz w:val="22"/>
          <w:szCs w:val="22"/>
        </w:rPr>
        <w:t>intended</w:t>
      </w:r>
      <w:r>
        <w:rPr>
          <w:color w:val="000000" w:themeColor="text1"/>
          <w:sz w:val="22"/>
          <w:szCs w:val="22"/>
        </w:rPr>
        <w:t xml:space="preserve"> to produce a regime that would deter </w:t>
      </w:r>
      <w:r w:rsidR="00AA5A02">
        <w:rPr>
          <w:color w:val="000000" w:themeColor="text1"/>
          <w:sz w:val="22"/>
          <w:szCs w:val="22"/>
        </w:rPr>
        <w:t>potential offenders from committing crimes</w:t>
      </w:r>
      <w:r>
        <w:rPr>
          <w:color w:val="000000" w:themeColor="text1"/>
          <w:sz w:val="22"/>
          <w:szCs w:val="22"/>
        </w:rPr>
        <w:t xml:space="preserve">, and </w:t>
      </w:r>
      <w:r w:rsidR="00AA5A02">
        <w:rPr>
          <w:color w:val="000000" w:themeColor="text1"/>
          <w:sz w:val="22"/>
          <w:szCs w:val="22"/>
        </w:rPr>
        <w:t>to further convince existing inmates that they would not want to return to custody</w:t>
      </w:r>
      <w:r w:rsidR="00DB2A4C">
        <w:rPr>
          <w:color w:val="000000" w:themeColor="text1"/>
          <w:sz w:val="22"/>
          <w:szCs w:val="22"/>
        </w:rPr>
        <w:t xml:space="preserve"> (McConville 1998)</w:t>
      </w:r>
      <w:r>
        <w:rPr>
          <w:color w:val="000000" w:themeColor="text1"/>
          <w:sz w:val="22"/>
          <w:szCs w:val="22"/>
        </w:rPr>
        <w:t xml:space="preserve">. </w:t>
      </w:r>
      <w:r w:rsidR="00AA5A02">
        <w:rPr>
          <w:color w:val="000000" w:themeColor="text1"/>
          <w:sz w:val="22"/>
          <w:szCs w:val="22"/>
        </w:rPr>
        <w:t xml:space="preserve">When transportation was still the main punishment imposed by the courts, the problem of recidivism was moot for the British government. Despite common tropes about leopards never changing their spots, and old offenders being habitual thieves and drunks, conceptions of the recidivist offender were </w:t>
      </w:r>
      <w:r w:rsidR="00965459">
        <w:rPr>
          <w:color w:val="000000" w:themeColor="text1"/>
          <w:sz w:val="22"/>
          <w:szCs w:val="22"/>
        </w:rPr>
        <w:t>undeveloped in Britain until the 1850s. When convicts on tickets-of-leave were released to wander British cities rather than the streets of Sydney and Hobart, concern grew about the ability of prisons to bring about the reform of their inmates. B</w:t>
      </w:r>
      <w:r>
        <w:rPr>
          <w:color w:val="000000" w:themeColor="text1"/>
          <w:sz w:val="22"/>
          <w:szCs w:val="22"/>
        </w:rPr>
        <w:t xml:space="preserve">y the time transportation was coming to an end </w:t>
      </w:r>
      <w:r w:rsidR="00965459">
        <w:rPr>
          <w:color w:val="000000" w:themeColor="text1"/>
          <w:sz w:val="22"/>
          <w:szCs w:val="22"/>
        </w:rPr>
        <w:t>there had been a number of ticket-of-leave scares</w:t>
      </w:r>
      <w:r w:rsidR="00F43702">
        <w:rPr>
          <w:color w:val="000000" w:themeColor="text1"/>
          <w:sz w:val="22"/>
          <w:szCs w:val="22"/>
        </w:rPr>
        <w:t>;</w:t>
      </w:r>
      <w:r w:rsidR="00965459">
        <w:rPr>
          <w:color w:val="000000" w:themeColor="text1"/>
          <w:sz w:val="22"/>
          <w:szCs w:val="22"/>
        </w:rPr>
        <w:t xml:space="preserve"> </w:t>
      </w:r>
      <w:r>
        <w:rPr>
          <w:color w:val="000000" w:themeColor="text1"/>
          <w:sz w:val="22"/>
          <w:szCs w:val="22"/>
        </w:rPr>
        <w:t>reoffending was considered to be an acute and almost intractable problem</w:t>
      </w:r>
      <w:r w:rsidR="00965459">
        <w:rPr>
          <w:color w:val="000000" w:themeColor="text1"/>
          <w:sz w:val="22"/>
          <w:szCs w:val="22"/>
        </w:rPr>
        <w:t xml:space="preserve"> (</w:t>
      </w:r>
      <w:r w:rsidR="00C6363F" w:rsidRPr="003A5C45">
        <w:rPr>
          <w:color w:val="000000" w:themeColor="text1"/>
          <w:sz w:val="22"/>
          <w:szCs w:val="22"/>
        </w:rPr>
        <w:t xml:space="preserve">Sindall 1987, 1990; </w:t>
      </w:r>
      <w:proofErr w:type="spellStart"/>
      <w:r w:rsidR="00C6363F">
        <w:rPr>
          <w:color w:val="000000" w:themeColor="text1"/>
          <w:sz w:val="22"/>
          <w:szCs w:val="22"/>
        </w:rPr>
        <w:t>Bartrip</w:t>
      </w:r>
      <w:proofErr w:type="spellEnd"/>
      <w:r w:rsidR="00C6363F" w:rsidRPr="003A5C45">
        <w:rPr>
          <w:color w:val="000000" w:themeColor="text1"/>
          <w:sz w:val="22"/>
          <w:szCs w:val="22"/>
        </w:rPr>
        <w:t xml:space="preserve"> 1981; </w:t>
      </w:r>
      <w:r w:rsidR="00C6363F">
        <w:rPr>
          <w:color w:val="000000" w:themeColor="text1"/>
          <w:sz w:val="22"/>
          <w:szCs w:val="22"/>
        </w:rPr>
        <w:t>Stevenson 1983)</w:t>
      </w:r>
      <w:r>
        <w:rPr>
          <w:color w:val="000000" w:themeColor="text1"/>
          <w:sz w:val="22"/>
          <w:szCs w:val="22"/>
        </w:rPr>
        <w:t xml:space="preserve">. </w:t>
      </w:r>
    </w:p>
    <w:p w14:paraId="55D9591A" w14:textId="77777777" w:rsidR="00717566" w:rsidRPr="00B4781A" w:rsidRDefault="00717566" w:rsidP="00B101EC">
      <w:pPr>
        <w:spacing w:before="100" w:beforeAutospacing="1" w:after="100" w:afterAutospacing="1" w:line="360" w:lineRule="auto"/>
        <w:contextualSpacing/>
        <w:jc w:val="both"/>
        <w:rPr>
          <w:color w:val="000000" w:themeColor="text1"/>
          <w:sz w:val="22"/>
          <w:szCs w:val="22"/>
        </w:rPr>
      </w:pPr>
    </w:p>
    <w:p w14:paraId="32B3289F" w14:textId="7E5D6D3E" w:rsidR="00E868E7" w:rsidRDefault="00717566" w:rsidP="00B101EC">
      <w:pPr>
        <w:spacing w:line="360" w:lineRule="auto"/>
        <w:rPr>
          <w:b/>
          <w:color w:val="000000" w:themeColor="text1"/>
          <w:sz w:val="22"/>
          <w:szCs w:val="22"/>
        </w:rPr>
      </w:pPr>
      <w:r w:rsidRPr="00814E6A">
        <w:rPr>
          <w:b/>
          <w:color w:val="000000" w:themeColor="text1"/>
          <w:sz w:val="22"/>
          <w:szCs w:val="22"/>
        </w:rPr>
        <w:t>Measuring recidivism</w:t>
      </w:r>
    </w:p>
    <w:p w14:paraId="6134D616" w14:textId="77777777" w:rsidR="00B101EC" w:rsidRDefault="00B101EC" w:rsidP="00B101EC">
      <w:pPr>
        <w:spacing w:line="360" w:lineRule="auto"/>
        <w:rPr>
          <w:b/>
          <w:color w:val="000000" w:themeColor="text1"/>
          <w:sz w:val="22"/>
          <w:szCs w:val="22"/>
        </w:rPr>
      </w:pPr>
    </w:p>
    <w:p w14:paraId="3FD56760" w14:textId="4B1D5AAB" w:rsidR="00717566" w:rsidRPr="00BC7BC1" w:rsidRDefault="00717566" w:rsidP="00E80979">
      <w:pPr>
        <w:pStyle w:val="CommentText"/>
        <w:spacing w:line="360" w:lineRule="auto"/>
        <w:jc w:val="both"/>
        <w:rPr>
          <w:color w:val="FF0000"/>
          <w:sz w:val="22"/>
          <w:szCs w:val="22"/>
        </w:rPr>
      </w:pPr>
      <w:r w:rsidRPr="00BC7BC1">
        <w:rPr>
          <w:color w:val="000000" w:themeColor="text1"/>
          <w:sz w:val="22"/>
          <w:szCs w:val="22"/>
        </w:rPr>
        <w:t>From the mid nineteenth century, the British government</w:t>
      </w:r>
      <w:r w:rsidR="00C6363F" w:rsidRPr="00BC7BC1">
        <w:rPr>
          <w:color w:val="000000" w:themeColor="text1"/>
          <w:sz w:val="22"/>
          <w:szCs w:val="22"/>
        </w:rPr>
        <w:t xml:space="preserve"> became</w:t>
      </w:r>
      <w:r w:rsidRPr="00BC7BC1">
        <w:rPr>
          <w:color w:val="000000" w:themeColor="text1"/>
          <w:sz w:val="22"/>
          <w:szCs w:val="22"/>
        </w:rPr>
        <w:t xml:space="preserve"> assiduous in collecting criminal justice process data, and increasingly used them as a tool of government</w:t>
      </w:r>
      <w:r w:rsidR="000A3F59">
        <w:rPr>
          <w:sz w:val="22"/>
          <w:szCs w:val="22"/>
        </w:rPr>
        <w:t xml:space="preserve"> (Shoemaker and Ward 2017</w:t>
      </w:r>
      <w:r w:rsidR="000A3F59" w:rsidRPr="000A3F59">
        <w:rPr>
          <w:color w:val="000000" w:themeColor="text1"/>
          <w:sz w:val="22"/>
          <w:szCs w:val="22"/>
        </w:rPr>
        <w:t xml:space="preserve">). </w:t>
      </w:r>
      <w:r w:rsidRPr="00BC7BC1">
        <w:rPr>
          <w:color w:val="000000" w:themeColor="text1"/>
          <w:sz w:val="22"/>
          <w:szCs w:val="22"/>
        </w:rPr>
        <w:t xml:space="preserve">Statistics were recruited to inform penal policy and drove many of the reforms to the criminal justice system that proliferated in the </w:t>
      </w:r>
      <w:r w:rsidR="00C6363F" w:rsidRPr="00BC7BC1">
        <w:rPr>
          <w:color w:val="000000" w:themeColor="text1"/>
          <w:sz w:val="22"/>
          <w:szCs w:val="22"/>
        </w:rPr>
        <w:t>later nineteenth century</w:t>
      </w:r>
      <w:r w:rsidRPr="00BC7BC1">
        <w:rPr>
          <w:color w:val="000000" w:themeColor="text1"/>
          <w:sz w:val="22"/>
          <w:szCs w:val="22"/>
        </w:rPr>
        <w:t>. However, the statistics that showed an increasing prison population being s</w:t>
      </w:r>
      <w:r w:rsidR="00C6363F" w:rsidRPr="00BC7BC1">
        <w:rPr>
          <w:color w:val="000000" w:themeColor="text1"/>
          <w:sz w:val="22"/>
          <w:szCs w:val="22"/>
        </w:rPr>
        <w:t>toked up by repeat-prisoners were</w:t>
      </w:r>
      <w:r w:rsidRPr="00BC7BC1">
        <w:rPr>
          <w:color w:val="000000" w:themeColor="text1"/>
          <w:sz w:val="22"/>
          <w:szCs w:val="22"/>
        </w:rPr>
        <w:t xml:space="preserve"> unsettling. </w:t>
      </w:r>
      <w:r w:rsidR="00BC7BC1">
        <w:rPr>
          <w:color w:val="000000" w:themeColor="text1"/>
          <w:sz w:val="22"/>
          <w:szCs w:val="22"/>
        </w:rPr>
        <w:t>Due in part to the fact that prisoners were being kept in the UK rather than sent to Australia, t</w:t>
      </w:r>
      <w:r w:rsidR="00C6363F" w:rsidRPr="00BC7BC1">
        <w:rPr>
          <w:color w:val="000000" w:themeColor="text1"/>
          <w:sz w:val="22"/>
          <w:szCs w:val="22"/>
        </w:rPr>
        <w:t xml:space="preserve">he annually collected figures showed that </w:t>
      </w:r>
      <w:r w:rsidRPr="00BC7BC1">
        <w:rPr>
          <w:color w:val="000000" w:themeColor="text1"/>
          <w:sz w:val="22"/>
          <w:szCs w:val="22"/>
        </w:rPr>
        <w:t xml:space="preserve">the majority of people being committed to prison had already spent time ‘inside’ before, and, by 1885, the proportion of recidivists </w:t>
      </w:r>
      <w:r w:rsidR="00C6363F" w:rsidRPr="00BC7BC1">
        <w:rPr>
          <w:color w:val="000000" w:themeColor="text1"/>
          <w:sz w:val="22"/>
          <w:szCs w:val="22"/>
        </w:rPr>
        <w:t>had overtaken</w:t>
      </w:r>
      <w:r w:rsidRPr="00BC7BC1">
        <w:rPr>
          <w:color w:val="000000" w:themeColor="text1"/>
          <w:sz w:val="22"/>
          <w:szCs w:val="22"/>
        </w:rPr>
        <w:t xml:space="preserve"> the proportion of first-timers (Godfrey </w:t>
      </w:r>
      <w:r w:rsidRPr="00BC7BC1">
        <w:rPr>
          <w:i/>
          <w:color w:val="000000" w:themeColor="text1"/>
          <w:sz w:val="22"/>
          <w:szCs w:val="22"/>
        </w:rPr>
        <w:t>et al</w:t>
      </w:r>
      <w:r w:rsidRPr="00BC7BC1">
        <w:rPr>
          <w:color w:val="000000" w:themeColor="text1"/>
          <w:sz w:val="22"/>
          <w:szCs w:val="22"/>
        </w:rPr>
        <w:t>, 2010).</w:t>
      </w:r>
    </w:p>
    <w:p w14:paraId="0C3C2CBD" w14:textId="4305FFDB" w:rsidR="00717566" w:rsidRPr="00BC7BC1" w:rsidRDefault="00717566" w:rsidP="00B101EC">
      <w:pPr>
        <w:spacing w:line="360" w:lineRule="auto"/>
        <w:rPr>
          <w:color w:val="000000" w:themeColor="text1"/>
          <w:sz w:val="22"/>
          <w:szCs w:val="22"/>
        </w:rPr>
      </w:pPr>
    </w:p>
    <w:p w14:paraId="583543AF" w14:textId="77777777" w:rsidR="00B101EC" w:rsidRPr="00567C90" w:rsidRDefault="00B101EC" w:rsidP="00B101EC">
      <w:pPr>
        <w:spacing w:line="360" w:lineRule="auto"/>
        <w:rPr>
          <w:color w:val="000000" w:themeColor="text1"/>
        </w:rPr>
      </w:pPr>
    </w:p>
    <w:p w14:paraId="5980938B" w14:textId="0D4F68DB" w:rsidR="00E868E7" w:rsidRDefault="00717566" w:rsidP="00B101EC">
      <w:pPr>
        <w:spacing w:line="360" w:lineRule="auto"/>
        <w:jc w:val="both"/>
        <w:rPr>
          <w:b/>
          <w:color w:val="000000" w:themeColor="text1"/>
          <w:sz w:val="22"/>
          <w:szCs w:val="22"/>
        </w:rPr>
      </w:pPr>
      <w:r w:rsidRPr="00567C90">
        <w:rPr>
          <w:b/>
          <w:color w:val="000000" w:themeColor="text1"/>
          <w:sz w:val="22"/>
          <w:szCs w:val="22"/>
        </w:rPr>
        <w:t>Fig</w:t>
      </w:r>
      <w:r>
        <w:rPr>
          <w:b/>
          <w:color w:val="000000" w:themeColor="text1"/>
          <w:sz w:val="22"/>
          <w:szCs w:val="22"/>
        </w:rPr>
        <w:t xml:space="preserve"> 2: </w:t>
      </w:r>
      <w:r w:rsidRPr="00567C90">
        <w:rPr>
          <w:b/>
          <w:color w:val="000000" w:themeColor="text1"/>
          <w:sz w:val="22"/>
          <w:szCs w:val="22"/>
        </w:rPr>
        <w:t>Numbers of prisoners with previous committals to prison, 1856-1914</w:t>
      </w:r>
    </w:p>
    <w:p w14:paraId="3A764BD6" w14:textId="77777777" w:rsidR="00AE0F76" w:rsidRPr="00B101EC" w:rsidRDefault="00AE0F76" w:rsidP="00B101EC">
      <w:pPr>
        <w:spacing w:line="360" w:lineRule="auto"/>
        <w:jc w:val="both"/>
        <w:rPr>
          <w:b/>
          <w:color w:val="000000" w:themeColor="text1"/>
          <w:sz w:val="22"/>
          <w:szCs w:val="22"/>
        </w:rPr>
      </w:pPr>
    </w:p>
    <w:p w14:paraId="3BC031AC" w14:textId="77777777" w:rsidR="00717566" w:rsidRDefault="00717566" w:rsidP="00B101EC">
      <w:pPr>
        <w:spacing w:line="360" w:lineRule="auto"/>
        <w:jc w:val="both"/>
        <w:rPr>
          <w:i/>
          <w:color w:val="000000" w:themeColor="text1"/>
          <w:sz w:val="22"/>
          <w:szCs w:val="22"/>
        </w:rPr>
      </w:pPr>
      <w:r>
        <w:rPr>
          <w:noProof/>
        </w:rPr>
        <w:lastRenderedPageBreak/>
        <w:drawing>
          <wp:inline distT="0" distB="0" distL="0" distR="0" wp14:anchorId="739096D4" wp14:editId="14B11529">
            <wp:extent cx="4536141" cy="2034988"/>
            <wp:effectExtent l="0" t="0" r="10795" b="101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7D6550D" w14:textId="140E6618" w:rsidR="00717566" w:rsidRDefault="00717566" w:rsidP="00B101EC">
      <w:pPr>
        <w:spacing w:line="360" w:lineRule="auto"/>
        <w:jc w:val="both"/>
        <w:rPr>
          <w:i/>
          <w:color w:val="000000" w:themeColor="text1"/>
          <w:sz w:val="22"/>
          <w:szCs w:val="22"/>
        </w:rPr>
      </w:pPr>
    </w:p>
    <w:p w14:paraId="2137BC00" w14:textId="74FBE3EF" w:rsidR="00717566" w:rsidRDefault="00717566" w:rsidP="00B101EC">
      <w:pPr>
        <w:spacing w:line="360" w:lineRule="auto"/>
        <w:jc w:val="both"/>
        <w:rPr>
          <w:color w:val="000000" w:themeColor="text1"/>
          <w:sz w:val="22"/>
          <w:szCs w:val="22"/>
        </w:rPr>
      </w:pPr>
      <w:r w:rsidRPr="00770BD4">
        <w:rPr>
          <w:color w:val="000000" w:themeColor="text1"/>
          <w:sz w:val="22"/>
          <w:szCs w:val="22"/>
        </w:rPr>
        <w:t xml:space="preserve">Prompted by the </w:t>
      </w:r>
      <w:r>
        <w:rPr>
          <w:color w:val="000000" w:themeColor="text1"/>
          <w:sz w:val="22"/>
          <w:szCs w:val="22"/>
        </w:rPr>
        <w:t xml:space="preserve">alarming statistics, public and media conceptions imagined </w:t>
      </w:r>
      <w:r w:rsidRPr="00770BD4">
        <w:rPr>
          <w:color w:val="000000" w:themeColor="text1"/>
          <w:sz w:val="22"/>
          <w:szCs w:val="22"/>
        </w:rPr>
        <w:t>recidivist</w:t>
      </w:r>
      <w:r>
        <w:rPr>
          <w:color w:val="000000" w:themeColor="text1"/>
          <w:sz w:val="22"/>
          <w:szCs w:val="22"/>
        </w:rPr>
        <w:t xml:space="preserve">s as predatory </w:t>
      </w:r>
      <w:r w:rsidRPr="00770BD4">
        <w:rPr>
          <w:color w:val="000000" w:themeColor="text1"/>
          <w:sz w:val="22"/>
          <w:szCs w:val="22"/>
        </w:rPr>
        <w:t xml:space="preserve">repeat-burglars, </w:t>
      </w:r>
      <w:r w:rsidR="00C6363F">
        <w:rPr>
          <w:color w:val="000000" w:themeColor="text1"/>
          <w:sz w:val="22"/>
          <w:szCs w:val="22"/>
        </w:rPr>
        <w:t xml:space="preserve">incorrigible </w:t>
      </w:r>
      <w:r>
        <w:rPr>
          <w:color w:val="000000" w:themeColor="text1"/>
          <w:sz w:val="22"/>
          <w:szCs w:val="22"/>
        </w:rPr>
        <w:t xml:space="preserve">garrotters and </w:t>
      </w:r>
      <w:r w:rsidR="00C6363F">
        <w:rPr>
          <w:color w:val="000000" w:themeColor="text1"/>
          <w:sz w:val="22"/>
          <w:szCs w:val="22"/>
        </w:rPr>
        <w:t xml:space="preserve">inherently </w:t>
      </w:r>
      <w:r>
        <w:rPr>
          <w:color w:val="000000" w:themeColor="text1"/>
          <w:sz w:val="22"/>
          <w:szCs w:val="22"/>
        </w:rPr>
        <w:t xml:space="preserve">violent </w:t>
      </w:r>
      <w:r w:rsidR="00C6363F">
        <w:rPr>
          <w:color w:val="000000" w:themeColor="text1"/>
          <w:sz w:val="22"/>
          <w:szCs w:val="22"/>
        </w:rPr>
        <w:t>offend</w:t>
      </w:r>
      <w:r>
        <w:rPr>
          <w:color w:val="000000" w:themeColor="text1"/>
          <w:sz w:val="22"/>
          <w:szCs w:val="22"/>
        </w:rPr>
        <w:t>ers -</w:t>
      </w:r>
      <w:r w:rsidRPr="00770BD4">
        <w:rPr>
          <w:color w:val="000000" w:themeColor="text1"/>
          <w:sz w:val="22"/>
          <w:szCs w:val="22"/>
        </w:rPr>
        <w:t xml:space="preserve"> men who persisted</w:t>
      </w:r>
      <w:r>
        <w:rPr>
          <w:color w:val="000000" w:themeColor="text1"/>
          <w:sz w:val="22"/>
          <w:szCs w:val="22"/>
        </w:rPr>
        <w:t xml:space="preserve"> with lives of serious violence</w:t>
      </w:r>
      <w:r w:rsidR="00C6363F">
        <w:rPr>
          <w:color w:val="000000" w:themeColor="text1"/>
          <w:sz w:val="22"/>
          <w:szCs w:val="22"/>
        </w:rPr>
        <w:t>.</w:t>
      </w:r>
      <w:r>
        <w:rPr>
          <w:color w:val="000000" w:themeColor="text1"/>
          <w:sz w:val="22"/>
          <w:szCs w:val="22"/>
        </w:rPr>
        <w:t xml:space="preserve"> </w:t>
      </w:r>
      <w:r w:rsidRPr="00770BD4">
        <w:rPr>
          <w:color w:val="000000" w:themeColor="text1"/>
          <w:sz w:val="22"/>
          <w:szCs w:val="22"/>
        </w:rPr>
        <w:t xml:space="preserve">However, </w:t>
      </w:r>
      <w:r w:rsidR="00C6363F">
        <w:rPr>
          <w:color w:val="000000" w:themeColor="text1"/>
          <w:sz w:val="22"/>
          <w:szCs w:val="22"/>
        </w:rPr>
        <w:t xml:space="preserve">the </w:t>
      </w:r>
      <w:r w:rsidRPr="00770BD4">
        <w:rPr>
          <w:color w:val="000000" w:themeColor="text1"/>
          <w:sz w:val="22"/>
          <w:szCs w:val="22"/>
        </w:rPr>
        <w:t xml:space="preserve">published </w:t>
      </w:r>
      <w:r>
        <w:rPr>
          <w:color w:val="000000" w:themeColor="text1"/>
          <w:sz w:val="22"/>
          <w:szCs w:val="22"/>
        </w:rPr>
        <w:t xml:space="preserve">statistics </w:t>
      </w:r>
      <w:r w:rsidRPr="00770BD4">
        <w:rPr>
          <w:color w:val="000000" w:themeColor="text1"/>
          <w:sz w:val="22"/>
          <w:szCs w:val="22"/>
        </w:rPr>
        <w:t xml:space="preserve">were not sophisticated enough to </w:t>
      </w:r>
      <w:r>
        <w:rPr>
          <w:color w:val="000000" w:themeColor="text1"/>
          <w:sz w:val="22"/>
          <w:szCs w:val="22"/>
        </w:rPr>
        <w:t xml:space="preserve">reveal whether this was true or not – were recidivists being repeatedly imprisoned for </w:t>
      </w:r>
      <w:r w:rsidRPr="00770BD4">
        <w:rPr>
          <w:color w:val="000000" w:themeColor="text1"/>
          <w:sz w:val="22"/>
          <w:szCs w:val="22"/>
        </w:rPr>
        <w:t>committing serious</w:t>
      </w:r>
      <w:r>
        <w:rPr>
          <w:color w:val="000000" w:themeColor="text1"/>
          <w:sz w:val="22"/>
          <w:szCs w:val="22"/>
        </w:rPr>
        <w:t>,</w:t>
      </w:r>
      <w:r w:rsidRPr="00770BD4">
        <w:rPr>
          <w:color w:val="000000" w:themeColor="text1"/>
          <w:sz w:val="22"/>
          <w:szCs w:val="22"/>
        </w:rPr>
        <w:t xml:space="preserve"> or non-serious</w:t>
      </w:r>
      <w:r>
        <w:rPr>
          <w:color w:val="000000" w:themeColor="text1"/>
          <w:sz w:val="22"/>
          <w:szCs w:val="22"/>
        </w:rPr>
        <w:t xml:space="preserve"> offences. </w:t>
      </w:r>
      <w:r w:rsidRPr="00770BD4">
        <w:rPr>
          <w:color w:val="000000" w:themeColor="text1"/>
          <w:sz w:val="22"/>
          <w:szCs w:val="22"/>
        </w:rPr>
        <w:t xml:space="preserve">The majority of people who were captured in contemporary recidivist statistics (see Fig 2) may </w:t>
      </w:r>
      <w:r>
        <w:rPr>
          <w:color w:val="000000" w:themeColor="text1"/>
          <w:sz w:val="22"/>
          <w:szCs w:val="22"/>
        </w:rPr>
        <w:t xml:space="preserve">have </w:t>
      </w:r>
      <w:r w:rsidRPr="00770BD4">
        <w:rPr>
          <w:color w:val="000000" w:themeColor="text1"/>
          <w:sz w:val="22"/>
          <w:szCs w:val="22"/>
        </w:rPr>
        <w:t>be</w:t>
      </w:r>
      <w:r>
        <w:rPr>
          <w:color w:val="000000" w:themeColor="text1"/>
          <w:sz w:val="22"/>
          <w:szCs w:val="22"/>
        </w:rPr>
        <w:t>en</w:t>
      </w:r>
      <w:r w:rsidRPr="00770BD4">
        <w:rPr>
          <w:color w:val="000000" w:themeColor="text1"/>
          <w:sz w:val="22"/>
          <w:szCs w:val="22"/>
        </w:rPr>
        <w:t xml:space="preserve"> </w:t>
      </w:r>
      <w:r w:rsidR="00C6363F">
        <w:rPr>
          <w:color w:val="000000" w:themeColor="text1"/>
          <w:sz w:val="22"/>
          <w:szCs w:val="22"/>
        </w:rPr>
        <w:t xml:space="preserve">low-level </w:t>
      </w:r>
      <w:r w:rsidRPr="00770BD4">
        <w:rPr>
          <w:color w:val="000000" w:themeColor="text1"/>
          <w:sz w:val="22"/>
          <w:szCs w:val="22"/>
        </w:rPr>
        <w:t>habitual offenders who experienced repeated</w:t>
      </w:r>
      <w:r w:rsidR="00C6363F">
        <w:rPr>
          <w:color w:val="000000" w:themeColor="text1"/>
          <w:sz w:val="22"/>
          <w:szCs w:val="22"/>
        </w:rPr>
        <w:t xml:space="preserve"> short-terms of imprisonment</w:t>
      </w:r>
      <w:r w:rsidRPr="00770BD4">
        <w:rPr>
          <w:color w:val="000000" w:themeColor="text1"/>
          <w:sz w:val="22"/>
          <w:szCs w:val="22"/>
        </w:rPr>
        <w:t xml:space="preserve">. </w:t>
      </w:r>
      <w:r w:rsidR="00C6363F">
        <w:rPr>
          <w:color w:val="000000" w:themeColor="text1"/>
          <w:sz w:val="22"/>
          <w:szCs w:val="22"/>
        </w:rPr>
        <w:t xml:space="preserve">These kinds of habitual offenders did not become the target for law and order campaigners until the 1890s. Excessive use of alcohol, public drunkenness, and ‘roughness’ </w:t>
      </w:r>
      <w:r w:rsidRPr="00770BD4">
        <w:rPr>
          <w:color w:val="000000" w:themeColor="text1"/>
          <w:sz w:val="22"/>
          <w:szCs w:val="22"/>
        </w:rPr>
        <w:t xml:space="preserve">was not only very prevalent amongst ex-prisoners and convicts but was also fairly-endemic in society. In the </w:t>
      </w:r>
      <w:r w:rsidR="00C6363F">
        <w:rPr>
          <w:color w:val="000000" w:themeColor="text1"/>
          <w:sz w:val="22"/>
          <w:szCs w:val="22"/>
        </w:rPr>
        <w:t>later nineteenth century</w:t>
      </w:r>
      <w:r w:rsidRPr="00770BD4">
        <w:rPr>
          <w:color w:val="000000" w:themeColor="text1"/>
          <w:sz w:val="22"/>
          <w:szCs w:val="22"/>
        </w:rPr>
        <w:t xml:space="preserve">, when </w:t>
      </w:r>
      <w:r w:rsidR="00C6363F">
        <w:rPr>
          <w:color w:val="000000" w:themeColor="text1"/>
          <w:sz w:val="22"/>
          <w:szCs w:val="22"/>
        </w:rPr>
        <w:t>moral entrepreneurs</w:t>
      </w:r>
      <w:r w:rsidRPr="00770BD4">
        <w:rPr>
          <w:color w:val="000000" w:themeColor="text1"/>
          <w:sz w:val="22"/>
          <w:szCs w:val="22"/>
        </w:rPr>
        <w:t xml:space="preserve"> </w:t>
      </w:r>
      <w:r w:rsidR="004A0C5E">
        <w:rPr>
          <w:color w:val="000000" w:themeColor="text1"/>
          <w:sz w:val="22"/>
          <w:szCs w:val="22"/>
        </w:rPr>
        <w:t xml:space="preserve">and the Temperance Movement </w:t>
      </w:r>
      <w:r w:rsidRPr="00770BD4">
        <w:rPr>
          <w:color w:val="000000" w:themeColor="text1"/>
          <w:sz w:val="22"/>
          <w:szCs w:val="22"/>
        </w:rPr>
        <w:t xml:space="preserve">targeted male </w:t>
      </w:r>
      <w:r w:rsidR="00C6363F">
        <w:rPr>
          <w:color w:val="000000" w:themeColor="text1"/>
          <w:sz w:val="22"/>
          <w:szCs w:val="22"/>
        </w:rPr>
        <w:t xml:space="preserve">working-class </w:t>
      </w:r>
      <w:r w:rsidRPr="00770BD4">
        <w:rPr>
          <w:color w:val="000000" w:themeColor="text1"/>
          <w:sz w:val="22"/>
          <w:szCs w:val="22"/>
        </w:rPr>
        <w:t xml:space="preserve">violence and female drinking (Archer 2011, </w:t>
      </w:r>
      <w:r w:rsidR="004A0C5E" w:rsidRPr="000A3F59">
        <w:rPr>
          <w:color w:val="000000" w:themeColor="text1"/>
          <w:sz w:val="22"/>
          <w:szCs w:val="22"/>
        </w:rPr>
        <w:t xml:space="preserve">Braithwaite </w:t>
      </w:r>
      <w:r w:rsidR="000A3F59" w:rsidRPr="000A3F59">
        <w:rPr>
          <w:color w:val="000000" w:themeColor="text1"/>
          <w:sz w:val="22"/>
          <w:szCs w:val="22"/>
        </w:rPr>
        <w:t>1989</w:t>
      </w:r>
      <w:r w:rsidR="004A0C5E" w:rsidRPr="000A3F59">
        <w:rPr>
          <w:color w:val="000000" w:themeColor="text1"/>
          <w:sz w:val="22"/>
          <w:szCs w:val="22"/>
        </w:rPr>
        <w:t xml:space="preserve">, </w:t>
      </w:r>
      <w:r w:rsidRPr="000A3F59">
        <w:rPr>
          <w:color w:val="000000" w:themeColor="text1"/>
          <w:sz w:val="22"/>
          <w:szCs w:val="22"/>
        </w:rPr>
        <w:t>Davies</w:t>
      </w:r>
      <w:r w:rsidRPr="00770BD4">
        <w:rPr>
          <w:color w:val="000000" w:themeColor="text1"/>
          <w:sz w:val="22"/>
          <w:szCs w:val="22"/>
        </w:rPr>
        <w:t xml:space="preserve"> 1999; Morrison 2009; Stafford 2018; Wiener 1990), concepts of rehabilitation may have embraced sobriety as a measure of ‘going straight’. </w:t>
      </w:r>
      <w:r w:rsidR="00C6363F">
        <w:rPr>
          <w:color w:val="000000" w:themeColor="text1"/>
          <w:sz w:val="22"/>
          <w:szCs w:val="22"/>
        </w:rPr>
        <w:t>B</w:t>
      </w:r>
      <w:r>
        <w:rPr>
          <w:color w:val="000000" w:themeColor="text1"/>
          <w:sz w:val="22"/>
          <w:szCs w:val="22"/>
        </w:rPr>
        <w:t>y then, public drunkenness was seen as a moral failing rather than part of normal working-class life and leisure</w:t>
      </w:r>
      <w:r w:rsidR="00C6363F">
        <w:rPr>
          <w:color w:val="000000" w:themeColor="text1"/>
          <w:sz w:val="22"/>
          <w:szCs w:val="22"/>
        </w:rPr>
        <w:t xml:space="preserve"> as it had been in the 1850s and 1860s</w:t>
      </w:r>
      <w:r>
        <w:rPr>
          <w:color w:val="000000" w:themeColor="text1"/>
          <w:sz w:val="22"/>
          <w:szCs w:val="22"/>
        </w:rPr>
        <w:t xml:space="preserve">.  </w:t>
      </w:r>
      <w:r w:rsidR="00C6363F">
        <w:rPr>
          <w:color w:val="000000" w:themeColor="text1"/>
          <w:sz w:val="22"/>
          <w:szCs w:val="22"/>
        </w:rPr>
        <w:t>In the mid-century</w:t>
      </w:r>
      <w:r w:rsidRPr="00770BD4">
        <w:rPr>
          <w:color w:val="000000" w:themeColor="text1"/>
          <w:sz w:val="22"/>
          <w:szCs w:val="22"/>
        </w:rPr>
        <w:t xml:space="preserve">, drinking and masculinity were so closely bound together that it would have been a utopian fantasy to aim for abstinence amongst </w:t>
      </w:r>
      <w:r>
        <w:rPr>
          <w:color w:val="000000" w:themeColor="text1"/>
          <w:sz w:val="22"/>
          <w:szCs w:val="22"/>
        </w:rPr>
        <w:t xml:space="preserve">the </w:t>
      </w:r>
      <w:r w:rsidR="00C6363F">
        <w:rPr>
          <w:color w:val="000000" w:themeColor="text1"/>
          <w:sz w:val="22"/>
          <w:szCs w:val="22"/>
        </w:rPr>
        <w:t>working</w:t>
      </w:r>
      <w:r>
        <w:rPr>
          <w:color w:val="000000" w:themeColor="text1"/>
          <w:sz w:val="22"/>
          <w:szCs w:val="22"/>
        </w:rPr>
        <w:t xml:space="preserve">-classes (or, indeed, amongst </w:t>
      </w:r>
      <w:r w:rsidRPr="00770BD4">
        <w:rPr>
          <w:color w:val="000000" w:themeColor="text1"/>
          <w:sz w:val="22"/>
          <w:szCs w:val="22"/>
        </w:rPr>
        <w:t>ex-offenders</w:t>
      </w:r>
      <w:r>
        <w:rPr>
          <w:color w:val="000000" w:themeColor="text1"/>
          <w:sz w:val="22"/>
          <w:szCs w:val="22"/>
        </w:rPr>
        <w:t>)</w:t>
      </w:r>
      <w:r w:rsidRPr="00770BD4">
        <w:rPr>
          <w:color w:val="000000" w:themeColor="text1"/>
          <w:sz w:val="22"/>
          <w:szCs w:val="22"/>
        </w:rPr>
        <w:t>. Just under forty-five thousand people were convicted of being drunk and disorderly in England and Wales in 1857. That figure doubled over the following decade, and by the First World War it had reached over 180,000 convictions.</w:t>
      </w:r>
      <w:r w:rsidRPr="00770BD4">
        <w:rPr>
          <w:rStyle w:val="FootnoteReference"/>
          <w:color w:val="000000" w:themeColor="text1"/>
          <w:sz w:val="22"/>
          <w:szCs w:val="22"/>
        </w:rPr>
        <w:footnoteReference w:id="6"/>
      </w:r>
      <w:r w:rsidRPr="00770BD4">
        <w:rPr>
          <w:color w:val="000000" w:themeColor="text1"/>
          <w:sz w:val="22"/>
          <w:szCs w:val="22"/>
        </w:rPr>
        <w:t xml:space="preserve"> At the same time, there were nearly ten thousand convictions for drunk and disorderliness in Western Australia (which had a population of around 184,000).</w:t>
      </w:r>
      <w:r w:rsidRPr="00770BD4">
        <w:rPr>
          <w:rStyle w:val="FootnoteReference"/>
          <w:color w:val="000000" w:themeColor="text1"/>
          <w:sz w:val="22"/>
          <w:szCs w:val="22"/>
        </w:rPr>
        <w:footnoteReference w:id="7"/>
      </w:r>
      <w:r w:rsidRPr="00770BD4">
        <w:rPr>
          <w:color w:val="000000" w:themeColor="text1"/>
          <w:sz w:val="22"/>
          <w:szCs w:val="22"/>
        </w:rPr>
        <w:t xml:space="preserve"> Drunkenness, fighting, and low-level public order </w:t>
      </w:r>
      <w:r>
        <w:rPr>
          <w:color w:val="000000" w:themeColor="text1"/>
          <w:sz w:val="22"/>
          <w:szCs w:val="22"/>
        </w:rPr>
        <w:t>incidents</w:t>
      </w:r>
      <w:r w:rsidRPr="00770BD4">
        <w:rPr>
          <w:color w:val="000000" w:themeColor="text1"/>
          <w:sz w:val="22"/>
          <w:szCs w:val="22"/>
        </w:rPr>
        <w:t xml:space="preserve"> were ‘common-or-garden offences committed by men across the British Empire’ (Godfrey and Cox 2008: 243).</w:t>
      </w:r>
      <w:r w:rsidRPr="00B972C6">
        <w:rPr>
          <w:i/>
          <w:color w:val="000000" w:themeColor="text1"/>
          <w:sz w:val="22"/>
          <w:szCs w:val="22"/>
        </w:rPr>
        <w:t xml:space="preserve"> </w:t>
      </w:r>
      <w:r w:rsidRPr="00843E77">
        <w:rPr>
          <w:color w:val="000000" w:themeColor="text1"/>
          <w:sz w:val="22"/>
          <w:szCs w:val="22"/>
        </w:rPr>
        <w:t xml:space="preserve">Rather than measuring the number </w:t>
      </w:r>
      <w:r>
        <w:rPr>
          <w:color w:val="000000" w:themeColor="text1"/>
          <w:sz w:val="22"/>
          <w:szCs w:val="22"/>
        </w:rPr>
        <w:t xml:space="preserve">of </w:t>
      </w:r>
      <w:r w:rsidRPr="00843E77">
        <w:rPr>
          <w:color w:val="000000" w:themeColor="text1"/>
          <w:sz w:val="22"/>
          <w:szCs w:val="22"/>
        </w:rPr>
        <w:t xml:space="preserve">everyday-offending convictions, if </w:t>
      </w:r>
      <w:r>
        <w:rPr>
          <w:color w:val="000000" w:themeColor="text1"/>
          <w:sz w:val="22"/>
          <w:szCs w:val="22"/>
        </w:rPr>
        <w:t xml:space="preserve">the Victorians had </w:t>
      </w:r>
      <w:r w:rsidRPr="00843E77">
        <w:rPr>
          <w:color w:val="000000" w:themeColor="text1"/>
          <w:sz w:val="22"/>
          <w:szCs w:val="22"/>
        </w:rPr>
        <w:t>really want</w:t>
      </w:r>
      <w:r>
        <w:rPr>
          <w:color w:val="000000" w:themeColor="text1"/>
          <w:sz w:val="22"/>
          <w:szCs w:val="22"/>
        </w:rPr>
        <w:t>ed</w:t>
      </w:r>
      <w:r w:rsidRPr="00843E77">
        <w:rPr>
          <w:color w:val="000000" w:themeColor="text1"/>
          <w:sz w:val="22"/>
          <w:szCs w:val="22"/>
        </w:rPr>
        <w:t xml:space="preserve"> to </w:t>
      </w:r>
      <w:r>
        <w:rPr>
          <w:color w:val="000000" w:themeColor="text1"/>
          <w:sz w:val="22"/>
          <w:szCs w:val="22"/>
        </w:rPr>
        <w:t>investigate whether prison worked, and for whom (and if we wish to re-pose that question in regard to imprisonment and transportation today)</w:t>
      </w:r>
      <w:r w:rsidRPr="00843E77">
        <w:rPr>
          <w:color w:val="000000" w:themeColor="text1"/>
          <w:sz w:val="22"/>
          <w:szCs w:val="22"/>
        </w:rPr>
        <w:t xml:space="preserve">, a better </w:t>
      </w:r>
      <w:r w:rsidRPr="00843E77">
        <w:rPr>
          <w:color w:val="000000" w:themeColor="text1"/>
          <w:sz w:val="22"/>
          <w:szCs w:val="22"/>
        </w:rPr>
        <w:lastRenderedPageBreak/>
        <w:t xml:space="preserve">measure would be the prevalence of </w:t>
      </w:r>
      <w:r>
        <w:rPr>
          <w:color w:val="000000" w:themeColor="text1"/>
          <w:sz w:val="22"/>
          <w:szCs w:val="22"/>
        </w:rPr>
        <w:t xml:space="preserve">repeated </w:t>
      </w:r>
      <w:r w:rsidRPr="00843E77">
        <w:rPr>
          <w:color w:val="000000" w:themeColor="text1"/>
          <w:sz w:val="22"/>
          <w:szCs w:val="22"/>
        </w:rPr>
        <w:t xml:space="preserve">serious offending. </w:t>
      </w:r>
      <w:r w:rsidR="000F7687">
        <w:rPr>
          <w:color w:val="000000" w:themeColor="text1"/>
          <w:sz w:val="22"/>
          <w:szCs w:val="22"/>
        </w:rPr>
        <w:t>Today, we have the data available to do what the Victorian</w:t>
      </w:r>
      <w:r w:rsidR="00187B50">
        <w:rPr>
          <w:color w:val="000000" w:themeColor="text1"/>
          <w:sz w:val="22"/>
          <w:szCs w:val="22"/>
        </w:rPr>
        <w:t>s</w:t>
      </w:r>
      <w:r w:rsidR="000F7687">
        <w:rPr>
          <w:color w:val="000000" w:themeColor="text1"/>
          <w:sz w:val="22"/>
          <w:szCs w:val="22"/>
        </w:rPr>
        <w:t xml:space="preserve"> could not. We now have sufficient information to examine the problem of recidivism for a large group of male convicts and ex-convicts. This is an assessment, not just of the individual fortunes of those men, but of the two systems themselves. </w:t>
      </w:r>
      <w:r w:rsidRPr="00843E77">
        <w:rPr>
          <w:color w:val="000000" w:themeColor="text1"/>
          <w:sz w:val="22"/>
          <w:szCs w:val="22"/>
        </w:rPr>
        <w:t xml:space="preserve">Indeed, for each </w:t>
      </w:r>
      <w:r>
        <w:rPr>
          <w:color w:val="000000" w:themeColor="text1"/>
          <w:sz w:val="22"/>
          <w:szCs w:val="22"/>
        </w:rPr>
        <w:t xml:space="preserve">of the two </w:t>
      </w:r>
      <w:r w:rsidRPr="00843E77">
        <w:rPr>
          <w:color w:val="000000" w:themeColor="text1"/>
          <w:sz w:val="22"/>
          <w:szCs w:val="22"/>
        </w:rPr>
        <w:t>system</w:t>
      </w:r>
      <w:r>
        <w:rPr>
          <w:color w:val="000000" w:themeColor="text1"/>
          <w:sz w:val="22"/>
          <w:szCs w:val="22"/>
        </w:rPr>
        <w:t>s</w:t>
      </w:r>
      <w:r w:rsidRPr="00843E77">
        <w:rPr>
          <w:color w:val="000000" w:themeColor="text1"/>
          <w:sz w:val="22"/>
          <w:szCs w:val="22"/>
        </w:rPr>
        <w:t xml:space="preserve"> </w:t>
      </w:r>
      <w:r>
        <w:rPr>
          <w:color w:val="000000" w:themeColor="text1"/>
          <w:sz w:val="22"/>
          <w:szCs w:val="22"/>
        </w:rPr>
        <w:t xml:space="preserve">(convict estate in the UK, or convict transportation to WA) </w:t>
      </w:r>
      <w:r w:rsidRPr="00843E77">
        <w:rPr>
          <w:color w:val="000000" w:themeColor="text1"/>
          <w:sz w:val="22"/>
          <w:szCs w:val="22"/>
        </w:rPr>
        <w:t xml:space="preserve">we could set two </w:t>
      </w:r>
      <w:r w:rsidRPr="0074307D">
        <w:rPr>
          <w:i/>
          <w:color w:val="000000" w:themeColor="text1"/>
          <w:sz w:val="22"/>
          <w:szCs w:val="22"/>
        </w:rPr>
        <w:t>efficiency tests</w:t>
      </w:r>
      <w:r w:rsidRPr="00843E77">
        <w:rPr>
          <w:color w:val="000000" w:themeColor="text1"/>
          <w:sz w:val="22"/>
          <w:szCs w:val="22"/>
        </w:rPr>
        <w:t>.</w:t>
      </w:r>
    </w:p>
    <w:p w14:paraId="047ED14C" w14:textId="5577C679" w:rsidR="00717566" w:rsidRPr="00567C90" w:rsidRDefault="00717566" w:rsidP="00B101EC">
      <w:pPr>
        <w:spacing w:line="360" w:lineRule="auto"/>
        <w:jc w:val="both"/>
        <w:rPr>
          <w:color w:val="000000" w:themeColor="text1"/>
          <w:sz w:val="22"/>
          <w:szCs w:val="22"/>
        </w:rPr>
      </w:pPr>
      <w:r w:rsidRPr="00567C90">
        <w:rPr>
          <w:color w:val="000000" w:themeColor="text1"/>
          <w:sz w:val="22"/>
          <w:szCs w:val="22"/>
        </w:rPr>
        <w:t xml:space="preserve">First, the more successful system should have </w:t>
      </w:r>
      <w:r w:rsidRPr="00567C90">
        <w:rPr>
          <w:i/>
          <w:color w:val="000000" w:themeColor="text1"/>
          <w:sz w:val="22"/>
          <w:szCs w:val="22"/>
        </w:rPr>
        <w:t>lower reconviction rates for serious offences</w:t>
      </w:r>
      <w:r w:rsidRPr="00567C90">
        <w:rPr>
          <w:color w:val="000000" w:themeColor="text1"/>
          <w:sz w:val="22"/>
          <w:szCs w:val="22"/>
        </w:rPr>
        <w:t xml:space="preserve">. This can be evidenced in a number of ways. Simple reconviction rates can be gathered, and additionally for Western Australia, we can </w:t>
      </w:r>
      <w:r w:rsidR="009E1040">
        <w:rPr>
          <w:color w:val="000000" w:themeColor="text1"/>
          <w:sz w:val="22"/>
          <w:szCs w:val="22"/>
        </w:rPr>
        <w:t xml:space="preserve">also </w:t>
      </w:r>
      <w:r w:rsidRPr="00567C90">
        <w:rPr>
          <w:color w:val="000000" w:themeColor="text1"/>
          <w:sz w:val="22"/>
          <w:szCs w:val="22"/>
        </w:rPr>
        <w:t xml:space="preserve">measure the </w:t>
      </w:r>
      <w:r w:rsidR="00A76BC7">
        <w:rPr>
          <w:color w:val="000000" w:themeColor="text1"/>
          <w:sz w:val="22"/>
          <w:szCs w:val="22"/>
        </w:rPr>
        <w:t>re</w:t>
      </w:r>
      <w:r w:rsidRPr="00567C90">
        <w:rPr>
          <w:color w:val="000000" w:themeColor="text1"/>
          <w:sz w:val="22"/>
          <w:szCs w:val="22"/>
        </w:rPr>
        <w:t xml:space="preserve">conviction rate of both expirees and </w:t>
      </w:r>
      <w:r w:rsidR="00A76BC7">
        <w:rPr>
          <w:color w:val="000000" w:themeColor="text1"/>
          <w:sz w:val="22"/>
          <w:szCs w:val="22"/>
        </w:rPr>
        <w:t xml:space="preserve">the conviction rates of </w:t>
      </w:r>
      <w:r w:rsidRPr="00567C90">
        <w:rPr>
          <w:color w:val="000000" w:themeColor="text1"/>
          <w:sz w:val="22"/>
          <w:szCs w:val="22"/>
        </w:rPr>
        <w:t>fr</w:t>
      </w:r>
      <w:r>
        <w:rPr>
          <w:color w:val="000000" w:themeColor="text1"/>
          <w:sz w:val="22"/>
          <w:szCs w:val="22"/>
        </w:rPr>
        <w:t xml:space="preserve">ee settlers in their new land. If transportation curbed reoffending, then expirees and free settlers should have similar reconviction rates. </w:t>
      </w:r>
      <w:r w:rsidRPr="00567C90">
        <w:rPr>
          <w:color w:val="000000" w:themeColor="text1"/>
          <w:sz w:val="22"/>
          <w:szCs w:val="22"/>
        </w:rPr>
        <w:t xml:space="preserve">Second, we can measure </w:t>
      </w:r>
      <w:r w:rsidRPr="00567C90">
        <w:rPr>
          <w:i/>
          <w:color w:val="000000" w:themeColor="text1"/>
          <w:sz w:val="22"/>
          <w:szCs w:val="22"/>
        </w:rPr>
        <w:t>speed to reconviction</w:t>
      </w:r>
      <w:r w:rsidRPr="00567C90">
        <w:rPr>
          <w:color w:val="000000" w:themeColor="text1"/>
          <w:sz w:val="22"/>
          <w:szCs w:val="22"/>
        </w:rPr>
        <w:t xml:space="preserve"> (the time elapsed between capacity to offend and reconviction)</w:t>
      </w:r>
      <w:r>
        <w:rPr>
          <w:color w:val="000000" w:themeColor="text1"/>
          <w:sz w:val="22"/>
          <w:szCs w:val="22"/>
        </w:rPr>
        <w:t>. These rates</w:t>
      </w:r>
      <w:r w:rsidRPr="00567C90">
        <w:rPr>
          <w:color w:val="000000" w:themeColor="text1"/>
          <w:sz w:val="22"/>
          <w:szCs w:val="22"/>
        </w:rPr>
        <w:t xml:space="preserve"> should be slower for the most effective </w:t>
      </w:r>
      <w:r w:rsidR="009E1040">
        <w:rPr>
          <w:color w:val="000000" w:themeColor="text1"/>
          <w:sz w:val="22"/>
          <w:szCs w:val="22"/>
        </w:rPr>
        <w:t>regime</w:t>
      </w:r>
      <w:r w:rsidRPr="00567C90">
        <w:rPr>
          <w:color w:val="000000" w:themeColor="text1"/>
          <w:sz w:val="22"/>
          <w:szCs w:val="22"/>
        </w:rPr>
        <w:t>.</w:t>
      </w:r>
    </w:p>
    <w:p w14:paraId="5DFB39BD" w14:textId="5F92027B" w:rsidR="00717566" w:rsidRDefault="00717566" w:rsidP="00B101EC">
      <w:pPr>
        <w:spacing w:line="360" w:lineRule="auto"/>
        <w:rPr>
          <w:b/>
          <w:color w:val="000000" w:themeColor="text1"/>
          <w:sz w:val="22"/>
          <w:szCs w:val="22"/>
        </w:rPr>
      </w:pPr>
    </w:p>
    <w:p w14:paraId="0DDE21F4" w14:textId="68857805" w:rsidR="00717566" w:rsidRDefault="00717566" w:rsidP="00B101EC">
      <w:pPr>
        <w:spacing w:line="360" w:lineRule="auto"/>
        <w:rPr>
          <w:b/>
          <w:color w:val="000000" w:themeColor="text1"/>
          <w:sz w:val="22"/>
          <w:szCs w:val="22"/>
        </w:rPr>
      </w:pPr>
      <w:r>
        <w:rPr>
          <w:b/>
          <w:color w:val="000000" w:themeColor="text1"/>
          <w:sz w:val="22"/>
          <w:szCs w:val="22"/>
        </w:rPr>
        <w:t>Constructing a Sample for A</w:t>
      </w:r>
      <w:r w:rsidRPr="00416011">
        <w:rPr>
          <w:b/>
          <w:color w:val="000000" w:themeColor="text1"/>
          <w:sz w:val="22"/>
          <w:szCs w:val="22"/>
        </w:rPr>
        <w:t>nalysis</w:t>
      </w:r>
    </w:p>
    <w:p w14:paraId="64AE3E09" w14:textId="230464F3" w:rsidR="007750CE" w:rsidRDefault="007750CE" w:rsidP="00B101EC">
      <w:pPr>
        <w:spacing w:line="360" w:lineRule="auto"/>
        <w:jc w:val="both"/>
        <w:rPr>
          <w:color w:val="000000" w:themeColor="text1"/>
          <w:sz w:val="22"/>
          <w:szCs w:val="22"/>
        </w:rPr>
      </w:pPr>
    </w:p>
    <w:p w14:paraId="75164414" w14:textId="497F944D" w:rsidR="007750CE" w:rsidRDefault="00E01B8D" w:rsidP="00B101EC">
      <w:pPr>
        <w:spacing w:line="360" w:lineRule="auto"/>
        <w:jc w:val="both"/>
        <w:rPr>
          <w:color w:val="000000" w:themeColor="text1"/>
          <w:sz w:val="22"/>
          <w:szCs w:val="22"/>
        </w:rPr>
      </w:pPr>
      <w:r w:rsidRPr="00E01B8D">
        <w:rPr>
          <w:color w:val="000000" w:themeColor="text1"/>
          <w:sz w:val="22"/>
          <w:szCs w:val="22"/>
        </w:rPr>
        <w:t>For the analysis of British convicts’ reconviction rates, the primary sources were the caption documents held in the National Archives</w:t>
      </w:r>
      <w:r w:rsidR="00894646">
        <w:rPr>
          <w:color w:val="000000" w:themeColor="text1"/>
          <w:sz w:val="22"/>
          <w:szCs w:val="22"/>
        </w:rPr>
        <w:t xml:space="preserve"> (PCOM 3 and PCOM 4)</w:t>
      </w:r>
      <w:r w:rsidRPr="00E01B8D">
        <w:rPr>
          <w:color w:val="000000" w:themeColor="text1"/>
          <w:sz w:val="22"/>
          <w:szCs w:val="22"/>
        </w:rPr>
        <w:t xml:space="preserve">, but also now digitised. </w:t>
      </w:r>
      <w:r>
        <w:rPr>
          <w:color w:val="000000" w:themeColor="text1"/>
          <w:sz w:val="22"/>
          <w:szCs w:val="22"/>
        </w:rPr>
        <w:t>The bundle of documents that followed each individual convict around the system whilst they were under sentence</w:t>
      </w:r>
      <w:r w:rsidR="00894646">
        <w:rPr>
          <w:color w:val="000000" w:themeColor="text1"/>
          <w:sz w:val="22"/>
          <w:szCs w:val="22"/>
        </w:rPr>
        <w:t xml:space="preserve"> recorded antecedent offending history, </w:t>
      </w:r>
      <w:r>
        <w:rPr>
          <w:color w:val="000000" w:themeColor="text1"/>
          <w:sz w:val="22"/>
          <w:szCs w:val="22"/>
        </w:rPr>
        <w:t xml:space="preserve">behaviour inside the prison, and also any </w:t>
      </w:r>
      <w:r w:rsidR="00894646">
        <w:rPr>
          <w:color w:val="000000" w:themeColor="text1"/>
          <w:sz w:val="22"/>
          <w:szCs w:val="22"/>
        </w:rPr>
        <w:t>offences</w:t>
      </w:r>
      <w:r>
        <w:rPr>
          <w:color w:val="000000" w:themeColor="text1"/>
          <w:sz w:val="22"/>
          <w:szCs w:val="22"/>
        </w:rPr>
        <w:t xml:space="preserve"> </w:t>
      </w:r>
      <w:r w:rsidR="00894646">
        <w:rPr>
          <w:color w:val="000000" w:themeColor="text1"/>
          <w:sz w:val="22"/>
          <w:szCs w:val="22"/>
        </w:rPr>
        <w:t xml:space="preserve">committed </w:t>
      </w:r>
      <w:r>
        <w:rPr>
          <w:color w:val="000000" w:themeColor="text1"/>
          <w:sz w:val="22"/>
          <w:szCs w:val="22"/>
        </w:rPr>
        <w:t xml:space="preserve">whilst on conditional license. </w:t>
      </w:r>
      <w:r w:rsidR="00717566" w:rsidRPr="00E01B8D">
        <w:rPr>
          <w:color w:val="000000" w:themeColor="text1"/>
          <w:sz w:val="22"/>
          <w:szCs w:val="22"/>
        </w:rPr>
        <w:t>The Digital Panopticon contains details of 3000 male license-holders (who w</w:t>
      </w:r>
      <w:r w:rsidR="007750CE" w:rsidRPr="00E01B8D">
        <w:rPr>
          <w:color w:val="000000" w:themeColor="text1"/>
          <w:sz w:val="22"/>
          <w:szCs w:val="22"/>
        </w:rPr>
        <w:t>ere</w:t>
      </w:r>
      <w:r w:rsidR="00717566" w:rsidRPr="00E01B8D">
        <w:rPr>
          <w:color w:val="000000" w:themeColor="text1"/>
          <w:sz w:val="22"/>
          <w:szCs w:val="22"/>
        </w:rPr>
        <w:t xml:space="preserve"> at some point </w:t>
      </w:r>
      <w:r w:rsidR="007750CE" w:rsidRPr="00E01B8D">
        <w:rPr>
          <w:color w:val="000000" w:themeColor="text1"/>
          <w:sz w:val="22"/>
          <w:szCs w:val="22"/>
        </w:rPr>
        <w:t>in their lives</w:t>
      </w:r>
      <w:r w:rsidR="00717566" w:rsidRPr="00E01B8D">
        <w:rPr>
          <w:color w:val="000000" w:themeColor="text1"/>
          <w:sz w:val="22"/>
          <w:szCs w:val="22"/>
        </w:rPr>
        <w:t xml:space="preserve"> convicted at the Old Bailey</w:t>
      </w:r>
      <w:r w:rsidR="007750CE" w:rsidRPr="00E01B8D">
        <w:rPr>
          <w:color w:val="000000" w:themeColor="text1"/>
          <w:sz w:val="22"/>
          <w:szCs w:val="22"/>
        </w:rPr>
        <w:t>)</w:t>
      </w:r>
      <w:r w:rsidR="00894646">
        <w:rPr>
          <w:color w:val="000000" w:themeColor="text1"/>
          <w:sz w:val="22"/>
          <w:szCs w:val="22"/>
        </w:rPr>
        <w:t xml:space="preserve"> which can be used to chart reconviction rates.</w:t>
      </w:r>
    </w:p>
    <w:p w14:paraId="551383A2" w14:textId="2FE79C5A" w:rsidR="00717566" w:rsidRDefault="007750CE" w:rsidP="00B101EC">
      <w:pPr>
        <w:spacing w:line="360" w:lineRule="auto"/>
        <w:jc w:val="both"/>
        <w:rPr>
          <w:color w:val="000000" w:themeColor="text1"/>
          <w:sz w:val="22"/>
          <w:szCs w:val="22"/>
        </w:rPr>
      </w:pPr>
      <w:r>
        <w:rPr>
          <w:color w:val="000000" w:themeColor="text1"/>
          <w:sz w:val="22"/>
          <w:szCs w:val="22"/>
        </w:rPr>
        <w:t>T</w:t>
      </w:r>
      <w:r w:rsidR="00717566">
        <w:rPr>
          <w:color w:val="000000" w:themeColor="text1"/>
          <w:sz w:val="22"/>
          <w:szCs w:val="22"/>
        </w:rPr>
        <w:t xml:space="preserve">he </w:t>
      </w:r>
      <w:r w:rsidR="009E3A5E">
        <w:rPr>
          <w:color w:val="000000" w:themeColor="text1"/>
          <w:sz w:val="22"/>
          <w:szCs w:val="22"/>
        </w:rPr>
        <w:t xml:space="preserve">digitised </w:t>
      </w:r>
      <w:r w:rsidR="00894646">
        <w:rPr>
          <w:color w:val="000000" w:themeColor="text1"/>
          <w:sz w:val="22"/>
          <w:szCs w:val="22"/>
        </w:rPr>
        <w:t xml:space="preserve">Western Australian </w:t>
      </w:r>
      <w:r w:rsidR="00717566">
        <w:rPr>
          <w:color w:val="000000" w:themeColor="text1"/>
          <w:sz w:val="22"/>
          <w:szCs w:val="22"/>
        </w:rPr>
        <w:t>Probation Registers, Character Books, and General Registers recorded the name a</w:t>
      </w:r>
      <w:r w:rsidR="009E3A5E">
        <w:rPr>
          <w:color w:val="000000" w:themeColor="text1"/>
          <w:sz w:val="22"/>
          <w:szCs w:val="22"/>
        </w:rPr>
        <w:t>nd convict number of nearly ten-</w:t>
      </w:r>
      <w:r w:rsidR="00717566">
        <w:rPr>
          <w:color w:val="000000" w:themeColor="text1"/>
          <w:sz w:val="22"/>
          <w:szCs w:val="22"/>
        </w:rPr>
        <w:t>thousand transported convicts. By joining the information together, these records together provide information on each convict’s age, crime for which they were transported,</w:t>
      </w:r>
      <w:r w:rsidR="00717566" w:rsidRPr="00583570">
        <w:rPr>
          <w:color w:val="000000" w:themeColor="text1"/>
          <w:sz w:val="22"/>
          <w:szCs w:val="22"/>
        </w:rPr>
        <w:t xml:space="preserve"> </w:t>
      </w:r>
      <w:r w:rsidR="00717566">
        <w:rPr>
          <w:color w:val="000000" w:themeColor="text1"/>
          <w:sz w:val="22"/>
          <w:szCs w:val="22"/>
        </w:rPr>
        <w:t xml:space="preserve">details of previous convictions, ship they came to Western Australia in, marital status, number of children they had, where they were assigned to, literacy level, and </w:t>
      </w:r>
      <w:r w:rsidR="00717566" w:rsidRPr="00583570">
        <w:rPr>
          <w:color w:val="000000" w:themeColor="text1"/>
          <w:sz w:val="22"/>
          <w:szCs w:val="22"/>
        </w:rPr>
        <w:t>'character' prior to and during sentence</w:t>
      </w:r>
      <w:r w:rsidR="00717566">
        <w:rPr>
          <w:color w:val="000000" w:themeColor="text1"/>
          <w:sz w:val="22"/>
          <w:szCs w:val="22"/>
        </w:rPr>
        <w:t>.</w:t>
      </w:r>
      <w:r w:rsidR="00717566" w:rsidRPr="00583570">
        <w:rPr>
          <w:rStyle w:val="FootnoteReference"/>
          <w:color w:val="000000" w:themeColor="text1"/>
          <w:sz w:val="22"/>
          <w:szCs w:val="22"/>
        </w:rPr>
        <w:footnoteReference w:id="8"/>
      </w:r>
      <w:r w:rsidR="00717566">
        <w:rPr>
          <w:color w:val="000000" w:themeColor="text1"/>
          <w:sz w:val="22"/>
          <w:szCs w:val="22"/>
        </w:rPr>
        <w:t xml:space="preserve"> It is possible to ascertain the ‘offences’ they committed whilst subject to convict </w:t>
      </w:r>
      <w:r w:rsidR="00717566" w:rsidRPr="003D31D8">
        <w:rPr>
          <w:color w:val="000000" w:themeColor="text1"/>
          <w:sz w:val="22"/>
          <w:szCs w:val="22"/>
        </w:rPr>
        <w:t>regulations (such as refusal to work, insubordination and possession of contraband) and because the General Register continued to be updated until the convict received their Certificate of Freedom, died, or was transferred to another institution (</w:t>
      </w:r>
      <w:r w:rsidR="00717566">
        <w:rPr>
          <w:color w:val="000000" w:themeColor="text1"/>
          <w:sz w:val="22"/>
          <w:szCs w:val="22"/>
        </w:rPr>
        <w:t>many convicts were housed in</w:t>
      </w:r>
      <w:r w:rsidR="00717566" w:rsidRPr="003D31D8">
        <w:rPr>
          <w:color w:val="000000" w:themeColor="text1"/>
          <w:sz w:val="22"/>
          <w:szCs w:val="22"/>
        </w:rPr>
        <w:t xml:space="preserve"> hospital</w:t>
      </w:r>
      <w:r w:rsidR="00717566">
        <w:rPr>
          <w:color w:val="000000" w:themeColor="text1"/>
          <w:sz w:val="22"/>
          <w:szCs w:val="22"/>
        </w:rPr>
        <w:t>s and</w:t>
      </w:r>
      <w:r w:rsidR="00717566" w:rsidRPr="003D31D8">
        <w:rPr>
          <w:color w:val="000000" w:themeColor="text1"/>
          <w:sz w:val="22"/>
          <w:szCs w:val="22"/>
        </w:rPr>
        <w:t xml:space="preserve"> asylum</w:t>
      </w:r>
      <w:r w:rsidR="00717566">
        <w:rPr>
          <w:color w:val="000000" w:themeColor="text1"/>
          <w:sz w:val="22"/>
          <w:szCs w:val="22"/>
        </w:rPr>
        <w:t>, especially as they became elderly and infirm</w:t>
      </w:r>
      <w:r w:rsidR="00BC7BC1">
        <w:rPr>
          <w:color w:val="000000" w:themeColor="text1"/>
          <w:sz w:val="22"/>
          <w:szCs w:val="22"/>
        </w:rPr>
        <w:t xml:space="preserve"> in a colony that had no poor relief </w:t>
      </w:r>
      <w:r w:rsidR="00971E64">
        <w:rPr>
          <w:color w:val="000000" w:themeColor="text1"/>
          <w:sz w:val="22"/>
          <w:szCs w:val="22"/>
        </w:rPr>
        <w:t>outside of institutionalisation</w:t>
      </w:r>
      <w:r w:rsidR="00717566" w:rsidRPr="003D31D8">
        <w:rPr>
          <w:color w:val="000000" w:themeColor="text1"/>
          <w:sz w:val="22"/>
          <w:szCs w:val="22"/>
        </w:rPr>
        <w:t xml:space="preserve">), they continue into the 1870s and </w:t>
      </w:r>
      <w:r w:rsidR="00717566">
        <w:rPr>
          <w:color w:val="000000" w:themeColor="text1"/>
          <w:sz w:val="22"/>
          <w:szCs w:val="22"/>
        </w:rPr>
        <w:t>18</w:t>
      </w:r>
      <w:r w:rsidR="00717566" w:rsidRPr="003D31D8">
        <w:rPr>
          <w:color w:val="000000" w:themeColor="text1"/>
          <w:sz w:val="22"/>
          <w:szCs w:val="22"/>
        </w:rPr>
        <w:t>80s, when transportation had cease</w:t>
      </w:r>
      <w:r w:rsidR="00717566" w:rsidRPr="00A52911">
        <w:rPr>
          <w:color w:val="000000" w:themeColor="text1"/>
          <w:sz w:val="22"/>
          <w:szCs w:val="22"/>
        </w:rPr>
        <w:t>d.</w:t>
      </w:r>
      <w:r w:rsidR="00717566" w:rsidRPr="00A52911">
        <w:rPr>
          <w:rStyle w:val="FootnoteReference"/>
          <w:color w:val="000000" w:themeColor="text1"/>
          <w:sz w:val="22"/>
          <w:szCs w:val="22"/>
        </w:rPr>
        <w:footnoteReference w:id="9"/>
      </w:r>
      <w:r w:rsidR="00717566" w:rsidRPr="00A52911">
        <w:rPr>
          <w:color w:val="000000" w:themeColor="text1"/>
          <w:sz w:val="22"/>
          <w:szCs w:val="22"/>
        </w:rPr>
        <w:t xml:space="preserve"> </w:t>
      </w:r>
    </w:p>
    <w:p w14:paraId="43CD1E8E" w14:textId="3B079A14" w:rsidR="00717566" w:rsidRPr="00121A0D" w:rsidRDefault="00717566" w:rsidP="00B101EC">
      <w:pPr>
        <w:spacing w:line="360" w:lineRule="auto"/>
        <w:jc w:val="both"/>
        <w:rPr>
          <w:color w:val="000000" w:themeColor="text1"/>
          <w:sz w:val="22"/>
          <w:szCs w:val="22"/>
        </w:rPr>
      </w:pPr>
      <w:r w:rsidRPr="00416011">
        <w:rPr>
          <w:color w:val="000000" w:themeColor="text1"/>
          <w:sz w:val="22"/>
          <w:szCs w:val="22"/>
        </w:rPr>
        <w:lastRenderedPageBreak/>
        <w:t>Additionally, archival data relating to Fremantle Prison registers (</w:t>
      </w:r>
      <w:r>
        <w:rPr>
          <w:color w:val="000000" w:themeColor="text1"/>
          <w:sz w:val="22"/>
          <w:szCs w:val="22"/>
        </w:rPr>
        <w:t xml:space="preserve">1858-1868) </w:t>
      </w:r>
      <w:r w:rsidRPr="00416011">
        <w:rPr>
          <w:color w:val="000000" w:themeColor="text1"/>
          <w:sz w:val="22"/>
          <w:szCs w:val="22"/>
        </w:rPr>
        <w:t>and the Supreme Court of Western Australia (</w:t>
      </w:r>
      <w:r>
        <w:rPr>
          <w:color w:val="000000" w:themeColor="text1"/>
          <w:sz w:val="22"/>
          <w:szCs w:val="22"/>
        </w:rPr>
        <w:t>1861-1893</w:t>
      </w:r>
      <w:r w:rsidRPr="00416011">
        <w:rPr>
          <w:color w:val="000000" w:themeColor="text1"/>
          <w:sz w:val="22"/>
          <w:szCs w:val="22"/>
        </w:rPr>
        <w:t>) in the State Records Office have been collected and transcribed.</w:t>
      </w:r>
      <w:r w:rsidRPr="00416011">
        <w:rPr>
          <w:rStyle w:val="FootnoteReference"/>
          <w:color w:val="000000" w:themeColor="text1"/>
          <w:sz w:val="22"/>
          <w:szCs w:val="22"/>
        </w:rPr>
        <w:footnoteReference w:id="10"/>
      </w:r>
      <w:r w:rsidRPr="00416011">
        <w:rPr>
          <w:color w:val="000000" w:themeColor="text1"/>
          <w:sz w:val="22"/>
          <w:szCs w:val="22"/>
        </w:rPr>
        <w:t xml:space="preserve"> </w:t>
      </w:r>
      <w:r>
        <w:rPr>
          <w:color w:val="000000" w:themeColor="text1"/>
          <w:sz w:val="22"/>
          <w:szCs w:val="22"/>
        </w:rPr>
        <w:t>These records contain details of ‘status’</w:t>
      </w:r>
      <w:r w:rsidRPr="008D2D21">
        <w:rPr>
          <w:color w:val="000000" w:themeColor="text1"/>
          <w:sz w:val="22"/>
          <w:szCs w:val="22"/>
        </w:rPr>
        <w:t xml:space="preserve"> </w:t>
      </w:r>
      <w:r>
        <w:rPr>
          <w:color w:val="000000" w:themeColor="text1"/>
          <w:sz w:val="22"/>
          <w:szCs w:val="22"/>
        </w:rPr>
        <w:t xml:space="preserve">(convict or free-settler), as well as their name and age. In the Supreme Court registers free-settlers were identified by their status, and the number given to each of the convicts was recorded in </w:t>
      </w:r>
      <w:r w:rsidRPr="00555AD5">
        <w:rPr>
          <w:color w:val="000000" w:themeColor="text1"/>
          <w:sz w:val="22"/>
          <w:szCs w:val="22"/>
        </w:rPr>
        <w:t>92%</w:t>
      </w:r>
      <w:r>
        <w:rPr>
          <w:color w:val="000000" w:themeColor="text1"/>
          <w:sz w:val="22"/>
          <w:szCs w:val="22"/>
        </w:rPr>
        <w:t xml:space="preserve"> of entries. In Fremantle Prison registers, 961 </w:t>
      </w:r>
      <w:r w:rsidRPr="0045452D">
        <w:rPr>
          <w:color w:val="000000" w:themeColor="text1"/>
          <w:sz w:val="22"/>
          <w:szCs w:val="22"/>
        </w:rPr>
        <w:t>(40%) convicts</w:t>
      </w:r>
      <w:r>
        <w:rPr>
          <w:color w:val="000000" w:themeColor="text1"/>
          <w:sz w:val="22"/>
          <w:szCs w:val="22"/>
        </w:rPr>
        <w:t xml:space="preserve"> did not give their number to the court; </w:t>
      </w:r>
      <w:r w:rsidRPr="00A32EF2">
        <w:rPr>
          <w:color w:val="000000" w:themeColor="text1"/>
          <w:sz w:val="22"/>
          <w:szCs w:val="22"/>
        </w:rPr>
        <w:t>699 (47%)</w:t>
      </w:r>
      <w:r>
        <w:rPr>
          <w:color w:val="000000" w:themeColor="text1"/>
          <w:sz w:val="22"/>
          <w:szCs w:val="22"/>
        </w:rPr>
        <w:t xml:space="preserve"> did not give their ship name; and 115 </w:t>
      </w:r>
      <w:r w:rsidRPr="00A32EF2">
        <w:rPr>
          <w:color w:val="000000" w:themeColor="text1"/>
          <w:sz w:val="22"/>
          <w:szCs w:val="22"/>
        </w:rPr>
        <w:t>(8%)</w:t>
      </w:r>
      <w:r>
        <w:rPr>
          <w:color w:val="000000" w:themeColor="text1"/>
          <w:sz w:val="22"/>
          <w:szCs w:val="22"/>
        </w:rPr>
        <w:t xml:space="preserve"> would not reveal their age. However, only eigh</w:t>
      </w:r>
      <w:r w:rsidR="00866FEE">
        <w:rPr>
          <w:color w:val="000000" w:themeColor="text1"/>
          <w:sz w:val="22"/>
          <w:szCs w:val="22"/>
        </w:rPr>
        <w:t>t convicts did not reveal any</w:t>
      </w:r>
      <w:r>
        <w:rPr>
          <w:color w:val="000000" w:themeColor="text1"/>
          <w:sz w:val="22"/>
          <w:szCs w:val="22"/>
        </w:rPr>
        <w:t xml:space="preserve"> info</w:t>
      </w:r>
      <w:r w:rsidR="00866FEE">
        <w:rPr>
          <w:color w:val="000000" w:themeColor="text1"/>
          <w:sz w:val="22"/>
          <w:szCs w:val="22"/>
        </w:rPr>
        <w:t>rmation whatsoever. B</w:t>
      </w:r>
      <w:r>
        <w:rPr>
          <w:color w:val="000000" w:themeColor="text1"/>
          <w:sz w:val="22"/>
          <w:szCs w:val="22"/>
        </w:rPr>
        <w:t xml:space="preserve">y linking the data together across the categories of ‘name’, ‘age’, ‘convict number’ and ‘ship name’, it was possible to </w:t>
      </w:r>
      <w:r w:rsidRPr="00A32EF2">
        <w:rPr>
          <w:color w:val="000000" w:themeColor="text1"/>
          <w:sz w:val="22"/>
          <w:szCs w:val="22"/>
        </w:rPr>
        <w:t xml:space="preserve">identify 96% </w:t>
      </w:r>
      <w:r>
        <w:rPr>
          <w:color w:val="000000" w:themeColor="text1"/>
          <w:sz w:val="22"/>
          <w:szCs w:val="22"/>
        </w:rPr>
        <w:t>of the convicts (out of nearly 1,500 convicts and expirees, less than fifty remained unidentified).</w:t>
      </w:r>
      <w:r>
        <w:rPr>
          <w:rStyle w:val="FootnoteReference"/>
          <w:color w:val="000000" w:themeColor="text1"/>
          <w:sz w:val="22"/>
          <w:szCs w:val="22"/>
        </w:rPr>
        <w:footnoteReference w:id="11"/>
      </w:r>
      <w:r>
        <w:rPr>
          <w:color w:val="000000" w:themeColor="text1"/>
          <w:sz w:val="22"/>
          <w:szCs w:val="22"/>
        </w:rPr>
        <w:t xml:space="preserve"> Because of the years they cover, analysis of these records has extended our knowledge of re-offending up to the 1890s, and also allowed a comparison between convicts transported to Western Australia and those who arrived as free men.</w:t>
      </w:r>
      <w:r>
        <w:rPr>
          <w:rStyle w:val="FootnoteReference"/>
          <w:color w:val="000000" w:themeColor="text1"/>
          <w:sz w:val="22"/>
          <w:szCs w:val="22"/>
        </w:rPr>
        <w:footnoteReference w:id="12"/>
      </w:r>
      <w:r>
        <w:rPr>
          <w:color w:val="000000" w:themeColor="text1"/>
          <w:sz w:val="22"/>
          <w:szCs w:val="22"/>
        </w:rPr>
        <w:t xml:space="preserve"> </w:t>
      </w:r>
      <w:r w:rsidRPr="00121A0D">
        <w:rPr>
          <w:color w:val="000000" w:themeColor="text1"/>
          <w:sz w:val="22"/>
          <w:szCs w:val="22"/>
        </w:rPr>
        <w:t xml:space="preserve">In order to analyse whether the number of convicts entering the courts and prison was proportionate, population data was </w:t>
      </w:r>
      <w:r w:rsidRPr="003A3F3D">
        <w:rPr>
          <w:color w:val="000000" w:themeColor="text1"/>
          <w:sz w:val="22"/>
          <w:szCs w:val="22"/>
        </w:rPr>
        <w:t>extracted from the Annual Reports of Western Australia (1842-1902).</w:t>
      </w:r>
    </w:p>
    <w:p w14:paraId="6B5ED613" w14:textId="6BA10753" w:rsidR="00717566" w:rsidRDefault="00717566" w:rsidP="00B101EC">
      <w:pPr>
        <w:spacing w:line="360" w:lineRule="auto"/>
        <w:jc w:val="both"/>
        <w:rPr>
          <w:sz w:val="22"/>
          <w:szCs w:val="22"/>
        </w:rPr>
      </w:pPr>
      <w:r w:rsidRPr="00121A0D">
        <w:rPr>
          <w:color w:val="000000" w:themeColor="text1"/>
          <w:sz w:val="22"/>
          <w:szCs w:val="22"/>
        </w:rPr>
        <w:t>In order to make a true comparison, certain data was excluded from the database. Many convicts were prosecuted for status offences – offences which only applied to people serving sentences (</w:t>
      </w:r>
      <w:proofErr w:type="spellStart"/>
      <w:r w:rsidRPr="00121A0D">
        <w:rPr>
          <w:color w:val="000000" w:themeColor="text1"/>
          <w:sz w:val="22"/>
          <w:szCs w:val="22"/>
        </w:rPr>
        <w:t>Finnane</w:t>
      </w:r>
      <w:proofErr w:type="spellEnd"/>
      <w:r w:rsidRPr="00121A0D">
        <w:rPr>
          <w:color w:val="000000" w:themeColor="text1"/>
          <w:sz w:val="22"/>
          <w:szCs w:val="22"/>
        </w:rPr>
        <w:t xml:space="preserve"> 1997: </w:t>
      </w:r>
      <w:r w:rsidRPr="00F84650">
        <w:rPr>
          <w:sz w:val="22"/>
          <w:szCs w:val="22"/>
        </w:rPr>
        <w:t xml:space="preserve">20). For example, in 1870, </w:t>
      </w:r>
      <w:r>
        <w:rPr>
          <w:sz w:val="22"/>
          <w:szCs w:val="22"/>
        </w:rPr>
        <w:t>nearly five-hundred (</w:t>
      </w:r>
      <w:r w:rsidRPr="00F84650">
        <w:rPr>
          <w:sz w:val="22"/>
          <w:szCs w:val="22"/>
        </w:rPr>
        <w:t>473</w:t>
      </w:r>
      <w:r>
        <w:rPr>
          <w:sz w:val="22"/>
          <w:szCs w:val="22"/>
        </w:rPr>
        <w:t>)</w:t>
      </w:r>
      <w:r w:rsidRPr="00F84650">
        <w:rPr>
          <w:sz w:val="22"/>
          <w:szCs w:val="22"/>
        </w:rPr>
        <w:t xml:space="preserve"> serving convicts were convicted of absconding from the</w:t>
      </w:r>
      <w:r>
        <w:rPr>
          <w:sz w:val="22"/>
          <w:szCs w:val="22"/>
        </w:rPr>
        <w:t>ir masters</w:t>
      </w:r>
      <w:r w:rsidRPr="00F84650">
        <w:rPr>
          <w:sz w:val="22"/>
          <w:szCs w:val="22"/>
        </w:rPr>
        <w:t xml:space="preserve"> </w:t>
      </w:r>
      <w:r>
        <w:rPr>
          <w:sz w:val="22"/>
          <w:szCs w:val="22"/>
        </w:rPr>
        <w:t>or other breaches of t</w:t>
      </w:r>
      <w:r w:rsidRPr="00F84650">
        <w:rPr>
          <w:sz w:val="22"/>
          <w:szCs w:val="22"/>
        </w:rPr>
        <w:t>icket</w:t>
      </w:r>
      <w:r>
        <w:rPr>
          <w:sz w:val="22"/>
          <w:szCs w:val="22"/>
        </w:rPr>
        <w:t>-of-l</w:t>
      </w:r>
      <w:r w:rsidRPr="00F84650">
        <w:rPr>
          <w:sz w:val="22"/>
          <w:szCs w:val="22"/>
        </w:rPr>
        <w:t xml:space="preserve">eave regulations (1870 Western Australia </w:t>
      </w:r>
      <w:r w:rsidR="00094B24">
        <w:rPr>
          <w:sz w:val="22"/>
          <w:szCs w:val="22"/>
        </w:rPr>
        <w:t>Reports</w:t>
      </w:r>
      <w:r w:rsidRPr="00F84650">
        <w:rPr>
          <w:sz w:val="22"/>
          <w:szCs w:val="22"/>
        </w:rPr>
        <w:t xml:space="preserve">). </w:t>
      </w:r>
      <w:r>
        <w:rPr>
          <w:sz w:val="22"/>
          <w:szCs w:val="22"/>
        </w:rPr>
        <w:t>Similarly, i</w:t>
      </w:r>
      <w:r w:rsidRPr="00121A0D">
        <w:rPr>
          <w:color w:val="000000" w:themeColor="text1"/>
          <w:sz w:val="22"/>
          <w:szCs w:val="22"/>
        </w:rPr>
        <w:t xml:space="preserve">n the UK, convicts were regularly punished for breeching prison rules. The ESRC project ‘Costs of </w:t>
      </w:r>
      <w:r w:rsidRPr="002B7923">
        <w:rPr>
          <w:color w:val="000000" w:themeColor="text1"/>
          <w:sz w:val="22"/>
          <w:szCs w:val="22"/>
        </w:rPr>
        <w:t>Imprisonment’ found that over half of all British convicts committed prison offences</w:t>
      </w:r>
      <w:r>
        <w:rPr>
          <w:color w:val="000000" w:themeColor="text1"/>
          <w:sz w:val="22"/>
          <w:szCs w:val="22"/>
        </w:rPr>
        <w:t>.</w:t>
      </w:r>
      <w:r>
        <w:rPr>
          <w:rStyle w:val="FootnoteReference"/>
          <w:color w:val="000000" w:themeColor="text1"/>
          <w:sz w:val="22"/>
          <w:szCs w:val="22"/>
        </w:rPr>
        <w:footnoteReference w:id="13"/>
      </w:r>
      <w:r w:rsidRPr="002B7923">
        <w:rPr>
          <w:color w:val="000000" w:themeColor="text1"/>
          <w:sz w:val="22"/>
          <w:szCs w:val="22"/>
        </w:rPr>
        <w:t xml:space="preserve"> </w:t>
      </w:r>
      <w:r w:rsidRPr="00121A0D">
        <w:rPr>
          <w:color w:val="000000" w:themeColor="text1"/>
          <w:sz w:val="22"/>
          <w:szCs w:val="22"/>
        </w:rPr>
        <w:t xml:space="preserve">All of these offences are recorded on the penal record, but there is no settled view on whether these offences should count as re-offending. It seems clear that someone who damages a part of their cell, sings during divine service, talks during exercise periods, and so on, </w:t>
      </w:r>
      <w:r w:rsidR="00A71631">
        <w:rPr>
          <w:color w:val="000000" w:themeColor="text1"/>
          <w:sz w:val="22"/>
          <w:szCs w:val="22"/>
        </w:rPr>
        <w:t>is</w:t>
      </w:r>
      <w:r w:rsidRPr="00121A0D">
        <w:rPr>
          <w:color w:val="000000" w:themeColor="text1"/>
          <w:sz w:val="22"/>
          <w:szCs w:val="22"/>
        </w:rPr>
        <w:t xml:space="preserve"> only kicking against restrictive prison rules. </w:t>
      </w:r>
      <w:r>
        <w:rPr>
          <w:color w:val="000000" w:themeColor="text1"/>
          <w:sz w:val="22"/>
          <w:szCs w:val="22"/>
        </w:rPr>
        <w:t xml:space="preserve">None of that sort of behaviour would warrant prosecution by the authorities if it had not involved prisoners. </w:t>
      </w:r>
      <w:r w:rsidRPr="00121A0D">
        <w:rPr>
          <w:color w:val="000000" w:themeColor="text1"/>
          <w:sz w:val="22"/>
          <w:szCs w:val="22"/>
        </w:rPr>
        <w:t xml:space="preserve">Other breaches of prison regulations such as assaulting fellow prisoners and prison warders, stealing food from cellmates, and so on, are the kind that would likely result in prosecution if they had happened outside of the prison walls. </w:t>
      </w:r>
      <w:r>
        <w:rPr>
          <w:color w:val="000000" w:themeColor="text1"/>
          <w:sz w:val="22"/>
          <w:szCs w:val="22"/>
        </w:rPr>
        <w:t>For example, o</w:t>
      </w:r>
      <w:r w:rsidRPr="005B4FBD">
        <w:rPr>
          <w:sz w:val="22"/>
          <w:szCs w:val="22"/>
        </w:rPr>
        <w:t xml:space="preserve">n Wednesday, April 5, 1865, John Sullivan was charged with wounding James Rankin. Both men had been transported in the </w:t>
      </w:r>
      <w:r w:rsidRPr="005B4FBD">
        <w:rPr>
          <w:i/>
          <w:sz w:val="22"/>
          <w:szCs w:val="22"/>
        </w:rPr>
        <w:t>Clara</w:t>
      </w:r>
      <w:r w:rsidRPr="005B4FBD">
        <w:rPr>
          <w:sz w:val="22"/>
          <w:szCs w:val="22"/>
        </w:rPr>
        <w:t xml:space="preserve">, and Rankin told the warder at Fremantle Depot shortly they arrived that the other men from the Clara had a ‘down’ on him, and that he was afraid for his life. In court the warder recalled that he saw Rankin lying on the floor, his head covered in blood from a blow from an axe. Sullivan asked the warder to let him know </w:t>
      </w:r>
      <w:r w:rsidRPr="005B4FBD">
        <w:rPr>
          <w:sz w:val="22"/>
          <w:szCs w:val="22"/>
        </w:rPr>
        <w:lastRenderedPageBreak/>
        <w:t xml:space="preserve">when Rankin was dead, so he could say it was a warning to other inmates. When asked what he meant, he stated that Rankin had threatened to kill him when they both gained their ‘ticket’ because he informed on other prisoners on the voyage over on the Clara.  'I might as well be hung as killed by convicts,' Sullivan said, and taking a piece of tobacco from his cap, put it in his mouth, said, “The Lord forgive me for defending myself.” The Colonial Surgeon was called on to attend to Rankin’s wound, which was about three inches long, dividing the scalp and the skull. He thought it a hopeless case. It was certainly that for Sullivan, who was sentenced to death, and executed at Perth Prison. </w:t>
      </w:r>
    </w:p>
    <w:p w14:paraId="7EA4FFB3" w14:textId="4EDA7821" w:rsidR="00717566" w:rsidRPr="00191DB4" w:rsidRDefault="00717566" w:rsidP="00B101EC">
      <w:pPr>
        <w:spacing w:line="360" w:lineRule="auto"/>
        <w:jc w:val="both"/>
        <w:rPr>
          <w:sz w:val="22"/>
          <w:szCs w:val="22"/>
        </w:rPr>
      </w:pPr>
      <w:r w:rsidRPr="00E63EF6">
        <w:rPr>
          <w:sz w:val="22"/>
          <w:szCs w:val="22"/>
        </w:rPr>
        <w:t xml:space="preserve">Burglar George White serving eight years penal servitude in the 1860s during which time he was reported for various breeches of prison regulations: irreverent behaviour in the prison chapel, malingering and evading prison labour, having instruments for making tattoos (he had no tattoos when he entered prison, so he must have been planning some for himself or other prisoners), having tobacco in his possession, and many others. However, he was also punished for fighting, assaulting other prisoners and stealing bread and the property of fellow inmates. The first set of prison ‘offences’ were trivial, but any of the violent incidents George was involved with could have led to prison sentences if they had been dealt with in </w:t>
      </w:r>
      <w:r w:rsidR="003D596D">
        <w:rPr>
          <w:sz w:val="22"/>
          <w:szCs w:val="22"/>
        </w:rPr>
        <w:t>the</w:t>
      </w:r>
      <w:r w:rsidRPr="00E63EF6">
        <w:rPr>
          <w:sz w:val="22"/>
          <w:szCs w:val="22"/>
        </w:rPr>
        <w:t xml:space="preserve"> courts rather than </w:t>
      </w:r>
      <w:r w:rsidR="003D596D">
        <w:rPr>
          <w:sz w:val="22"/>
          <w:szCs w:val="22"/>
        </w:rPr>
        <w:t>in a convict prison</w:t>
      </w:r>
      <w:r w:rsidRPr="00E63EF6">
        <w:rPr>
          <w:sz w:val="22"/>
          <w:szCs w:val="22"/>
        </w:rPr>
        <w:t xml:space="preserve">.  </w:t>
      </w:r>
      <w:r>
        <w:rPr>
          <w:color w:val="000000" w:themeColor="text1"/>
          <w:sz w:val="22"/>
          <w:szCs w:val="22"/>
        </w:rPr>
        <w:t>The violent acts carried out by Sullivan and White would have been prosecuted wherever they took place. So</w:t>
      </w:r>
      <w:r w:rsidRPr="00121A0D">
        <w:rPr>
          <w:color w:val="000000" w:themeColor="text1"/>
          <w:sz w:val="22"/>
          <w:szCs w:val="22"/>
        </w:rPr>
        <w:t xml:space="preserve">, in order to make a better comparison, the database has excluded offences committed inside British convict prisons, as well as ‘status’ offences committed by Australian convicts on tickets-of-leave.  </w:t>
      </w:r>
    </w:p>
    <w:p w14:paraId="231C71AD" w14:textId="19A55852" w:rsidR="00717566" w:rsidRDefault="00717566" w:rsidP="00B101EC">
      <w:pPr>
        <w:spacing w:line="360" w:lineRule="auto"/>
        <w:jc w:val="both"/>
        <w:rPr>
          <w:color w:val="000000" w:themeColor="text1"/>
          <w:sz w:val="22"/>
          <w:szCs w:val="22"/>
        </w:rPr>
      </w:pPr>
      <w:r>
        <w:rPr>
          <w:color w:val="000000" w:themeColor="text1"/>
          <w:sz w:val="22"/>
          <w:szCs w:val="22"/>
        </w:rPr>
        <w:t>Offences against master and s</w:t>
      </w:r>
      <w:r w:rsidRPr="00121A0D">
        <w:rPr>
          <w:color w:val="000000" w:themeColor="text1"/>
          <w:sz w:val="22"/>
          <w:szCs w:val="22"/>
        </w:rPr>
        <w:t>ervant legislation</w:t>
      </w:r>
      <w:r w:rsidR="003D596D">
        <w:rPr>
          <w:color w:val="000000" w:themeColor="text1"/>
          <w:sz w:val="22"/>
          <w:szCs w:val="22"/>
        </w:rPr>
        <w:t xml:space="preserve"> were</w:t>
      </w:r>
      <w:r>
        <w:rPr>
          <w:color w:val="000000" w:themeColor="text1"/>
          <w:sz w:val="22"/>
          <w:szCs w:val="22"/>
        </w:rPr>
        <w:t xml:space="preserve"> also excluded.</w:t>
      </w:r>
      <w:r w:rsidRPr="00121A0D">
        <w:rPr>
          <w:color w:val="000000" w:themeColor="text1"/>
          <w:sz w:val="22"/>
          <w:szCs w:val="22"/>
        </w:rPr>
        <w:t xml:space="preserve"> This legislation remained more prevalent in Australia than the UK as the practice of using the law to prosecute breeches of employment </w:t>
      </w:r>
      <w:r>
        <w:rPr>
          <w:color w:val="000000" w:themeColor="text1"/>
          <w:sz w:val="22"/>
          <w:szCs w:val="22"/>
        </w:rPr>
        <w:t>contract beca</w:t>
      </w:r>
      <w:r w:rsidRPr="00121A0D">
        <w:rPr>
          <w:color w:val="000000" w:themeColor="text1"/>
          <w:sz w:val="22"/>
          <w:szCs w:val="22"/>
        </w:rPr>
        <w:t>me embedded during the convict period</w:t>
      </w:r>
      <w:r>
        <w:rPr>
          <w:color w:val="000000" w:themeColor="text1"/>
          <w:sz w:val="22"/>
          <w:szCs w:val="22"/>
        </w:rPr>
        <w:t xml:space="preserve"> and continued </w:t>
      </w:r>
      <w:r w:rsidR="003D596D">
        <w:rPr>
          <w:color w:val="000000" w:themeColor="text1"/>
          <w:sz w:val="22"/>
          <w:szCs w:val="22"/>
        </w:rPr>
        <w:t>long after it ended</w:t>
      </w:r>
      <w:r w:rsidRPr="00121A0D">
        <w:rPr>
          <w:color w:val="000000" w:themeColor="text1"/>
          <w:sz w:val="22"/>
          <w:szCs w:val="22"/>
        </w:rPr>
        <w:t xml:space="preserve">. </w:t>
      </w:r>
      <w:r w:rsidRPr="00E03948">
        <w:rPr>
          <w:color w:val="000000" w:themeColor="text1"/>
          <w:sz w:val="22"/>
          <w:szCs w:val="22"/>
        </w:rPr>
        <w:t>Again</w:t>
      </w:r>
      <w:r>
        <w:rPr>
          <w:color w:val="000000" w:themeColor="text1"/>
          <w:sz w:val="22"/>
          <w:szCs w:val="22"/>
        </w:rPr>
        <w:t>, however, i</w:t>
      </w:r>
      <w:r w:rsidRPr="00121A0D">
        <w:rPr>
          <w:color w:val="000000" w:themeColor="text1"/>
          <w:sz w:val="22"/>
          <w:szCs w:val="22"/>
        </w:rPr>
        <w:t>n order to make a closer comparison,</w:t>
      </w:r>
      <w:r>
        <w:rPr>
          <w:color w:val="000000" w:themeColor="text1"/>
          <w:sz w:val="22"/>
          <w:szCs w:val="22"/>
        </w:rPr>
        <w:t xml:space="preserve"> </w:t>
      </w:r>
      <w:r w:rsidR="003D596D">
        <w:rPr>
          <w:color w:val="000000" w:themeColor="text1"/>
          <w:sz w:val="22"/>
          <w:szCs w:val="22"/>
        </w:rPr>
        <w:t>these</w:t>
      </w:r>
      <w:r w:rsidRPr="00121A0D">
        <w:rPr>
          <w:color w:val="000000" w:themeColor="text1"/>
          <w:sz w:val="22"/>
          <w:szCs w:val="22"/>
        </w:rPr>
        <w:t xml:space="preserve"> offences were stripped out of the database.</w:t>
      </w:r>
    </w:p>
    <w:p w14:paraId="6A9BE547" w14:textId="377E80B7" w:rsidR="00717566" w:rsidRPr="00190C65" w:rsidRDefault="00717566" w:rsidP="00B101EC">
      <w:pPr>
        <w:spacing w:line="360" w:lineRule="auto"/>
        <w:jc w:val="both"/>
        <w:rPr>
          <w:color w:val="000000" w:themeColor="text1"/>
          <w:sz w:val="22"/>
          <w:szCs w:val="22"/>
        </w:rPr>
      </w:pPr>
      <w:r>
        <w:rPr>
          <w:color w:val="000000" w:themeColor="text1"/>
          <w:sz w:val="22"/>
          <w:szCs w:val="22"/>
        </w:rPr>
        <w:t>One more check was made to determine whether any other biase</w:t>
      </w:r>
      <w:r w:rsidR="00A71631">
        <w:rPr>
          <w:color w:val="000000" w:themeColor="text1"/>
          <w:sz w:val="22"/>
          <w:szCs w:val="22"/>
        </w:rPr>
        <w:t>s</w:t>
      </w:r>
      <w:r>
        <w:rPr>
          <w:color w:val="000000" w:themeColor="text1"/>
          <w:sz w:val="22"/>
          <w:szCs w:val="22"/>
        </w:rPr>
        <w:t xml:space="preserve"> needed to be corrected in the data. </w:t>
      </w:r>
      <w:r w:rsidRPr="00071AE1">
        <w:rPr>
          <w:color w:val="000000" w:themeColor="text1"/>
          <w:sz w:val="22"/>
          <w:szCs w:val="22"/>
        </w:rPr>
        <w:t>Based on a small sample, Edgar</w:t>
      </w:r>
      <w:r>
        <w:rPr>
          <w:color w:val="000000" w:themeColor="text1"/>
          <w:sz w:val="22"/>
          <w:szCs w:val="22"/>
        </w:rPr>
        <w:t xml:space="preserve"> (2012)</w:t>
      </w:r>
      <w:r w:rsidRPr="00071AE1">
        <w:rPr>
          <w:color w:val="000000" w:themeColor="text1"/>
          <w:sz w:val="22"/>
          <w:szCs w:val="22"/>
        </w:rPr>
        <w:t xml:space="preserve"> suggested that men transported to Western Australia had been convicted of more serious crimes compared to those transported to t</w:t>
      </w:r>
      <w:r>
        <w:rPr>
          <w:color w:val="000000" w:themeColor="text1"/>
          <w:sz w:val="22"/>
          <w:szCs w:val="22"/>
        </w:rPr>
        <w:t xml:space="preserve">he eastern Australian colonies; and it has long been a popular trope in Western Australia that the colony had been ‘duped’ into accepting weightier offenders whilst less-dangerous men remained behind in the British penal estate. </w:t>
      </w:r>
      <w:r w:rsidRPr="00190C65">
        <w:rPr>
          <w:color w:val="000000" w:themeColor="text1"/>
          <w:sz w:val="22"/>
          <w:szCs w:val="22"/>
        </w:rPr>
        <w:t xml:space="preserve">Because </w:t>
      </w:r>
      <w:r>
        <w:rPr>
          <w:color w:val="000000" w:themeColor="text1"/>
          <w:sz w:val="22"/>
          <w:szCs w:val="22"/>
        </w:rPr>
        <w:t xml:space="preserve">the </w:t>
      </w:r>
      <w:r w:rsidRPr="00190C65">
        <w:rPr>
          <w:color w:val="000000" w:themeColor="text1"/>
          <w:sz w:val="22"/>
          <w:szCs w:val="22"/>
        </w:rPr>
        <w:t>1853 Penal Servitude Act allowed prisoners to serve shorter period of penal servitude in Britain, only more serious offenders were eligible to be transported to Western Australia. The impression was keenly felt, that the British government were expelling their most dangerous men to the other side of the world (something they had promised the Western Australian authorities that they would not do</w:t>
      </w:r>
      <w:r>
        <w:rPr>
          <w:color w:val="000000" w:themeColor="text1"/>
          <w:sz w:val="22"/>
          <w:szCs w:val="22"/>
        </w:rPr>
        <w:t>)</w:t>
      </w:r>
      <w:r w:rsidRPr="00190C65">
        <w:rPr>
          <w:color w:val="000000" w:themeColor="text1"/>
          <w:sz w:val="22"/>
          <w:szCs w:val="22"/>
        </w:rPr>
        <w:t>. Of course</w:t>
      </w:r>
      <w:r>
        <w:rPr>
          <w:color w:val="000000" w:themeColor="text1"/>
          <w:sz w:val="22"/>
          <w:szCs w:val="22"/>
        </w:rPr>
        <w:t>,</w:t>
      </w:r>
      <w:r w:rsidRPr="00190C65">
        <w:rPr>
          <w:color w:val="000000" w:themeColor="text1"/>
          <w:sz w:val="22"/>
          <w:szCs w:val="22"/>
        </w:rPr>
        <w:t xml:space="preserve"> sentencing was an idiosyncratic exercise in the nineteenth century courts, and</w:t>
      </w:r>
      <w:r>
        <w:rPr>
          <w:color w:val="000000" w:themeColor="text1"/>
          <w:sz w:val="22"/>
          <w:szCs w:val="22"/>
        </w:rPr>
        <w:t>, although there is a relationship,</w:t>
      </w:r>
      <w:r w:rsidRPr="00190C65">
        <w:rPr>
          <w:color w:val="000000" w:themeColor="text1"/>
          <w:sz w:val="22"/>
          <w:szCs w:val="22"/>
        </w:rPr>
        <w:t xml:space="preserve"> </w:t>
      </w:r>
      <w:r>
        <w:rPr>
          <w:color w:val="000000" w:themeColor="text1"/>
          <w:sz w:val="22"/>
          <w:szCs w:val="22"/>
        </w:rPr>
        <w:t xml:space="preserve">there is no direct link between severity of offence and length of sentence that was finally imposed on the convicted  </w:t>
      </w:r>
      <w:r w:rsidRPr="00190C65">
        <w:rPr>
          <w:color w:val="000000" w:themeColor="text1"/>
          <w:sz w:val="22"/>
          <w:szCs w:val="22"/>
        </w:rPr>
        <w:t>– there were a number of factors that might produce different length custodial sentences for apparently similar crimes (age and gender of the defendant, gender and status of the victim, number of previous convictions, socio-political or moral preoccupations of the sentencing Judge</w:t>
      </w:r>
      <w:r>
        <w:rPr>
          <w:color w:val="000000" w:themeColor="text1"/>
          <w:sz w:val="22"/>
          <w:szCs w:val="22"/>
        </w:rPr>
        <w:t>,</w:t>
      </w:r>
      <w:r w:rsidRPr="00190C65">
        <w:rPr>
          <w:color w:val="000000" w:themeColor="text1"/>
          <w:sz w:val="22"/>
          <w:szCs w:val="22"/>
        </w:rPr>
        <w:t xml:space="preserve"> and so on). Nevertheless, it is possible to test the assertion that Western Australia got more than </w:t>
      </w:r>
      <w:r w:rsidRPr="00190C65">
        <w:rPr>
          <w:color w:val="000000" w:themeColor="text1"/>
          <w:sz w:val="22"/>
          <w:szCs w:val="22"/>
        </w:rPr>
        <w:lastRenderedPageBreak/>
        <w:t xml:space="preserve">its fair share of </w:t>
      </w:r>
      <w:r>
        <w:rPr>
          <w:color w:val="000000" w:themeColor="text1"/>
          <w:sz w:val="22"/>
          <w:szCs w:val="22"/>
        </w:rPr>
        <w:t>more-serious offenders</w:t>
      </w:r>
      <w:r w:rsidRPr="00190C65">
        <w:rPr>
          <w:color w:val="000000" w:themeColor="text1"/>
          <w:sz w:val="22"/>
          <w:szCs w:val="22"/>
        </w:rPr>
        <w:t xml:space="preserve">, and </w:t>
      </w:r>
      <w:r>
        <w:rPr>
          <w:color w:val="000000" w:themeColor="text1"/>
          <w:sz w:val="22"/>
          <w:szCs w:val="22"/>
        </w:rPr>
        <w:t>thereby</w:t>
      </w:r>
      <w:r w:rsidRPr="00190C65">
        <w:rPr>
          <w:color w:val="000000" w:themeColor="text1"/>
          <w:sz w:val="22"/>
          <w:szCs w:val="22"/>
        </w:rPr>
        <w:t xml:space="preserve"> to test if we are comparing </w:t>
      </w:r>
      <w:r>
        <w:rPr>
          <w:color w:val="000000" w:themeColor="text1"/>
          <w:sz w:val="22"/>
          <w:szCs w:val="22"/>
        </w:rPr>
        <w:t>‘</w:t>
      </w:r>
      <w:r w:rsidRPr="00190C65">
        <w:rPr>
          <w:color w:val="000000" w:themeColor="text1"/>
          <w:sz w:val="22"/>
          <w:szCs w:val="22"/>
        </w:rPr>
        <w:t>like with like</w:t>
      </w:r>
      <w:r>
        <w:rPr>
          <w:color w:val="000000" w:themeColor="text1"/>
          <w:sz w:val="22"/>
          <w:szCs w:val="22"/>
        </w:rPr>
        <w:t>’</w:t>
      </w:r>
      <w:r w:rsidRPr="00190C65">
        <w:rPr>
          <w:color w:val="000000" w:themeColor="text1"/>
          <w:sz w:val="22"/>
          <w:szCs w:val="22"/>
        </w:rPr>
        <w:t xml:space="preserve"> when we compare transported men with those serving their </w:t>
      </w:r>
      <w:r>
        <w:rPr>
          <w:color w:val="000000" w:themeColor="text1"/>
          <w:sz w:val="22"/>
          <w:szCs w:val="22"/>
        </w:rPr>
        <w:t xml:space="preserve">penal servitude </w:t>
      </w:r>
      <w:r w:rsidRPr="00190C65">
        <w:rPr>
          <w:color w:val="000000" w:themeColor="text1"/>
          <w:sz w:val="22"/>
          <w:szCs w:val="22"/>
        </w:rPr>
        <w:t xml:space="preserve">in Britain. </w:t>
      </w:r>
      <w:r w:rsidRPr="00190C65">
        <w:rPr>
          <w:color w:val="000000" w:themeColor="text1"/>
          <w:sz w:val="22"/>
          <w:szCs w:val="22"/>
          <w:highlight w:val="yellow"/>
        </w:rPr>
        <w:t xml:space="preserve"> </w:t>
      </w:r>
    </w:p>
    <w:p w14:paraId="199053CA" w14:textId="28CBE4E5" w:rsidR="00717566" w:rsidRPr="0062257D" w:rsidRDefault="00717566" w:rsidP="00B101EC">
      <w:pPr>
        <w:spacing w:line="360" w:lineRule="auto"/>
        <w:jc w:val="both"/>
        <w:rPr>
          <w:color w:val="000000" w:themeColor="text1"/>
          <w:sz w:val="22"/>
          <w:szCs w:val="22"/>
        </w:rPr>
      </w:pPr>
      <w:r w:rsidRPr="00F47BCE">
        <w:rPr>
          <w:color w:val="000000" w:themeColor="text1"/>
          <w:sz w:val="22"/>
          <w:szCs w:val="22"/>
        </w:rPr>
        <w:t xml:space="preserve">Using a larger sample than that available to Edgar (2012), </w:t>
      </w:r>
      <w:r w:rsidR="00A76BC7">
        <w:rPr>
          <w:color w:val="000000" w:themeColor="text1"/>
          <w:sz w:val="22"/>
          <w:szCs w:val="22"/>
        </w:rPr>
        <w:t xml:space="preserve">we can </w:t>
      </w:r>
      <w:r w:rsidRPr="00F47BCE">
        <w:rPr>
          <w:color w:val="000000" w:themeColor="text1"/>
          <w:sz w:val="22"/>
          <w:szCs w:val="22"/>
        </w:rPr>
        <w:t xml:space="preserve">analysis </w:t>
      </w:r>
      <w:r w:rsidR="00A76BC7">
        <w:rPr>
          <w:color w:val="000000" w:themeColor="text1"/>
          <w:sz w:val="22"/>
          <w:szCs w:val="22"/>
        </w:rPr>
        <w:t xml:space="preserve">the offence-profile of men sentenced at the Old Bailey between 1853 and 1868 to show that </w:t>
      </w:r>
      <w:r>
        <w:rPr>
          <w:color w:val="000000" w:themeColor="text1"/>
          <w:sz w:val="22"/>
          <w:szCs w:val="22"/>
        </w:rPr>
        <w:t xml:space="preserve">men </w:t>
      </w:r>
      <w:r w:rsidR="00A76BC7">
        <w:rPr>
          <w:color w:val="000000" w:themeColor="text1"/>
          <w:sz w:val="22"/>
          <w:szCs w:val="22"/>
        </w:rPr>
        <w:t xml:space="preserve">who were sentenced to transportation, and those who were sentenced to penal servitude </w:t>
      </w:r>
      <w:r>
        <w:rPr>
          <w:color w:val="000000" w:themeColor="text1"/>
          <w:sz w:val="22"/>
          <w:szCs w:val="22"/>
        </w:rPr>
        <w:t xml:space="preserve">were fairly similar in terms of </w:t>
      </w:r>
      <w:r w:rsidR="00A76BC7">
        <w:rPr>
          <w:color w:val="000000" w:themeColor="text1"/>
          <w:sz w:val="22"/>
          <w:szCs w:val="22"/>
        </w:rPr>
        <w:t xml:space="preserve">the </w:t>
      </w:r>
      <w:r>
        <w:rPr>
          <w:color w:val="000000" w:themeColor="text1"/>
          <w:sz w:val="22"/>
          <w:szCs w:val="22"/>
        </w:rPr>
        <w:t>offence</w:t>
      </w:r>
      <w:r w:rsidR="00A76BC7">
        <w:rPr>
          <w:color w:val="000000" w:themeColor="text1"/>
          <w:sz w:val="22"/>
          <w:szCs w:val="22"/>
        </w:rPr>
        <w:t>s they had committed</w:t>
      </w:r>
      <w:r>
        <w:rPr>
          <w:color w:val="000000" w:themeColor="text1"/>
          <w:sz w:val="22"/>
          <w:szCs w:val="22"/>
        </w:rPr>
        <w:t>. Theft and deception made up approximately three-quarters of the offence profile for both transported convicts (to Western Australia) and those who served out their time in Britain (see Fig 3).</w:t>
      </w:r>
    </w:p>
    <w:p w14:paraId="6520319A" w14:textId="77777777" w:rsidR="00B101EC" w:rsidRDefault="00B101EC" w:rsidP="00B101EC">
      <w:pPr>
        <w:spacing w:line="360" w:lineRule="auto"/>
        <w:jc w:val="both"/>
        <w:rPr>
          <w:b/>
          <w:color w:val="000000" w:themeColor="text1"/>
          <w:sz w:val="22"/>
          <w:szCs w:val="22"/>
        </w:rPr>
      </w:pPr>
    </w:p>
    <w:p w14:paraId="54227707" w14:textId="07040860" w:rsidR="00717566" w:rsidRPr="000249BE" w:rsidRDefault="00717566" w:rsidP="00B101EC">
      <w:pPr>
        <w:spacing w:line="360" w:lineRule="auto"/>
        <w:jc w:val="both"/>
        <w:rPr>
          <w:b/>
          <w:color w:val="000000" w:themeColor="text1"/>
          <w:sz w:val="22"/>
          <w:szCs w:val="22"/>
        </w:rPr>
      </w:pPr>
      <w:r>
        <w:rPr>
          <w:b/>
          <w:color w:val="000000" w:themeColor="text1"/>
          <w:sz w:val="22"/>
          <w:szCs w:val="22"/>
        </w:rPr>
        <w:t>Fig 3</w:t>
      </w:r>
      <w:r w:rsidRPr="000249BE">
        <w:rPr>
          <w:b/>
          <w:color w:val="000000" w:themeColor="text1"/>
          <w:sz w:val="22"/>
          <w:szCs w:val="22"/>
        </w:rPr>
        <w:t>:  Offence profile of men transported to Western Australia</w:t>
      </w:r>
      <w:r w:rsidR="00325428">
        <w:rPr>
          <w:b/>
          <w:color w:val="000000" w:themeColor="text1"/>
          <w:sz w:val="22"/>
          <w:szCs w:val="22"/>
        </w:rPr>
        <w:t>, and men who served their p</w:t>
      </w:r>
      <w:r w:rsidRPr="000249BE">
        <w:rPr>
          <w:b/>
          <w:color w:val="000000" w:themeColor="text1"/>
          <w:sz w:val="22"/>
          <w:szCs w:val="22"/>
        </w:rPr>
        <w:t xml:space="preserve">enal </w:t>
      </w:r>
      <w:r w:rsidR="00325428">
        <w:rPr>
          <w:b/>
          <w:color w:val="000000" w:themeColor="text1"/>
          <w:sz w:val="22"/>
          <w:szCs w:val="22"/>
        </w:rPr>
        <w:t>s</w:t>
      </w:r>
      <w:r w:rsidRPr="000249BE">
        <w:rPr>
          <w:b/>
          <w:color w:val="000000" w:themeColor="text1"/>
          <w:sz w:val="22"/>
          <w:szCs w:val="22"/>
        </w:rPr>
        <w:t xml:space="preserve">ervitude </w:t>
      </w:r>
      <w:r w:rsidR="00325428">
        <w:rPr>
          <w:b/>
          <w:color w:val="000000" w:themeColor="text1"/>
          <w:sz w:val="22"/>
          <w:szCs w:val="22"/>
        </w:rPr>
        <w:t xml:space="preserve">sentence </w:t>
      </w:r>
      <w:r w:rsidRPr="000249BE">
        <w:rPr>
          <w:b/>
          <w:color w:val="000000" w:themeColor="text1"/>
          <w:sz w:val="22"/>
          <w:szCs w:val="22"/>
        </w:rPr>
        <w:t>in the UK, 1853-68</w:t>
      </w:r>
      <w:r w:rsidR="00325428">
        <w:rPr>
          <w:rStyle w:val="FootnoteReference"/>
          <w:b/>
          <w:color w:val="000000" w:themeColor="text1"/>
          <w:sz w:val="22"/>
          <w:szCs w:val="22"/>
        </w:rPr>
        <w:footnoteReference w:id="14"/>
      </w:r>
    </w:p>
    <w:p w14:paraId="7CCE4935" w14:textId="10DB7B54" w:rsidR="00717566" w:rsidRPr="00EB4967" w:rsidRDefault="00717566" w:rsidP="00B101EC">
      <w:pPr>
        <w:spacing w:line="360" w:lineRule="auto"/>
        <w:jc w:val="both"/>
        <w:rPr>
          <w:color w:val="000000" w:themeColor="text1"/>
          <w:sz w:val="22"/>
          <w:szCs w:val="22"/>
        </w:rPr>
      </w:pPr>
    </w:p>
    <w:tbl>
      <w:tblPr>
        <w:tblStyle w:val="TableGrid"/>
        <w:tblW w:w="0" w:type="auto"/>
        <w:tblInd w:w="-5" w:type="dxa"/>
        <w:tblLayout w:type="fixed"/>
        <w:tblLook w:val="04A0" w:firstRow="1" w:lastRow="0" w:firstColumn="1" w:lastColumn="0" w:noHBand="0" w:noVBand="1"/>
      </w:tblPr>
      <w:tblGrid>
        <w:gridCol w:w="1838"/>
        <w:gridCol w:w="1134"/>
        <w:gridCol w:w="992"/>
        <w:gridCol w:w="1134"/>
        <w:gridCol w:w="993"/>
      </w:tblGrid>
      <w:tr w:rsidR="00717566" w:rsidRPr="008351CC" w14:paraId="68613F8D" w14:textId="77777777" w:rsidTr="008351CC">
        <w:tc>
          <w:tcPr>
            <w:tcW w:w="1838" w:type="dxa"/>
            <w:shd w:val="clear" w:color="auto" w:fill="E7E6E6" w:themeFill="background2"/>
          </w:tcPr>
          <w:p w14:paraId="2256E673" w14:textId="448CEF9C" w:rsidR="00717566" w:rsidRPr="008351CC" w:rsidRDefault="00717566" w:rsidP="00B101EC">
            <w:pPr>
              <w:spacing w:line="360" w:lineRule="auto"/>
              <w:jc w:val="both"/>
              <w:rPr>
                <w:b/>
                <w:color w:val="000000" w:themeColor="text1"/>
                <w:sz w:val="20"/>
                <w:szCs w:val="20"/>
              </w:rPr>
            </w:pPr>
          </w:p>
        </w:tc>
        <w:tc>
          <w:tcPr>
            <w:tcW w:w="2126" w:type="dxa"/>
            <w:gridSpan w:val="2"/>
            <w:shd w:val="clear" w:color="auto" w:fill="E7E6E6" w:themeFill="background2"/>
          </w:tcPr>
          <w:p w14:paraId="22A3684F" w14:textId="3207B501" w:rsidR="00717566" w:rsidRPr="008351CC" w:rsidRDefault="00717566" w:rsidP="00B101EC">
            <w:pPr>
              <w:spacing w:line="360" w:lineRule="auto"/>
              <w:jc w:val="center"/>
              <w:rPr>
                <w:b/>
                <w:color w:val="000000" w:themeColor="text1"/>
                <w:sz w:val="20"/>
                <w:szCs w:val="20"/>
              </w:rPr>
            </w:pPr>
            <w:r w:rsidRPr="008351CC">
              <w:rPr>
                <w:b/>
                <w:color w:val="000000" w:themeColor="text1"/>
                <w:sz w:val="20"/>
                <w:szCs w:val="20"/>
              </w:rPr>
              <w:t>Western Australia</w:t>
            </w:r>
          </w:p>
        </w:tc>
        <w:tc>
          <w:tcPr>
            <w:tcW w:w="2127" w:type="dxa"/>
            <w:gridSpan w:val="2"/>
            <w:shd w:val="clear" w:color="auto" w:fill="E7E6E6" w:themeFill="background2"/>
          </w:tcPr>
          <w:p w14:paraId="065790F8" w14:textId="2DC44BC0" w:rsidR="00717566" w:rsidRPr="008351CC" w:rsidRDefault="00717566" w:rsidP="00B101EC">
            <w:pPr>
              <w:spacing w:line="360" w:lineRule="auto"/>
              <w:jc w:val="center"/>
              <w:rPr>
                <w:b/>
                <w:color w:val="000000" w:themeColor="text1"/>
                <w:sz w:val="20"/>
                <w:szCs w:val="20"/>
              </w:rPr>
            </w:pPr>
            <w:r w:rsidRPr="008351CC">
              <w:rPr>
                <w:b/>
                <w:color w:val="000000" w:themeColor="text1"/>
                <w:sz w:val="20"/>
                <w:szCs w:val="20"/>
              </w:rPr>
              <w:t>England and Wales</w:t>
            </w:r>
          </w:p>
        </w:tc>
      </w:tr>
      <w:tr w:rsidR="00717566" w:rsidRPr="008351CC" w14:paraId="3DF190C7" w14:textId="77777777" w:rsidTr="008351CC">
        <w:tc>
          <w:tcPr>
            <w:tcW w:w="1838" w:type="dxa"/>
          </w:tcPr>
          <w:p w14:paraId="75CFECAB" w14:textId="6DD108DD" w:rsidR="00717566" w:rsidRPr="008351CC" w:rsidRDefault="00717566" w:rsidP="00B101EC">
            <w:pPr>
              <w:spacing w:line="360" w:lineRule="auto"/>
              <w:rPr>
                <w:b/>
                <w:color w:val="000000" w:themeColor="text1"/>
                <w:sz w:val="20"/>
                <w:szCs w:val="20"/>
              </w:rPr>
            </w:pPr>
            <w:r w:rsidRPr="008351CC">
              <w:rPr>
                <w:b/>
                <w:color w:val="000000" w:themeColor="text1"/>
                <w:sz w:val="20"/>
                <w:szCs w:val="20"/>
              </w:rPr>
              <w:t>Offence</w:t>
            </w:r>
          </w:p>
        </w:tc>
        <w:tc>
          <w:tcPr>
            <w:tcW w:w="1134" w:type="dxa"/>
          </w:tcPr>
          <w:p w14:paraId="44B76444" w14:textId="5A404076" w:rsidR="00717566" w:rsidRPr="008351CC" w:rsidRDefault="00717566" w:rsidP="00B101EC">
            <w:pPr>
              <w:spacing w:line="360" w:lineRule="auto"/>
              <w:jc w:val="right"/>
              <w:rPr>
                <w:b/>
                <w:color w:val="000000" w:themeColor="text1"/>
                <w:sz w:val="20"/>
                <w:szCs w:val="20"/>
              </w:rPr>
            </w:pPr>
            <w:r w:rsidRPr="008351CC">
              <w:rPr>
                <w:b/>
                <w:color w:val="000000" w:themeColor="text1"/>
                <w:sz w:val="20"/>
                <w:szCs w:val="20"/>
              </w:rPr>
              <w:t>Number</w:t>
            </w:r>
          </w:p>
        </w:tc>
        <w:tc>
          <w:tcPr>
            <w:tcW w:w="992" w:type="dxa"/>
          </w:tcPr>
          <w:p w14:paraId="4A8E6031" w14:textId="6DF5D4FE" w:rsidR="00717566" w:rsidRPr="008351CC" w:rsidRDefault="00717566" w:rsidP="00B101EC">
            <w:pPr>
              <w:spacing w:line="360" w:lineRule="auto"/>
              <w:jc w:val="right"/>
              <w:rPr>
                <w:b/>
                <w:color w:val="000000" w:themeColor="text1"/>
                <w:sz w:val="20"/>
                <w:szCs w:val="20"/>
              </w:rPr>
            </w:pPr>
            <w:r w:rsidRPr="008351CC">
              <w:rPr>
                <w:b/>
                <w:color w:val="000000" w:themeColor="text1"/>
                <w:sz w:val="20"/>
                <w:szCs w:val="20"/>
              </w:rPr>
              <w:t>%</w:t>
            </w:r>
          </w:p>
        </w:tc>
        <w:tc>
          <w:tcPr>
            <w:tcW w:w="1134" w:type="dxa"/>
          </w:tcPr>
          <w:p w14:paraId="530D0952" w14:textId="047C79FF" w:rsidR="00717566" w:rsidRPr="008351CC" w:rsidRDefault="00717566" w:rsidP="00B101EC">
            <w:pPr>
              <w:spacing w:line="360" w:lineRule="auto"/>
              <w:jc w:val="right"/>
              <w:rPr>
                <w:b/>
                <w:color w:val="000000" w:themeColor="text1"/>
                <w:sz w:val="20"/>
                <w:szCs w:val="20"/>
              </w:rPr>
            </w:pPr>
            <w:r w:rsidRPr="008351CC">
              <w:rPr>
                <w:b/>
                <w:color w:val="000000" w:themeColor="text1"/>
                <w:sz w:val="20"/>
                <w:szCs w:val="20"/>
              </w:rPr>
              <w:t>Number</w:t>
            </w:r>
          </w:p>
        </w:tc>
        <w:tc>
          <w:tcPr>
            <w:tcW w:w="993" w:type="dxa"/>
          </w:tcPr>
          <w:p w14:paraId="362B809B" w14:textId="3660CC88" w:rsidR="00717566" w:rsidRPr="008351CC" w:rsidRDefault="00717566" w:rsidP="00B101EC">
            <w:pPr>
              <w:spacing w:line="360" w:lineRule="auto"/>
              <w:jc w:val="right"/>
              <w:rPr>
                <w:b/>
                <w:color w:val="000000" w:themeColor="text1"/>
                <w:sz w:val="20"/>
                <w:szCs w:val="20"/>
              </w:rPr>
            </w:pPr>
            <w:r w:rsidRPr="008351CC">
              <w:rPr>
                <w:b/>
                <w:color w:val="000000" w:themeColor="text1"/>
                <w:sz w:val="20"/>
                <w:szCs w:val="20"/>
              </w:rPr>
              <w:t>%</w:t>
            </w:r>
          </w:p>
        </w:tc>
      </w:tr>
      <w:tr w:rsidR="00717566" w:rsidRPr="008351CC" w14:paraId="1DE19902" w14:textId="77777777" w:rsidTr="008351CC">
        <w:tc>
          <w:tcPr>
            <w:tcW w:w="1838" w:type="dxa"/>
          </w:tcPr>
          <w:tbl>
            <w:tblPr>
              <w:tblW w:w="1847" w:type="dxa"/>
              <w:tblLayout w:type="fixed"/>
              <w:tblLook w:val="04A0" w:firstRow="1" w:lastRow="0" w:firstColumn="1" w:lastColumn="0" w:noHBand="0" w:noVBand="1"/>
            </w:tblPr>
            <w:tblGrid>
              <w:gridCol w:w="1847"/>
            </w:tblGrid>
            <w:tr w:rsidR="00717566" w:rsidRPr="008351CC" w14:paraId="36B6B4A5" w14:textId="77777777" w:rsidTr="00EB4967">
              <w:trPr>
                <w:trHeight w:val="320"/>
              </w:trPr>
              <w:tc>
                <w:tcPr>
                  <w:tcW w:w="1847" w:type="dxa"/>
                  <w:tcBorders>
                    <w:top w:val="nil"/>
                    <w:left w:val="nil"/>
                    <w:bottom w:val="nil"/>
                    <w:right w:val="nil"/>
                  </w:tcBorders>
                  <w:shd w:val="clear" w:color="auto" w:fill="auto"/>
                  <w:noWrap/>
                  <w:vAlign w:val="bottom"/>
                  <w:hideMark/>
                </w:tcPr>
                <w:p w14:paraId="03D3D3B6" w14:textId="77777777" w:rsidR="00717566" w:rsidRPr="008351CC" w:rsidRDefault="00717566" w:rsidP="00B101EC">
                  <w:pPr>
                    <w:spacing w:line="360" w:lineRule="auto"/>
                    <w:rPr>
                      <w:color w:val="000000"/>
                      <w:sz w:val="20"/>
                      <w:szCs w:val="20"/>
                    </w:rPr>
                  </w:pPr>
                  <w:r w:rsidRPr="008351CC">
                    <w:rPr>
                      <w:color w:val="000000"/>
                      <w:sz w:val="20"/>
                      <w:szCs w:val="20"/>
                    </w:rPr>
                    <w:t>Homicide</w:t>
                  </w:r>
                </w:p>
              </w:tc>
            </w:tr>
          </w:tbl>
          <w:p w14:paraId="774BED4B" w14:textId="77777777" w:rsidR="00717566" w:rsidRPr="008351CC" w:rsidRDefault="00717566" w:rsidP="00B101EC">
            <w:pPr>
              <w:spacing w:line="360" w:lineRule="auto"/>
              <w:rPr>
                <w:color w:val="000000" w:themeColor="text1"/>
                <w:sz w:val="20"/>
                <w:szCs w:val="20"/>
              </w:rPr>
            </w:pPr>
          </w:p>
        </w:tc>
        <w:tc>
          <w:tcPr>
            <w:tcW w:w="1134" w:type="dxa"/>
          </w:tcPr>
          <w:p w14:paraId="36DB4FA1" w14:textId="3877890F"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5</w:t>
            </w:r>
          </w:p>
        </w:tc>
        <w:tc>
          <w:tcPr>
            <w:tcW w:w="992" w:type="dxa"/>
          </w:tcPr>
          <w:p w14:paraId="168AB738" w14:textId="5CD1CFAD"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2</w:t>
            </w:r>
          </w:p>
        </w:tc>
        <w:tc>
          <w:tcPr>
            <w:tcW w:w="1134" w:type="dxa"/>
          </w:tcPr>
          <w:p w14:paraId="62A3B01D" w14:textId="734C0E4B"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35</w:t>
            </w:r>
          </w:p>
        </w:tc>
        <w:tc>
          <w:tcPr>
            <w:tcW w:w="993" w:type="dxa"/>
          </w:tcPr>
          <w:p w14:paraId="3CA84165" w14:textId="47CD4BA8"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1</w:t>
            </w:r>
          </w:p>
        </w:tc>
      </w:tr>
      <w:tr w:rsidR="00717566" w:rsidRPr="008351CC" w14:paraId="304EA598" w14:textId="77777777" w:rsidTr="008351CC">
        <w:tc>
          <w:tcPr>
            <w:tcW w:w="1838" w:type="dxa"/>
          </w:tcPr>
          <w:tbl>
            <w:tblPr>
              <w:tblW w:w="1845" w:type="dxa"/>
              <w:tblLayout w:type="fixed"/>
              <w:tblLook w:val="04A0" w:firstRow="1" w:lastRow="0" w:firstColumn="1" w:lastColumn="0" w:noHBand="0" w:noVBand="1"/>
            </w:tblPr>
            <w:tblGrid>
              <w:gridCol w:w="1845"/>
            </w:tblGrid>
            <w:tr w:rsidR="00717566" w:rsidRPr="008351CC" w14:paraId="3F76C59D" w14:textId="77777777" w:rsidTr="00EB4967">
              <w:trPr>
                <w:trHeight w:val="320"/>
              </w:trPr>
              <w:tc>
                <w:tcPr>
                  <w:tcW w:w="1845" w:type="dxa"/>
                  <w:tcBorders>
                    <w:top w:val="nil"/>
                    <w:left w:val="nil"/>
                    <w:bottom w:val="nil"/>
                    <w:right w:val="nil"/>
                  </w:tcBorders>
                  <w:shd w:val="clear" w:color="auto" w:fill="auto"/>
                  <w:noWrap/>
                  <w:vAlign w:val="bottom"/>
                  <w:hideMark/>
                </w:tcPr>
                <w:p w14:paraId="5D4C5179" w14:textId="77777777" w:rsidR="00717566" w:rsidRPr="008351CC" w:rsidRDefault="00717566" w:rsidP="00B101EC">
                  <w:pPr>
                    <w:spacing w:line="360" w:lineRule="auto"/>
                    <w:rPr>
                      <w:color w:val="000000"/>
                      <w:sz w:val="20"/>
                      <w:szCs w:val="20"/>
                    </w:rPr>
                  </w:pPr>
                  <w:r w:rsidRPr="008351CC">
                    <w:rPr>
                      <w:color w:val="000000"/>
                      <w:sz w:val="20"/>
                      <w:szCs w:val="20"/>
                    </w:rPr>
                    <w:t>Sexual offences</w:t>
                  </w:r>
                </w:p>
              </w:tc>
            </w:tr>
          </w:tbl>
          <w:p w14:paraId="72B7A8FB" w14:textId="77777777" w:rsidR="00717566" w:rsidRPr="008351CC" w:rsidRDefault="00717566" w:rsidP="00B101EC">
            <w:pPr>
              <w:spacing w:line="360" w:lineRule="auto"/>
              <w:rPr>
                <w:color w:val="000000" w:themeColor="text1"/>
                <w:sz w:val="20"/>
                <w:szCs w:val="20"/>
              </w:rPr>
            </w:pPr>
          </w:p>
        </w:tc>
        <w:tc>
          <w:tcPr>
            <w:tcW w:w="1134" w:type="dxa"/>
          </w:tcPr>
          <w:p w14:paraId="0ADA9B6D" w14:textId="29DC41FA"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4</w:t>
            </w:r>
          </w:p>
        </w:tc>
        <w:tc>
          <w:tcPr>
            <w:tcW w:w="992" w:type="dxa"/>
          </w:tcPr>
          <w:p w14:paraId="7F8949FC" w14:textId="01DBD46A"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2</w:t>
            </w:r>
          </w:p>
        </w:tc>
        <w:tc>
          <w:tcPr>
            <w:tcW w:w="1134" w:type="dxa"/>
          </w:tcPr>
          <w:p w14:paraId="50E83AE3" w14:textId="1D5D866B"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63</w:t>
            </w:r>
          </w:p>
        </w:tc>
        <w:tc>
          <w:tcPr>
            <w:tcW w:w="993" w:type="dxa"/>
          </w:tcPr>
          <w:p w14:paraId="7827F77E" w14:textId="27FA6A93"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2</w:t>
            </w:r>
          </w:p>
        </w:tc>
      </w:tr>
      <w:tr w:rsidR="00717566" w:rsidRPr="008351CC" w14:paraId="640C543C" w14:textId="77777777" w:rsidTr="008351CC">
        <w:tc>
          <w:tcPr>
            <w:tcW w:w="1838" w:type="dxa"/>
          </w:tcPr>
          <w:tbl>
            <w:tblPr>
              <w:tblW w:w="1845" w:type="dxa"/>
              <w:tblLayout w:type="fixed"/>
              <w:tblLook w:val="04A0" w:firstRow="1" w:lastRow="0" w:firstColumn="1" w:lastColumn="0" w:noHBand="0" w:noVBand="1"/>
            </w:tblPr>
            <w:tblGrid>
              <w:gridCol w:w="1845"/>
            </w:tblGrid>
            <w:tr w:rsidR="00717566" w:rsidRPr="008351CC" w14:paraId="399C9592" w14:textId="77777777" w:rsidTr="00EB4967">
              <w:trPr>
                <w:trHeight w:val="320"/>
              </w:trPr>
              <w:tc>
                <w:tcPr>
                  <w:tcW w:w="1845" w:type="dxa"/>
                  <w:tcBorders>
                    <w:top w:val="nil"/>
                    <w:left w:val="nil"/>
                    <w:bottom w:val="nil"/>
                    <w:right w:val="nil"/>
                  </w:tcBorders>
                  <w:shd w:val="clear" w:color="auto" w:fill="auto"/>
                  <w:noWrap/>
                  <w:vAlign w:val="bottom"/>
                  <w:hideMark/>
                </w:tcPr>
                <w:p w14:paraId="7288291B" w14:textId="77777777" w:rsidR="00717566" w:rsidRPr="008351CC" w:rsidRDefault="00717566" w:rsidP="00B101EC">
                  <w:pPr>
                    <w:spacing w:line="360" w:lineRule="auto"/>
                    <w:rPr>
                      <w:color w:val="000000"/>
                      <w:sz w:val="20"/>
                      <w:szCs w:val="20"/>
                    </w:rPr>
                  </w:pPr>
                  <w:r w:rsidRPr="008351CC">
                    <w:rPr>
                      <w:color w:val="000000"/>
                      <w:sz w:val="20"/>
                      <w:szCs w:val="20"/>
                    </w:rPr>
                    <w:t>Violent theft</w:t>
                  </w:r>
                </w:p>
              </w:tc>
            </w:tr>
          </w:tbl>
          <w:p w14:paraId="543385C5" w14:textId="77777777" w:rsidR="00717566" w:rsidRPr="008351CC" w:rsidRDefault="00717566" w:rsidP="00B101EC">
            <w:pPr>
              <w:spacing w:line="360" w:lineRule="auto"/>
              <w:rPr>
                <w:color w:val="000000" w:themeColor="text1"/>
                <w:sz w:val="20"/>
                <w:szCs w:val="20"/>
              </w:rPr>
            </w:pPr>
          </w:p>
        </w:tc>
        <w:tc>
          <w:tcPr>
            <w:tcW w:w="1134" w:type="dxa"/>
          </w:tcPr>
          <w:p w14:paraId="579FB054" w14:textId="7A2FFF6C"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28</w:t>
            </w:r>
          </w:p>
        </w:tc>
        <w:tc>
          <w:tcPr>
            <w:tcW w:w="992" w:type="dxa"/>
          </w:tcPr>
          <w:p w14:paraId="243C7796" w14:textId="6811768A"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10</w:t>
            </w:r>
          </w:p>
        </w:tc>
        <w:tc>
          <w:tcPr>
            <w:tcW w:w="1134" w:type="dxa"/>
          </w:tcPr>
          <w:p w14:paraId="3EC46CA4" w14:textId="3A47B4AE"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339</w:t>
            </w:r>
          </w:p>
        </w:tc>
        <w:tc>
          <w:tcPr>
            <w:tcW w:w="993" w:type="dxa"/>
          </w:tcPr>
          <w:p w14:paraId="10889D6F" w14:textId="3DCEFEA7"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12</w:t>
            </w:r>
          </w:p>
        </w:tc>
      </w:tr>
      <w:tr w:rsidR="00717566" w:rsidRPr="008351CC" w14:paraId="5022047C" w14:textId="77777777" w:rsidTr="008351CC">
        <w:tc>
          <w:tcPr>
            <w:tcW w:w="1838" w:type="dxa"/>
          </w:tcPr>
          <w:tbl>
            <w:tblPr>
              <w:tblW w:w="1845" w:type="dxa"/>
              <w:tblLayout w:type="fixed"/>
              <w:tblLook w:val="04A0" w:firstRow="1" w:lastRow="0" w:firstColumn="1" w:lastColumn="0" w:noHBand="0" w:noVBand="1"/>
            </w:tblPr>
            <w:tblGrid>
              <w:gridCol w:w="1845"/>
            </w:tblGrid>
            <w:tr w:rsidR="00717566" w:rsidRPr="008351CC" w14:paraId="5DA200F9" w14:textId="77777777" w:rsidTr="00EB4967">
              <w:trPr>
                <w:trHeight w:val="320"/>
              </w:trPr>
              <w:tc>
                <w:tcPr>
                  <w:tcW w:w="1845" w:type="dxa"/>
                  <w:tcBorders>
                    <w:top w:val="nil"/>
                    <w:left w:val="nil"/>
                    <w:bottom w:val="nil"/>
                    <w:right w:val="nil"/>
                  </w:tcBorders>
                  <w:shd w:val="clear" w:color="auto" w:fill="auto"/>
                  <w:noWrap/>
                  <w:vAlign w:val="bottom"/>
                  <w:hideMark/>
                </w:tcPr>
                <w:p w14:paraId="561399F3" w14:textId="77777777" w:rsidR="00717566" w:rsidRPr="008351CC" w:rsidRDefault="00717566" w:rsidP="00B101EC">
                  <w:pPr>
                    <w:spacing w:line="360" w:lineRule="auto"/>
                    <w:rPr>
                      <w:color w:val="000000"/>
                      <w:sz w:val="20"/>
                      <w:szCs w:val="20"/>
                    </w:rPr>
                  </w:pPr>
                  <w:r w:rsidRPr="008351CC">
                    <w:rPr>
                      <w:color w:val="000000"/>
                      <w:sz w:val="20"/>
                      <w:szCs w:val="20"/>
                    </w:rPr>
                    <w:t>Theft</w:t>
                  </w:r>
                </w:p>
              </w:tc>
            </w:tr>
          </w:tbl>
          <w:p w14:paraId="48086261" w14:textId="77777777" w:rsidR="00717566" w:rsidRPr="008351CC" w:rsidRDefault="00717566" w:rsidP="00B101EC">
            <w:pPr>
              <w:spacing w:line="360" w:lineRule="auto"/>
              <w:rPr>
                <w:color w:val="000000" w:themeColor="text1"/>
                <w:sz w:val="20"/>
                <w:szCs w:val="20"/>
              </w:rPr>
            </w:pPr>
          </w:p>
        </w:tc>
        <w:tc>
          <w:tcPr>
            <w:tcW w:w="1134" w:type="dxa"/>
          </w:tcPr>
          <w:p w14:paraId="04B30240" w14:textId="75E2C7A0"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141</w:t>
            </w:r>
          </w:p>
        </w:tc>
        <w:tc>
          <w:tcPr>
            <w:tcW w:w="992" w:type="dxa"/>
          </w:tcPr>
          <w:p w14:paraId="626A1103" w14:textId="671F55F8"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51</w:t>
            </w:r>
          </w:p>
        </w:tc>
        <w:tc>
          <w:tcPr>
            <w:tcW w:w="1134" w:type="dxa"/>
          </w:tcPr>
          <w:p w14:paraId="1A1B9009" w14:textId="054DA610"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1837</w:t>
            </w:r>
          </w:p>
        </w:tc>
        <w:tc>
          <w:tcPr>
            <w:tcW w:w="993" w:type="dxa"/>
          </w:tcPr>
          <w:p w14:paraId="2E716AFC" w14:textId="05C9684F"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64</w:t>
            </w:r>
          </w:p>
        </w:tc>
      </w:tr>
      <w:tr w:rsidR="00717566" w:rsidRPr="008351CC" w14:paraId="50FE1176" w14:textId="77777777" w:rsidTr="008351CC">
        <w:tc>
          <w:tcPr>
            <w:tcW w:w="1838" w:type="dxa"/>
          </w:tcPr>
          <w:tbl>
            <w:tblPr>
              <w:tblW w:w="1845" w:type="dxa"/>
              <w:tblLayout w:type="fixed"/>
              <w:tblLook w:val="04A0" w:firstRow="1" w:lastRow="0" w:firstColumn="1" w:lastColumn="0" w:noHBand="0" w:noVBand="1"/>
            </w:tblPr>
            <w:tblGrid>
              <w:gridCol w:w="1845"/>
            </w:tblGrid>
            <w:tr w:rsidR="00717566" w:rsidRPr="008351CC" w14:paraId="317EE219" w14:textId="77777777" w:rsidTr="00EB4967">
              <w:trPr>
                <w:trHeight w:val="320"/>
              </w:trPr>
              <w:tc>
                <w:tcPr>
                  <w:tcW w:w="1845" w:type="dxa"/>
                  <w:tcBorders>
                    <w:top w:val="nil"/>
                    <w:left w:val="nil"/>
                    <w:bottom w:val="nil"/>
                    <w:right w:val="nil"/>
                  </w:tcBorders>
                  <w:shd w:val="clear" w:color="auto" w:fill="auto"/>
                  <w:noWrap/>
                  <w:vAlign w:val="bottom"/>
                  <w:hideMark/>
                </w:tcPr>
                <w:p w14:paraId="6992E6C3" w14:textId="698F89BB" w:rsidR="00717566" w:rsidRPr="008351CC" w:rsidRDefault="00717566" w:rsidP="00B101EC">
                  <w:pPr>
                    <w:spacing w:line="360" w:lineRule="auto"/>
                    <w:rPr>
                      <w:color w:val="000000"/>
                      <w:sz w:val="20"/>
                      <w:szCs w:val="20"/>
                    </w:rPr>
                  </w:pPr>
                  <w:r w:rsidRPr="008351CC">
                    <w:rPr>
                      <w:color w:val="000000"/>
                      <w:sz w:val="20"/>
                      <w:szCs w:val="20"/>
                    </w:rPr>
                    <w:t>Breach of peace</w:t>
                  </w:r>
                </w:p>
              </w:tc>
            </w:tr>
          </w:tbl>
          <w:p w14:paraId="4412F911" w14:textId="77777777" w:rsidR="00717566" w:rsidRPr="008351CC" w:rsidRDefault="00717566" w:rsidP="00B101EC">
            <w:pPr>
              <w:spacing w:line="360" w:lineRule="auto"/>
              <w:rPr>
                <w:color w:val="000000" w:themeColor="text1"/>
                <w:sz w:val="20"/>
                <w:szCs w:val="20"/>
              </w:rPr>
            </w:pPr>
          </w:p>
        </w:tc>
        <w:tc>
          <w:tcPr>
            <w:tcW w:w="1134" w:type="dxa"/>
          </w:tcPr>
          <w:p w14:paraId="26E9C9DC" w14:textId="6A5651AF"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20</w:t>
            </w:r>
          </w:p>
        </w:tc>
        <w:tc>
          <w:tcPr>
            <w:tcW w:w="992" w:type="dxa"/>
          </w:tcPr>
          <w:p w14:paraId="71F1B7BD" w14:textId="0C889938"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7</w:t>
            </w:r>
          </w:p>
        </w:tc>
        <w:tc>
          <w:tcPr>
            <w:tcW w:w="1134" w:type="dxa"/>
          </w:tcPr>
          <w:p w14:paraId="6122BE0D" w14:textId="4C3440C9"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131</w:t>
            </w:r>
          </w:p>
        </w:tc>
        <w:tc>
          <w:tcPr>
            <w:tcW w:w="993" w:type="dxa"/>
          </w:tcPr>
          <w:p w14:paraId="0CE1E440" w14:textId="0BA64261"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5</w:t>
            </w:r>
          </w:p>
        </w:tc>
      </w:tr>
      <w:tr w:rsidR="00717566" w:rsidRPr="008351CC" w14:paraId="22E44D13" w14:textId="77777777" w:rsidTr="008351CC">
        <w:tc>
          <w:tcPr>
            <w:tcW w:w="1838" w:type="dxa"/>
          </w:tcPr>
          <w:tbl>
            <w:tblPr>
              <w:tblW w:w="1804" w:type="dxa"/>
              <w:tblLayout w:type="fixed"/>
              <w:tblLook w:val="04A0" w:firstRow="1" w:lastRow="0" w:firstColumn="1" w:lastColumn="0" w:noHBand="0" w:noVBand="1"/>
            </w:tblPr>
            <w:tblGrid>
              <w:gridCol w:w="1804"/>
            </w:tblGrid>
            <w:tr w:rsidR="00717566" w:rsidRPr="008351CC" w14:paraId="6AF3202B" w14:textId="77777777" w:rsidTr="00EB4967">
              <w:trPr>
                <w:trHeight w:val="320"/>
              </w:trPr>
              <w:tc>
                <w:tcPr>
                  <w:tcW w:w="1804" w:type="dxa"/>
                  <w:tcBorders>
                    <w:top w:val="nil"/>
                    <w:left w:val="nil"/>
                    <w:bottom w:val="nil"/>
                    <w:right w:val="nil"/>
                  </w:tcBorders>
                  <w:shd w:val="clear" w:color="auto" w:fill="auto"/>
                  <w:noWrap/>
                  <w:vAlign w:val="bottom"/>
                  <w:hideMark/>
                </w:tcPr>
                <w:p w14:paraId="3B50BB83" w14:textId="77777777" w:rsidR="00717566" w:rsidRPr="008351CC" w:rsidRDefault="00717566" w:rsidP="00B101EC">
                  <w:pPr>
                    <w:spacing w:line="360" w:lineRule="auto"/>
                    <w:rPr>
                      <w:color w:val="000000"/>
                      <w:sz w:val="20"/>
                      <w:szCs w:val="20"/>
                    </w:rPr>
                  </w:pPr>
                  <w:r w:rsidRPr="008351CC">
                    <w:rPr>
                      <w:color w:val="000000"/>
                      <w:sz w:val="20"/>
                      <w:szCs w:val="20"/>
                    </w:rPr>
                    <w:t>Deception</w:t>
                  </w:r>
                </w:p>
              </w:tc>
            </w:tr>
          </w:tbl>
          <w:p w14:paraId="3DF0CE22" w14:textId="77777777" w:rsidR="00717566" w:rsidRPr="008351CC" w:rsidRDefault="00717566" w:rsidP="00B101EC">
            <w:pPr>
              <w:spacing w:line="360" w:lineRule="auto"/>
              <w:rPr>
                <w:color w:val="000000" w:themeColor="text1"/>
                <w:sz w:val="20"/>
                <w:szCs w:val="20"/>
              </w:rPr>
            </w:pPr>
          </w:p>
        </w:tc>
        <w:tc>
          <w:tcPr>
            <w:tcW w:w="1134" w:type="dxa"/>
          </w:tcPr>
          <w:p w14:paraId="5A20C844" w14:textId="206425BA"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58</w:t>
            </w:r>
          </w:p>
        </w:tc>
        <w:tc>
          <w:tcPr>
            <w:tcW w:w="992" w:type="dxa"/>
          </w:tcPr>
          <w:p w14:paraId="36AFB158" w14:textId="7734162B"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21</w:t>
            </w:r>
          </w:p>
        </w:tc>
        <w:tc>
          <w:tcPr>
            <w:tcW w:w="1134" w:type="dxa"/>
          </w:tcPr>
          <w:p w14:paraId="0D33523E" w14:textId="00E86490"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390</w:t>
            </w:r>
          </w:p>
        </w:tc>
        <w:tc>
          <w:tcPr>
            <w:tcW w:w="993" w:type="dxa"/>
          </w:tcPr>
          <w:p w14:paraId="04E6BCC4" w14:textId="6FD578AD"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13</w:t>
            </w:r>
          </w:p>
        </w:tc>
      </w:tr>
      <w:tr w:rsidR="00717566" w:rsidRPr="008351CC" w14:paraId="5471A886" w14:textId="77777777" w:rsidTr="008351CC">
        <w:tc>
          <w:tcPr>
            <w:tcW w:w="1838" w:type="dxa"/>
          </w:tcPr>
          <w:tbl>
            <w:tblPr>
              <w:tblW w:w="1804" w:type="dxa"/>
              <w:tblLayout w:type="fixed"/>
              <w:tblLook w:val="04A0" w:firstRow="1" w:lastRow="0" w:firstColumn="1" w:lastColumn="0" w:noHBand="0" w:noVBand="1"/>
            </w:tblPr>
            <w:tblGrid>
              <w:gridCol w:w="1804"/>
            </w:tblGrid>
            <w:tr w:rsidR="00717566" w:rsidRPr="008351CC" w14:paraId="69497AC4" w14:textId="77777777" w:rsidTr="00EB4967">
              <w:trPr>
                <w:trHeight w:val="320"/>
              </w:trPr>
              <w:tc>
                <w:tcPr>
                  <w:tcW w:w="1804" w:type="dxa"/>
                  <w:tcBorders>
                    <w:top w:val="nil"/>
                    <w:left w:val="nil"/>
                    <w:bottom w:val="nil"/>
                    <w:right w:val="nil"/>
                  </w:tcBorders>
                  <w:shd w:val="clear" w:color="auto" w:fill="auto"/>
                  <w:noWrap/>
                  <w:vAlign w:val="bottom"/>
                  <w:hideMark/>
                </w:tcPr>
                <w:p w14:paraId="076BD0BA" w14:textId="77777777" w:rsidR="00717566" w:rsidRPr="008351CC" w:rsidRDefault="00717566" w:rsidP="00B101EC">
                  <w:pPr>
                    <w:spacing w:line="360" w:lineRule="auto"/>
                    <w:rPr>
                      <w:color w:val="000000"/>
                      <w:sz w:val="20"/>
                      <w:szCs w:val="20"/>
                    </w:rPr>
                  </w:pPr>
                  <w:r w:rsidRPr="008351CC">
                    <w:rPr>
                      <w:color w:val="000000"/>
                      <w:sz w:val="20"/>
                      <w:szCs w:val="20"/>
                    </w:rPr>
                    <w:t>Criminal damage</w:t>
                  </w:r>
                </w:p>
              </w:tc>
            </w:tr>
          </w:tbl>
          <w:p w14:paraId="0D017B42" w14:textId="77777777" w:rsidR="00717566" w:rsidRPr="008351CC" w:rsidRDefault="00717566" w:rsidP="00B101EC">
            <w:pPr>
              <w:spacing w:line="360" w:lineRule="auto"/>
              <w:rPr>
                <w:color w:val="000000" w:themeColor="text1"/>
                <w:sz w:val="20"/>
                <w:szCs w:val="20"/>
              </w:rPr>
            </w:pPr>
          </w:p>
        </w:tc>
        <w:tc>
          <w:tcPr>
            <w:tcW w:w="1134" w:type="dxa"/>
          </w:tcPr>
          <w:p w14:paraId="0CE24FD2" w14:textId="6B837BC2"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1</w:t>
            </w:r>
          </w:p>
        </w:tc>
        <w:tc>
          <w:tcPr>
            <w:tcW w:w="992" w:type="dxa"/>
          </w:tcPr>
          <w:p w14:paraId="611CF1A5" w14:textId="2E2FA582"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0</w:t>
            </w:r>
          </w:p>
        </w:tc>
        <w:tc>
          <w:tcPr>
            <w:tcW w:w="1134" w:type="dxa"/>
          </w:tcPr>
          <w:p w14:paraId="2E6F3649" w14:textId="4ABA6D79"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33</w:t>
            </w:r>
          </w:p>
        </w:tc>
        <w:tc>
          <w:tcPr>
            <w:tcW w:w="993" w:type="dxa"/>
          </w:tcPr>
          <w:p w14:paraId="7B826535" w14:textId="6D0691CC"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1</w:t>
            </w:r>
          </w:p>
        </w:tc>
      </w:tr>
      <w:tr w:rsidR="00717566" w:rsidRPr="008351CC" w14:paraId="7EB983BD" w14:textId="77777777" w:rsidTr="008351CC">
        <w:tc>
          <w:tcPr>
            <w:tcW w:w="1838" w:type="dxa"/>
          </w:tcPr>
          <w:tbl>
            <w:tblPr>
              <w:tblW w:w="1804" w:type="dxa"/>
              <w:tblLayout w:type="fixed"/>
              <w:tblLook w:val="04A0" w:firstRow="1" w:lastRow="0" w:firstColumn="1" w:lastColumn="0" w:noHBand="0" w:noVBand="1"/>
            </w:tblPr>
            <w:tblGrid>
              <w:gridCol w:w="1804"/>
            </w:tblGrid>
            <w:tr w:rsidR="00717566" w:rsidRPr="008351CC" w14:paraId="6D86E13F" w14:textId="77777777" w:rsidTr="00EB4967">
              <w:trPr>
                <w:trHeight w:val="320"/>
              </w:trPr>
              <w:tc>
                <w:tcPr>
                  <w:tcW w:w="1804" w:type="dxa"/>
                  <w:tcBorders>
                    <w:top w:val="nil"/>
                    <w:left w:val="nil"/>
                    <w:bottom w:val="nil"/>
                    <w:right w:val="nil"/>
                  </w:tcBorders>
                  <w:shd w:val="clear" w:color="auto" w:fill="auto"/>
                  <w:noWrap/>
                  <w:vAlign w:val="bottom"/>
                  <w:hideMark/>
                </w:tcPr>
                <w:p w14:paraId="449C94A0" w14:textId="77777777" w:rsidR="00717566" w:rsidRPr="008351CC" w:rsidRDefault="00717566" w:rsidP="00B101EC">
                  <w:pPr>
                    <w:spacing w:line="360" w:lineRule="auto"/>
                    <w:rPr>
                      <w:color w:val="000000"/>
                      <w:sz w:val="20"/>
                      <w:szCs w:val="20"/>
                    </w:rPr>
                  </w:pPr>
                  <w:r w:rsidRPr="008351CC">
                    <w:rPr>
                      <w:color w:val="000000"/>
                      <w:sz w:val="20"/>
                      <w:szCs w:val="20"/>
                    </w:rPr>
                    <w:t>Royal offences</w:t>
                  </w:r>
                </w:p>
              </w:tc>
            </w:tr>
          </w:tbl>
          <w:p w14:paraId="37537E5A" w14:textId="77777777" w:rsidR="00717566" w:rsidRPr="008351CC" w:rsidRDefault="00717566" w:rsidP="00B101EC">
            <w:pPr>
              <w:spacing w:line="360" w:lineRule="auto"/>
              <w:rPr>
                <w:color w:val="000000"/>
                <w:sz w:val="20"/>
                <w:szCs w:val="20"/>
              </w:rPr>
            </w:pPr>
          </w:p>
        </w:tc>
        <w:tc>
          <w:tcPr>
            <w:tcW w:w="1134" w:type="dxa"/>
          </w:tcPr>
          <w:p w14:paraId="1923029D" w14:textId="110D7192"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15</w:t>
            </w:r>
          </w:p>
        </w:tc>
        <w:tc>
          <w:tcPr>
            <w:tcW w:w="992" w:type="dxa"/>
          </w:tcPr>
          <w:p w14:paraId="6F27F230" w14:textId="4BCABB37"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5</w:t>
            </w:r>
          </w:p>
        </w:tc>
        <w:tc>
          <w:tcPr>
            <w:tcW w:w="1134" w:type="dxa"/>
          </w:tcPr>
          <w:p w14:paraId="6A82FB45" w14:textId="46FFB203"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13</w:t>
            </w:r>
          </w:p>
        </w:tc>
        <w:tc>
          <w:tcPr>
            <w:tcW w:w="993" w:type="dxa"/>
          </w:tcPr>
          <w:p w14:paraId="3DEE6C32" w14:textId="5A5CF8BA"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0</w:t>
            </w:r>
          </w:p>
        </w:tc>
      </w:tr>
      <w:tr w:rsidR="00717566" w:rsidRPr="008351CC" w14:paraId="3E67B07E" w14:textId="77777777" w:rsidTr="008351CC">
        <w:tc>
          <w:tcPr>
            <w:tcW w:w="1838" w:type="dxa"/>
          </w:tcPr>
          <w:tbl>
            <w:tblPr>
              <w:tblW w:w="1804" w:type="dxa"/>
              <w:tblLayout w:type="fixed"/>
              <w:tblLook w:val="04A0" w:firstRow="1" w:lastRow="0" w:firstColumn="1" w:lastColumn="0" w:noHBand="0" w:noVBand="1"/>
            </w:tblPr>
            <w:tblGrid>
              <w:gridCol w:w="1804"/>
            </w:tblGrid>
            <w:tr w:rsidR="00717566" w:rsidRPr="008351CC" w14:paraId="1D1F4C42" w14:textId="77777777" w:rsidTr="00EB4967">
              <w:trPr>
                <w:trHeight w:val="320"/>
              </w:trPr>
              <w:tc>
                <w:tcPr>
                  <w:tcW w:w="1804" w:type="dxa"/>
                  <w:tcBorders>
                    <w:top w:val="nil"/>
                    <w:left w:val="nil"/>
                    <w:bottom w:val="nil"/>
                    <w:right w:val="nil"/>
                  </w:tcBorders>
                  <w:shd w:val="clear" w:color="auto" w:fill="auto"/>
                  <w:noWrap/>
                  <w:vAlign w:val="bottom"/>
                  <w:hideMark/>
                </w:tcPr>
                <w:p w14:paraId="6AE923D2" w14:textId="77777777" w:rsidR="00717566" w:rsidRPr="008351CC" w:rsidRDefault="00717566" w:rsidP="00B101EC">
                  <w:pPr>
                    <w:spacing w:line="360" w:lineRule="auto"/>
                    <w:rPr>
                      <w:color w:val="000000"/>
                      <w:sz w:val="20"/>
                      <w:szCs w:val="20"/>
                    </w:rPr>
                  </w:pPr>
                  <w:r w:rsidRPr="008351CC">
                    <w:rPr>
                      <w:color w:val="000000"/>
                      <w:sz w:val="20"/>
                      <w:szCs w:val="20"/>
                    </w:rPr>
                    <w:t>Miscellaneous</w:t>
                  </w:r>
                </w:p>
              </w:tc>
            </w:tr>
          </w:tbl>
          <w:p w14:paraId="36C24232" w14:textId="77777777" w:rsidR="00717566" w:rsidRPr="008351CC" w:rsidRDefault="00717566" w:rsidP="00B101EC">
            <w:pPr>
              <w:spacing w:line="360" w:lineRule="auto"/>
              <w:rPr>
                <w:color w:val="000000"/>
                <w:sz w:val="20"/>
                <w:szCs w:val="20"/>
              </w:rPr>
            </w:pPr>
          </w:p>
        </w:tc>
        <w:tc>
          <w:tcPr>
            <w:tcW w:w="1134" w:type="dxa"/>
          </w:tcPr>
          <w:p w14:paraId="55724F28" w14:textId="3BBED708"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2</w:t>
            </w:r>
          </w:p>
        </w:tc>
        <w:tc>
          <w:tcPr>
            <w:tcW w:w="992" w:type="dxa"/>
          </w:tcPr>
          <w:p w14:paraId="1D5386F4" w14:textId="234C111E"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1</w:t>
            </w:r>
          </w:p>
        </w:tc>
        <w:tc>
          <w:tcPr>
            <w:tcW w:w="1134" w:type="dxa"/>
          </w:tcPr>
          <w:p w14:paraId="286CF4D1" w14:textId="1167D9DD"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45</w:t>
            </w:r>
          </w:p>
        </w:tc>
        <w:tc>
          <w:tcPr>
            <w:tcW w:w="993" w:type="dxa"/>
          </w:tcPr>
          <w:p w14:paraId="76F8B5E9" w14:textId="581D9D18"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2</w:t>
            </w:r>
          </w:p>
        </w:tc>
      </w:tr>
      <w:tr w:rsidR="00717566" w:rsidRPr="008351CC" w14:paraId="5338BF64" w14:textId="77777777" w:rsidTr="008351CC">
        <w:tc>
          <w:tcPr>
            <w:tcW w:w="1838" w:type="dxa"/>
            <w:shd w:val="clear" w:color="auto" w:fill="E7E6E6" w:themeFill="background2"/>
          </w:tcPr>
          <w:tbl>
            <w:tblPr>
              <w:tblW w:w="1804" w:type="dxa"/>
              <w:tblLayout w:type="fixed"/>
              <w:tblLook w:val="04A0" w:firstRow="1" w:lastRow="0" w:firstColumn="1" w:lastColumn="0" w:noHBand="0" w:noVBand="1"/>
            </w:tblPr>
            <w:tblGrid>
              <w:gridCol w:w="1804"/>
            </w:tblGrid>
            <w:tr w:rsidR="00717566" w:rsidRPr="008351CC" w14:paraId="73F3E80E" w14:textId="77777777" w:rsidTr="00EB4967">
              <w:trPr>
                <w:trHeight w:val="185"/>
              </w:trPr>
              <w:tc>
                <w:tcPr>
                  <w:tcW w:w="1804" w:type="dxa"/>
                  <w:tcBorders>
                    <w:top w:val="nil"/>
                    <w:left w:val="nil"/>
                    <w:bottom w:val="nil"/>
                    <w:right w:val="nil"/>
                  </w:tcBorders>
                  <w:shd w:val="clear" w:color="auto" w:fill="auto"/>
                  <w:noWrap/>
                  <w:vAlign w:val="bottom"/>
                  <w:hideMark/>
                </w:tcPr>
                <w:p w14:paraId="052B30CE" w14:textId="77777777" w:rsidR="00717566" w:rsidRPr="008351CC" w:rsidRDefault="00717566" w:rsidP="00B101EC">
                  <w:pPr>
                    <w:spacing w:line="360" w:lineRule="auto"/>
                    <w:rPr>
                      <w:color w:val="000000"/>
                      <w:sz w:val="20"/>
                      <w:szCs w:val="20"/>
                    </w:rPr>
                  </w:pPr>
                  <w:r w:rsidRPr="008351CC">
                    <w:rPr>
                      <w:color w:val="000000"/>
                      <w:sz w:val="20"/>
                      <w:szCs w:val="20"/>
                    </w:rPr>
                    <w:t>Total</w:t>
                  </w:r>
                </w:p>
              </w:tc>
            </w:tr>
          </w:tbl>
          <w:p w14:paraId="4ABCECEB" w14:textId="77777777" w:rsidR="00717566" w:rsidRPr="008351CC" w:rsidRDefault="00717566" w:rsidP="00B101EC">
            <w:pPr>
              <w:spacing w:line="360" w:lineRule="auto"/>
              <w:rPr>
                <w:color w:val="000000"/>
                <w:sz w:val="20"/>
                <w:szCs w:val="20"/>
              </w:rPr>
            </w:pPr>
          </w:p>
        </w:tc>
        <w:tc>
          <w:tcPr>
            <w:tcW w:w="1134" w:type="dxa"/>
            <w:shd w:val="clear" w:color="auto" w:fill="E7E6E6" w:themeFill="background2"/>
          </w:tcPr>
          <w:p w14:paraId="4CD9DE98" w14:textId="264E6B42"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274</w:t>
            </w:r>
          </w:p>
        </w:tc>
        <w:tc>
          <w:tcPr>
            <w:tcW w:w="992" w:type="dxa"/>
            <w:shd w:val="clear" w:color="auto" w:fill="E7E6E6" w:themeFill="background2"/>
          </w:tcPr>
          <w:p w14:paraId="5D3D4449" w14:textId="1ABB4CE7"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99</w:t>
            </w:r>
          </w:p>
        </w:tc>
        <w:tc>
          <w:tcPr>
            <w:tcW w:w="1134" w:type="dxa"/>
            <w:shd w:val="clear" w:color="auto" w:fill="E7E6E6" w:themeFill="background2"/>
          </w:tcPr>
          <w:p w14:paraId="127180E9" w14:textId="381DBCEA"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2886</w:t>
            </w:r>
          </w:p>
        </w:tc>
        <w:tc>
          <w:tcPr>
            <w:tcW w:w="993" w:type="dxa"/>
            <w:shd w:val="clear" w:color="auto" w:fill="E7E6E6" w:themeFill="background2"/>
          </w:tcPr>
          <w:p w14:paraId="276B1CB3" w14:textId="78468FE5" w:rsidR="00717566" w:rsidRPr="008351CC" w:rsidRDefault="00717566" w:rsidP="00B101EC">
            <w:pPr>
              <w:spacing w:line="360" w:lineRule="auto"/>
              <w:jc w:val="right"/>
              <w:rPr>
                <w:color w:val="000000" w:themeColor="text1"/>
                <w:sz w:val="20"/>
                <w:szCs w:val="20"/>
              </w:rPr>
            </w:pPr>
            <w:r w:rsidRPr="008351CC">
              <w:rPr>
                <w:color w:val="000000" w:themeColor="text1"/>
                <w:sz w:val="20"/>
                <w:szCs w:val="20"/>
              </w:rPr>
              <w:t>100</w:t>
            </w:r>
          </w:p>
        </w:tc>
      </w:tr>
    </w:tbl>
    <w:p w14:paraId="4F925DFC" w14:textId="66F47EA4" w:rsidR="00717566" w:rsidRDefault="00717566" w:rsidP="00B101EC">
      <w:pPr>
        <w:spacing w:line="360" w:lineRule="auto"/>
        <w:jc w:val="both"/>
        <w:rPr>
          <w:color w:val="000000" w:themeColor="text1"/>
          <w:sz w:val="22"/>
          <w:szCs w:val="22"/>
        </w:rPr>
      </w:pPr>
    </w:p>
    <w:p w14:paraId="6CDE1028" w14:textId="77777777" w:rsidR="00325428" w:rsidRPr="001F21FC" w:rsidRDefault="00325428" w:rsidP="001F21FC">
      <w:pPr>
        <w:pStyle w:val="CommentText"/>
        <w:rPr>
          <w:color w:val="FF0000"/>
        </w:rPr>
      </w:pPr>
    </w:p>
    <w:p w14:paraId="742551C8" w14:textId="64AF6CB8" w:rsidR="00717566" w:rsidRDefault="00717566" w:rsidP="00B101EC">
      <w:pPr>
        <w:spacing w:line="360" w:lineRule="auto"/>
        <w:jc w:val="both"/>
        <w:rPr>
          <w:color w:val="000000" w:themeColor="text1"/>
          <w:sz w:val="22"/>
          <w:szCs w:val="22"/>
        </w:rPr>
      </w:pPr>
      <w:r>
        <w:rPr>
          <w:color w:val="000000" w:themeColor="text1"/>
          <w:sz w:val="22"/>
          <w:szCs w:val="22"/>
        </w:rPr>
        <w:t xml:space="preserve">Having garnered robust data, it was possible to construct two substantial databases. The first contained details of all the men who had received a sentence of transportation and were transported to Western Australia between 1850 and </w:t>
      </w:r>
      <w:r w:rsidRPr="007D6D95">
        <w:rPr>
          <w:color w:val="000000" w:themeColor="text1"/>
          <w:sz w:val="22"/>
          <w:szCs w:val="22"/>
        </w:rPr>
        <w:t>1868</w:t>
      </w:r>
      <w:r w:rsidR="003D596D" w:rsidRPr="007D6D95">
        <w:rPr>
          <w:color w:val="000000" w:themeColor="text1"/>
          <w:sz w:val="22"/>
          <w:szCs w:val="22"/>
        </w:rPr>
        <w:t xml:space="preserve"> (n=</w:t>
      </w:r>
      <w:r w:rsidR="007D6D95" w:rsidRPr="007D6D95">
        <w:rPr>
          <w:color w:val="000000" w:themeColor="text1"/>
          <w:sz w:val="22"/>
          <w:szCs w:val="22"/>
        </w:rPr>
        <w:t>9434</w:t>
      </w:r>
      <w:r w:rsidR="003D596D" w:rsidRPr="007D6D95">
        <w:rPr>
          <w:color w:val="000000" w:themeColor="text1"/>
          <w:sz w:val="22"/>
          <w:szCs w:val="22"/>
        </w:rPr>
        <w:t>)</w:t>
      </w:r>
      <w:r w:rsidRPr="007D6D95">
        <w:rPr>
          <w:color w:val="000000" w:themeColor="text1"/>
          <w:sz w:val="22"/>
          <w:szCs w:val="22"/>
        </w:rPr>
        <w:t>,</w:t>
      </w:r>
      <w:r>
        <w:rPr>
          <w:color w:val="000000" w:themeColor="text1"/>
          <w:sz w:val="22"/>
          <w:szCs w:val="22"/>
        </w:rPr>
        <w:t xml:space="preserve"> and also all the men who had received a sentence of penal servitude at the Old Bailey between 1850 and 1868 who stayed ‘at home’ in English convict </w:t>
      </w:r>
      <w:r w:rsidRPr="007D6D95">
        <w:rPr>
          <w:color w:val="000000" w:themeColor="text1"/>
          <w:sz w:val="22"/>
          <w:szCs w:val="22"/>
        </w:rPr>
        <w:t>prisons</w:t>
      </w:r>
      <w:r w:rsidR="003D596D" w:rsidRPr="007D6D95">
        <w:rPr>
          <w:color w:val="000000" w:themeColor="text1"/>
          <w:sz w:val="22"/>
          <w:szCs w:val="22"/>
        </w:rPr>
        <w:t xml:space="preserve"> </w:t>
      </w:r>
      <w:r w:rsidR="007D6D95" w:rsidRPr="007D6D95">
        <w:rPr>
          <w:color w:val="000000" w:themeColor="text1"/>
          <w:sz w:val="22"/>
          <w:szCs w:val="22"/>
        </w:rPr>
        <w:t>(n=1938</w:t>
      </w:r>
      <w:r w:rsidR="003D596D" w:rsidRPr="007D6D95">
        <w:rPr>
          <w:color w:val="000000" w:themeColor="text1"/>
          <w:sz w:val="22"/>
          <w:szCs w:val="22"/>
        </w:rPr>
        <w:t>)</w:t>
      </w:r>
      <w:r w:rsidRPr="007D6D95">
        <w:rPr>
          <w:color w:val="000000" w:themeColor="text1"/>
          <w:sz w:val="22"/>
          <w:szCs w:val="22"/>
        </w:rPr>
        <w:t>. The</w:t>
      </w:r>
      <w:r>
        <w:rPr>
          <w:color w:val="000000" w:themeColor="text1"/>
          <w:sz w:val="22"/>
          <w:szCs w:val="22"/>
        </w:rPr>
        <w:t xml:space="preserve"> second database contained details of everyone sentenced at We</w:t>
      </w:r>
      <w:r w:rsidR="003D596D">
        <w:rPr>
          <w:color w:val="000000" w:themeColor="text1"/>
          <w:sz w:val="22"/>
          <w:szCs w:val="22"/>
        </w:rPr>
        <w:t xml:space="preserve">stern Australian Supreme </w:t>
      </w:r>
      <w:proofErr w:type="gramStart"/>
      <w:r w:rsidR="003D596D">
        <w:rPr>
          <w:color w:val="000000" w:themeColor="text1"/>
          <w:sz w:val="22"/>
          <w:szCs w:val="22"/>
        </w:rPr>
        <w:t>Court  between</w:t>
      </w:r>
      <w:proofErr w:type="gramEnd"/>
      <w:r w:rsidR="003D596D">
        <w:rPr>
          <w:color w:val="000000" w:themeColor="text1"/>
          <w:sz w:val="22"/>
          <w:szCs w:val="22"/>
        </w:rPr>
        <w:t xml:space="preserve"> 1861 and 1893</w:t>
      </w:r>
      <w:r>
        <w:rPr>
          <w:color w:val="000000" w:themeColor="text1"/>
          <w:sz w:val="22"/>
          <w:szCs w:val="22"/>
        </w:rPr>
        <w:t xml:space="preserve"> </w:t>
      </w:r>
      <w:r w:rsidR="003D596D" w:rsidRPr="00251655">
        <w:rPr>
          <w:color w:val="000000" w:themeColor="text1"/>
          <w:sz w:val="22"/>
          <w:szCs w:val="22"/>
        </w:rPr>
        <w:t>(n=</w:t>
      </w:r>
      <w:r w:rsidR="00251655" w:rsidRPr="00251655">
        <w:rPr>
          <w:color w:val="000000" w:themeColor="text1"/>
          <w:sz w:val="22"/>
          <w:szCs w:val="22"/>
        </w:rPr>
        <w:t>1684</w:t>
      </w:r>
      <w:r w:rsidR="003D596D" w:rsidRPr="00251655">
        <w:rPr>
          <w:color w:val="000000" w:themeColor="text1"/>
          <w:sz w:val="22"/>
          <w:szCs w:val="22"/>
        </w:rPr>
        <w:t>),</w:t>
      </w:r>
      <w:r w:rsidR="003D596D">
        <w:rPr>
          <w:color w:val="000000" w:themeColor="text1"/>
          <w:sz w:val="22"/>
          <w:szCs w:val="22"/>
        </w:rPr>
        <w:t xml:space="preserve"> </w:t>
      </w:r>
      <w:r>
        <w:rPr>
          <w:color w:val="000000" w:themeColor="text1"/>
          <w:sz w:val="22"/>
          <w:szCs w:val="22"/>
        </w:rPr>
        <w:t xml:space="preserve">and everyone </w:t>
      </w:r>
      <w:r w:rsidR="003D596D">
        <w:rPr>
          <w:color w:val="000000" w:themeColor="text1"/>
          <w:sz w:val="22"/>
          <w:szCs w:val="22"/>
        </w:rPr>
        <w:t xml:space="preserve">imprisoned in Fremantle Prison between 1858 and </w:t>
      </w:r>
      <w:r w:rsidR="003D596D" w:rsidRPr="00251655">
        <w:rPr>
          <w:color w:val="000000" w:themeColor="text1"/>
          <w:sz w:val="22"/>
          <w:szCs w:val="22"/>
        </w:rPr>
        <w:t>1868</w:t>
      </w:r>
      <w:r w:rsidR="00251655">
        <w:rPr>
          <w:color w:val="000000" w:themeColor="text1"/>
          <w:sz w:val="22"/>
          <w:szCs w:val="22"/>
        </w:rPr>
        <w:t xml:space="preserve"> </w:t>
      </w:r>
      <w:r w:rsidR="00251655" w:rsidRPr="00251655">
        <w:rPr>
          <w:color w:val="000000" w:themeColor="text1"/>
          <w:sz w:val="22"/>
          <w:szCs w:val="22"/>
        </w:rPr>
        <w:t>(n=2052</w:t>
      </w:r>
      <w:r w:rsidR="003D596D" w:rsidRPr="00251655">
        <w:rPr>
          <w:color w:val="000000" w:themeColor="text1"/>
          <w:sz w:val="22"/>
          <w:szCs w:val="22"/>
        </w:rPr>
        <w:t>)</w:t>
      </w:r>
      <w:r w:rsidRPr="00251655">
        <w:rPr>
          <w:color w:val="000000" w:themeColor="text1"/>
          <w:sz w:val="22"/>
          <w:szCs w:val="22"/>
        </w:rPr>
        <w:t>.</w:t>
      </w:r>
      <w:r>
        <w:rPr>
          <w:color w:val="000000" w:themeColor="text1"/>
          <w:sz w:val="22"/>
          <w:szCs w:val="22"/>
        </w:rPr>
        <w:t xml:space="preserve"> By analysing these two databases it was possible to make a comparison between transported convicts and those serving their penal servitude in the UK in terms of rate and speed of reconviction; and </w:t>
      </w:r>
      <w:r w:rsidR="008A5DA8">
        <w:rPr>
          <w:color w:val="000000" w:themeColor="text1"/>
          <w:sz w:val="22"/>
          <w:szCs w:val="22"/>
        </w:rPr>
        <w:t xml:space="preserve">it was </w:t>
      </w:r>
      <w:r>
        <w:rPr>
          <w:color w:val="000000" w:themeColor="text1"/>
          <w:sz w:val="22"/>
          <w:szCs w:val="22"/>
        </w:rPr>
        <w:t xml:space="preserve">also </w:t>
      </w:r>
      <w:r w:rsidR="008A5DA8">
        <w:rPr>
          <w:color w:val="000000" w:themeColor="text1"/>
          <w:sz w:val="22"/>
          <w:szCs w:val="22"/>
        </w:rPr>
        <w:t xml:space="preserve">possible to make </w:t>
      </w:r>
      <w:r>
        <w:rPr>
          <w:color w:val="000000" w:themeColor="text1"/>
          <w:sz w:val="22"/>
          <w:szCs w:val="22"/>
        </w:rPr>
        <w:t>comparison between convicts transported to Western Australia and free-settlers. The following section describes the findings of the analysis.</w:t>
      </w:r>
    </w:p>
    <w:p w14:paraId="010DEB23" w14:textId="102BB9FF" w:rsidR="00717566" w:rsidRDefault="00717566" w:rsidP="00B101EC">
      <w:pPr>
        <w:spacing w:line="360" w:lineRule="auto"/>
        <w:rPr>
          <w:b/>
          <w:color w:val="000000" w:themeColor="text1"/>
          <w:sz w:val="22"/>
          <w:szCs w:val="22"/>
        </w:rPr>
      </w:pPr>
    </w:p>
    <w:p w14:paraId="3D895761" w14:textId="6AF2A9A9" w:rsidR="00FE173F" w:rsidRDefault="00717566" w:rsidP="00B101EC">
      <w:pPr>
        <w:spacing w:line="360" w:lineRule="auto"/>
        <w:rPr>
          <w:b/>
          <w:color w:val="000000" w:themeColor="text1"/>
          <w:sz w:val="22"/>
          <w:szCs w:val="22"/>
        </w:rPr>
      </w:pPr>
      <w:r w:rsidRPr="00A50B2D">
        <w:rPr>
          <w:b/>
          <w:color w:val="000000" w:themeColor="text1"/>
          <w:sz w:val="22"/>
          <w:szCs w:val="22"/>
        </w:rPr>
        <w:t>Findings</w:t>
      </w:r>
      <w:r w:rsidR="00147A2D">
        <w:rPr>
          <w:b/>
          <w:color w:val="000000" w:themeColor="text1"/>
          <w:sz w:val="22"/>
          <w:szCs w:val="22"/>
        </w:rPr>
        <w:t>: Reconviction rates</w:t>
      </w:r>
    </w:p>
    <w:p w14:paraId="14FA4728" w14:textId="77777777" w:rsidR="00796552" w:rsidRPr="00567C90" w:rsidRDefault="00796552" w:rsidP="00B101EC">
      <w:pPr>
        <w:spacing w:line="360" w:lineRule="auto"/>
        <w:rPr>
          <w:b/>
          <w:color w:val="000000" w:themeColor="text1"/>
          <w:sz w:val="22"/>
          <w:szCs w:val="22"/>
        </w:rPr>
      </w:pPr>
    </w:p>
    <w:p w14:paraId="67A50336" w14:textId="46D191D0" w:rsidR="00717566" w:rsidRDefault="00717566" w:rsidP="00B101EC">
      <w:pPr>
        <w:spacing w:line="360" w:lineRule="auto"/>
        <w:jc w:val="both"/>
        <w:rPr>
          <w:color w:val="000000" w:themeColor="text1"/>
          <w:sz w:val="22"/>
          <w:szCs w:val="22"/>
        </w:rPr>
      </w:pPr>
      <w:r w:rsidRPr="00A50B2D">
        <w:rPr>
          <w:color w:val="000000" w:themeColor="text1"/>
          <w:sz w:val="22"/>
          <w:szCs w:val="22"/>
        </w:rPr>
        <w:t xml:space="preserve">Turning to the first of our efficiency tests, the more successful system should </w:t>
      </w:r>
      <w:r w:rsidRPr="000802FC">
        <w:rPr>
          <w:color w:val="000000" w:themeColor="text1"/>
          <w:sz w:val="22"/>
          <w:szCs w:val="22"/>
        </w:rPr>
        <w:t xml:space="preserve">have </w:t>
      </w:r>
      <w:r w:rsidRPr="000802FC">
        <w:rPr>
          <w:i/>
          <w:color w:val="000000" w:themeColor="text1"/>
          <w:sz w:val="22"/>
          <w:szCs w:val="22"/>
        </w:rPr>
        <w:t>lower reconviction</w:t>
      </w:r>
      <w:r w:rsidRPr="00A50B2D">
        <w:rPr>
          <w:i/>
          <w:color w:val="000000" w:themeColor="text1"/>
          <w:sz w:val="22"/>
          <w:szCs w:val="22"/>
        </w:rPr>
        <w:t xml:space="preserve"> rates for serious offences</w:t>
      </w:r>
      <w:r w:rsidRPr="00A50B2D">
        <w:rPr>
          <w:color w:val="000000" w:themeColor="text1"/>
          <w:sz w:val="22"/>
          <w:szCs w:val="22"/>
        </w:rPr>
        <w:t xml:space="preserve">. </w:t>
      </w:r>
      <w:r w:rsidRPr="00E07E66">
        <w:rPr>
          <w:color w:val="000000" w:themeColor="text1"/>
          <w:sz w:val="22"/>
          <w:szCs w:val="22"/>
        </w:rPr>
        <w:t xml:space="preserve">Shaw (1966) and Edgar (2012) </w:t>
      </w:r>
      <w:r w:rsidR="008A5DA8" w:rsidRPr="00E07E66">
        <w:rPr>
          <w:color w:val="000000" w:themeColor="text1"/>
          <w:sz w:val="22"/>
          <w:szCs w:val="22"/>
        </w:rPr>
        <w:t>hold</w:t>
      </w:r>
      <w:r w:rsidRPr="00E07E66">
        <w:rPr>
          <w:color w:val="000000" w:themeColor="text1"/>
          <w:sz w:val="22"/>
          <w:szCs w:val="22"/>
        </w:rPr>
        <w:t xml:space="preserve"> very optimistic opinions on the extent of </w:t>
      </w:r>
      <w:r w:rsidRPr="00A5602D">
        <w:rPr>
          <w:color w:val="000000" w:themeColor="text1"/>
          <w:sz w:val="22"/>
          <w:szCs w:val="22"/>
        </w:rPr>
        <w:t xml:space="preserve">rehabilitation amongst transported convicts. According to </w:t>
      </w:r>
      <w:proofErr w:type="spellStart"/>
      <w:r w:rsidRPr="00A5602D">
        <w:rPr>
          <w:color w:val="000000" w:themeColor="text1"/>
          <w:sz w:val="22"/>
          <w:szCs w:val="22"/>
        </w:rPr>
        <w:t>Battye</w:t>
      </w:r>
      <w:proofErr w:type="spellEnd"/>
      <w:r w:rsidRPr="00A5602D">
        <w:rPr>
          <w:color w:val="000000" w:themeColor="text1"/>
          <w:sz w:val="22"/>
          <w:szCs w:val="22"/>
        </w:rPr>
        <w:t xml:space="preserve"> (1924) and Shaw (1966) about one in every three ticket-of-leave holders were reconvicted, mostly for drunkenness. Only a fifth were reconvicted of serious offences. Godfrey and Cox (2008) </w:t>
      </w:r>
      <w:r>
        <w:rPr>
          <w:color w:val="000000" w:themeColor="text1"/>
          <w:sz w:val="22"/>
          <w:szCs w:val="22"/>
        </w:rPr>
        <w:t>found a similar picture</w:t>
      </w:r>
      <w:r w:rsidRPr="00A5602D">
        <w:rPr>
          <w:color w:val="000000" w:themeColor="text1"/>
          <w:sz w:val="22"/>
          <w:szCs w:val="22"/>
        </w:rPr>
        <w:t>. They examined the proportion of crime prosecuted in Perth Magistrates Court that had been committed by free and transported men</w:t>
      </w:r>
      <w:r w:rsidRPr="00081F54">
        <w:rPr>
          <w:color w:val="000000" w:themeColor="text1"/>
          <w:sz w:val="22"/>
          <w:szCs w:val="22"/>
        </w:rPr>
        <w:t xml:space="preserve"> </w:t>
      </w:r>
      <w:r w:rsidRPr="00A5602D">
        <w:rPr>
          <w:color w:val="000000" w:themeColor="text1"/>
          <w:sz w:val="22"/>
          <w:szCs w:val="22"/>
        </w:rPr>
        <w:t xml:space="preserve">in 1870 and </w:t>
      </w:r>
      <w:r>
        <w:rPr>
          <w:color w:val="000000" w:themeColor="text1"/>
          <w:sz w:val="22"/>
          <w:szCs w:val="22"/>
        </w:rPr>
        <w:t xml:space="preserve">in </w:t>
      </w:r>
      <w:r w:rsidRPr="00A5602D">
        <w:rPr>
          <w:color w:val="000000" w:themeColor="text1"/>
          <w:sz w:val="22"/>
          <w:szCs w:val="22"/>
        </w:rPr>
        <w:t xml:space="preserve">1880. They found that ticket-of-leave men and those on conditional pardons committed 47% of offences </w:t>
      </w:r>
      <w:r>
        <w:rPr>
          <w:color w:val="000000" w:themeColor="text1"/>
          <w:sz w:val="22"/>
          <w:szCs w:val="22"/>
        </w:rPr>
        <w:t xml:space="preserve">prosecuted </w:t>
      </w:r>
      <w:r w:rsidRPr="00A5602D">
        <w:rPr>
          <w:color w:val="000000" w:themeColor="text1"/>
          <w:sz w:val="22"/>
          <w:szCs w:val="22"/>
        </w:rPr>
        <w:t xml:space="preserve">in 1870; and </w:t>
      </w:r>
      <w:r>
        <w:rPr>
          <w:color w:val="000000" w:themeColor="text1"/>
          <w:sz w:val="22"/>
          <w:szCs w:val="22"/>
        </w:rPr>
        <w:t xml:space="preserve">that </w:t>
      </w:r>
      <w:r w:rsidRPr="00A5602D">
        <w:rPr>
          <w:color w:val="000000" w:themeColor="text1"/>
          <w:sz w:val="22"/>
          <w:szCs w:val="22"/>
        </w:rPr>
        <w:t xml:space="preserve">28% </w:t>
      </w:r>
      <w:r>
        <w:rPr>
          <w:color w:val="000000" w:themeColor="text1"/>
          <w:sz w:val="22"/>
          <w:szCs w:val="22"/>
        </w:rPr>
        <w:t xml:space="preserve">had been committed </w:t>
      </w:r>
      <w:r w:rsidRPr="00A5602D">
        <w:rPr>
          <w:color w:val="000000" w:themeColor="text1"/>
          <w:sz w:val="22"/>
          <w:szCs w:val="22"/>
        </w:rPr>
        <w:t>by expirees. Only a quarter o</w:t>
      </w:r>
      <w:r>
        <w:rPr>
          <w:color w:val="000000" w:themeColor="text1"/>
          <w:sz w:val="22"/>
          <w:szCs w:val="22"/>
        </w:rPr>
        <w:t xml:space="preserve">f convictions in the magistrates’ courts </w:t>
      </w:r>
      <w:r w:rsidR="00D85F65">
        <w:rPr>
          <w:color w:val="000000" w:themeColor="text1"/>
          <w:sz w:val="22"/>
          <w:szCs w:val="22"/>
        </w:rPr>
        <w:t>concerned</w:t>
      </w:r>
      <w:r>
        <w:rPr>
          <w:color w:val="000000" w:themeColor="text1"/>
          <w:sz w:val="22"/>
          <w:szCs w:val="22"/>
        </w:rPr>
        <w:t xml:space="preserve"> free-</w:t>
      </w:r>
      <w:r w:rsidRPr="00A5602D">
        <w:rPr>
          <w:color w:val="000000" w:themeColor="text1"/>
          <w:sz w:val="22"/>
          <w:szCs w:val="22"/>
        </w:rPr>
        <w:t>settlers. Convictions for drunken disorder, and breeches of convict regu</w:t>
      </w:r>
      <w:r>
        <w:rPr>
          <w:color w:val="000000" w:themeColor="text1"/>
          <w:sz w:val="22"/>
          <w:szCs w:val="22"/>
        </w:rPr>
        <w:t>latio</w:t>
      </w:r>
      <w:r w:rsidR="00D85F65">
        <w:rPr>
          <w:color w:val="000000" w:themeColor="text1"/>
          <w:sz w:val="22"/>
          <w:szCs w:val="22"/>
        </w:rPr>
        <w:t>ns predominated (</w:t>
      </w:r>
      <w:r w:rsidRPr="00A5602D">
        <w:rPr>
          <w:color w:val="000000" w:themeColor="text1"/>
          <w:sz w:val="22"/>
          <w:szCs w:val="22"/>
        </w:rPr>
        <w:t>29% of crime prosecuted in magistrates</w:t>
      </w:r>
      <w:r>
        <w:rPr>
          <w:color w:val="000000" w:themeColor="text1"/>
          <w:sz w:val="22"/>
          <w:szCs w:val="22"/>
        </w:rPr>
        <w:t>’</w:t>
      </w:r>
      <w:r w:rsidRPr="00A5602D">
        <w:rPr>
          <w:color w:val="000000" w:themeColor="text1"/>
          <w:sz w:val="22"/>
          <w:szCs w:val="22"/>
        </w:rPr>
        <w:t xml:space="preserve"> courts’ in 1870</w:t>
      </w:r>
      <w:r w:rsidR="00D85F65">
        <w:rPr>
          <w:color w:val="000000" w:themeColor="text1"/>
          <w:sz w:val="22"/>
          <w:szCs w:val="22"/>
        </w:rPr>
        <w:t>). M</w:t>
      </w:r>
      <w:r w:rsidRPr="00A5602D">
        <w:rPr>
          <w:color w:val="000000" w:themeColor="text1"/>
          <w:sz w:val="22"/>
          <w:szCs w:val="22"/>
        </w:rPr>
        <w:t xml:space="preserve">ost of </w:t>
      </w:r>
      <w:r w:rsidR="00D85F65">
        <w:rPr>
          <w:color w:val="000000" w:themeColor="text1"/>
          <w:sz w:val="22"/>
          <w:szCs w:val="22"/>
        </w:rPr>
        <w:t>the low-level offences were</w:t>
      </w:r>
      <w:r w:rsidRPr="00A5602D">
        <w:rPr>
          <w:color w:val="000000" w:themeColor="text1"/>
          <w:sz w:val="22"/>
          <w:szCs w:val="22"/>
        </w:rPr>
        <w:t xml:space="preserve"> committed by a smaller number of habitual </w:t>
      </w:r>
      <w:r w:rsidRPr="00243627">
        <w:rPr>
          <w:color w:val="000000" w:themeColor="text1"/>
          <w:sz w:val="22"/>
          <w:szCs w:val="22"/>
        </w:rPr>
        <w:t>offenders (there were</w:t>
      </w:r>
      <w:r>
        <w:rPr>
          <w:color w:val="000000" w:themeColor="text1"/>
          <w:sz w:val="22"/>
          <w:szCs w:val="22"/>
        </w:rPr>
        <w:t xml:space="preserve"> 1.6 offences per transported ma</w:t>
      </w:r>
      <w:r w:rsidRPr="00243627">
        <w:rPr>
          <w:color w:val="000000" w:themeColor="text1"/>
          <w:sz w:val="22"/>
          <w:szCs w:val="22"/>
        </w:rPr>
        <w:t xml:space="preserve">n, with some transported men racking up </w:t>
      </w:r>
      <w:r w:rsidR="00D85F65">
        <w:rPr>
          <w:color w:val="000000" w:themeColor="text1"/>
          <w:sz w:val="22"/>
          <w:szCs w:val="22"/>
        </w:rPr>
        <w:t>a considerable number</w:t>
      </w:r>
      <w:r w:rsidRPr="00243627">
        <w:rPr>
          <w:color w:val="000000" w:themeColor="text1"/>
          <w:sz w:val="22"/>
          <w:szCs w:val="22"/>
        </w:rPr>
        <w:t xml:space="preserve"> o</w:t>
      </w:r>
      <w:r w:rsidR="00D85F65">
        <w:rPr>
          <w:color w:val="000000" w:themeColor="text1"/>
          <w:sz w:val="22"/>
          <w:szCs w:val="22"/>
        </w:rPr>
        <w:t>f convictions for drunkenness and</w:t>
      </w:r>
      <w:r w:rsidRPr="00243627">
        <w:rPr>
          <w:color w:val="000000" w:themeColor="text1"/>
          <w:sz w:val="22"/>
          <w:szCs w:val="22"/>
        </w:rPr>
        <w:t xml:space="preserve"> vagrancy </w:t>
      </w:r>
      <w:r w:rsidR="00D85F65">
        <w:rPr>
          <w:color w:val="000000" w:themeColor="text1"/>
          <w:sz w:val="22"/>
          <w:szCs w:val="22"/>
        </w:rPr>
        <w:t>after</w:t>
      </w:r>
      <w:r w:rsidRPr="00243627">
        <w:rPr>
          <w:color w:val="000000" w:themeColor="text1"/>
          <w:sz w:val="22"/>
          <w:szCs w:val="22"/>
        </w:rPr>
        <w:t xml:space="preserve"> they arrived in the colony).  Transportation hit many men so hard that all they were left with was a washed-up life, alcoholism, drifting through life and </w:t>
      </w:r>
      <w:r w:rsidR="006923BF">
        <w:rPr>
          <w:color w:val="000000" w:themeColor="text1"/>
          <w:sz w:val="22"/>
          <w:szCs w:val="22"/>
        </w:rPr>
        <w:t xml:space="preserve">through </w:t>
      </w:r>
      <w:r w:rsidRPr="00243627">
        <w:rPr>
          <w:color w:val="000000" w:themeColor="text1"/>
          <w:sz w:val="22"/>
          <w:szCs w:val="22"/>
        </w:rPr>
        <w:t>the colony as vagrants and occasional inmates of the prison and the asylum (Godfrey and Cox 2008).</w:t>
      </w:r>
      <w:r>
        <w:rPr>
          <w:color w:val="000000" w:themeColor="text1"/>
          <w:sz w:val="22"/>
          <w:szCs w:val="22"/>
        </w:rPr>
        <w:t xml:space="preserve"> Expirees were actually four times more likely to be vagrant</w:t>
      </w:r>
      <w:r w:rsidR="006923BF">
        <w:rPr>
          <w:color w:val="000000" w:themeColor="text1"/>
          <w:sz w:val="22"/>
          <w:szCs w:val="22"/>
        </w:rPr>
        <w:t>s</w:t>
      </w:r>
      <w:r>
        <w:rPr>
          <w:color w:val="000000" w:themeColor="text1"/>
          <w:sz w:val="22"/>
          <w:szCs w:val="22"/>
        </w:rPr>
        <w:t xml:space="preserve"> than free settlers during the convict transport</w:t>
      </w:r>
      <w:r w:rsidR="00D85F65">
        <w:rPr>
          <w:color w:val="000000" w:themeColor="text1"/>
          <w:sz w:val="22"/>
          <w:szCs w:val="22"/>
        </w:rPr>
        <w:t>ation period (Fremantle Prison R</w:t>
      </w:r>
      <w:r>
        <w:rPr>
          <w:color w:val="000000" w:themeColor="text1"/>
          <w:sz w:val="22"/>
          <w:szCs w:val="22"/>
        </w:rPr>
        <w:t>egisters, 1858-68).</w:t>
      </w:r>
    </w:p>
    <w:p w14:paraId="65C93AB3" w14:textId="5A5B0864" w:rsidR="0021340A" w:rsidRPr="00B101EC" w:rsidRDefault="00717566" w:rsidP="00B101EC">
      <w:pPr>
        <w:spacing w:line="360" w:lineRule="auto"/>
        <w:jc w:val="both"/>
        <w:rPr>
          <w:sz w:val="22"/>
          <w:szCs w:val="22"/>
        </w:rPr>
      </w:pPr>
      <w:r>
        <w:rPr>
          <w:color w:val="000000" w:themeColor="text1"/>
          <w:sz w:val="22"/>
          <w:szCs w:val="22"/>
        </w:rPr>
        <w:t xml:space="preserve">In the Supreme Court, 77% of convictions against transported men were for property offences, whilst 42% of cases against free men were property crimes. Only 15% of cases against </w:t>
      </w:r>
      <w:r w:rsidR="00D85F65">
        <w:rPr>
          <w:color w:val="000000" w:themeColor="text1"/>
          <w:sz w:val="22"/>
          <w:szCs w:val="22"/>
        </w:rPr>
        <w:t>convicts</w:t>
      </w:r>
      <w:r>
        <w:rPr>
          <w:color w:val="000000" w:themeColor="text1"/>
          <w:sz w:val="22"/>
          <w:szCs w:val="22"/>
        </w:rPr>
        <w:t xml:space="preserve"> involved violence, as opposed to 50% of cases against free men. This is not surprising. Free-settlers were more likely to arrive in the colony with capital, and the means and skills to make money. They were less likely to commit acquisitive crimes. Desperately poor convicts with few prospects were much more likely to </w:t>
      </w:r>
      <w:r w:rsidR="00D85F65">
        <w:rPr>
          <w:color w:val="000000" w:themeColor="text1"/>
          <w:sz w:val="22"/>
          <w:szCs w:val="22"/>
        </w:rPr>
        <w:t>commit property offences</w:t>
      </w:r>
      <w:r>
        <w:rPr>
          <w:color w:val="000000" w:themeColor="text1"/>
          <w:sz w:val="22"/>
          <w:szCs w:val="22"/>
        </w:rPr>
        <w:t xml:space="preserve">. More surprising is the high proportion of violence committed by free men. However, when we consider that half of those convictions for violence were against ‘aboriginal natives’, rather than </w:t>
      </w:r>
      <w:r w:rsidR="006F5411">
        <w:rPr>
          <w:color w:val="000000" w:themeColor="text1"/>
          <w:sz w:val="22"/>
          <w:szCs w:val="22"/>
        </w:rPr>
        <w:t xml:space="preserve">against free </w:t>
      </w:r>
      <w:r>
        <w:rPr>
          <w:color w:val="000000" w:themeColor="text1"/>
          <w:sz w:val="22"/>
          <w:szCs w:val="22"/>
        </w:rPr>
        <w:t>settlers, it becomes a little clearer. Indigenous men were disproportionately vulnerable to arrest and prosecution and were more likely to have offences against European victims d</w:t>
      </w:r>
      <w:r w:rsidR="006F5411">
        <w:rPr>
          <w:color w:val="000000" w:themeColor="text1"/>
          <w:sz w:val="22"/>
          <w:szCs w:val="22"/>
        </w:rPr>
        <w:t>ealt with in the Supreme Courts</w:t>
      </w:r>
      <w:r>
        <w:rPr>
          <w:color w:val="000000" w:themeColor="text1"/>
          <w:sz w:val="22"/>
          <w:szCs w:val="22"/>
        </w:rPr>
        <w:t>.</w:t>
      </w:r>
      <w:r w:rsidR="006F5411">
        <w:rPr>
          <w:color w:val="000000" w:themeColor="text1"/>
          <w:sz w:val="22"/>
          <w:szCs w:val="22"/>
        </w:rPr>
        <w:t xml:space="preserve"> No wonder indigenous people were more likely to be indicted for acts of violence – we should not forget, however, that indigenous communities also suffered considerable violence (collectively through the colonial experience, and as victims of individual acts of violence). For example, </w:t>
      </w:r>
      <w:r w:rsidR="006F5411">
        <w:rPr>
          <w:sz w:val="22"/>
          <w:szCs w:val="22"/>
        </w:rPr>
        <w:t>i</w:t>
      </w:r>
      <w:r>
        <w:rPr>
          <w:sz w:val="22"/>
          <w:szCs w:val="22"/>
        </w:rPr>
        <w:t xml:space="preserve">n February 1864, expiree </w:t>
      </w:r>
      <w:r w:rsidRPr="00860BA4">
        <w:rPr>
          <w:sz w:val="22"/>
          <w:szCs w:val="22"/>
        </w:rPr>
        <w:t>Francis Badcock </w:t>
      </w:r>
      <w:r>
        <w:rPr>
          <w:sz w:val="22"/>
          <w:szCs w:val="22"/>
        </w:rPr>
        <w:t>was indicted</w:t>
      </w:r>
      <w:r w:rsidRPr="00860BA4">
        <w:rPr>
          <w:sz w:val="22"/>
          <w:szCs w:val="22"/>
        </w:rPr>
        <w:t xml:space="preserve"> for the murder of </w:t>
      </w:r>
      <w:r w:rsidR="00130E53">
        <w:rPr>
          <w:sz w:val="22"/>
          <w:szCs w:val="22"/>
        </w:rPr>
        <w:t xml:space="preserve">the </w:t>
      </w:r>
      <w:r>
        <w:rPr>
          <w:sz w:val="22"/>
          <w:szCs w:val="22"/>
        </w:rPr>
        <w:t xml:space="preserve">indigenous woman </w:t>
      </w:r>
      <w:r w:rsidR="00130E53">
        <w:rPr>
          <w:sz w:val="22"/>
          <w:szCs w:val="22"/>
        </w:rPr>
        <w:t xml:space="preserve">(named Emma) </w:t>
      </w:r>
      <w:proofErr w:type="gramStart"/>
      <w:r w:rsidR="00130E53">
        <w:rPr>
          <w:sz w:val="22"/>
          <w:szCs w:val="22"/>
        </w:rPr>
        <w:t>that  he</w:t>
      </w:r>
      <w:proofErr w:type="gramEnd"/>
      <w:r w:rsidR="00130E53">
        <w:rPr>
          <w:sz w:val="22"/>
          <w:szCs w:val="22"/>
        </w:rPr>
        <w:t xml:space="preserve"> lived with</w:t>
      </w:r>
      <w:r w:rsidRPr="00860BA4">
        <w:rPr>
          <w:sz w:val="22"/>
          <w:szCs w:val="22"/>
        </w:rPr>
        <w:t xml:space="preserve">. A witness recalled Badcock </w:t>
      </w:r>
      <w:r w:rsidR="00130E53">
        <w:rPr>
          <w:sz w:val="22"/>
          <w:szCs w:val="22"/>
        </w:rPr>
        <w:t xml:space="preserve">berating </w:t>
      </w:r>
      <w:r w:rsidRPr="00860BA4">
        <w:rPr>
          <w:sz w:val="22"/>
          <w:szCs w:val="22"/>
        </w:rPr>
        <w:t xml:space="preserve">Emma </w:t>
      </w:r>
      <w:r w:rsidR="00130E53">
        <w:rPr>
          <w:sz w:val="22"/>
          <w:szCs w:val="22"/>
        </w:rPr>
        <w:t>for being drunk, pushing her to the ground and kicking her</w:t>
      </w:r>
      <w:r w:rsidRPr="00860BA4">
        <w:rPr>
          <w:sz w:val="22"/>
          <w:szCs w:val="22"/>
        </w:rPr>
        <w:t xml:space="preserve">. The witness reminded Badcock </w:t>
      </w:r>
      <w:r w:rsidR="00347348">
        <w:rPr>
          <w:sz w:val="22"/>
          <w:szCs w:val="22"/>
        </w:rPr>
        <w:t>to take care as</w:t>
      </w:r>
      <w:r w:rsidRPr="00860BA4">
        <w:rPr>
          <w:sz w:val="22"/>
          <w:szCs w:val="22"/>
        </w:rPr>
        <w:t xml:space="preserve"> he was still on a ticket-of-leave. Other witnesses reported that Badcock had then picked up a frying-pan and told Emma that she would never forget what was going to happen to </w:t>
      </w:r>
      <w:r w:rsidRPr="00860BA4">
        <w:rPr>
          <w:sz w:val="22"/>
          <w:szCs w:val="22"/>
        </w:rPr>
        <w:lastRenderedPageBreak/>
        <w:t xml:space="preserve">her. The witnesses then fell asleep and saw no more, but in the morning, Emma was dead. </w:t>
      </w:r>
      <w:r w:rsidR="006F5411">
        <w:rPr>
          <w:sz w:val="22"/>
          <w:szCs w:val="22"/>
        </w:rPr>
        <w:t>A local doctor</w:t>
      </w:r>
      <w:r w:rsidRPr="00860BA4">
        <w:rPr>
          <w:sz w:val="22"/>
          <w:szCs w:val="22"/>
        </w:rPr>
        <w:t xml:space="preserve"> descr</w:t>
      </w:r>
      <w:r w:rsidR="006F5411">
        <w:rPr>
          <w:sz w:val="22"/>
          <w:szCs w:val="22"/>
        </w:rPr>
        <w:t>ibed the nature of the injuries: s</w:t>
      </w:r>
      <w:r w:rsidRPr="00860BA4">
        <w:rPr>
          <w:sz w:val="22"/>
          <w:szCs w:val="22"/>
        </w:rPr>
        <w:t>evere blows on the upper part of her chest, broken ribs, and also some blows on the head, ‘as from a frying-pan’. Found guilty of manslaughter, Badcock was sentenced to twelve years penal servitude (</w:t>
      </w:r>
      <w:r w:rsidRPr="00860BA4">
        <w:rPr>
          <w:i/>
          <w:sz w:val="22"/>
          <w:szCs w:val="22"/>
        </w:rPr>
        <w:t>Perth Gazette and West Australian Times</w:t>
      </w:r>
      <w:r w:rsidRPr="00860BA4">
        <w:rPr>
          <w:sz w:val="22"/>
          <w:szCs w:val="22"/>
        </w:rPr>
        <w:t>, April 7</w:t>
      </w:r>
      <w:r w:rsidRPr="005B4A23">
        <w:rPr>
          <w:sz w:val="22"/>
          <w:szCs w:val="22"/>
          <w:vertAlign w:val="superscript"/>
        </w:rPr>
        <w:t>th</w:t>
      </w:r>
      <w:r w:rsidR="005B4A23">
        <w:rPr>
          <w:sz w:val="22"/>
          <w:szCs w:val="22"/>
        </w:rPr>
        <w:t>,</w:t>
      </w:r>
      <w:r w:rsidRPr="00860BA4">
        <w:rPr>
          <w:sz w:val="22"/>
          <w:szCs w:val="22"/>
        </w:rPr>
        <w:t xml:space="preserve"> 1865).</w:t>
      </w:r>
      <w:r w:rsidRPr="00860BA4">
        <w:rPr>
          <w:rStyle w:val="FootnoteReference"/>
          <w:sz w:val="22"/>
          <w:szCs w:val="22"/>
        </w:rPr>
        <w:footnoteReference w:id="15"/>
      </w:r>
      <w:r w:rsidRPr="00860BA4">
        <w:rPr>
          <w:sz w:val="22"/>
          <w:szCs w:val="22"/>
        </w:rPr>
        <w:t xml:space="preserve"> </w:t>
      </w:r>
    </w:p>
    <w:p w14:paraId="14F4779A" w14:textId="14525B78" w:rsidR="00717566" w:rsidRDefault="00717566" w:rsidP="00B101EC">
      <w:pPr>
        <w:spacing w:line="360" w:lineRule="auto"/>
        <w:jc w:val="both"/>
        <w:rPr>
          <w:sz w:val="22"/>
          <w:szCs w:val="22"/>
        </w:rPr>
      </w:pPr>
      <w:r>
        <w:rPr>
          <w:sz w:val="22"/>
          <w:szCs w:val="22"/>
        </w:rPr>
        <w:t xml:space="preserve">Badcock had </w:t>
      </w:r>
      <w:r w:rsidR="00DF5A00">
        <w:rPr>
          <w:sz w:val="22"/>
          <w:szCs w:val="22"/>
        </w:rPr>
        <w:t>arrived in Western Australia on</w:t>
      </w:r>
      <w:r>
        <w:rPr>
          <w:sz w:val="22"/>
          <w:szCs w:val="22"/>
        </w:rPr>
        <w:t xml:space="preserve"> the </w:t>
      </w:r>
      <w:r w:rsidRPr="00150B06">
        <w:rPr>
          <w:i/>
          <w:sz w:val="22"/>
          <w:szCs w:val="22"/>
        </w:rPr>
        <w:t>Nile</w:t>
      </w:r>
      <w:r w:rsidR="00DF5A00">
        <w:rPr>
          <w:i/>
          <w:sz w:val="22"/>
          <w:szCs w:val="22"/>
        </w:rPr>
        <w:t xml:space="preserve"> </w:t>
      </w:r>
      <w:r w:rsidR="0071735E">
        <w:rPr>
          <w:sz w:val="22"/>
          <w:szCs w:val="22"/>
        </w:rPr>
        <w:t>on New Year’s Day 1858</w:t>
      </w:r>
      <w:r w:rsidR="0021340A">
        <w:rPr>
          <w:sz w:val="22"/>
          <w:szCs w:val="22"/>
        </w:rPr>
        <w:t>. A</w:t>
      </w:r>
      <w:r>
        <w:rPr>
          <w:sz w:val="22"/>
          <w:szCs w:val="22"/>
        </w:rPr>
        <w:t>nalys</w:t>
      </w:r>
      <w:r w:rsidR="0021340A">
        <w:rPr>
          <w:sz w:val="22"/>
          <w:szCs w:val="22"/>
        </w:rPr>
        <w:t>is of the Supreme Court records shows that</w:t>
      </w:r>
      <w:r>
        <w:rPr>
          <w:sz w:val="22"/>
          <w:szCs w:val="22"/>
        </w:rPr>
        <w:t xml:space="preserve"> over thirty of his shipmates </w:t>
      </w:r>
      <w:r w:rsidR="0071735E">
        <w:rPr>
          <w:sz w:val="22"/>
          <w:szCs w:val="22"/>
        </w:rPr>
        <w:t xml:space="preserve">(over 10%) </w:t>
      </w:r>
      <w:r>
        <w:rPr>
          <w:sz w:val="22"/>
          <w:szCs w:val="22"/>
        </w:rPr>
        <w:t xml:space="preserve">were still appearing in the </w:t>
      </w:r>
      <w:r w:rsidR="0071735E">
        <w:rPr>
          <w:sz w:val="22"/>
          <w:szCs w:val="22"/>
        </w:rPr>
        <w:t>Supreme Court</w:t>
      </w:r>
      <w:r>
        <w:rPr>
          <w:sz w:val="22"/>
          <w:szCs w:val="22"/>
        </w:rPr>
        <w:t xml:space="preserve"> years </w:t>
      </w:r>
      <w:r w:rsidR="00E7758C">
        <w:rPr>
          <w:sz w:val="22"/>
          <w:szCs w:val="22"/>
        </w:rPr>
        <w:t xml:space="preserve">long </w:t>
      </w:r>
      <w:r>
        <w:rPr>
          <w:sz w:val="22"/>
          <w:szCs w:val="22"/>
        </w:rPr>
        <w:t xml:space="preserve">after the </w:t>
      </w:r>
      <w:r w:rsidRPr="00150B06">
        <w:rPr>
          <w:i/>
          <w:sz w:val="22"/>
          <w:szCs w:val="22"/>
        </w:rPr>
        <w:t>Nile</w:t>
      </w:r>
      <w:r>
        <w:rPr>
          <w:sz w:val="22"/>
          <w:szCs w:val="22"/>
        </w:rPr>
        <w:t xml:space="preserve"> </w:t>
      </w:r>
      <w:r w:rsidR="00DF5A00">
        <w:rPr>
          <w:sz w:val="22"/>
          <w:szCs w:val="22"/>
        </w:rPr>
        <w:t xml:space="preserve">had </w:t>
      </w:r>
      <w:r>
        <w:rPr>
          <w:sz w:val="22"/>
          <w:szCs w:val="22"/>
        </w:rPr>
        <w:t>docked.</w:t>
      </w:r>
    </w:p>
    <w:p w14:paraId="4CD2B9E4" w14:textId="0E12E534" w:rsidR="00717566" w:rsidRPr="00860BA4" w:rsidRDefault="00717566" w:rsidP="00B101EC">
      <w:pPr>
        <w:spacing w:line="360" w:lineRule="auto"/>
        <w:jc w:val="both"/>
        <w:rPr>
          <w:color w:val="C00000"/>
          <w:sz w:val="22"/>
          <w:szCs w:val="22"/>
        </w:rPr>
      </w:pPr>
    </w:p>
    <w:p w14:paraId="26061E2C" w14:textId="41F6418D" w:rsidR="00717566" w:rsidRPr="00860BA4" w:rsidRDefault="00717566" w:rsidP="00AE0F76">
      <w:pPr>
        <w:jc w:val="both"/>
        <w:rPr>
          <w:b/>
          <w:color w:val="000000" w:themeColor="text1"/>
          <w:sz w:val="22"/>
          <w:szCs w:val="22"/>
        </w:rPr>
      </w:pPr>
      <w:r w:rsidRPr="00860BA4">
        <w:rPr>
          <w:b/>
          <w:color w:val="000000" w:themeColor="text1"/>
          <w:sz w:val="22"/>
          <w:szCs w:val="22"/>
        </w:rPr>
        <w:t>Fig</w:t>
      </w:r>
      <w:r>
        <w:rPr>
          <w:b/>
          <w:color w:val="000000" w:themeColor="text1"/>
          <w:sz w:val="22"/>
          <w:szCs w:val="22"/>
        </w:rPr>
        <w:t xml:space="preserve"> 4</w:t>
      </w:r>
      <w:r w:rsidRPr="00860BA4">
        <w:rPr>
          <w:b/>
          <w:color w:val="000000" w:themeColor="text1"/>
          <w:sz w:val="22"/>
          <w:szCs w:val="22"/>
        </w:rPr>
        <w:t xml:space="preserve">:   Percentage of convicts, by year of transportation, who were convicted </w:t>
      </w:r>
      <w:r w:rsidR="00366709">
        <w:rPr>
          <w:b/>
          <w:color w:val="000000" w:themeColor="text1"/>
          <w:sz w:val="22"/>
          <w:szCs w:val="22"/>
        </w:rPr>
        <w:t xml:space="preserve">in the Supreme Court </w:t>
      </w:r>
      <w:r w:rsidRPr="00860BA4">
        <w:rPr>
          <w:b/>
          <w:color w:val="000000" w:themeColor="text1"/>
          <w:sz w:val="22"/>
          <w:szCs w:val="22"/>
        </w:rPr>
        <w:t>between 1861 and 1900</w:t>
      </w:r>
      <w:r w:rsidRPr="00860BA4">
        <w:rPr>
          <w:rStyle w:val="FootnoteReference"/>
          <w:b/>
          <w:color w:val="000000" w:themeColor="text1"/>
          <w:sz w:val="22"/>
          <w:szCs w:val="22"/>
        </w:rPr>
        <w:footnoteReference w:id="16"/>
      </w:r>
    </w:p>
    <w:p w14:paraId="53C03A3A" w14:textId="77777777" w:rsidR="00717566" w:rsidRDefault="00717566" w:rsidP="00B101EC">
      <w:pPr>
        <w:spacing w:line="360" w:lineRule="auto"/>
        <w:jc w:val="both"/>
        <w:rPr>
          <w:color w:val="000000" w:themeColor="text1"/>
          <w:sz w:val="22"/>
          <w:szCs w:val="22"/>
        </w:rPr>
      </w:pPr>
    </w:p>
    <w:tbl>
      <w:tblPr>
        <w:tblStyle w:val="TableGrid"/>
        <w:tblW w:w="8784" w:type="dxa"/>
        <w:tblLook w:val="04A0" w:firstRow="1" w:lastRow="0" w:firstColumn="1" w:lastColumn="0" w:noHBand="0" w:noVBand="1"/>
      </w:tblPr>
      <w:tblGrid>
        <w:gridCol w:w="846"/>
        <w:gridCol w:w="2268"/>
        <w:gridCol w:w="2410"/>
        <w:gridCol w:w="3260"/>
      </w:tblGrid>
      <w:tr w:rsidR="002A3A54" w:rsidRPr="00824AAB" w14:paraId="358CFB4D" w14:textId="4477E5D5" w:rsidTr="002A3A54">
        <w:tc>
          <w:tcPr>
            <w:tcW w:w="846" w:type="dxa"/>
            <w:shd w:val="clear" w:color="auto" w:fill="E7E6E6" w:themeFill="background2"/>
          </w:tcPr>
          <w:p w14:paraId="10869E69" w14:textId="77777777" w:rsidR="002A3A54" w:rsidRPr="00F501BA" w:rsidRDefault="002A3A54" w:rsidP="00B101EC">
            <w:pPr>
              <w:spacing w:line="360" w:lineRule="auto"/>
              <w:jc w:val="both"/>
              <w:rPr>
                <w:b/>
                <w:color w:val="000000" w:themeColor="text1"/>
                <w:sz w:val="20"/>
                <w:szCs w:val="20"/>
              </w:rPr>
            </w:pPr>
            <w:r w:rsidRPr="00F501BA">
              <w:rPr>
                <w:b/>
                <w:color w:val="000000" w:themeColor="text1"/>
                <w:sz w:val="20"/>
                <w:szCs w:val="20"/>
              </w:rPr>
              <w:t>Year</w:t>
            </w:r>
          </w:p>
        </w:tc>
        <w:tc>
          <w:tcPr>
            <w:tcW w:w="2268" w:type="dxa"/>
            <w:shd w:val="clear" w:color="auto" w:fill="E7E6E6" w:themeFill="background2"/>
          </w:tcPr>
          <w:p w14:paraId="1777E5BC" w14:textId="54FAEA31" w:rsidR="002A3A54" w:rsidRPr="00F501BA" w:rsidRDefault="002A3A54" w:rsidP="00B101EC">
            <w:pPr>
              <w:spacing w:line="360" w:lineRule="auto"/>
              <w:jc w:val="center"/>
              <w:rPr>
                <w:b/>
                <w:color w:val="000000" w:themeColor="text1"/>
                <w:sz w:val="20"/>
                <w:szCs w:val="20"/>
              </w:rPr>
            </w:pPr>
            <w:r w:rsidRPr="00F501BA">
              <w:rPr>
                <w:b/>
                <w:color w:val="000000" w:themeColor="text1"/>
                <w:sz w:val="20"/>
                <w:szCs w:val="20"/>
              </w:rPr>
              <w:t xml:space="preserve">Number of convicts transported </w:t>
            </w:r>
          </w:p>
        </w:tc>
        <w:tc>
          <w:tcPr>
            <w:tcW w:w="2410" w:type="dxa"/>
            <w:shd w:val="clear" w:color="auto" w:fill="E7E6E6" w:themeFill="background2"/>
          </w:tcPr>
          <w:p w14:paraId="6DB50AA0" w14:textId="375551DE" w:rsidR="002A3A54" w:rsidRPr="00F501BA" w:rsidRDefault="002A3A54" w:rsidP="00B101EC">
            <w:pPr>
              <w:spacing w:line="360" w:lineRule="auto"/>
              <w:jc w:val="center"/>
              <w:rPr>
                <w:b/>
                <w:color w:val="000000" w:themeColor="text1"/>
                <w:sz w:val="20"/>
                <w:szCs w:val="20"/>
              </w:rPr>
            </w:pPr>
            <w:r w:rsidRPr="00F501BA">
              <w:rPr>
                <w:b/>
                <w:color w:val="000000" w:themeColor="text1"/>
                <w:sz w:val="20"/>
                <w:szCs w:val="20"/>
              </w:rPr>
              <w:t>Convicted</w:t>
            </w:r>
            <w:r>
              <w:rPr>
                <w:b/>
                <w:color w:val="000000" w:themeColor="text1"/>
                <w:sz w:val="20"/>
                <w:szCs w:val="20"/>
              </w:rPr>
              <w:t xml:space="preserve"> in Supreme Court</w:t>
            </w:r>
            <w:r w:rsidRPr="00F501BA">
              <w:rPr>
                <w:b/>
                <w:color w:val="000000" w:themeColor="text1"/>
                <w:sz w:val="20"/>
                <w:szCs w:val="20"/>
              </w:rPr>
              <w:t xml:space="preserve"> between </w:t>
            </w:r>
            <w:r>
              <w:rPr>
                <w:b/>
                <w:color w:val="000000" w:themeColor="text1"/>
                <w:sz w:val="20"/>
                <w:szCs w:val="20"/>
              </w:rPr>
              <w:t>1861</w:t>
            </w:r>
            <w:r w:rsidRPr="00F501BA">
              <w:rPr>
                <w:b/>
                <w:color w:val="000000" w:themeColor="text1"/>
                <w:sz w:val="20"/>
                <w:szCs w:val="20"/>
              </w:rPr>
              <w:t xml:space="preserve"> and 1900</w:t>
            </w:r>
          </w:p>
        </w:tc>
        <w:tc>
          <w:tcPr>
            <w:tcW w:w="3260" w:type="dxa"/>
            <w:shd w:val="clear" w:color="auto" w:fill="E7E6E6" w:themeFill="background2"/>
          </w:tcPr>
          <w:p w14:paraId="55659835" w14:textId="67643902" w:rsidR="002A3A54" w:rsidRPr="00F501BA" w:rsidRDefault="002A3A54" w:rsidP="00B101EC">
            <w:pPr>
              <w:spacing w:line="360" w:lineRule="auto"/>
              <w:jc w:val="center"/>
              <w:rPr>
                <w:b/>
                <w:color w:val="000000" w:themeColor="text1"/>
                <w:sz w:val="20"/>
                <w:szCs w:val="20"/>
              </w:rPr>
            </w:pPr>
            <w:r w:rsidRPr="00F501BA">
              <w:rPr>
                <w:b/>
                <w:color w:val="000000" w:themeColor="text1"/>
                <w:sz w:val="20"/>
                <w:szCs w:val="20"/>
              </w:rPr>
              <w:t>% of convicts transported this year who were convicted</w:t>
            </w:r>
            <w:r>
              <w:rPr>
                <w:b/>
                <w:color w:val="000000" w:themeColor="text1"/>
                <w:sz w:val="20"/>
                <w:szCs w:val="20"/>
              </w:rPr>
              <w:t xml:space="preserve"> in Supreme Court between 1861 and 1900</w:t>
            </w:r>
          </w:p>
        </w:tc>
      </w:tr>
      <w:tr w:rsidR="002A3A54" w:rsidRPr="00824AAB" w14:paraId="363B8DB7" w14:textId="41320F5C" w:rsidTr="002A3A54">
        <w:tc>
          <w:tcPr>
            <w:tcW w:w="846" w:type="dxa"/>
          </w:tcPr>
          <w:p w14:paraId="7C918ED6" w14:textId="77777777" w:rsidR="002A3A54" w:rsidRPr="00824AAB" w:rsidRDefault="002A3A54" w:rsidP="00B101EC">
            <w:pPr>
              <w:spacing w:line="360" w:lineRule="auto"/>
              <w:jc w:val="both"/>
              <w:rPr>
                <w:color w:val="000000" w:themeColor="text1"/>
                <w:sz w:val="20"/>
                <w:szCs w:val="20"/>
              </w:rPr>
            </w:pPr>
            <w:r w:rsidRPr="00824AAB">
              <w:rPr>
                <w:color w:val="000000" w:themeColor="text1"/>
                <w:sz w:val="20"/>
                <w:szCs w:val="20"/>
              </w:rPr>
              <w:t>1850</w:t>
            </w:r>
          </w:p>
        </w:tc>
        <w:tc>
          <w:tcPr>
            <w:tcW w:w="2268" w:type="dxa"/>
          </w:tcPr>
          <w:p w14:paraId="7721AE16"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175</w:t>
            </w:r>
          </w:p>
        </w:tc>
        <w:tc>
          <w:tcPr>
            <w:tcW w:w="2410" w:type="dxa"/>
          </w:tcPr>
          <w:p w14:paraId="6220760E"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7</w:t>
            </w:r>
          </w:p>
        </w:tc>
        <w:tc>
          <w:tcPr>
            <w:tcW w:w="3260" w:type="dxa"/>
          </w:tcPr>
          <w:p w14:paraId="125DDEDD"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4</w:t>
            </w:r>
          </w:p>
        </w:tc>
      </w:tr>
      <w:tr w:rsidR="002A3A54" w:rsidRPr="00824AAB" w14:paraId="04F19C1F" w14:textId="3F0911FE" w:rsidTr="002A3A54">
        <w:tc>
          <w:tcPr>
            <w:tcW w:w="846" w:type="dxa"/>
          </w:tcPr>
          <w:p w14:paraId="25B87F9F" w14:textId="77777777" w:rsidR="002A3A54" w:rsidRPr="00824AAB" w:rsidRDefault="002A3A54" w:rsidP="00B101EC">
            <w:pPr>
              <w:spacing w:line="360" w:lineRule="auto"/>
              <w:jc w:val="both"/>
              <w:rPr>
                <w:color w:val="000000" w:themeColor="text1"/>
                <w:sz w:val="20"/>
                <w:szCs w:val="20"/>
              </w:rPr>
            </w:pPr>
            <w:r w:rsidRPr="00824AAB">
              <w:rPr>
                <w:color w:val="000000" w:themeColor="text1"/>
                <w:sz w:val="20"/>
                <w:szCs w:val="20"/>
              </w:rPr>
              <w:t>1851</w:t>
            </w:r>
          </w:p>
        </w:tc>
        <w:tc>
          <w:tcPr>
            <w:tcW w:w="2268" w:type="dxa"/>
          </w:tcPr>
          <w:p w14:paraId="3204BDF2"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802</w:t>
            </w:r>
          </w:p>
        </w:tc>
        <w:tc>
          <w:tcPr>
            <w:tcW w:w="2410" w:type="dxa"/>
          </w:tcPr>
          <w:p w14:paraId="7AF7B5D1"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31</w:t>
            </w:r>
          </w:p>
        </w:tc>
        <w:tc>
          <w:tcPr>
            <w:tcW w:w="3260" w:type="dxa"/>
          </w:tcPr>
          <w:p w14:paraId="0C070904"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4</w:t>
            </w:r>
          </w:p>
        </w:tc>
      </w:tr>
      <w:tr w:rsidR="002A3A54" w:rsidRPr="00824AAB" w14:paraId="6C42619D" w14:textId="6BDA6F7A" w:rsidTr="002A3A54">
        <w:tc>
          <w:tcPr>
            <w:tcW w:w="846" w:type="dxa"/>
          </w:tcPr>
          <w:p w14:paraId="43FF178B" w14:textId="77777777" w:rsidR="002A3A54" w:rsidRPr="00824AAB" w:rsidRDefault="002A3A54" w:rsidP="00B101EC">
            <w:pPr>
              <w:spacing w:line="360" w:lineRule="auto"/>
              <w:jc w:val="both"/>
              <w:rPr>
                <w:color w:val="000000" w:themeColor="text1"/>
                <w:sz w:val="20"/>
                <w:szCs w:val="20"/>
              </w:rPr>
            </w:pPr>
            <w:r w:rsidRPr="00824AAB">
              <w:rPr>
                <w:color w:val="000000" w:themeColor="text1"/>
                <w:sz w:val="20"/>
                <w:szCs w:val="20"/>
              </w:rPr>
              <w:t>1852</w:t>
            </w:r>
          </w:p>
        </w:tc>
        <w:tc>
          <w:tcPr>
            <w:tcW w:w="2268" w:type="dxa"/>
          </w:tcPr>
          <w:p w14:paraId="2C3717DF"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491</w:t>
            </w:r>
          </w:p>
        </w:tc>
        <w:tc>
          <w:tcPr>
            <w:tcW w:w="2410" w:type="dxa"/>
          </w:tcPr>
          <w:p w14:paraId="589BA0D3"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23</w:t>
            </w:r>
          </w:p>
        </w:tc>
        <w:tc>
          <w:tcPr>
            <w:tcW w:w="3260" w:type="dxa"/>
          </w:tcPr>
          <w:p w14:paraId="65759E2F"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5</w:t>
            </w:r>
          </w:p>
        </w:tc>
      </w:tr>
      <w:tr w:rsidR="002A3A54" w:rsidRPr="00824AAB" w14:paraId="4F20A87E" w14:textId="5D4BF94E" w:rsidTr="002A3A54">
        <w:tc>
          <w:tcPr>
            <w:tcW w:w="846" w:type="dxa"/>
          </w:tcPr>
          <w:p w14:paraId="49A7BD7E" w14:textId="77777777" w:rsidR="002A3A54" w:rsidRPr="00824AAB" w:rsidRDefault="002A3A54" w:rsidP="00B101EC">
            <w:pPr>
              <w:spacing w:line="360" w:lineRule="auto"/>
              <w:jc w:val="both"/>
              <w:rPr>
                <w:color w:val="000000" w:themeColor="text1"/>
                <w:sz w:val="20"/>
                <w:szCs w:val="20"/>
              </w:rPr>
            </w:pPr>
            <w:r w:rsidRPr="00824AAB">
              <w:rPr>
                <w:color w:val="000000" w:themeColor="text1"/>
                <w:sz w:val="20"/>
                <w:szCs w:val="20"/>
              </w:rPr>
              <w:t>1853</w:t>
            </w:r>
          </w:p>
        </w:tc>
        <w:tc>
          <w:tcPr>
            <w:tcW w:w="2268" w:type="dxa"/>
          </w:tcPr>
          <w:p w14:paraId="431D758C"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1107</w:t>
            </w:r>
          </w:p>
        </w:tc>
        <w:tc>
          <w:tcPr>
            <w:tcW w:w="2410" w:type="dxa"/>
          </w:tcPr>
          <w:p w14:paraId="5C334F7A"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50</w:t>
            </w:r>
          </w:p>
        </w:tc>
        <w:tc>
          <w:tcPr>
            <w:tcW w:w="3260" w:type="dxa"/>
          </w:tcPr>
          <w:p w14:paraId="377CF06F"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5</w:t>
            </w:r>
          </w:p>
        </w:tc>
      </w:tr>
      <w:tr w:rsidR="002A3A54" w:rsidRPr="00824AAB" w14:paraId="70036178" w14:textId="3836F907" w:rsidTr="002A3A54">
        <w:tc>
          <w:tcPr>
            <w:tcW w:w="846" w:type="dxa"/>
          </w:tcPr>
          <w:p w14:paraId="32ECBF45" w14:textId="77777777" w:rsidR="002A3A54" w:rsidRPr="00824AAB" w:rsidRDefault="002A3A54" w:rsidP="00B101EC">
            <w:pPr>
              <w:spacing w:line="360" w:lineRule="auto"/>
              <w:jc w:val="both"/>
              <w:rPr>
                <w:color w:val="000000" w:themeColor="text1"/>
                <w:sz w:val="20"/>
                <w:szCs w:val="20"/>
              </w:rPr>
            </w:pPr>
            <w:r w:rsidRPr="00824AAB">
              <w:rPr>
                <w:color w:val="000000" w:themeColor="text1"/>
                <w:sz w:val="20"/>
                <w:szCs w:val="20"/>
              </w:rPr>
              <w:t>1854</w:t>
            </w:r>
          </w:p>
        </w:tc>
        <w:tc>
          <w:tcPr>
            <w:tcW w:w="2268" w:type="dxa"/>
          </w:tcPr>
          <w:p w14:paraId="3F727735"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596</w:t>
            </w:r>
          </w:p>
        </w:tc>
        <w:tc>
          <w:tcPr>
            <w:tcW w:w="2410" w:type="dxa"/>
          </w:tcPr>
          <w:p w14:paraId="25540E7D"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45</w:t>
            </w:r>
          </w:p>
        </w:tc>
        <w:tc>
          <w:tcPr>
            <w:tcW w:w="3260" w:type="dxa"/>
          </w:tcPr>
          <w:p w14:paraId="24BC89E8"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8</w:t>
            </w:r>
          </w:p>
        </w:tc>
      </w:tr>
      <w:tr w:rsidR="002A3A54" w:rsidRPr="00824AAB" w14:paraId="1291BCC4" w14:textId="7BD2583B" w:rsidTr="002A3A54">
        <w:tc>
          <w:tcPr>
            <w:tcW w:w="846" w:type="dxa"/>
          </w:tcPr>
          <w:p w14:paraId="4CBF30C7" w14:textId="77777777" w:rsidR="002A3A54" w:rsidRPr="00824AAB" w:rsidRDefault="002A3A54" w:rsidP="00B101EC">
            <w:pPr>
              <w:spacing w:line="360" w:lineRule="auto"/>
              <w:jc w:val="both"/>
              <w:rPr>
                <w:color w:val="000000" w:themeColor="text1"/>
                <w:sz w:val="20"/>
                <w:szCs w:val="20"/>
              </w:rPr>
            </w:pPr>
            <w:r w:rsidRPr="00824AAB">
              <w:rPr>
                <w:color w:val="000000" w:themeColor="text1"/>
                <w:sz w:val="20"/>
                <w:szCs w:val="20"/>
              </w:rPr>
              <w:t>1855</w:t>
            </w:r>
          </w:p>
        </w:tc>
        <w:tc>
          <w:tcPr>
            <w:tcW w:w="2268" w:type="dxa"/>
          </w:tcPr>
          <w:p w14:paraId="5DBF299E"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520</w:t>
            </w:r>
          </w:p>
        </w:tc>
        <w:tc>
          <w:tcPr>
            <w:tcW w:w="2410" w:type="dxa"/>
          </w:tcPr>
          <w:p w14:paraId="09AC7EC0"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33</w:t>
            </w:r>
          </w:p>
        </w:tc>
        <w:tc>
          <w:tcPr>
            <w:tcW w:w="3260" w:type="dxa"/>
          </w:tcPr>
          <w:p w14:paraId="398731E4"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6</w:t>
            </w:r>
          </w:p>
        </w:tc>
      </w:tr>
      <w:tr w:rsidR="002A3A54" w:rsidRPr="00824AAB" w14:paraId="06A88D34" w14:textId="5C28C5DC" w:rsidTr="002A3A54">
        <w:tc>
          <w:tcPr>
            <w:tcW w:w="846" w:type="dxa"/>
          </w:tcPr>
          <w:p w14:paraId="7C0362DF" w14:textId="77777777" w:rsidR="002A3A54" w:rsidRPr="00824AAB" w:rsidRDefault="002A3A54" w:rsidP="00B101EC">
            <w:pPr>
              <w:spacing w:line="360" w:lineRule="auto"/>
              <w:jc w:val="both"/>
              <w:rPr>
                <w:color w:val="000000" w:themeColor="text1"/>
                <w:sz w:val="20"/>
                <w:szCs w:val="20"/>
              </w:rPr>
            </w:pPr>
            <w:r w:rsidRPr="00824AAB">
              <w:rPr>
                <w:color w:val="000000" w:themeColor="text1"/>
                <w:sz w:val="20"/>
                <w:szCs w:val="20"/>
              </w:rPr>
              <w:t>1856</w:t>
            </w:r>
          </w:p>
        </w:tc>
        <w:tc>
          <w:tcPr>
            <w:tcW w:w="2268" w:type="dxa"/>
          </w:tcPr>
          <w:p w14:paraId="28F503A4"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498</w:t>
            </w:r>
          </w:p>
        </w:tc>
        <w:tc>
          <w:tcPr>
            <w:tcW w:w="2410" w:type="dxa"/>
          </w:tcPr>
          <w:p w14:paraId="5A998384"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48</w:t>
            </w:r>
          </w:p>
        </w:tc>
        <w:tc>
          <w:tcPr>
            <w:tcW w:w="3260" w:type="dxa"/>
          </w:tcPr>
          <w:p w14:paraId="4E575018"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10</w:t>
            </w:r>
          </w:p>
        </w:tc>
      </w:tr>
      <w:tr w:rsidR="002A3A54" w:rsidRPr="00824AAB" w14:paraId="7C28F41A" w14:textId="3845C4A4" w:rsidTr="002A3A54">
        <w:tc>
          <w:tcPr>
            <w:tcW w:w="846" w:type="dxa"/>
          </w:tcPr>
          <w:p w14:paraId="0B3DA743" w14:textId="77777777" w:rsidR="002A3A54" w:rsidRPr="00824AAB" w:rsidRDefault="002A3A54" w:rsidP="00B101EC">
            <w:pPr>
              <w:spacing w:line="360" w:lineRule="auto"/>
              <w:jc w:val="both"/>
              <w:rPr>
                <w:color w:val="000000" w:themeColor="text1"/>
                <w:sz w:val="20"/>
                <w:szCs w:val="20"/>
              </w:rPr>
            </w:pPr>
            <w:r w:rsidRPr="00824AAB">
              <w:rPr>
                <w:color w:val="000000" w:themeColor="text1"/>
                <w:sz w:val="20"/>
                <w:szCs w:val="20"/>
              </w:rPr>
              <w:t>1857</w:t>
            </w:r>
          </w:p>
        </w:tc>
        <w:tc>
          <w:tcPr>
            <w:tcW w:w="2268" w:type="dxa"/>
          </w:tcPr>
          <w:p w14:paraId="57465EA0"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266</w:t>
            </w:r>
          </w:p>
        </w:tc>
        <w:tc>
          <w:tcPr>
            <w:tcW w:w="2410" w:type="dxa"/>
          </w:tcPr>
          <w:p w14:paraId="41A8FD30"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22</w:t>
            </w:r>
          </w:p>
        </w:tc>
        <w:tc>
          <w:tcPr>
            <w:tcW w:w="3260" w:type="dxa"/>
          </w:tcPr>
          <w:p w14:paraId="0B05E4D8"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8</w:t>
            </w:r>
          </w:p>
        </w:tc>
      </w:tr>
      <w:tr w:rsidR="002A3A54" w:rsidRPr="00824AAB" w14:paraId="0B5E4391" w14:textId="72EB3134" w:rsidTr="002A3A54">
        <w:tc>
          <w:tcPr>
            <w:tcW w:w="846" w:type="dxa"/>
          </w:tcPr>
          <w:p w14:paraId="4A298E25" w14:textId="77777777" w:rsidR="002A3A54" w:rsidRPr="00824AAB" w:rsidRDefault="002A3A54" w:rsidP="00B101EC">
            <w:pPr>
              <w:spacing w:line="360" w:lineRule="auto"/>
              <w:jc w:val="both"/>
              <w:rPr>
                <w:color w:val="000000" w:themeColor="text1"/>
                <w:sz w:val="20"/>
                <w:szCs w:val="20"/>
              </w:rPr>
            </w:pPr>
            <w:r w:rsidRPr="00824AAB">
              <w:rPr>
                <w:color w:val="000000" w:themeColor="text1"/>
                <w:sz w:val="20"/>
                <w:szCs w:val="20"/>
              </w:rPr>
              <w:t>1858</w:t>
            </w:r>
          </w:p>
        </w:tc>
        <w:tc>
          <w:tcPr>
            <w:tcW w:w="2268" w:type="dxa"/>
          </w:tcPr>
          <w:p w14:paraId="373EEF4B"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827</w:t>
            </w:r>
          </w:p>
        </w:tc>
        <w:tc>
          <w:tcPr>
            <w:tcW w:w="2410" w:type="dxa"/>
          </w:tcPr>
          <w:p w14:paraId="046EDF86"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96</w:t>
            </w:r>
          </w:p>
        </w:tc>
        <w:tc>
          <w:tcPr>
            <w:tcW w:w="3260" w:type="dxa"/>
          </w:tcPr>
          <w:p w14:paraId="2C81D1E7"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12</w:t>
            </w:r>
          </w:p>
        </w:tc>
      </w:tr>
      <w:tr w:rsidR="002A3A54" w:rsidRPr="00824AAB" w14:paraId="2AA3ED0E" w14:textId="730154C6" w:rsidTr="002A3A54">
        <w:tc>
          <w:tcPr>
            <w:tcW w:w="846" w:type="dxa"/>
          </w:tcPr>
          <w:p w14:paraId="3A52D171" w14:textId="77777777" w:rsidR="002A3A54" w:rsidRPr="00824AAB" w:rsidRDefault="002A3A54" w:rsidP="00B101EC">
            <w:pPr>
              <w:spacing w:line="360" w:lineRule="auto"/>
              <w:jc w:val="both"/>
              <w:rPr>
                <w:color w:val="000000" w:themeColor="text1"/>
                <w:sz w:val="20"/>
                <w:szCs w:val="20"/>
              </w:rPr>
            </w:pPr>
            <w:r w:rsidRPr="00824AAB">
              <w:rPr>
                <w:color w:val="000000" w:themeColor="text1"/>
                <w:sz w:val="20"/>
                <w:szCs w:val="20"/>
              </w:rPr>
              <w:t>1859</w:t>
            </w:r>
          </w:p>
        </w:tc>
        <w:tc>
          <w:tcPr>
            <w:tcW w:w="2268" w:type="dxa"/>
          </w:tcPr>
          <w:p w14:paraId="1639A5A2"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224</w:t>
            </w:r>
          </w:p>
        </w:tc>
        <w:tc>
          <w:tcPr>
            <w:tcW w:w="2410" w:type="dxa"/>
          </w:tcPr>
          <w:p w14:paraId="3C93F990"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42</w:t>
            </w:r>
          </w:p>
        </w:tc>
        <w:tc>
          <w:tcPr>
            <w:tcW w:w="3260" w:type="dxa"/>
          </w:tcPr>
          <w:p w14:paraId="13D9EE9E"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19</w:t>
            </w:r>
          </w:p>
        </w:tc>
      </w:tr>
      <w:tr w:rsidR="002A3A54" w:rsidRPr="00824AAB" w14:paraId="399D0873" w14:textId="3F469B69" w:rsidTr="002A3A54">
        <w:tc>
          <w:tcPr>
            <w:tcW w:w="846" w:type="dxa"/>
          </w:tcPr>
          <w:p w14:paraId="6DC9FAC4" w14:textId="77777777" w:rsidR="002A3A54" w:rsidRPr="00824AAB" w:rsidRDefault="002A3A54" w:rsidP="00B101EC">
            <w:pPr>
              <w:spacing w:line="360" w:lineRule="auto"/>
              <w:jc w:val="both"/>
              <w:rPr>
                <w:color w:val="000000" w:themeColor="text1"/>
                <w:sz w:val="20"/>
                <w:szCs w:val="20"/>
              </w:rPr>
            </w:pPr>
            <w:r w:rsidRPr="00824AAB">
              <w:rPr>
                <w:color w:val="000000" w:themeColor="text1"/>
                <w:sz w:val="20"/>
                <w:szCs w:val="20"/>
              </w:rPr>
              <w:t>1860</w:t>
            </w:r>
          </w:p>
        </w:tc>
        <w:tc>
          <w:tcPr>
            <w:tcW w:w="2268" w:type="dxa"/>
          </w:tcPr>
          <w:p w14:paraId="78A61262"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0</w:t>
            </w:r>
          </w:p>
        </w:tc>
        <w:tc>
          <w:tcPr>
            <w:tcW w:w="2410" w:type="dxa"/>
          </w:tcPr>
          <w:p w14:paraId="161C2A12"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0</w:t>
            </w:r>
          </w:p>
        </w:tc>
        <w:tc>
          <w:tcPr>
            <w:tcW w:w="3260" w:type="dxa"/>
          </w:tcPr>
          <w:p w14:paraId="5186C0BE"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0</w:t>
            </w:r>
          </w:p>
        </w:tc>
      </w:tr>
      <w:tr w:rsidR="002A3A54" w:rsidRPr="00824AAB" w14:paraId="2D50639C" w14:textId="26550BF0" w:rsidTr="002A3A54">
        <w:tc>
          <w:tcPr>
            <w:tcW w:w="846" w:type="dxa"/>
          </w:tcPr>
          <w:p w14:paraId="5859EBEF" w14:textId="77777777" w:rsidR="002A3A54" w:rsidRPr="00824AAB" w:rsidRDefault="002A3A54" w:rsidP="00B101EC">
            <w:pPr>
              <w:spacing w:line="360" w:lineRule="auto"/>
              <w:jc w:val="both"/>
              <w:rPr>
                <w:color w:val="000000" w:themeColor="text1"/>
                <w:sz w:val="20"/>
                <w:szCs w:val="20"/>
              </w:rPr>
            </w:pPr>
            <w:r w:rsidRPr="00824AAB">
              <w:rPr>
                <w:color w:val="000000" w:themeColor="text1"/>
                <w:sz w:val="20"/>
                <w:szCs w:val="20"/>
              </w:rPr>
              <w:t>1861</w:t>
            </w:r>
          </w:p>
        </w:tc>
        <w:tc>
          <w:tcPr>
            <w:tcW w:w="2268" w:type="dxa"/>
          </w:tcPr>
          <w:p w14:paraId="0CBD0698"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293</w:t>
            </w:r>
          </w:p>
        </w:tc>
        <w:tc>
          <w:tcPr>
            <w:tcW w:w="2410" w:type="dxa"/>
          </w:tcPr>
          <w:p w14:paraId="4AB2B5BB"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36</w:t>
            </w:r>
          </w:p>
        </w:tc>
        <w:tc>
          <w:tcPr>
            <w:tcW w:w="3260" w:type="dxa"/>
          </w:tcPr>
          <w:p w14:paraId="44F2AFD5"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12</w:t>
            </w:r>
          </w:p>
        </w:tc>
      </w:tr>
      <w:tr w:rsidR="002A3A54" w:rsidRPr="00824AAB" w14:paraId="7E59A316" w14:textId="4D5C0043" w:rsidTr="002A3A54">
        <w:tc>
          <w:tcPr>
            <w:tcW w:w="846" w:type="dxa"/>
          </w:tcPr>
          <w:p w14:paraId="000A1A5D" w14:textId="77777777" w:rsidR="002A3A54" w:rsidRPr="00824AAB" w:rsidRDefault="002A3A54" w:rsidP="00B101EC">
            <w:pPr>
              <w:spacing w:line="360" w:lineRule="auto"/>
              <w:jc w:val="both"/>
              <w:rPr>
                <w:color w:val="000000" w:themeColor="text1"/>
                <w:sz w:val="20"/>
                <w:szCs w:val="20"/>
              </w:rPr>
            </w:pPr>
            <w:r w:rsidRPr="00824AAB">
              <w:rPr>
                <w:color w:val="000000" w:themeColor="text1"/>
                <w:sz w:val="20"/>
                <w:szCs w:val="20"/>
              </w:rPr>
              <w:t>1862</w:t>
            </w:r>
          </w:p>
        </w:tc>
        <w:tc>
          <w:tcPr>
            <w:tcW w:w="2268" w:type="dxa"/>
          </w:tcPr>
          <w:p w14:paraId="1EA2083A"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893</w:t>
            </w:r>
          </w:p>
        </w:tc>
        <w:tc>
          <w:tcPr>
            <w:tcW w:w="2410" w:type="dxa"/>
          </w:tcPr>
          <w:p w14:paraId="49225384"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113</w:t>
            </w:r>
          </w:p>
        </w:tc>
        <w:tc>
          <w:tcPr>
            <w:tcW w:w="3260" w:type="dxa"/>
          </w:tcPr>
          <w:p w14:paraId="44EACA24"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13</w:t>
            </w:r>
          </w:p>
        </w:tc>
      </w:tr>
      <w:tr w:rsidR="002A3A54" w:rsidRPr="00824AAB" w14:paraId="6A1E670D" w14:textId="04B18545" w:rsidTr="002A3A54">
        <w:tc>
          <w:tcPr>
            <w:tcW w:w="846" w:type="dxa"/>
          </w:tcPr>
          <w:p w14:paraId="4FD2854B" w14:textId="77777777" w:rsidR="002A3A54" w:rsidRPr="00824AAB" w:rsidRDefault="002A3A54" w:rsidP="00B101EC">
            <w:pPr>
              <w:spacing w:line="360" w:lineRule="auto"/>
              <w:jc w:val="both"/>
              <w:rPr>
                <w:color w:val="000000" w:themeColor="text1"/>
                <w:sz w:val="20"/>
                <w:szCs w:val="20"/>
              </w:rPr>
            </w:pPr>
            <w:r w:rsidRPr="00824AAB">
              <w:rPr>
                <w:color w:val="000000" w:themeColor="text1"/>
                <w:sz w:val="20"/>
                <w:szCs w:val="20"/>
              </w:rPr>
              <w:t>1863</w:t>
            </w:r>
          </w:p>
        </w:tc>
        <w:tc>
          <w:tcPr>
            <w:tcW w:w="2268" w:type="dxa"/>
          </w:tcPr>
          <w:p w14:paraId="5A50634A"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847</w:t>
            </w:r>
          </w:p>
        </w:tc>
        <w:tc>
          <w:tcPr>
            <w:tcW w:w="2410" w:type="dxa"/>
          </w:tcPr>
          <w:p w14:paraId="58FDEDF1"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92</w:t>
            </w:r>
          </w:p>
        </w:tc>
        <w:tc>
          <w:tcPr>
            <w:tcW w:w="3260" w:type="dxa"/>
          </w:tcPr>
          <w:p w14:paraId="209E0B26"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11</w:t>
            </w:r>
          </w:p>
        </w:tc>
      </w:tr>
      <w:tr w:rsidR="002A3A54" w:rsidRPr="00824AAB" w14:paraId="54DB5733" w14:textId="58778AB1" w:rsidTr="002A3A54">
        <w:tc>
          <w:tcPr>
            <w:tcW w:w="846" w:type="dxa"/>
          </w:tcPr>
          <w:p w14:paraId="2B644B0B" w14:textId="77777777" w:rsidR="002A3A54" w:rsidRPr="00824AAB" w:rsidRDefault="002A3A54" w:rsidP="00B101EC">
            <w:pPr>
              <w:spacing w:line="360" w:lineRule="auto"/>
              <w:jc w:val="both"/>
              <w:rPr>
                <w:color w:val="000000" w:themeColor="text1"/>
                <w:sz w:val="20"/>
                <w:szCs w:val="20"/>
              </w:rPr>
            </w:pPr>
            <w:r w:rsidRPr="00824AAB">
              <w:rPr>
                <w:color w:val="000000" w:themeColor="text1"/>
                <w:sz w:val="20"/>
                <w:szCs w:val="20"/>
              </w:rPr>
              <w:t>1864</w:t>
            </w:r>
          </w:p>
        </w:tc>
        <w:tc>
          <w:tcPr>
            <w:tcW w:w="2268" w:type="dxa"/>
          </w:tcPr>
          <w:p w14:paraId="419FBF5C"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559</w:t>
            </w:r>
          </w:p>
        </w:tc>
        <w:tc>
          <w:tcPr>
            <w:tcW w:w="2410" w:type="dxa"/>
          </w:tcPr>
          <w:p w14:paraId="287D0883"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56</w:t>
            </w:r>
          </w:p>
        </w:tc>
        <w:tc>
          <w:tcPr>
            <w:tcW w:w="3260" w:type="dxa"/>
          </w:tcPr>
          <w:p w14:paraId="5FBC4621"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10</w:t>
            </w:r>
          </w:p>
        </w:tc>
      </w:tr>
      <w:tr w:rsidR="002A3A54" w:rsidRPr="00824AAB" w14:paraId="57BFEB5B" w14:textId="7F03FDBC" w:rsidTr="002A3A54">
        <w:tc>
          <w:tcPr>
            <w:tcW w:w="846" w:type="dxa"/>
          </w:tcPr>
          <w:p w14:paraId="7DAD18FD" w14:textId="77777777" w:rsidR="002A3A54" w:rsidRPr="00824AAB" w:rsidRDefault="002A3A54" w:rsidP="00B101EC">
            <w:pPr>
              <w:spacing w:line="360" w:lineRule="auto"/>
              <w:jc w:val="both"/>
              <w:rPr>
                <w:color w:val="000000" w:themeColor="text1"/>
                <w:sz w:val="20"/>
                <w:szCs w:val="20"/>
              </w:rPr>
            </w:pPr>
            <w:r w:rsidRPr="00824AAB">
              <w:rPr>
                <w:color w:val="000000" w:themeColor="text1"/>
                <w:sz w:val="20"/>
                <w:szCs w:val="20"/>
              </w:rPr>
              <w:t>1865</w:t>
            </w:r>
          </w:p>
        </w:tc>
        <w:tc>
          <w:tcPr>
            <w:tcW w:w="2268" w:type="dxa"/>
          </w:tcPr>
          <w:p w14:paraId="74A49D77"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557</w:t>
            </w:r>
          </w:p>
        </w:tc>
        <w:tc>
          <w:tcPr>
            <w:tcW w:w="2410" w:type="dxa"/>
          </w:tcPr>
          <w:p w14:paraId="6A39CC4C"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64</w:t>
            </w:r>
          </w:p>
        </w:tc>
        <w:tc>
          <w:tcPr>
            <w:tcW w:w="3260" w:type="dxa"/>
          </w:tcPr>
          <w:p w14:paraId="465F795E"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11</w:t>
            </w:r>
          </w:p>
        </w:tc>
      </w:tr>
      <w:tr w:rsidR="002A3A54" w:rsidRPr="00824AAB" w14:paraId="4DA3CA0E" w14:textId="05ACD40F" w:rsidTr="002A3A54">
        <w:tc>
          <w:tcPr>
            <w:tcW w:w="846" w:type="dxa"/>
          </w:tcPr>
          <w:p w14:paraId="78B4E496" w14:textId="77777777" w:rsidR="002A3A54" w:rsidRPr="00824AAB" w:rsidRDefault="002A3A54" w:rsidP="00B101EC">
            <w:pPr>
              <w:spacing w:line="360" w:lineRule="auto"/>
              <w:jc w:val="both"/>
              <w:rPr>
                <w:color w:val="000000" w:themeColor="text1"/>
                <w:sz w:val="20"/>
                <w:szCs w:val="20"/>
              </w:rPr>
            </w:pPr>
            <w:r w:rsidRPr="00824AAB">
              <w:rPr>
                <w:color w:val="000000" w:themeColor="text1"/>
                <w:sz w:val="20"/>
                <w:szCs w:val="20"/>
              </w:rPr>
              <w:t>1866</w:t>
            </w:r>
          </w:p>
        </w:tc>
        <w:tc>
          <w:tcPr>
            <w:tcW w:w="2268" w:type="dxa"/>
          </w:tcPr>
          <w:p w14:paraId="4EB24939"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579</w:t>
            </w:r>
          </w:p>
        </w:tc>
        <w:tc>
          <w:tcPr>
            <w:tcW w:w="2410" w:type="dxa"/>
          </w:tcPr>
          <w:p w14:paraId="28AFFDEE"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71</w:t>
            </w:r>
          </w:p>
        </w:tc>
        <w:tc>
          <w:tcPr>
            <w:tcW w:w="3260" w:type="dxa"/>
          </w:tcPr>
          <w:p w14:paraId="02AD4E5C"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12</w:t>
            </w:r>
          </w:p>
        </w:tc>
      </w:tr>
      <w:tr w:rsidR="002A3A54" w:rsidRPr="00824AAB" w14:paraId="609C7339" w14:textId="61FA05AC" w:rsidTr="002A3A54">
        <w:tc>
          <w:tcPr>
            <w:tcW w:w="846" w:type="dxa"/>
          </w:tcPr>
          <w:p w14:paraId="1F8B627E" w14:textId="77777777" w:rsidR="002A3A54" w:rsidRPr="00824AAB" w:rsidRDefault="002A3A54" w:rsidP="00B101EC">
            <w:pPr>
              <w:spacing w:line="360" w:lineRule="auto"/>
              <w:jc w:val="both"/>
              <w:rPr>
                <w:color w:val="000000" w:themeColor="text1"/>
                <w:sz w:val="20"/>
                <w:szCs w:val="20"/>
              </w:rPr>
            </w:pPr>
            <w:r w:rsidRPr="00824AAB">
              <w:rPr>
                <w:color w:val="000000" w:themeColor="text1"/>
                <w:sz w:val="20"/>
                <w:szCs w:val="20"/>
              </w:rPr>
              <w:t>1867</w:t>
            </w:r>
          </w:p>
        </w:tc>
        <w:tc>
          <w:tcPr>
            <w:tcW w:w="2268" w:type="dxa"/>
          </w:tcPr>
          <w:p w14:paraId="414E395D"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253</w:t>
            </w:r>
          </w:p>
        </w:tc>
        <w:tc>
          <w:tcPr>
            <w:tcW w:w="2410" w:type="dxa"/>
          </w:tcPr>
          <w:p w14:paraId="70FB8A76"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32</w:t>
            </w:r>
          </w:p>
        </w:tc>
        <w:tc>
          <w:tcPr>
            <w:tcW w:w="3260" w:type="dxa"/>
          </w:tcPr>
          <w:p w14:paraId="7CFBBD5C"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13</w:t>
            </w:r>
          </w:p>
        </w:tc>
      </w:tr>
      <w:tr w:rsidR="002A3A54" w:rsidRPr="00824AAB" w14:paraId="617F55AE" w14:textId="737B5C54" w:rsidTr="002A3A54">
        <w:tc>
          <w:tcPr>
            <w:tcW w:w="846" w:type="dxa"/>
          </w:tcPr>
          <w:p w14:paraId="6CFD34D6" w14:textId="77777777" w:rsidR="002A3A54" w:rsidRPr="00824AAB" w:rsidRDefault="002A3A54" w:rsidP="00B101EC">
            <w:pPr>
              <w:spacing w:line="360" w:lineRule="auto"/>
              <w:jc w:val="both"/>
              <w:rPr>
                <w:color w:val="000000" w:themeColor="text1"/>
                <w:sz w:val="20"/>
                <w:szCs w:val="20"/>
              </w:rPr>
            </w:pPr>
            <w:r w:rsidRPr="00824AAB">
              <w:rPr>
                <w:color w:val="000000" w:themeColor="text1"/>
                <w:sz w:val="20"/>
                <w:szCs w:val="20"/>
              </w:rPr>
              <w:t>1868</w:t>
            </w:r>
          </w:p>
        </w:tc>
        <w:tc>
          <w:tcPr>
            <w:tcW w:w="2268" w:type="dxa"/>
          </w:tcPr>
          <w:p w14:paraId="48E0DB7F"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279</w:t>
            </w:r>
          </w:p>
        </w:tc>
        <w:tc>
          <w:tcPr>
            <w:tcW w:w="2410" w:type="dxa"/>
          </w:tcPr>
          <w:p w14:paraId="75516463"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11</w:t>
            </w:r>
          </w:p>
        </w:tc>
        <w:tc>
          <w:tcPr>
            <w:tcW w:w="3260" w:type="dxa"/>
          </w:tcPr>
          <w:p w14:paraId="4E850E38" w14:textId="77777777" w:rsidR="002A3A54" w:rsidRPr="00824AAB" w:rsidRDefault="002A3A54" w:rsidP="00B101EC">
            <w:pPr>
              <w:spacing w:line="360" w:lineRule="auto"/>
              <w:jc w:val="right"/>
              <w:rPr>
                <w:color w:val="000000" w:themeColor="text1"/>
                <w:sz w:val="20"/>
                <w:szCs w:val="20"/>
              </w:rPr>
            </w:pPr>
            <w:r>
              <w:rPr>
                <w:color w:val="000000" w:themeColor="text1"/>
                <w:sz w:val="20"/>
                <w:szCs w:val="20"/>
              </w:rPr>
              <w:t>4</w:t>
            </w:r>
          </w:p>
        </w:tc>
      </w:tr>
    </w:tbl>
    <w:p w14:paraId="1BE7744C" w14:textId="29DAA31A" w:rsidR="00717566" w:rsidRDefault="00717566" w:rsidP="00B101EC">
      <w:pPr>
        <w:spacing w:line="360" w:lineRule="auto"/>
        <w:jc w:val="both"/>
        <w:rPr>
          <w:color w:val="000000" w:themeColor="text1"/>
          <w:sz w:val="22"/>
          <w:szCs w:val="22"/>
        </w:rPr>
      </w:pPr>
    </w:p>
    <w:p w14:paraId="6D6887FF" w14:textId="475A37F2" w:rsidR="0021340A" w:rsidRDefault="00717566" w:rsidP="00B101EC">
      <w:pPr>
        <w:spacing w:line="360" w:lineRule="auto"/>
        <w:jc w:val="both"/>
        <w:rPr>
          <w:color w:val="000000" w:themeColor="text1"/>
          <w:sz w:val="22"/>
          <w:szCs w:val="22"/>
        </w:rPr>
      </w:pPr>
      <w:r>
        <w:rPr>
          <w:color w:val="000000" w:themeColor="text1"/>
          <w:sz w:val="22"/>
          <w:szCs w:val="22"/>
        </w:rPr>
        <w:t xml:space="preserve">For convictions in the Supreme Court, we would expect the figures from 1861 onwards to be higher than the rest, since the </w:t>
      </w:r>
      <w:r w:rsidR="00147A2D">
        <w:rPr>
          <w:color w:val="000000" w:themeColor="text1"/>
          <w:sz w:val="22"/>
          <w:szCs w:val="22"/>
        </w:rPr>
        <w:t xml:space="preserve">analysis was conducted on data from records which start in 1861 </w:t>
      </w:r>
      <w:r>
        <w:rPr>
          <w:color w:val="000000" w:themeColor="text1"/>
          <w:sz w:val="22"/>
          <w:szCs w:val="22"/>
        </w:rPr>
        <w:t xml:space="preserve">(see Fig 4). </w:t>
      </w:r>
      <w:r>
        <w:rPr>
          <w:color w:val="000000" w:themeColor="text1"/>
          <w:sz w:val="22"/>
          <w:szCs w:val="22"/>
        </w:rPr>
        <w:lastRenderedPageBreak/>
        <w:t xml:space="preserve">However, it still remains </w:t>
      </w:r>
      <w:r w:rsidR="00AD61FA">
        <w:rPr>
          <w:color w:val="000000" w:themeColor="text1"/>
          <w:sz w:val="22"/>
          <w:szCs w:val="22"/>
        </w:rPr>
        <w:t xml:space="preserve">the case </w:t>
      </w:r>
      <w:r>
        <w:rPr>
          <w:color w:val="000000" w:themeColor="text1"/>
          <w:sz w:val="22"/>
          <w:szCs w:val="22"/>
        </w:rPr>
        <w:t xml:space="preserve">that more than one in ten of </w:t>
      </w:r>
      <w:r w:rsidR="00AD61FA">
        <w:rPr>
          <w:color w:val="000000" w:themeColor="text1"/>
          <w:sz w:val="22"/>
          <w:szCs w:val="22"/>
        </w:rPr>
        <w:t>all of the</w:t>
      </w:r>
      <w:r>
        <w:rPr>
          <w:color w:val="000000" w:themeColor="text1"/>
          <w:sz w:val="22"/>
          <w:szCs w:val="22"/>
        </w:rPr>
        <w:t xml:space="preserve"> transported m</w:t>
      </w:r>
      <w:r w:rsidR="00C4373C">
        <w:rPr>
          <w:color w:val="000000" w:themeColor="text1"/>
          <w:sz w:val="22"/>
          <w:szCs w:val="22"/>
        </w:rPr>
        <w:t>e</w:t>
      </w:r>
      <w:r>
        <w:rPr>
          <w:color w:val="000000" w:themeColor="text1"/>
          <w:sz w:val="22"/>
          <w:szCs w:val="22"/>
        </w:rPr>
        <w:t>n was reconvicted in the Supreme Court after arrival</w:t>
      </w:r>
      <w:r w:rsidR="007053E8">
        <w:rPr>
          <w:color w:val="000000" w:themeColor="text1"/>
          <w:sz w:val="22"/>
          <w:szCs w:val="22"/>
        </w:rPr>
        <w:t xml:space="preserve">, </w:t>
      </w:r>
      <w:r w:rsidR="00015938">
        <w:rPr>
          <w:color w:val="000000" w:themeColor="text1"/>
          <w:sz w:val="22"/>
          <w:szCs w:val="22"/>
        </w:rPr>
        <w:t xml:space="preserve">75% of cases heard by Perth magistrates in 1854 were against transported men, </w:t>
      </w:r>
      <w:r>
        <w:rPr>
          <w:color w:val="000000" w:themeColor="text1"/>
          <w:sz w:val="22"/>
          <w:szCs w:val="22"/>
        </w:rPr>
        <w:t xml:space="preserve">and </w:t>
      </w:r>
      <w:r w:rsidR="00015938">
        <w:rPr>
          <w:color w:val="000000" w:themeColor="text1"/>
          <w:sz w:val="22"/>
          <w:szCs w:val="22"/>
        </w:rPr>
        <w:t>many expirees were still being prosecuted</w:t>
      </w:r>
      <w:r>
        <w:rPr>
          <w:color w:val="000000" w:themeColor="text1"/>
          <w:sz w:val="22"/>
          <w:szCs w:val="22"/>
        </w:rPr>
        <w:t xml:space="preserve"> in </w:t>
      </w:r>
      <w:r w:rsidR="00015938">
        <w:rPr>
          <w:color w:val="000000" w:themeColor="text1"/>
          <w:sz w:val="22"/>
          <w:szCs w:val="22"/>
        </w:rPr>
        <w:t xml:space="preserve">the </w:t>
      </w:r>
      <w:r>
        <w:rPr>
          <w:color w:val="000000" w:themeColor="text1"/>
          <w:sz w:val="22"/>
          <w:szCs w:val="22"/>
        </w:rPr>
        <w:t>1880</w:t>
      </w:r>
      <w:r w:rsidR="00015938">
        <w:rPr>
          <w:color w:val="000000" w:themeColor="text1"/>
          <w:sz w:val="22"/>
          <w:szCs w:val="22"/>
        </w:rPr>
        <w:t>s (Godfrey and Cox 2008)</w:t>
      </w:r>
      <w:r>
        <w:rPr>
          <w:color w:val="000000" w:themeColor="text1"/>
          <w:sz w:val="22"/>
          <w:szCs w:val="22"/>
        </w:rPr>
        <w:t>. This was twelve years after transportation to Western Australia had ended, and, in fact, 4% of convictions in 1880 were against men transported between 1850 and 1855 – more than thirty years after they had landed in the colony. Data from the Supreme Court indicates that the re-offending rate amongst transported convicts was very high; and this is confirmed by analysis of Fremantle prison data</w:t>
      </w:r>
      <w:r w:rsidR="000D581F">
        <w:rPr>
          <w:color w:val="000000" w:themeColor="text1"/>
          <w:sz w:val="22"/>
          <w:szCs w:val="22"/>
        </w:rPr>
        <w:t>.</w:t>
      </w:r>
    </w:p>
    <w:p w14:paraId="01185ED1" w14:textId="1EFA27CF" w:rsidR="00147A2D" w:rsidRDefault="00147A2D" w:rsidP="00B101EC">
      <w:pPr>
        <w:spacing w:line="360" w:lineRule="auto"/>
        <w:jc w:val="both"/>
        <w:rPr>
          <w:color w:val="000000" w:themeColor="text1"/>
          <w:sz w:val="22"/>
          <w:szCs w:val="22"/>
        </w:rPr>
      </w:pPr>
      <w:r w:rsidRPr="00B101EC">
        <w:rPr>
          <w:color w:val="000000" w:themeColor="text1"/>
          <w:sz w:val="22"/>
          <w:szCs w:val="22"/>
        </w:rPr>
        <w:t>Because the Supreme Court data begins in 1861, this Figure contains information on convicts who arrived from 1861 onwards; similarly, the figures for Fremantle Prison relate to the reconviction of convicts who had received their tickets of leave after 1858.</w:t>
      </w:r>
    </w:p>
    <w:p w14:paraId="09491047" w14:textId="7390D702" w:rsidR="00717566" w:rsidRDefault="00717566" w:rsidP="00B101EC">
      <w:pPr>
        <w:spacing w:line="360" w:lineRule="auto"/>
        <w:jc w:val="both"/>
        <w:rPr>
          <w:color w:val="000000" w:themeColor="text1"/>
          <w:sz w:val="22"/>
          <w:szCs w:val="22"/>
        </w:rPr>
      </w:pPr>
      <w:r w:rsidRPr="00E07E66">
        <w:rPr>
          <w:color w:val="000000" w:themeColor="text1"/>
          <w:sz w:val="22"/>
          <w:szCs w:val="22"/>
        </w:rPr>
        <w:t xml:space="preserve">Shaw suggests that the Western Australian consignment of convicts were too well-behaved to </w:t>
      </w:r>
      <w:r>
        <w:rPr>
          <w:color w:val="000000" w:themeColor="text1"/>
          <w:sz w:val="22"/>
          <w:szCs w:val="22"/>
        </w:rPr>
        <w:t>fill Perth Gaol (built in 1856), however, by the 1860s</w:t>
      </w:r>
      <w:r w:rsidRPr="00E07E66">
        <w:rPr>
          <w:color w:val="000000" w:themeColor="text1"/>
          <w:sz w:val="22"/>
          <w:szCs w:val="22"/>
        </w:rPr>
        <w:t xml:space="preserve"> </w:t>
      </w:r>
      <w:r>
        <w:rPr>
          <w:color w:val="000000" w:themeColor="text1"/>
          <w:sz w:val="22"/>
          <w:szCs w:val="22"/>
        </w:rPr>
        <w:t xml:space="preserve">it is apparent </w:t>
      </w:r>
      <w:r w:rsidRPr="00E07E66">
        <w:rPr>
          <w:color w:val="000000" w:themeColor="text1"/>
          <w:sz w:val="22"/>
          <w:szCs w:val="22"/>
        </w:rPr>
        <w:t xml:space="preserve">they were entering Fremantle Prison </w:t>
      </w:r>
      <w:r>
        <w:rPr>
          <w:color w:val="000000" w:themeColor="text1"/>
          <w:sz w:val="22"/>
          <w:szCs w:val="22"/>
        </w:rPr>
        <w:t>(opened in 1855</w:t>
      </w:r>
      <w:r w:rsidRPr="00E07E66">
        <w:rPr>
          <w:color w:val="000000" w:themeColor="text1"/>
          <w:sz w:val="22"/>
          <w:szCs w:val="22"/>
        </w:rPr>
        <w:t>) in large numbers</w:t>
      </w:r>
      <w:r>
        <w:rPr>
          <w:color w:val="000000" w:themeColor="text1"/>
          <w:sz w:val="22"/>
          <w:szCs w:val="22"/>
        </w:rPr>
        <w:t xml:space="preserve">. In fact, </w:t>
      </w:r>
      <w:r w:rsidRPr="00490E80">
        <w:rPr>
          <w:color w:val="000000" w:themeColor="text1"/>
          <w:sz w:val="22"/>
          <w:szCs w:val="22"/>
        </w:rPr>
        <w:t xml:space="preserve">just under three-quarters (74%) of Fremantle Prison’s inmates between 1858 and 1868 were transported men. William Smith (convict number 13) was </w:t>
      </w:r>
      <w:r>
        <w:rPr>
          <w:color w:val="000000" w:themeColor="text1"/>
          <w:sz w:val="22"/>
          <w:szCs w:val="22"/>
        </w:rPr>
        <w:t xml:space="preserve">one of seven men who had arrived on the first convict ship, </w:t>
      </w:r>
      <w:proofErr w:type="spellStart"/>
      <w:r w:rsidRPr="00490E80">
        <w:rPr>
          <w:i/>
          <w:color w:val="000000" w:themeColor="text1"/>
          <w:sz w:val="22"/>
          <w:szCs w:val="22"/>
        </w:rPr>
        <w:t>Scindian</w:t>
      </w:r>
      <w:proofErr w:type="spellEnd"/>
      <w:r w:rsidRPr="000F00F7">
        <w:rPr>
          <w:color w:val="000000" w:themeColor="text1"/>
          <w:sz w:val="22"/>
          <w:szCs w:val="22"/>
        </w:rPr>
        <w:t xml:space="preserve">, </w:t>
      </w:r>
      <w:r>
        <w:rPr>
          <w:color w:val="000000" w:themeColor="text1"/>
          <w:sz w:val="22"/>
          <w:szCs w:val="22"/>
        </w:rPr>
        <w:t>who were still offending in the 1860s. Two, Fred Ward and William Johnson were imprisoned four times each between 1858 and 1868.</w:t>
      </w:r>
    </w:p>
    <w:p w14:paraId="62354AAD" w14:textId="5AEC194B" w:rsidR="0021340A" w:rsidRPr="00B101EC" w:rsidRDefault="00717566" w:rsidP="00B101EC">
      <w:pPr>
        <w:spacing w:line="360" w:lineRule="auto"/>
        <w:jc w:val="both"/>
        <w:rPr>
          <w:color w:val="000000" w:themeColor="text1"/>
          <w:sz w:val="22"/>
          <w:szCs w:val="22"/>
        </w:rPr>
      </w:pPr>
      <w:r w:rsidRPr="008A5DA8">
        <w:rPr>
          <w:color w:val="000000" w:themeColor="text1"/>
          <w:sz w:val="22"/>
          <w:szCs w:val="22"/>
        </w:rPr>
        <w:t xml:space="preserve">The </w:t>
      </w:r>
      <w:r w:rsidR="008A5DA8">
        <w:rPr>
          <w:color w:val="000000" w:themeColor="text1"/>
          <w:sz w:val="22"/>
          <w:szCs w:val="22"/>
        </w:rPr>
        <w:t xml:space="preserve">Digital Panopticon </w:t>
      </w:r>
      <w:r w:rsidR="00A5257D">
        <w:rPr>
          <w:color w:val="000000" w:themeColor="text1"/>
          <w:sz w:val="22"/>
          <w:szCs w:val="22"/>
        </w:rPr>
        <w:t>contains the antecedent history of each person appearing at the Old Bailey between 1850 and 1868, where it exists</w:t>
      </w:r>
      <w:r w:rsidR="008A5DA8">
        <w:rPr>
          <w:color w:val="000000" w:themeColor="text1"/>
          <w:sz w:val="22"/>
          <w:szCs w:val="22"/>
        </w:rPr>
        <w:t xml:space="preserve">. The </w:t>
      </w:r>
      <w:r w:rsidR="00A5257D">
        <w:rPr>
          <w:color w:val="000000" w:themeColor="text1"/>
          <w:sz w:val="22"/>
          <w:szCs w:val="22"/>
        </w:rPr>
        <w:t>male prison licenses in the Panopticon</w:t>
      </w:r>
      <w:r w:rsidR="008A5DA8">
        <w:rPr>
          <w:color w:val="000000" w:themeColor="text1"/>
          <w:sz w:val="22"/>
          <w:szCs w:val="22"/>
        </w:rPr>
        <w:t xml:space="preserve"> record </w:t>
      </w:r>
      <w:r w:rsidR="00A5257D">
        <w:rPr>
          <w:color w:val="000000" w:themeColor="text1"/>
          <w:sz w:val="22"/>
          <w:szCs w:val="22"/>
        </w:rPr>
        <w:t xml:space="preserve">details of </w:t>
      </w:r>
      <w:r w:rsidR="008A5DA8">
        <w:rPr>
          <w:color w:val="000000" w:themeColor="text1"/>
          <w:sz w:val="22"/>
          <w:szCs w:val="22"/>
        </w:rPr>
        <w:t xml:space="preserve">previous convictions leading up to the point at which each person received a </w:t>
      </w:r>
      <w:r w:rsidR="00A5257D">
        <w:rPr>
          <w:color w:val="000000" w:themeColor="text1"/>
          <w:sz w:val="22"/>
          <w:szCs w:val="22"/>
        </w:rPr>
        <w:t xml:space="preserve">penal servitude </w:t>
      </w:r>
      <w:r w:rsidR="008A5DA8">
        <w:rPr>
          <w:color w:val="000000" w:themeColor="text1"/>
          <w:sz w:val="22"/>
          <w:szCs w:val="22"/>
        </w:rPr>
        <w:t>sentence.</w:t>
      </w:r>
      <w:r w:rsidR="00A5257D">
        <w:rPr>
          <w:color w:val="000000" w:themeColor="text1"/>
          <w:sz w:val="22"/>
          <w:szCs w:val="22"/>
        </w:rPr>
        <w:t xml:space="preserve"> </w:t>
      </w:r>
      <w:r w:rsidR="00807FBE">
        <w:rPr>
          <w:color w:val="000000" w:themeColor="text1"/>
          <w:sz w:val="22"/>
          <w:szCs w:val="22"/>
        </w:rPr>
        <w:t>Using these records</w:t>
      </w:r>
      <w:r w:rsidR="00D3397B">
        <w:rPr>
          <w:color w:val="000000" w:themeColor="text1"/>
          <w:sz w:val="22"/>
          <w:szCs w:val="22"/>
        </w:rPr>
        <w:t>,</w:t>
      </w:r>
      <w:r w:rsidR="00807FBE">
        <w:rPr>
          <w:color w:val="000000" w:themeColor="text1"/>
          <w:sz w:val="22"/>
          <w:szCs w:val="22"/>
        </w:rPr>
        <w:t xml:space="preserve"> we can</w:t>
      </w:r>
      <w:r w:rsidR="00A5257D">
        <w:rPr>
          <w:color w:val="000000" w:themeColor="text1"/>
          <w:sz w:val="22"/>
          <w:szCs w:val="22"/>
        </w:rPr>
        <w:t xml:space="preserve"> determine how many people offended during their license period</w:t>
      </w:r>
      <w:r w:rsidR="0041705C">
        <w:rPr>
          <w:color w:val="000000" w:themeColor="text1"/>
          <w:sz w:val="22"/>
          <w:szCs w:val="22"/>
        </w:rPr>
        <w:t xml:space="preserve"> (48%)</w:t>
      </w:r>
      <w:r w:rsidR="00A5257D">
        <w:rPr>
          <w:color w:val="000000" w:themeColor="text1"/>
          <w:sz w:val="22"/>
          <w:szCs w:val="22"/>
        </w:rPr>
        <w:t xml:space="preserve">; and </w:t>
      </w:r>
      <w:r w:rsidR="00807FBE">
        <w:rPr>
          <w:color w:val="000000" w:themeColor="text1"/>
          <w:sz w:val="22"/>
          <w:szCs w:val="22"/>
        </w:rPr>
        <w:t>we can a</w:t>
      </w:r>
      <w:r w:rsidR="00807FBE" w:rsidRPr="00E81D68">
        <w:rPr>
          <w:color w:val="000000" w:themeColor="text1"/>
          <w:sz w:val="22"/>
          <w:szCs w:val="22"/>
        </w:rPr>
        <w:t xml:space="preserve">lso look to some work that has already been completed </w:t>
      </w:r>
      <w:r w:rsidR="007750CE" w:rsidRPr="00E81D68">
        <w:rPr>
          <w:color w:val="000000" w:themeColor="text1"/>
          <w:sz w:val="22"/>
          <w:szCs w:val="22"/>
        </w:rPr>
        <w:t xml:space="preserve">in this area. Johnston </w:t>
      </w:r>
      <w:r w:rsidR="007750CE" w:rsidRPr="00E81D68">
        <w:rPr>
          <w:i/>
          <w:color w:val="000000" w:themeColor="text1"/>
          <w:sz w:val="22"/>
          <w:szCs w:val="22"/>
        </w:rPr>
        <w:t>et al</w:t>
      </w:r>
      <w:r w:rsidR="007750CE" w:rsidRPr="00E81D68">
        <w:rPr>
          <w:color w:val="000000" w:themeColor="text1"/>
          <w:sz w:val="22"/>
          <w:szCs w:val="22"/>
        </w:rPr>
        <w:t>, analysing re-offending in men and women released on license between 1856 and 1887 found that eighty per cent of the 600 ex-convicts in their sample were reconvicted at some point in their lives (some were highly convicted).</w:t>
      </w:r>
      <w:r w:rsidR="000D581F">
        <w:rPr>
          <w:rStyle w:val="FootnoteReference"/>
          <w:color w:val="000000" w:themeColor="text1"/>
          <w:sz w:val="22"/>
          <w:szCs w:val="22"/>
        </w:rPr>
        <w:footnoteReference w:id="17"/>
      </w:r>
      <w:r w:rsidR="007750CE" w:rsidRPr="00E81D68">
        <w:rPr>
          <w:color w:val="000000" w:themeColor="text1"/>
          <w:sz w:val="22"/>
          <w:szCs w:val="22"/>
        </w:rPr>
        <w:t xml:space="preserve"> </w:t>
      </w:r>
    </w:p>
    <w:p w14:paraId="460A801A" w14:textId="73DDCAED" w:rsidR="00E868E7" w:rsidRDefault="00717566" w:rsidP="00B101EC">
      <w:pPr>
        <w:spacing w:line="360" w:lineRule="auto"/>
        <w:jc w:val="both"/>
        <w:rPr>
          <w:color w:val="000000" w:themeColor="text1"/>
          <w:sz w:val="22"/>
          <w:szCs w:val="22"/>
        </w:rPr>
      </w:pPr>
      <w:r w:rsidRPr="000802FC">
        <w:rPr>
          <w:color w:val="000000" w:themeColor="text1"/>
          <w:sz w:val="22"/>
          <w:szCs w:val="22"/>
        </w:rPr>
        <w:t xml:space="preserve">The last comparison we can make is to compare the reconviction rates of transported convicts with conviction rates amongst free settlers. </w:t>
      </w:r>
      <w:r>
        <w:rPr>
          <w:color w:val="000000" w:themeColor="text1"/>
          <w:sz w:val="22"/>
          <w:szCs w:val="22"/>
        </w:rPr>
        <w:t xml:space="preserve">Because we do not know the date when each free-settler arrived, it is not possible to assess speed to conviction data. The only way to compare the propensity of both free and transported men to commit offences is to examine the proportion of each group </w:t>
      </w:r>
      <w:r w:rsidR="00AD61FA">
        <w:rPr>
          <w:color w:val="000000" w:themeColor="text1"/>
          <w:sz w:val="22"/>
          <w:szCs w:val="22"/>
        </w:rPr>
        <w:t xml:space="preserve">both </w:t>
      </w:r>
      <w:r>
        <w:rPr>
          <w:color w:val="000000" w:themeColor="text1"/>
          <w:sz w:val="22"/>
          <w:szCs w:val="22"/>
        </w:rPr>
        <w:t>in society, and in the criminal justice system.</w:t>
      </w:r>
    </w:p>
    <w:p w14:paraId="78ECAF00" w14:textId="67482602" w:rsidR="00717566" w:rsidRDefault="00717566" w:rsidP="00B101EC">
      <w:pPr>
        <w:spacing w:line="360" w:lineRule="auto"/>
        <w:jc w:val="both"/>
        <w:rPr>
          <w:b/>
          <w:color w:val="000000" w:themeColor="text1"/>
          <w:sz w:val="22"/>
          <w:szCs w:val="22"/>
        </w:rPr>
      </w:pPr>
    </w:p>
    <w:p w14:paraId="55E70FB0" w14:textId="77777777" w:rsidR="00AE0F76" w:rsidRDefault="00AE0F76" w:rsidP="00B101EC">
      <w:pPr>
        <w:spacing w:line="360" w:lineRule="auto"/>
        <w:jc w:val="both"/>
        <w:rPr>
          <w:b/>
          <w:color w:val="000000" w:themeColor="text1"/>
          <w:sz w:val="22"/>
          <w:szCs w:val="22"/>
        </w:rPr>
      </w:pPr>
    </w:p>
    <w:p w14:paraId="11A4D502" w14:textId="226DCF76" w:rsidR="00717566" w:rsidRPr="008D22F1" w:rsidRDefault="000B2CEA" w:rsidP="00B101EC">
      <w:pPr>
        <w:spacing w:line="360" w:lineRule="auto"/>
        <w:jc w:val="both"/>
        <w:rPr>
          <w:b/>
          <w:color w:val="000000" w:themeColor="text1"/>
          <w:sz w:val="22"/>
          <w:szCs w:val="22"/>
        </w:rPr>
      </w:pPr>
      <w:r>
        <w:rPr>
          <w:b/>
          <w:color w:val="000000" w:themeColor="text1"/>
          <w:sz w:val="22"/>
          <w:szCs w:val="22"/>
        </w:rPr>
        <w:t>Fig 5</w:t>
      </w:r>
      <w:r w:rsidR="00717566">
        <w:rPr>
          <w:b/>
          <w:color w:val="000000" w:themeColor="text1"/>
          <w:sz w:val="22"/>
          <w:szCs w:val="22"/>
        </w:rPr>
        <w:t xml:space="preserve">: </w:t>
      </w:r>
      <w:r w:rsidR="00717566" w:rsidRPr="008D22F1">
        <w:rPr>
          <w:b/>
          <w:color w:val="000000" w:themeColor="text1"/>
          <w:sz w:val="22"/>
          <w:szCs w:val="22"/>
        </w:rPr>
        <w:t>Estimation of expiree pop in Perth</w:t>
      </w:r>
    </w:p>
    <w:p w14:paraId="5BFC876D" w14:textId="01E44FF2" w:rsidR="00717566" w:rsidRDefault="00717566" w:rsidP="00B101EC">
      <w:pPr>
        <w:spacing w:line="360" w:lineRule="auto"/>
        <w:jc w:val="both"/>
        <w:rPr>
          <w:b/>
          <w:color w:val="000000" w:themeColor="text1"/>
          <w:sz w:val="22"/>
          <w:szCs w:val="22"/>
        </w:rPr>
      </w:pPr>
    </w:p>
    <w:p w14:paraId="2EDBA73F" w14:textId="1D448AA7" w:rsidR="00717566" w:rsidRPr="00567C90" w:rsidRDefault="00717566" w:rsidP="00B101EC">
      <w:pPr>
        <w:spacing w:line="360" w:lineRule="auto"/>
        <w:jc w:val="both"/>
        <w:rPr>
          <w:b/>
          <w:color w:val="000000" w:themeColor="text1"/>
          <w:sz w:val="22"/>
          <w:szCs w:val="22"/>
        </w:rPr>
      </w:pPr>
      <w:r>
        <w:rPr>
          <w:noProof/>
        </w:rPr>
        <w:lastRenderedPageBreak/>
        <w:drawing>
          <wp:inline distT="0" distB="0" distL="0" distR="0" wp14:anchorId="6987FB76" wp14:editId="6E47B188">
            <wp:extent cx="4240306" cy="2061882"/>
            <wp:effectExtent l="0" t="0" r="14605" b="8255"/>
            <wp:docPr id="4" name="Chart 4">
              <a:extLst xmlns:a="http://schemas.openxmlformats.org/drawingml/2006/main">
                <a:ext uri="{FF2B5EF4-FFF2-40B4-BE49-F238E27FC236}">
                  <a16:creationId xmlns:a16="http://schemas.microsoft.com/office/drawing/2014/main" id="{BD1525F8-F386-7146-A9B8-6D491B8CF2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1CB5CE" w14:textId="77777777" w:rsidR="00717566" w:rsidRDefault="00717566" w:rsidP="00B101EC">
      <w:pPr>
        <w:spacing w:line="360" w:lineRule="auto"/>
        <w:jc w:val="both"/>
        <w:rPr>
          <w:color w:val="000000" w:themeColor="text1"/>
          <w:sz w:val="22"/>
          <w:szCs w:val="22"/>
          <w:highlight w:val="yellow"/>
        </w:rPr>
      </w:pPr>
    </w:p>
    <w:p w14:paraId="1E5114AC" w14:textId="6131BFB2" w:rsidR="0021340A" w:rsidRPr="00B101EC" w:rsidRDefault="00AD61FA" w:rsidP="00B101EC">
      <w:pPr>
        <w:pStyle w:val="FootnoteText"/>
        <w:spacing w:line="360" w:lineRule="auto"/>
        <w:jc w:val="both"/>
        <w:rPr>
          <w:rFonts w:ascii="Times New Roman" w:hAnsi="Times New Roman" w:cs="Times New Roman"/>
          <w:color w:val="000000" w:themeColor="text1"/>
          <w:sz w:val="22"/>
          <w:szCs w:val="22"/>
          <w:lang w:val="en-GB"/>
        </w:rPr>
      </w:pPr>
      <w:r>
        <w:rPr>
          <w:rFonts w:ascii="Times New Roman" w:hAnsi="Times New Roman" w:cs="Times New Roman"/>
          <w:color w:val="000000" w:themeColor="text1"/>
          <w:sz w:val="22"/>
          <w:szCs w:val="22"/>
        </w:rPr>
        <w:t>In 1854, just over</w:t>
      </w:r>
      <w:r w:rsidR="00717566" w:rsidRPr="00945BCA">
        <w:rPr>
          <w:rFonts w:ascii="Times New Roman" w:hAnsi="Times New Roman" w:cs="Times New Roman"/>
          <w:color w:val="000000" w:themeColor="text1"/>
          <w:sz w:val="22"/>
          <w:szCs w:val="22"/>
        </w:rPr>
        <w:t xml:space="preserve"> half of the population of the colony were convicts</w:t>
      </w:r>
      <w:r>
        <w:rPr>
          <w:rFonts w:ascii="Times New Roman" w:hAnsi="Times New Roman" w:cs="Times New Roman"/>
          <w:color w:val="000000" w:themeColor="text1"/>
          <w:sz w:val="22"/>
          <w:szCs w:val="22"/>
        </w:rPr>
        <w:t xml:space="preserve"> (54%)</w:t>
      </w:r>
      <w:r w:rsidR="00717566" w:rsidRPr="00945BCA">
        <w:rPr>
          <w:rFonts w:ascii="Times New Roman" w:hAnsi="Times New Roman" w:cs="Times New Roman"/>
          <w:color w:val="000000" w:themeColor="text1"/>
          <w:sz w:val="22"/>
          <w:szCs w:val="22"/>
        </w:rPr>
        <w:t xml:space="preserve"> and </w:t>
      </w:r>
      <w:r>
        <w:rPr>
          <w:rFonts w:ascii="Times New Roman" w:hAnsi="Times New Roman" w:cs="Times New Roman"/>
          <w:color w:val="000000" w:themeColor="text1"/>
          <w:sz w:val="22"/>
          <w:szCs w:val="22"/>
        </w:rPr>
        <w:t>just under half (</w:t>
      </w:r>
      <w:r w:rsidR="00717566" w:rsidRPr="00945BCA">
        <w:rPr>
          <w:rFonts w:ascii="Times New Roman" w:hAnsi="Times New Roman" w:cs="Times New Roman"/>
          <w:color w:val="000000" w:themeColor="text1"/>
          <w:sz w:val="22"/>
          <w:szCs w:val="22"/>
        </w:rPr>
        <w:t>46%</w:t>
      </w:r>
      <w:r>
        <w:rPr>
          <w:rFonts w:ascii="Times New Roman" w:hAnsi="Times New Roman" w:cs="Times New Roman"/>
          <w:color w:val="000000" w:themeColor="text1"/>
          <w:sz w:val="22"/>
          <w:szCs w:val="22"/>
        </w:rPr>
        <w:t>)</w:t>
      </w:r>
      <w:r w:rsidR="00717566" w:rsidRPr="00945BCA">
        <w:rPr>
          <w:rFonts w:ascii="Times New Roman" w:hAnsi="Times New Roman" w:cs="Times New Roman"/>
          <w:color w:val="000000" w:themeColor="text1"/>
          <w:sz w:val="22"/>
          <w:szCs w:val="22"/>
        </w:rPr>
        <w:t xml:space="preserve"> were free settlers or children of free settlers </w:t>
      </w:r>
      <w:r w:rsidR="00717566" w:rsidRPr="00BC159B">
        <w:rPr>
          <w:rFonts w:ascii="Times New Roman" w:hAnsi="Times New Roman" w:cs="Times New Roman"/>
          <w:color w:val="000000" w:themeColor="text1"/>
          <w:sz w:val="22"/>
          <w:szCs w:val="22"/>
        </w:rPr>
        <w:t>(</w:t>
      </w:r>
      <w:proofErr w:type="spellStart"/>
      <w:r w:rsidR="00717566" w:rsidRPr="00BC159B">
        <w:rPr>
          <w:rFonts w:ascii="Times New Roman" w:hAnsi="Times New Roman" w:cs="Times New Roman"/>
          <w:color w:val="000000" w:themeColor="text1"/>
          <w:sz w:val="22"/>
          <w:szCs w:val="22"/>
        </w:rPr>
        <w:t>Driesen</w:t>
      </w:r>
      <w:proofErr w:type="spellEnd"/>
      <w:r w:rsidR="00717566" w:rsidRPr="00BC159B">
        <w:rPr>
          <w:rFonts w:ascii="Times New Roman" w:hAnsi="Times New Roman" w:cs="Times New Roman"/>
          <w:color w:val="000000" w:themeColor="text1"/>
          <w:sz w:val="22"/>
          <w:szCs w:val="22"/>
        </w:rPr>
        <w:t xml:space="preserve"> 1986a, 1986b).</w:t>
      </w:r>
      <w:r w:rsidR="00717566" w:rsidRPr="00945BCA">
        <w:rPr>
          <w:rFonts w:ascii="Times New Roman" w:hAnsi="Times New Roman" w:cs="Times New Roman"/>
          <w:color w:val="000000" w:themeColor="text1"/>
          <w:sz w:val="22"/>
          <w:szCs w:val="22"/>
        </w:rPr>
        <w:t xml:space="preserve"> By the 1860s and 1870s</w:t>
      </w:r>
      <w:r>
        <w:rPr>
          <w:rFonts w:ascii="Times New Roman" w:hAnsi="Times New Roman" w:cs="Times New Roman"/>
          <w:color w:val="000000" w:themeColor="text1"/>
          <w:sz w:val="22"/>
          <w:szCs w:val="22"/>
        </w:rPr>
        <w:t>,</w:t>
      </w:r>
      <w:r w:rsidR="00717566" w:rsidRPr="00945BCA">
        <w:rPr>
          <w:rFonts w:ascii="Times New Roman" w:hAnsi="Times New Roman" w:cs="Times New Roman"/>
          <w:color w:val="000000" w:themeColor="text1"/>
          <w:sz w:val="22"/>
          <w:szCs w:val="22"/>
        </w:rPr>
        <w:t xml:space="preserve"> the older convicts, those who had been transported in the 1850s, were thinning. By the 1880s and 1890s many </w:t>
      </w:r>
      <w:r>
        <w:rPr>
          <w:rFonts w:ascii="Times New Roman" w:hAnsi="Times New Roman" w:cs="Times New Roman"/>
          <w:color w:val="000000" w:themeColor="text1"/>
          <w:sz w:val="22"/>
          <w:szCs w:val="22"/>
        </w:rPr>
        <w:t xml:space="preserve">of this cohort of convicts </w:t>
      </w:r>
      <w:r w:rsidR="00717566" w:rsidRPr="00945BCA">
        <w:rPr>
          <w:rFonts w:ascii="Times New Roman" w:hAnsi="Times New Roman" w:cs="Times New Roman"/>
          <w:color w:val="000000" w:themeColor="text1"/>
          <w:sz w:val="22"/>
          <w:szCs w:val="22"/>
        </w:rPr>
        <w:t xml:space="preserve">were dying out, and the convict population was generally diluted due to the massive waves of immigration that followed the finding of gold in the west. However, it is not possible to gain </w:t>
      </w:r>
      <w:r w:rsidR="00717566" w:rsidRPr="000B2CEA">
        <w:rPr>
          <w:rFonts w:ascii="Times New Roman" w:hAnsi="Times New Roman" w:cs="Times New Roman"/>
          <w:color w:val="000000" w:themeColor="text1"/>
          <w:sz w:val="22"/>
          <w:szCs w:val="22"/>
        </w:rPr>
        <w:t xml:space="preserve">a very accurate assessment of the convict population as annual figures were not kept. For the creation of </w:t>
      </w:r>
      <w:r w:rsidR="000B2CEA" w:rsidRPr="000B2CEA">
        <w:rPr>
          <w:rFonts w:ascii="Times New Roman" w:hAnsi="Times New Roman" w:cs="Times New Roman"/>
          <w:color w:val="000000" w:themeColor="text1"/>
          <w:sz w:val="22"/>
          <w:szCs w:val="22"/>
        </w:rPr>
        <w:t>Figure 5</w:t>
      </w:r>
      <w:r w:rsidR="00717566" w:rsidRPr="000B2CEA">
        <w:rPr>
          <w:rFonts w:ascii="Times New Roman" w:hAnsi="Times New Roman" w:cs="Times New Roman"/>
          <w:color w:val="000000" w:themeColor="text1"/>
          <w:sz w:val="22"/>
          <w:szCs w:val="22"/>
        </w:rPr>
        <w:t xml:space="preserve">, the estimated convict </w:t>
      </w:r>
      <w:r>
        <w:rPr>
          <w:rFonts w:ascii="Times New Roman" w:hAnsi="Times New Roman" w:cs="Times New Roman"/>
          <w:color w:val="000000" w:themeColor="text1"/>
          <w:sz w:val="22"/>
          <w:szCs w:val="22"/>
        </w:rPr>
        <w:t xml:space="preserve">and expiree </w:t>
      </w:r>
      <w:r w:rsidR="00717566" w:rsidRPr="000B2CEA">
        <w:rPr>
          <w:rFonts w:ascii="Times New Roman" w:hAnsi="Times New Roman" w:cs="Times New Roman"/>
          <w:color w:val="000000" w:themeColor="text1"/>
          <w:sz w:val="22"/>
          <w:szCs w:val="22"/>
        </w:rPr>
        <w:t>population has been calculated by the cumulative addition of numbers of transported men from 1850 to 1868, then reduced by an estimated annual attrition rate (through death or migration</w:t>
      </w:r>
      <w:r w:rsidR="008935FA">
        <w:rPr>
          <w:rFonts w:ascii="Times New Roman" w:hAnsi="Times New Roman" w:cs="Times New Roman"/>
          <w:color w:val="000000" w:themeColor="text1"/>
          <w:sz w:val="22"/>
          <w:szCs w:val="22"/>
          <w:lang w:val="en-GB"/>
        </w:rPr>
        <w:t xml:space="preserve"> to other colonies</w:t>
      </w:r>
      <w:r w:rsidR="00717566" w:rsidRPr="000B2CEA">
        <w:rPr>
          <w:rFonts w:ascii="Times New Roman" w:hAnsi="Times New Roman" w:cs="Times New Roman"/>
          <w:color w:val="000000" w:themeColor="text1"/>
          <w:sz w:val="22"/>
          <w:szCs w:val="22"/>
          <w:lang w:val="en-GB"/>
        </w:rPr>
        <w:t xml:space="preserve"> or </w:t>
      </w:r>
      <w:r>
        <w:rPr>
          <w:rFonts w:ascii="Times New Roman" w:hAnsi="Times New Roman" w:cs="Times New Roman"/>
          <w:color w:val="000000" w:themeColor="text1"/>
          <w:sz w:val="22"/>
          <w:szCs w:val="22"/>
          <w:lang w:val="en-GB"/>
        </w:rPr>
        <w:t xml:space="preserve">emigrating </w:t>
      </w:r>
      <w:r w:rsidR="00717566" w:rsidRPr="000B2CEA">
        <w:rPr>
          <w:rFonts w:ascii="Times New Roman" w:hAnsi="Times New Roman" w:cs="Times New Roman"/>
          <w:color w:val="000000" w:themeColor="text1"/>
          <w:sz w:val="22"/>
          <w:szCs w:val="22"/>
          <w:lang w:val="en-GB"/>
        </w:rPr>
        <w:t>abroad) of ten per cent. Given that the colony was a dangerous place, it is entirely possible that the attrition rate was much higher, and therefore it would be reasonable to assume that the convict population in Fig</w:t>
      </w:r>
      <w:r w:rsidR="000B2CEA" w:rsidRPr="000B2CEA">
        <w:rPr>
          <w:rFonts w:ascii="Times New Roman" w:hAnsi="Times New Roman" w:cs="Times New Roman"/>
          <w:color w:val="000000" w:themeColor="text1"/>
          <w:sz w:val="22"/>
          <w:szCs w:val="22"/>
          <w:lang w:val="en-GB"/>
        </w:rPr>
        <w:t>ure</w:t>
      </w:r>
      <w:r w:rsidR="00717566" w:rsidRPr="000B2CEA">
        <w:rPr>
          <w:rFonts w:ascii="Times New Roman" w:hAnsi="Times New Roman" w:cs="Times New Roman"/>
          <w:color w:val="000000" w:themeColor="text1"/>
          <w:sz w:val="22"/>
          <w:szCs w:val="22"/>
          <w:lang w:val="en-GB"/>
        </w:rPr>
        <w:t xml:space="preserve"> </w:t>
      </w:r>
      <w:r w:rsidR="000B2CEA" w:rsidRPr="000B2CEA">
        <w:rPr>
          <w:rFonts w:ascii="Times New Roman" w:hAnsi="Times New Roman" w:cs="Times New Roman"/>
          <w:color w:val="000000" w:themeColor="text1"/>
          <w:sz w:val="22"/>
          <w:szCs w:val="22"/>
          <w:lang w:val="en-GB"/>
        </w:rPr>
        <w:t>5</w:t>
      </w:r>
      <w:r w:rsidR="00717566" w:rsidRPr="000B2CEA">
        <w:rPr>
          <w:rFonts w:ascii="Times New Roman" w:hAnsi="Times New Roman" w:cs="Times New Roman"/>
          <w:color w:val="000000" w:themeColor="text1"/>
          <w:sz w:val="22"/>
          <w:szCs w:val="22"/>
          <w:lang w:val="en-GB"/>
        </w:rPr>
        <w:t xml:space="preserve"> is, if anything, an over-estimate.</w:t>
      </w:r>
    </w:p>
    <w:p w14:paraId="09A986E5" w14:textId="4C393E2C" w:rsidR="00147A2D" w:rsidRDefault="00717566" w:rsidP="00B101EC">
      <w:pPr>
        <w:spacing w:line="360" w:lineRule="auto"/>
        <w:jc w:val="both"/>
        <w:rPr>
          <w:color w:val="000000" w:themeColor="text1"/>
          <w:sz w:val="22"/>
          <w:szCs w:val="22"/>
        </w:rPr>
      </w:pPr>
      <w:r w:rsidRPr="000B2CEA">
        <w:rPr>
          <w:color w:val="000000" w:themeColor="text1"/>
          <w:sz w:val="22"/>
          <w:szCs w:val="22"/>
        </w:rPr>
        <w:t xml:space="preserve">If the picture in </w:t>
      </w:r>
      <w:r w:rsidR="000B2CEA" w:rsidRPr="000B2CEA">
        <w:rPr>
          <w:color w:val="000000" w:themeColor="text1"/>
          <w:sz w:val="22"/>
          <w:szCs w:val="22"/>
        </w:rPr>
        <w:t xml:space="preserve">Figure </w:t>
      </w:r>
      <w:r w:rsidR="000B2CEA">
        <w:rPr>
          <w:color w:val="000000" w:themeColor="text1"/>
          <w:sz w:val="22"/>
          <w:szCs w:val="22"/>
        </w:rPr>
        <w:t>6</w:t>
      </w:r>
      <w:r w:rsidRPr="000B2CEA">
        <w:rPr>
          <w:color w:val="000000" w:themeColor="text1"/>
          <w:sz w:val="22"/>
          <w:szCs w:val="22"/>
        </w:rPr>
        <w:t xml:space="preserve"> is accurate, convicts and expirees were significantly over-represented </w:t>
      </w:r>
      <w:r w:rsidR="00347348">
        <w:rPr>
          <w:color w:val="000000" w:themeColor="text1"/>
          <w:sz w:val="22"/>
          <w:szCs w:val="22"/>
        </w:rPr>
        <w:t xml:space="preserve">(by nearly 100%) </w:t>
      </w:r>
      <w:r w:rsidRPr="000B2CEA">
        <w:rPr>
          <w:color w:val="000000" w:themeColor="text1"/>
          <w:sz w:val="22"/>
          <w:szCs w:val="22"/>
        </w:rPr>
        <w:t>in the Fremantle Prison registers and</w:t>
      </w:r>
      <w:r>
        <w:rPr>
          <w:color w:val="000000" w:themeColor="text1"/>
          <w:sz w:val="22"/>
          <w:szCs w:val="22"/>
        </w:rPr>
        <w:t xml:space="preserve"> Supreme Court records. </w:t>
      </w:r>
      <w:r w:rsidRPr="00A665B6">
        <w:rPr>
          <w:color w:val="000000" w:themeColor="text1"/>
          <w:sz w:val="22"/>
          <w:szCs w:val="22"/>
        </w:rPr>
        <w:t>Over 80%</w:t>
      </w:r>
      <w:r>
        <w:rPr>
          <w:color w:val="000000" w:themeColor="text1"/>
          <w:sz w:val="22"/>
          <w:szCs w:val="22"/>
        </w:rPr>
        <w:t xml:space="preserve"> of people sent to Fremantle prison between 1858 and 1868, and </w:t>
      </w:r>
      <w:r w:rsidRPr="00A665B6">
        <w:rPr>
          <w:color w:val="000000" w:themeColor="text1"/>
          <w:sz w:val="22"/>
          <w:szCs w:val="22"/>
        </w:rPr>
        <w:t>60%</w:t>
      </w:r>
      <w:r>
        <w:rPr>
          <w:color w:val="000000" w:themeColor="text1"/>
          <w:sz w:val="22"/>
          <w:szCs w:val="22"/>
        </w:rPr>
        <w:t xml:space="preserve"> of men </w:t>
      </w:r>
      <w:r w:rsidR="00AD61FA">
        <w:rPr>
          <w:color w:val="000000" w:themeColor="text1"/>
          <w:sz w:val="22"/>
          <w:szCs w:val="22"/>
        </w:rPr>
        <w:t>appearing in the Supreme Court</w:t>
      </w:r>
      <w:r>
        <w:rPr>
          <w:color w:val="000000" w:themeColor="text1"/>
          <w:sz w:val="22"/>
          <w:szCs w:val="22"/>
        </w:rPr>
        <w:t xml:space="preserve">, had arrived by way of a convict transport ship. </w:t>
      </w:r>
    </w:p>
    <w:p w14:paraId="54308A4A" w14:textId="4B1301B7" w:rsidR="0021340A" w:rsidRPr="00B101EC" w:rsidRDefault="00717566" w:rsidP="00B101EC">
      <w:pPr>
        <w:spacing w:line="360" w:lineRule="auto"/>
        <w:jc w:val="both"/>
        <w:rPr>
          <w:color w:val="000000" w:themeColor="text1"/>
          <w:sz w:val="22"/>
          <w:szCs w:val="22"/>
        </w:rPr>
      </w:pPr>
      <w:r>
        <w:rPr>
          <w:color w:val="000000" w:themeColor="text1"/>
          <w:sz w:val="22"/>
          <w:szCs w:val="22"/>
        </w:rPr>
        <w:t>It seems clear that, with regard to the first efficiency test – reconvict</w:t>
      </w:r>
      <w:r w:rsidR="000B2CEA">
        <w:rPr>
          <w:color w:val="000000" w:themeColor="text1"/>
          <w:sz w:val="22"/>
          <w:szCs w:val="22"/>
        </w:rPr>
        <w:t>ion</w:t>
      </w:r>
      <w:r>
        <w:rPr>
          <w:color w:val="000000" w:themeColor="text1"/>
          <w:sz w:val="22"/>
          <w:szCs w:val="22"/>
        </w:rPr>
        <w:t xml:space="preserve"> rates – both the Western Australian and the British convict sys</w:t>
      </w:r>
      <w:r w:rsidR="00AD61FA">
        <w:rPr>
          <w:color w:val="000000" w:themeColor="text1"/>
          <w:sz w:val="22"/>
          <w:szCs w:val="22"/>
        </w:rPr>
        <w:t>tems failed quite dramatically.</w:t>
      </w:r>
      <w:r w:rsidR="008935FA">
        <w:rPr>
          <w:color w:val="000000" w:themeColor="text1"/>
          <w:sz w:val="22"/>
          <w:szCs w:val="22"/>
        </w:rPr>
        <w:t xml:space="preserve"> This can be compared against contemporary recidivism rates in Western Australia (38% of released prisoners reoffended, 2014/15 figures</w:t>
      </w:r>
      <w:r w:rsidR="008935FA">
        <w:rPr>
          <w:rStyle w:val="FootnoteReference"/>
          <w:color w:val="000000" w:themeColor="text1"/>
          <w:sz w:val="22"/>
          <w:szCs w:val="22"/>
        </w:rPr>
        <w:footnoteReference w:id="18"/>
      </w:r>
      <w:r w:rsidR="008935FA">
        <w:rPr>
          <w:color w:val="000000" w:themeColor="text1"/>
          <w:sz w:val="22"/>
          <w:szCs w:val="22"/>
        </w:rPr>
        <w:t>) and in the UK (59% of prisoners on short-term sentences reoffended</w:t>
      </w:r>
      <w:r w:rsidR="008935FA">
        <w:rPr>
          <w:rStyle w:val="FootnoteReference"/>
          <w:color w:val="000000" w:themeColor="text1"/>
          <w:sz w:val="22"/>
          <w:szCs w:val="22"/>
        </w:rPr>
        <w:footnoteReference w:id="19"/>
      </w:r>
      <w:r w:rsidR="008935FA">
        <w:rPr>
          <w:color w:val="000000" w:themeColor="text1"/>
          <w:sz w:val="22"/>
          <w:szCs w:val="22"/>
        </w:rPr>
        <w:t>).</w:t>
      </w:r>
    </w:p>
    <w:p w14:paraId="69367552" w14:textId="77777777" w:rsidR="0021340A" w:rsidRDefault="0021340A" w:rsidP="00B101EC">
      <w:pPr>
        <w:spacing w:line="360" w:lineRule="auto"/>
        <w:jc w:val="both"/>
        <w:rPr>
          <w:b/>
          <w:color w:val="000000" w:themeColor="text1"/>
          <w:sz w:val="22"/>
          <w:szCs w:val="22"/>
        </w:rPr>
      </w:pPr>
    </w:p>
    <w:p w14:paraId="34F27DA6" w14:textId="65362501" w:rsidR="00717566" w:rsidRPr="00E17787" w:rsidRDefault="00717566" w:rsidP="00B101EC">
      <w:pPr>
        <w:spacing w:line="360" w:lineRule="auto"/>
        <w:jc w:val="both"/>
        <w:rPr>
          <w:b/>
          <w:color w:val="000000" w:themeColor="text1"/>
          <w:sz w:val="22"/>
          <w:szCs w:val="22"/>
        </w:rPr>
      </w:pPr>
      <w:r w:rsidRPr="00E17787">
        <w:rPr>
          <w:b/>
          <w:color w:val="000000" w:themeColor="text1"/>
          <w:sz w:val="22"/>
          <w:szCs w:val="22"/>
        </w:rPr>
        <w:t>Fig</w:t>
      </w:r>
      <w:r w:rsidR="00FB1514">
        <w:rPr>
          <w:b/>
          <w:color w:val="000000" w:themeColor="text1"/>
          <w:sz w:val="22"/>
          <w:szCs w:val="22"/>
        </w:rPr>
        <w:t xml:space="preserve"> 6</w:t>
      </w:r>
      <w:r w:rsidRPr="00E17787">
        <w:rPr>
          <w:b/>
          <w:color w:val="000000" w:themeColor="text1"/>
          <w:sz w:val="22"/>
          <w:szCs w:val="22"/>
        </w:rPr>
        <w:t>:  Proportion of convicts and expirees in Western Australia</w:t>
      </w:r>
      <w:r>
        <w:rPr>
          <w:b/>
          <w:color w:val="000000" w:themeColor="text1"/>
          <w:sz w:val="22"/>
          <w:szCs w:val="22"/>
        </w:rPr>
        <w:t>, in the Supreme Court 1861-1868, and in Fremantle Prison, 1850-18</w:t>
      </w:r>
      <w:r w:rsidRPr="00E17787">
        <w:rPr>
          <w:b/>
          <w:color w:val="000000" w:themeColor="text1"/>
          <w:sz w:val="22"/>
          <w:szCs w:val="22"/>
        </w:rPr>
        <w:t>9</w:t>
      </w:r>
      <w:r>
        <w:rPr>
          <w:b/>
          <w:color w:val="000000" w:themeColor="text1"/>
          <w:sz w:val="22"/>
          <w:szCs w:val="22"/>
        </w:rPr>
        <w:t>3</w:t>
      </w:r>
    </w:p>
    <w:p w14:paraId="2EB2183E" w14:textId="77777777" w:rsidR="00AD22B6" w:rsidRPr="00567C90" w:rsidRDefault="00AD22B6" w:rsidP="00B101EC">
      <w:pPr>
        <w:spacing w:line="360" w:lineRule="auto"/>
        <w:jc w:val="both"/>
        <w:rPr>
          <w:color w:val="000000" w:themeColor="text1"/>
          <w:sz w:val="22"/>
          <w:szCs w:val="22"/>
        </w:rPr>
      </w:pPr>
    </w:p>
    <w:p w14:paraId="5BFC439F" w14:textId="01ECDFCA" w:rsidR="00551E70" w:rsidRDefault="00551E70" w:rsidP="00B101EC">
      <w:pPr>
        <w:spacing w:line="360" w:lineRule="auto"/>
        <w:jc w:val="both"/>
        <w:rPr>
          <w:color w:val="000000" w:themeColor="text1"/>
          <w:sz w:val="22"/>
          <w:szCs w:val="22"/>
        </w:rPr>
      </w:pPr>
      <w:r>
        <w:rPr>
          <w:noProof/>
        </w:rPr>
        <w:drawing>
          <wp:inline distT="0" distB="0" distL="0" distR="0" wp14:anchorId="775207EB" wp14:editId="66302273">
            <wp:extent cx="4844716" cy="2085474"/>
            <wp:effectExtent l="0" t="0" r="6985" b="10160"/>
            <wp:docPr id="5" name="Chart 5">
              <a:extLst xmlns:a="http://schemas.openxmlformats.org/drawingml/2006/main">
                <a:ext uri="{FF2B5EF4-FFF2-40B4-BE49-F238E27FC236}">
                  <a16:creationId xmlns:a16="http://schemas.microsoft.com/office/drawing/2014/main" id="{6A526C27-ACF3-8C47-9947-A15238C7A8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420791" w14:textId="029E5D65" w:rsidR="00531DCE" w:rsidRDefault="00531DCE" w:rsidP="00B101EC">
      <w:pPr>
        <w:spacing w:line="360" w:lineRule="auto"/>
        <w:jc w:val="both"/>
        <w:rPr>
          <w:color w:val="000000" w:themeColor="text1"/>
          <w:sz w:val="22"/>
          <w:szCs w:val="22"/>
        </w:rPr>
      </w:pPr>
    </w:p>
    <w:p w14:paraId="675BF0CB" w14:textId="77777777" w:rsidR="00B80E2A" w:rsidRDefault="00B80E2A" w:rsidP="00B101EC">
      <w:pPr>
        <w:spacing w:line="360" w:lineRule="auto"/>
        <w:jc w:val="both"/>
        <w:rPr>
          <w:color w:val="000000" w:themeColor="text1"/>
          <w:sz w:val="22"/>
          <w:szCs w:val="22"/>
        </w:rPr>
      </w:pPr>
    </w:p>
    <w:p w14:paraId="7EFFBB92" w14:textId="6A71C91A" w:rsidR="00B80E2A" w:rsidRPr="00B80E2A" w:rsidRDefault="00B80E2A" w:rsidP="00B101EC">
      <w:pPr>
        <w:spacing w:line="360" w:lineRule="auto"/>
        <w:jc w:val="both"/>
        <w:rPr>
          <w:b/>
          <w:color w:val="000000" w:themeColor="text1"/>
          <w:sz w:val="22"/>
          <w:szCs w:val="22"/>
        </w:rPr>
      </w:pPr>
      <w:r w:rsidRPr="00147A2D">
        <w:rPr>
          <w:b/>
          <w:color w:val="000000" w:themeColor="text1"/>
          <w:sz w:val="22"/>
          <w:szCs w:val="22"/>
        </w:rPr>
        <w:t>Findings: Speed to Reconviction</w:t>
      </w:r>
    </w:p>
    <w:p w14:paraId="2F2E532F" w14:textId="77777777" w:rsidR="00B80E2A" w:rsidRDefault="00B80E2A" w:rsidP="00B101EC">
      <w:pPr>
        <w:spacing w:line="360" w:lineRule="auto"/>
        <w:jc w:val="both"/>
        <w:rPr>
          <w:color w:val="000000" w:themeColor="text1"/>
          <w:sz w:val="22"/>
          <w:szCs w:val="22"/>
        </w:rPr>
      </w:pPr>
    </w:p>
    <w:p w14:paraId="62C1594E" w14:textId="69FDFAAE" w:rsidR="005261E5" w:rsidRDefault="00C66504" w:rsidP="005261E5">
      <w:pPr>
        <w:spacing w:line="360" w:lineRule="auto"/>
        <w:jc w:val="both"/>
        <w:rPr>
          <w:color w:val="000000" w:themeColor="text1"/>
          <w:sz w:val="22"/>
          <w:szCs w:val="22"/>
        </w:rPr>
      </w:pPr>
      <w:r w:rsidRPr="0039269E">
        <w:rPr>
          <w:color w:val="000000" w:themeColor="text1"/>
          <w:sz w:val="22"/>
          <w:szCs w:val="22"/>
        </w:rPr>
        <w:t xml:space="preserve">For the second efficiency test, </w:t>
      </w:r>
      <w:r w:rsidR="00F907C0">
        <w:rPr>
          <w:color w:val="000000" w:themeColor="text1"/>
          <w:sz w:val="22"/>
          <w:szCs w:val="22"/>
        </w:rPr>
        <w:t>the</w:t>
      </w:r>
      <w:r w:rsidRPr="0039269E">
        <w:rPr>
          <w:color w:val="000000" w:themeColor="text1"/>
          <w:sz w:val="22"/>
          <w:szCs w:val="22"/>
        </w:rPr>
        <w:t xml:space="preserve"> measure </w:t>
      </w:r>
      <w:r w:rsidR="00F907C0" w:rsidRPr="005C4393">
        <w:rPr>
          <w:color w:val="000000" w:themeColor="text1"/>
          <w:sz w:val="22"/>
          <w:szCs w:val="22"/>
        </w:rPr>
        <w:t xml:space="preserve">was </w:t>
      </w:r>
      <w:r w:rsidRPr="005C4393">
        <w:rPr>
          <w:i/>
          <w:color w:val="000000" w:themeColor="text1"/>
          <w:sz w:val="22"/>
          <w:szCs w:val="22"/>
        </w:rPr>
        <w:t>speed to reconviction</w:t>
      </w:r>
      <w:r w:rsidRPr="0039269E">
        <w:rPr>
          <w:color w:val="000000" w:themeColor="text1"/>
          <w:sz w:val="22"/>
          <w:szCs w:val="22"/>
        </w:rPr>
        <w:t xml:space="preserve"> (the time elapsed between capacity to offend and reconviction), bearing in mind that these rates should be slower for the most effective system.</w:t>
      </w:r>
      <w:r w:rsidR="00FB1514">
        <w:rPr>
          <w:color w:val="000000" w:themeColor="text1"/>
          <w:sz w:val="22"/>
          <w:szCs w:val="22"/>
        </w:rPr>
        <w:t xml:space="preserve"> </w:t>
      </w:r>
      <w:r w:rsidR="005261E5">
        <w:rPr>
          <w:color w:val="000000" w:themeColor="text1"/>
          <w:sz w:val="22"/>
          <w:szCs w:val="22"/>
        </w:rPr>
        <w:t xml:space="preserve">It has been possible to compare the speed to reconviction for four groups. The first (A) were UK habitual offenders, whose offending record was recorded as part of the habitual offender legislation to which they were subjected. The second (B) are sample of convicts who were released on licensed, then had their licenses revoked due to a reconviction. The third (C) are the convicts who appeared in the Western Australia Supreme; and the last (D) are </w:t>
      </w:r>
      <w:r w:rsidR="00747CC9">
        <w:rPr>
          <w:color w:val="000000" w:themeColor="text1"/>
          <w:sz w:val="22"/>
          <w:szCs w:val="22"/>
        </w:rPr>
        <w:t xml:space="preserve">men who served time in Fremantle Prison. </w:t>
      </w:r>
      <w:r w:rsidR="005261E5">
        <w:rPr>
          <w:color w:val="000000" w:themeColor="text1"/>
          <w:sz w:val="22"/>
          <w:szCs w:val="22"/>
        </w:rPr>
        <w:t>As the run of data from the Supreme Court records starts in 1861, anyone who arrived in the colony before then was discounted</w:t>
      </w:r>
      <w:r w:rsidR="00747CC9">
        <w:rPr>
          <w:color w:val="000000" w:themeColor="text1"/>
          <w:sz w:val="22"/>
          <w:szCs w:val="22"/>
        </w:rPr>
        <w:t xml:space="preserve"> for this analysis; and, because Fremantle Prison data runs from 1858, anyone who arrived before 1858 was also discounted</w:t>
      </w:r>
      <w:r w:rsidR="005261E5">
        <w:rPr>
          <w:color w:val="000000" w:themeColor="text1"/>
          <w:sz w:val="22"/>
          <w:szCs w:val="22"/>
        </w:rPr>
        <w:t xml:space="preserve">. </w:t>
      </w:r>
      <w:r w:rsidR="00747CC9">
        <w:rPr>
          <w:color w:val="000000" w:themeColor="text1"/>
          <w:sz w:val="22"/>
          <w:szCs w:val="22"/>
        </w:rPr>
        <w:t xml:space="preserve">The results are interesting </w:t>
      </w:r>
      <w:r w:rsidR="005261E5">
        <w:rPr>
          <w:color w:val="000000" w:themeColor="text1"/>
          <w:sz w:val="22"/>
          <w:szCs w:val="22"/>
        </w:rPr>
        <w:t>(see Fig 7)</w:t>
      </w:r>
      <w:r w:rsidR="005261E5" w:rsidRPr="00FB1514">
        <w:rPr>
          <w:color w:val="000000" w:themeColor="text1"/>
          <w:sz w:val="22"/>
          <w:szCs w:val="22"/>
        </w:rPr>
        <w:t>.</w:t>
      </w:r>
    </w:p>
    <w:p w14:paraId="0275DB09" w14:textId="7E609513" w:rsidR="005261E5" w:rsidRDefault="005261E5" w:rsidP="00B101EC">
      <w:pPr>
        <w:spacing w:line="360" w:lineRule="auto"/>
        <w:jc w:val="both"/>
        <w:rPr>
          <w:color w:val="000000" w:themeColor="text1"/>
          <w:sz w:val="22"/>
          <w:szCs w:val="22"/>
        </w:rPr>
      </w:pPr>
    </w:p>
    <w:p w14:paraId="43F443A8" w14:textId="77777777" w:rsidR="005261E5" w:rsidRDefault="005261E5" w:rsidP="005261E5">
      <w:pPr>
        <w:spacing w:line="360" w:lineRule="auto"/>
        <w:jc w:val="both"/>
        <w:rPr>
          <w:b/>
          <w:color w:val="000000" w:themeColor="text1"/>
          <w:sz w:val="22"/>
          <w:szCs w:val="22"/>
        </w:rPr>
      </w:pPr>
      <w:r w:rsidRPr="00FB1514">
        <w:rPr>
          <w:b/>
          <w:color w:val="000000" w:themeColor="text1"/>
          <w:sz w:val="22"/>
          <w:szCs w:val="22"/>
        </w:rPr>
        <w:t xml:space="preserve">Fig 7: </w:t>
      </w:r>
      <w:r>
        <w:rPr>
          <w:b/>
          <w:color w:val="000000" w:themeColor="text1"/>
          <w:sz w:val="22"/>
          <w:szCs w:val="22"/>
        </w:rPr>
        <w:t>Speed to reconviction in the UK and Western Australia</w:t>
      </w:r>
      <w:r>
        <w:rPr>
          <w:rStyle w:val="FootnoteReference"/>
          <w:b/>
          <w:color w:val="000000" w:themeColor="text1"/>
          <w:sz w:val="22"/>
          <w:szCs w:val="22"/>
        </w:rPr>
        <w:footnoteReference w:id="20"/>
      </w:r>
    </w:p>
    <w:p w14:paraId="4C112127" w14:textId="77777777" w:rsidR="005261E5" w:rsidRDefault="005261E5" w:rsidP="005261E5">
      <w:pPr>
        <w:spacing w:line="360" w:lineRule="auto"/>
        <w:jc w:val="both"/>
        <w:rPr>
          <w:color w:val="C00000"/>
          <w:sz w:val="22"/>
          <w:szCs w:val="22"/>
        </w:rPr>
      </w:pPr>
    </w:p>
    <w:tbl>
      <w:tblPr>
        <w:tblStyle w:val="TableGrid"/>
        <w:tblW w:w="0" w:type="auto"/>
        <w:tblLayout w:type="fixed"/>
        <w:tblLook w:val="04A0" w:firstRow="1" w:lastRow="0" w:firstColumn="1" w:lastColumn="0" w:noHBand="0" w:noVBand="1"/>
      </w:tblPr>
      <w:tblGrid>
        <w:gridCol w:w="988"/>
        <w:gridCol w:w="992"/>
        <w:gridCol w:w="919"/>
        <w:gridCol w:w="994"/>
        <w:gridCol w:w="994"/>
        <w:gridCol w:w="1004"/>
        <w:gridCol w:w="1004"/>
        <w:gridCol w:w="1057"/>
        <w:gridCol w:w="1058"/>
      </w:tblGrid>
      <w:tr w:rsidR="00F25348" w14:paraId="18BBD72D" w14:textId="77777777" w:rsidTr="00F25348">
        <w:tc>
          <w:tcPr>
            <w:tcW w:w="988" w:type="dxa"/>
            <w:shd w:val="clear" w:color="auto" w:fill="E7E6E6" w:themeFill="background2"/>
          </w:tcPr>
          <w:p w14:paraId="4831BD2B" w14:textId="77777777" w:rsidR="005261E5" w:rsidRPr="005261E5" w:rsidRDefault="005261E5" w:rsidP="00130E53">
            <w:pPr>
              <w:spacing w:line="360" w:lineRule="auto"/>
              <w:jc w:val="both"/>
              <w:rPr>
                <w:b/>
                <w:color w:val="000000" w:themeColor="text1"/>
                <w:sz w:val="20"/>
                <w:szCs w:val="20"/>
              </w:rPr>
            </w:pPr>
            <w:r w:rsidRPr="005261E5">
              <w:rPr>
                <w:b/>
                <w:bCs/>
                <w:color w:val="000000" w:themeColor="text1"/>
                <w:sz w:val="20"/>
                <w:szCs w:val="20"/>
              </w:rPr>
              <w:t>Months</w:t>
            </w:r>
          </w:p>
        </w:tc>
        <w:tc>
          <w:tcPr>
            <w:tcW w:w="1911" w:type="dxa"/>
            <w:gridSpan w:val="2"/>
            <w:shd w:val="clear" w:color="auto" w:fill="E7E6E6" w:themeFill="background2"/>
          </w:tcPr>
          <w:p w14:paraId="3732F8F5" w14:textId="5C25B7F2" w:rsidR="005261E5" w:rsidRPr="00F25348" w:rsidRDefault="005261E5" w:rsidP="00F25348">
            <w:pPr>
              <w:pStyle w:val="ListParagraph"/>
              <w:numPr>
                <w:ilvl w:val="0"/>
                <w:numId w:val="6"/>
              </w:numPr>
              <w:ind w:left="360"/>
              <w:rPr>
                <w:rFonts w:ascii="Times New Roman" w:hAnsi="Times New Roman" w:cs="Times New Roman"/>
                <w:b/>
                <w:sz w:val="20"/>
                <w:szCs w:val="20"/>
              </w:rPr>
            </w:pPr>
            <w:r w:rsidRPr="00F25348">
              <w:rPr>
                <w:rFonts w:ascii="Times New Roman" w:hAnsi="Times New Roman" w:cs="Times New Roman"/>
                <w:b/>
                <w:sz w:val="20"/>
                <w:szCs w:val="20"/>
              </w:rPr>
              <w:t>British Habitual</w:t>
            </w:r>
            <w:r w:rsidR="00F25348">
              <w:rPr>
                <w:rFonts w:ascii="Times New Roman" w:hAnsi="Times New Roman" w:cs="Times New Roman"/>
                <w:b/>
                <w:sz w:val="20"/>
                <w:szCs w:val="20"/>
              </w:rPr>
              <w:t xml:space="preserve"> Offenders</w:t>
            </w:r>
          </w:p>
        </w:tc>
        <w:tc>
          <w:tcPr>
            <w:tcW w:w="1988" w:type="dxa"/>
            <w:gridSpan w:val="2"/>
            <w:shd w:val="clear" w:color="auto" w:fill="E7E6E6" w:themeFill="background2"/>
          </w:tcPr>
          <w:p w14:paraId="39859CC8" w14:textId="2463D526" w:rsidR="005261E5" w:rsidRPr="00F25348" w:rsidRDefault="005261E5" w:rsidP="00F25348">
            <w:pPr>
              <w:pStyle w:val="ListParagraph"/>
              <w:numPr>
                <w:ilvl w:val="0"/>
                <w:numId w:val="6"/>
              </w:numPr>
              <w:spacing w:line="360" w:lineRule="auto"/>
              <w:ind w:left="360"/>
              <w:jc w:val="center"/>
              <w:rPr>
                <w:rFonts w:ascii="Times New Roman" w:hAnsi="Times New Roman" w:cs="Times New Roman"/>
                <w:b/>
                <w:color w:val="000000" w:themeColor="text1"/>
                <w:sz w:val="20"/>
                <w:szCs w:val="20"/>
              </w:rPr>
            </w:pPr>
            <w:r w:rsidRPr="00F25348">
              <w:rPr>
                <w:rFonts w:ascii="Times New Roman" w:hAnsi="Times New Roman" w:cs="Times New Roman"/>
                <w:b/>
                <w:color w:val="000000" w:themeColor="text1"/>
                <w:sz w:val="20"/>
                <w:szCs w:val="20"/>
              </w:rPr>
              <w:t>Convicts in British Prisons</w:t>
            </w:r>
          </w:p>
        </w:tc>
        <w:tc>
          <w:tcPr>
            <w:tcW w:w="2008" w:type="dxa"/>
            <w:gridSpan w:val="2"/>
            <w:shd w:val="clear" w:color="auto" w:fill="E7E6E6" w:themeFill="background2"/>
          </w:tcPr>
          <w:p w14:paraId="55DC6CF6" w14:textId="2486973C" w:rsidR="005261E5" w:rsidRPr="00F25348" w:rsidRDefault="005261E5" w:rsidP="00F25348">
            <w:pPr>
              <w:pStyle w:val="ListParagraph"/>
              <w:numPr>
                <w:ilvl w:val="0"/>
                <w:numId w:val="6"/>
              </w:numPr>
              <w:spacing w:line="360" w:lineRule="auto"/>
              <w:ind w:left="303"/>
              <w:jc w:val="center"/>
              <w:rPr>
                <w:rFonts w:ascii="Times New Roman" w:hAnsi="Times New Roman" w:cs="Times New Roman"/>
                <w:b/>
                <w:color w:val="000000" w:themeColor="text1"/>
                <w:sz w:val="20"/>
                <w:szCs w:val="20"/>
              </w:rPr>
            </w:pPr>
            <w:r w:rsidRPr="00F25348">
              <w:rPr>
                <w:rFonts w:ascii="Times New Roman" w:hAnsi="Times New Roman" w:cs="Times New Roman"/>
                <w:b/>
                <w:color w:val="000000" w:themeColor="text1"/>
                <w:sz w:val="20"/>
                <w:szCs w:val="20"/>
              </w:rPr>
              <w:t>Convicts in WA Supreme Court</w:t>
            </w:r>
          </w:p>
        </w:tc>
        <w:tc>
          <w:tcPr>
            <w:tcW w:w="2115" w:type="dxa"/>
            <w:gridSpan w:val="2"/>
            <w:shd w:val="clear" w:color="auto" w:fill="E7E6E6" w:themeFill="background2"/>
          </w:tcPr>
          <w:p w14:paraId="044CFE13" w14:textId="045726F2" w:rsidR="005261E5" w:rsidRPr="00F25348" w:rsidRDefault="005261E5" w:rsidP="00F25348">
            <w:pPr>
              <w:pStyle w:val="ListParagraph"/>
              <w:numPr>
                <w:ilvl w:val="0"/>
                <w:numId w:val="6"/>
              </w:numPr>
              <w:spacing w:line="360" w:lineRule="auto"/>
              <w:ind w:left="360"/>
              <w:jc w:val="center"/>
              <w:rPr>
                <w:rFonts w:ascii="Times New Roman" w:hAnsi="Times New Roman" w:cs="Times New Roman"/>
                <w:b/>
                <w:color w:val="000000" w:themeColor="text1"/>
                <w:sz w:val="20"/>
                <w:szCs w:val="20"/>
              </w:rPr>
            </w:pPr>
            <w:r w:rsidRPr="00F25348">
              <w:rPr>
                <w:rFonts w:ascii="Times New Roman" w:hAnsi="Times New Roman" w:cs="Times New Roman"/>
                <w:b/>
                <w:color w:val="000000" w:themeColor="text1"/>
                <w:sz w:val="20"/>
                <w:szCs w:val="20"/>
              </w:rPr>
              <w:t xml:space="preserve">Convicts in Fremantle Prison </w:t>
            </w:r>
          </w:p>
        </w:tc>
      </w:tr>
      <w:tr w:rsidR="005261E5" w14:paraId="22DC94F1" w14:textId="77777777" w:rsidTr="00F25348">
        <w:tc>
          <w:tcPr>
            <w:tcW w:w="988" w:type="dxa"/>
            <w:shd w:val="clear" w:color="auto" w:fill="E7E6E6" w:themeFill="background2"/>
          </w:tcPr>
          <w:p w14:paraId="793A9CA1" w14:textId="77777777" w:rsidR="005261E5" w:rsidRPr="00B101EC" w:rsidRDefault="005261E5" w:rsidP="00130E53">
            <w:pPr>
              <w:spacing w:line="360" w:lineRule="auto"/>
              <w:jc w:val="both"/>
              <w:rPr>
                <w:b/>
                <w:color w:val="000000" w:themeColor="text1"/>
                <w:sz w:val="20"/>
                <w:szCs w:val="20"/>
              </w:rPr>
            </w:pPr>
          </w:p>
        </w:tc>
        <w:tc>
          <w:tcPr>
            <w:tcW w:w="992" w:type="dxa"/>
            <w:shd w:val="clear" w:color="auto" w:fill="E7E6E6" w:themeFill="background2"/>
          </w:tcPr>
          <w:p w14:paraId="5897D109" w14:textId="77777777" w:rsidR="005261E5" w:rsidRPr="00B101EC" w:rsidRDefault="005261E5" w:rsidP="00130E53">
            <w:pPr>
              <w:spacing w:line="360" w:lineRule="auto"/>
              <w:jc w:val="center"/>
              <w:rPr>
                <w:b/>
                <w:color w:val="000000" w:themeColor="text1"/>
                <w:sz w:val="20"/>
                <w:szCs w:val="20"/>
              </w:rPr>
            </w:pPr>
            <w:r w:rsidRPr="00B101EC">
              <w:rPr>
                <w:b/>
                <w:color w:val="000000" w:themeColor="text1"/>
                <w:sz w:val="20"/>
                <w:szCs w:val="20"/>
              </w:rPr>
              <w:t>No</w:t>
            </w:r>
          </w:p>
        </w:tc>
        <w:tc>
          <w:tcPr>
            <w:tcW w:w="919" w:type="dxa"/>
            <w:shd w:val="clear" w:color="auto" w:fill="E7E6E6" w:themeFill="background2"/>
          </w:tcPr>
          <w:p w14:paraId="533B2C8C" w14:textId="77777777" w:rsidR="005261E5" w:rsidRPr="00B101EC" w:rsidRDefault="005261E5" w:rsidP="00130E53">
            <w:pPr>
              <w:spacing w:line="360" w:lineRule="auto"/>
              <w:jc w:val="center"/>
              <w:rPr>
                <w:b/>
                <w:color w:val="000000" w:themeColor="text1"/>
                <w:sz w:val="20"/>
                <w:szCs w:val="20"/>
              </w:rPr>
            </w:pPr>
            <w:r w:rsidRPr="00B101EC">
              <w:rPr>
                <w:b/>
                <w:color w:val="000000" w:themeColor="text1"/>
                <w:sz w:val="20"/>
                <w:szCs w:val="20"/>
              </w:rPr>
              <w:t>%</w:t>
            </w:r>
          </w:p>
        </w:tc>
        <w:tc>
          <w:tcPr>
            <w:tcW w:w="994" w:type="dxa"/>
            <w:shd w:val="clear" w:color="auto" w:fill="E7E6E6" w:themeFill="background2"/>
          </w:tcPr>
          <w:p w14:paraId="2028CE61" w14:textId="77777777" w:rsidR="005261E5" w:rsidRPr="00B101EC" w:rsidRDefault="005261E5" w:rsidP="00130E53">
            <w:pPr>
              <w:spacing w:line="360" w:lineRule="auto"/>
              <w:jc w:val="center"/>
              <w:rPr>
                <w:b/>
                <w:color w:val="000000" w:themeColor="text1"/>
                <w:sz w:val="20"/>
                <w:szCs w:val="20"/>
              </w:rPr>
            </w:pPr>
            <w:r w:rsidRPr="00B101EC">
              <w:rPr>
                <w:b/>
                <w:color w:val="000000" w:themeColor="text1"/>
                <w:sz w:val="20"/>
                <w:szCs w:val="20"/>
              </w:rPr>
              <w:t>No</w:t>
            </w:r>
          </w:p>
        </w:tc>
        <w:tc>
          <w:tcPr>
            <w:tcW w:w="994" w:type="dxa"/>
            <w:shd w:val="clear" w:color="auto" w:fill="E7E6E6" w:themeFill="background2"/>
          </w:tcPr>
          <w:p w14:paraId="588218B5" w14:textId="77777777" w:rsidR="005261E5" w:rsidRPr="00B101EC" w:rsidRDefault="005261E5" w:rsidP="00130E53">
            <w:pPr>
              <w:spacing w:line="360" w:lineRule="auto"/>
              <w:jc w:val="center"/>
              <w:rPr>
                <w:b/>
                <w:color w:val="000000" w:themeColor="text1"/>
                <w:sz w:val="20"/>
                <w:szCs w:val="20"/>
              </w:rPr>
            </w:pPr>
            <w:r w:rsidRPr="00B101EC">
              <w:rPr>
                <w:b/>
                <w:color w:val="000000" w:themeColor="text1"/>
                <w:sz w:val="20"/>
                <w:szCs w:val="20"/>
              </w:rPr>
              <w:t>%</w:t>
            </w:r>
          </w:p>
        </w:tc>
        <w:tc>
          <w:tcPr>
            <w:tcW w:w="1004" w:type="dxa"/>
            <w:shd w:val="clear" w:color="auto" w:fill="E7E6E6" w:themeFill="background2"/>
          </w:tcPr>
          <w:p w14:paraId="11FABDCF" w14:textId="77777777" w:rsidR="005261E5" w:rsidRPr="00B101EC" w:rsidRDefault="005261E5" w:rsidP="00130E53">
            <w:pPr>
              <w:spacing w:line="360" w:lineRule="auto"/>
              <w:jc w:val="center"/>
              <w:rPr>
                <w:b/>
                <w:color w:val="000000" w:themeColor="text1"/>
                <w:sz w:val="20"/>
                <w:szCs w:val="20"/>
              </w:rPr>
            </w:pPr>
            <w:r w:rsidRPr="00B101EC">
              <w:rPr>
                <w:b/>
                <w:color w:val="000000" w:themeColor="text1"/>
                <w:sz w:val="20"/>
                <w:szCs w:val="20"/>
              </w:rPr>
              <w:t>No</w:t>
            </w:r>
          </w:p>
        </w:tc>
        <w:tc>
          <w:tcPr>
            <w:tcW w:w="1004" w:type="dxa"/>
            <w:shd w:val="clear" w:color="auto" w:fill="E7E6E6" w:themeFill="background2"/>
          </w:tcPr>
          <w:p w14:paraId="5B5070CF" w14:textId="77777777" w:rsidR="005261E5" w:rsidRPr="00B101EC" w:rsidRDefault="005261E5" w:rsidP="00130E53">
            <w:pPr>
              <w:spacing w:line="360" w:lineRule="auto"/>
              <w:jc w:val="center"/>
              <w:rPr>
                <w:b/>
                <w:color w:val="000000" w:themeColor="text1"/>
                <w:sz w:val="20"/>
                <w:szCs w:val="20"/>
              </w:rPr>
            </w:pPr>
            <w:r w:rsidRPr="00B101EC">
              <w:rPr>
                <w:b/>
                <w:color w:val="000000" w:themeColor="text1"/>
                <w:sz w:val="20"/>
                <w:szCs w:val="20"/>
              </w:rPr>
              <w:t>%</w:t>
            </w:r>
          </w:p>
        </w:tc>
        <w:tc>
          <w:tcPr>
            <w:tcW w:w="1057" w:type="dxa"/>
            <w:shd w:val="clear" w:color="auto" w:fill="E7E6E6" w:themeFill="background2"/>
          </w:tcPr>
          <w:p w14:paraId="3804A165" w14:textId="77777777" w:rsidR="005261E5" w:rsidRPr="00B101EC" w:rsidRDefault="005261E5" w:rsidP="00130E53">
            <w:pPr>
              <w:spacing w:line="360" w:lineRule="auto"/>
              <w:jc w:val="center"/>
              <w:rPr>
                <w:b/>
                <w:color w:val="000000" w:themeColor="text1"/>
                <w:sz w:val="20"/>
                <w:szCs w:val="20"/>
              </w:rPr>
            </w:pPr>
            <w:r w:rsidRPr="00B101EC">
              <w:rPr>
                <w:b/>
                <w:color w:val="000000" w:themeColor="text1"/>
                <w:sz w:val="20"/>
                <w:szCs w:val="20"/>
              </w:rPr>
              <w:t>No</w:t>
            </w:r>
          </w:p>
        </w:tc>
        <w:tc>
          <w:tcPr>
            <w:tcW w:w="1058" w:type="dxa"/>
            <w:shd w:val="clear" w:color="auto" w:fill="E7E6E6" w:themeFill="background2"/>
          </w:tcPr>
          <w:p w14:paraId="24B0849F" w14:textId="77777777" w:rsidR="005261E5" w:rsidRPr="00B101EC" w:rsidRDefault="005261E5" w:rsidP="00130E53">
            <w:pPr>
              <w:spacing w:line="360" w:lineRule="auto"/>
              <w:jc w:val="center"/>
              <w:rPr>
                <w:b/>
                <w:color w:val="000000" w:themeColor="text1"/>
                <w:sz w:val="20"/>
                <w:szCs w:val="20"/>
              </w:rPr>
            </w:pPr>
            <w:r w:rsidRPr="00B101EC">
              <w:rPr>
                <w:b/>
                <w:color w:val="000000" w:themeColor="text1"/>
                <w:sz w:val="20"/>
                <w:szCs w:val="20"/>
              </w:rPr>
              <w:t>%</w:t>
            </w:r>
          </w:p>
        </w:tc>
      </w:tr>
      <w:tr w:rsidR="005261E5" w14:paraId="5AACAA87" w14:textId="77777777" w:rsidTr="00F25348">
        <w:tc>
          <w:tcPr>
            <w:tcW w:w="988" w:type="dxa"/>
          </w:tcPr>
          <w:p w14:paraId="034A987A" w14:textId="77777777" w:rsidR="005261E5" w:rsidRPr="00B101EC" w:rsidRDefault="005261E5" w:rsidP="00130E53">
            <w:pPr>
              <w:spacing w:line="360" w:lineRule="auto"/>
              <w:jc w:val="both"/>
              <w:rPr>
                <w:b/>
                <w:color w:val="000000" w:themeColor="text1"/>
                <w:sz w:val="20"/>
                <w:szCs w:val="20"/>
              </w:rPr>
            </w:pPr>
            <w:r w:rsidRPr="00B101EC">
              <w:rPr>
                <w:b/>
                <w:color w:val="000000" w:themeColor="text1"/>
                <w:sz w:val="20"/>
                <w:szCs w:val="20"/>
              </w:rPr>
              <w:t>1 to 12</w:t>
            </w:r>
          </w:p>
        </w:tc>
        <w:tc>
          <w:tcPr>
            <w:tcW w:w="992" w:type="dxa"/>
          </w:tcPr>
          <w:p w14:paraId="5FC83944" w14:textId="77777777" w:rsidR="005261E5" w:rsidRPr="00B101EC" w:rsidRDefault="005261E5" w:rsidP="00130E53">
            <w:pPr>
              <w:spacing w:line="360" w:lineRule="auto"/>
              <w:jc w:val="center"/>
              <w:rPr>
                <w:color w:val="000000" w:themeColor="text1"/>
                <w:sz w:val="20"/>
                <w:szCs w:val="20"/>
              </w:rPr>
            </w:pPr>
            <w:r w:rsidRPr="00B101EC">
              <w:rPr>
                <w:color w:val="000000" w:themeColor="text1"/>
                <w:sz w:val="20"/>
                <w:szCs w:val="20"/>
              </w:rPr>
              <w:t>105</w:t>
            </w:r>
          </w:p>
        </w:tc>
        <w:tc>
          <w:tcPr>
            <w:tcW w:w="919" w:type="dxa"/>
          </w:tcPr>
          <w:p w14:paraId="1F49C158" w14:textId="77777777" w:rsidR="005261E5" w:rsidRPr="00B101EC" w:rsidRDefault="005261E5" w:rsidP="00130E53">
            <w:pPr>
              <w:spacing w:line="360" w:lineRule="auto"/>
              <w:jc w:val="center"/>
              <w:rPr>
                <w:color w:val="000000" w:themeColor="text1"/>
                <w:sz w:val="20"/>
                <w:szCs w:val="20"/>
              </w:rPr>
            </w:pPr>
            <w:r w:rsidRPr="00B101EC">
              <w:rPr>
                <w:color w:val="000000" w:themeColor="text1"/>
                <w:sz w:val="20"/>
                <w:szCs w:val="20"/>
              </w:rPr>
              <w:t>48</w:t>
            </w:r>
          </w:p>
        </w:tc>
        <w:tc>
          <w:tcPr>
            <w:tcW w:w="994" w:type="dxa"/>
            <w:vAlign w:val="bottom"/>
          </w:tcPr>
          <w:p w14:paraId="6B8B1D11" w14:textId="77777777" w:rsidR="005261E5" w:rsidRPr="00B101EC" w:rsidRDefault="005261E5" w:rsidP="00130E53">
            <w:pPr>
              <w:spacing w:line="360" w:lineRule="auto"/>
              <w:jc w:val="center"/>
              <w:rPr>
                <w:color w:val="000000" w:themeColor="text1"/>
                <w:sz w:val="20"/>
                <w:szCs w:val="20"/>
              </w:rPr>
            </w:pPr>
            <w:r w:rsidRPr="00B101EC">
              <w:rPr>
                <w:color w:val="000000"/>
                <w:sz w:val="20"/>
                <w:szCs w:val="20"/>
              </w:rPr>
              <w:t>99</w:t>
            </w:r>
          </w:p>
        </w:tc>
        <w:tc>
          <w:tcPr>
            <w:tcW w:w="994" w:type="dxa"/>
            <w:vAlign w:val="bottom"/>
          </w:tcPr>
          <w:p w14:paraId="52E6F5AF" w14:textId="77777777" w:rsidR="005261E5" w:rsidRPr="00B101EC" w:rsidRDefault="005261E5" w:rsidP="00130E53">
            <w:pPr>
              <w:spacing w:line="360" w:lineRule="auto"/>
              <w:jc w:val="center"/>
              <w:rPr>
                <w:color w:val="000000" w:themeColor="text1"/>
                <w:sz w:val="20"/>
                <w:szCs w:val="20"/>
              </w:rPr>
            </w:pPr>
            <w:r w:rsidRPr="00B101EC">
              <w:rPr>
                <w:color w:val="000000"/>
                <w:sz w:val="20"/>
                <w:szCs w:val="20"/>
              </w:rPr>
              <w:t>39</w:t>
            </w:r>
          </w:p>
        </w:tc>
        <w:tc>
          <w:tcPr>
            <w:tcW w:w="1004" w:type="dxa"/>
            <w:vAlign w:val="bottom"/>
          </w:tcPr>
          <w:p w14:paraId="016C129E" w14:textId="77777777" w:rsidR="005261E5" w:rsidRPr="00B101EC" w:rsidRDefault="005261E5" w:rsidP="00130E53">
            <w:pPr>
              <w:spacing w:line="360" w:lineRule="auto"/>
              <w:jc w:val="center"/>
              <w:rPr>
                <w:color w:val="000000" w:themeColor="text1"/>
                <w:sz w:val="20"/>
                <w:szCs w:val="20"/>
              </w:rPr>
            </w:pPr>
            <w:r w:rsidRPr="00B101EC">
              <w:rPr>
                <w:color w:val="000000"/>
                <w:sz w:val="20"/>
                <w:szCs w:val="20"/>
              </w:rPr>
              <w:t>28</w:t>
            </w:r>
          </w:p>
        </w:tc>
        <w:tc>
          <w:tcPr>
            <w:tcW w:w="1004" w:type="dxa"/>
            <w:vAlign w:val="bottom"/>
          </w:tcPr>
          <w:p w14:paraId="2A12FB49" w14:textId="77777777" w:rsidR="005261E5" w:rsidRPr="00B101EC" w:rsidRDefault="005261E5" w:rsidP="00130E53">
            <w:pPr>
              <w:spacing w:line="360" w:lineRule="auto"/>
              <w:jc w:val="center"/>
              <w:rPr>
                <w:color w:val="000000" w:themeColor="text1"/>
                <w:sz w:val="20"/>
                <w:szCs w:val="20"/>
              </w:rPr>
            </w:pPr>
            <w:r w:rsidRPr="00B101EC">
              <w:rPr>
                <w:color w:val="000000"/>
                <w:sz w:val="20"/>
                <w:szCs w:val="20"/>
              </w:rPr>
              <w:t>4</w:t>
            </w:r>
          </w:p>
        </w:tc>
        <w:tc>
          <w:tcPr>
            <w:tcW w:w="1057" w:type="dxa"/>
            <w:vAlign w:val="bottom"/>
          </w:tcPr>
          <w:p w14:paraId="353EE8BA" w14:textId="77777777" w:rsidR="005261E5" w:rsidRPr="00B101EC" w:rsidRDefault="005261E5" w:rsidP="00130E53">
            <w:pPr>
              <w:spacing w:line="360" w:lineRule="auto"/>
              <w:jc w:val="center"/>
              <w:rPr>
                <w:color w:val="000000" w:themeColor="text1"/>
                <w:sz w:val="20"/>
                <w:szCs w:val="20"/>
              </w:rPr>
            </w:pPr>
            <w:r w:rsidRPr="00B101EC">
              <w:rPr>
                <w:color w:val="000000"/>
                <w:sz w:val="20"/>
                <w:szCs w:val="20"/>
              </w:rPr>
              <w:t>25</w:t>
            </w:r>
          </w:p>
        </w:tc>
        <w:tc>
          <w:tcPr>
            <w:tcW w:w="1058" w:type="dxa"/>
            <w:vAlign w:val="bottom"/>
          </w:tcPr>
          <w:p w14:paraId="4972F84E" w14:textId="77777777" w:rsidR="005261E5" w:rsidRPr="00B101EC" w:rsidRDefault="005261E5" w:rsidP="00130E53">
            <w:pPr>
              <w:spacing w:line="360" w:lineRule="auto"/>
              <w:jc w:val="center"/>
              <w:rPr>
                <w:color w:val="000000" w:themeColor="text1"/>
                <w:sz w:val="20"/>
                <w:szCs w:val="20"/>
              </w:rPr>
            </w:pPr>
            <w:r w:rsidRPr="00B101EC">
              <w:rPr>
                <w:color w:val="000000"/>
                <w:sz w:val="20"/>
                <w:szCs w:val="20"/>
              </w:rPr>
              <w:t>4</w:t>
            </w:r>
          </w:p>
        </w:tc>
      </w:tr>
      <w:tr w:rsidR="005261E5" w14:paraId="45E5B0B7" w14:textId="77777777" w:rsidTr="00F25348">
        <w:tc>
          <w:tcPr>
            <w:tcW w:w="988" w:type="dxa"/>
          </w:tcPr>
          <w:p w14:paraId="2D16EBA3" w14:textId="77777777" w:rsidR="005261E5" w:rsidRPr="00B101EC" w:rsidRDefault="005261E5" w:rsidP="00130E53">
            <w:pPr>
              <w:spacing w:line="360" w:lineRule="auto"/>
              <w:jc w:val="both"/>
              <w:rPr>
                <w:b/>
                <w:color w:val="000000" w:themeColor="text1"/>
                <w:sz w:val="20"/>
                <w:szCs w:val="20"/>
              </w:rPr>
            </w:pPr>
            <w:r w:rsidRPr="00B101EC">
              <w:rPr>
                <w:b/>
                <w:color w:val="000000" w:themeColor="text1"/>
                <w:sz w:val="20"/>
                <w:szCs w:val="20"/>
              </w:rPr>
              <w:t>13-24</w:t>
            </w:r>
          </w:p>
        </w:tc>
        <w:tc>
          <w:tcPr>
            <w:tcW w:w="992" w:type="dxa"/>
          </w:tcPr>
          <w:p w14:paraId="635AA9F3" w14:textId="77777777" w:rsidR="005261E5" w:rsidRPr="00B101EC" w:rsidRDefault="005261E5" w:rsidP="00130E53">
            <w:pPr>
              <w:spacing w:line="360" w:lineRule="auto"/>
              <w:jc w:val="center"/>
              <w:rPr>
                <w:color w:val="000000" w:themeColor="text1"/>
                <w:sz w:val="20"/>
                <w:szCs w:val="20"/>
              </w:rPr>
            </w:pPr>
            <w:r w:rsidRPr="00B101EC">
              <w:rPr>
                <w:color w:val="000000" w:themeColor="text1"/>
                <w:sz w:val="20"/>
                <w:szCs w:val="20"/>
              </w:rPr>
              <w:t>31</w:t>
            </w:r>
          </w:p>
        </w:tc>
        <w:tc>
          <w:tcPr>
            <w:tcW w:w="919" w:type="dxa"/>
          </w:tcPr>
          <w:p w14:paraId="2836B209" w14:textId="77777777" w:rsidR="005261E5" w:rsidRPr="00B101EC" w:rsidRDefault="005261E5" w:rsidP="00130E53">
            <w:pPr>
              <w:spacing w:line="360" w:lineRule="auto"/>
              <w:jc w:val="center"/>
              <w:rPr>
                <w:color w:val="000000" w:themeColor="text1"/>
                <w:sz w:val="20"/>
                <w:szCs w:val="20"/>
              </w:rPr>
            </w:pPr>
            <w:r w:rsidRPr="00B101EC">
              <w:rPr>
                <w:color w:val="000000" w:themeColor="text1"/>
                <w:sz w:val="20"/>
                <w:szCs w:val="20"/>
              </w:rPr>
              <w:t>14</w:t>
            </w:r>
          </w:p>
        </w:tc>
        <w:tc>
          <w:tcPr>
            <w:tcW w:w="994" w:type="dxa"/>
            <w:vAlign w:val="bottom"/>
          </w:tcPr>
          <w:p w14:paraId="5558C62E" w14:textId="77777777" w:rsidR="005261E5" w:rsidRPr="00B101EC" w:rsidRDefault="005261E5" w:rsidP="00130E53">
            <w:pPr>
              <w:spacing w:line="360" w:lineRule="auto"/>
              <w:jc w:val="center"/>
              <w:rPr>
                <w:color w:val="000000" w:themeColor="text1"/>
                <w:sz w:val="20"/>
                <w:szCs w:val="20"/>
              </w:rPr>
            </w:pPr>
            <w:r w:rsidRPr="00B101EC">
              <w:rPr>
                <w:color w:val="000000"/>
                <w:sz w:val="20"/>
                <w:szCs w:val="20"/>
              </w:rPr>
              <w:t>66</w:t>
            </w:r>
          </w:p>
        </w:tc>
        <w:tc>
          <w:tcPr>
            <w:tcW w:w="994" w:type="dxa"/>
            <w:vAlign w:val="bottom"/>
          </w:tcPr>
          <w:p w14:paraId="49B7B46B" w14:textId="77777777" w:rsidR="005261E5" w:rsidRPr="00B101EC" w:rsidRDefault="005261E5" w:rsidP="00130E53">
            <w:pPr>
              <w:spacing w:line="360" w:lineRule="auto"/>
              <w:jc w:val="center"/>
              <w:rPr>
                <w:color w:val="000000" w:themeColor="text1"/>
                <w:sz w:val="20"/>
                <w:szCs w:val="20"/>
              </w:rPr>
            </w:pPr>
            <w:r w:rsidRPr="00B101EC">
              <w:rPr>
                <w:color w:val="000000"/>
                <w:sz w:val="20"/>
                <w:szCs w:val="20"/>
              </w:rPr>
              <w:t>26</w:t>
            </w:r>
          </w:p>
        </w:tc>
        <w:tc>
          <w:tcPr>
            <w:tcW w:w="1004" w:type="dxa"/>
            <w:vAlign w:val="bottom"/>
          </w:tcPr>
          <w:p w14:paraId="27914151" w14:textId="77777777" w:rsidR="005261E5" w:rsidRPr="00B101EC" w:rsidRDefault="005261E5" w:rsidP="00130E53">
            <w:pPr>
              <w:spacing w:line="360" w:lineRule="auto"/>
              <w:jc w:val="center"/>
              <w:rPr>
                <w:color w:val="000000" w:themeColor="text1"/>
                <w:sz w:val="20"/>
                <w:szCs w:val="20"/>
              </w:rPr>
            </w:pPr>
            <w:r w:rsidRPr="00B101EC">
              <w:rPr>
                <w:color w:val="000000"/>
                <w:sz w:val="20"/>
                <w:szCs w:val="20"/>
              </w:rPr>
              <w:t>17</w:t>
            </w:r>
          </w:p>
        </w:tc>
        <w:tc>
          <w:tcPr>
            <w:tcW w:w="1004" w:type="dxa"/>
            <w:vAlign w:val="bottom"/>
          </w:tcPr>
          <w:p w14:paraId="0A838F1B" w14:textId="77777777" w:rsidR="005261E5" w:rsidRPr="00B101EC" w:rsidRDefault="005261E5" w:rsidP="00130E53">
            <w:pPr>
              <w:spacing w:line="360" w:lineRule="auto"/>
              <w:jc w:val="center"/>
              <w:rPr>
                <w:color w:val="000000" w:themeColor="text1"/>
                <w:sz w:val="20"/>
                <w:szCs w:val="20"/>
              </w:rPr>
            </w:pPr>
            <w:r w:rsidRPr="00B101EC">
              <w:rPr>
                <w:color w:val="000000"/>
                <w:sz w:val="20"/>
                <w:szCs w:val="20"/>
              </w:rPr>
              <w:t>2</w:t>
            </w:r>
          </w:p>
        </w:tc>
        <w:tc>
          <w:tcPr>
            <w:tcW w:w="1057" w:type="dxa"/>
            <w:vAlign w:val="bottom"/>
          </w:tcPr>
          <w:p w14:paraId="7415A7A4" w14:textId="77777777" w:rsidR="005261E5" w:rsidRPr="00B101EC" w:rsidRDefault="005261E5" w:rsidP="00130E53">
            <w:pPr>
              <w:spacing w:line="360" w:lineRule="auto"/>
              <w:jc w:val="center"/>
              <w:rPr>
                <w:color w:val="000000" w:themeColor="text1"/>
                <w:sz w:val="20"/>
                <w:szCs w:val="20"/>
              </w:rPr>
            </w:pPr>
            <w:r w:rsidRPr="00B101EC">
              <w:rPr>
                <w:color w:val="000000"/>
                <w:sz w:val="20"/>
                <w:szCs w:val="20"/>
              </w:rPr>
              <w:t>81</w:t>
            </w:r>
          </w:p>
        </w:tc>
        <w:tc>
          <w:tcPr>
            <w:tcW w:w="1058" w:type="dxa"/>
            <w:vAlign w:val="bottom"/>
          </w:tcPr>
          <w:p w14:paraId="7DCD3E8D" w14:textId="77777777" w:rsidR="005261E5" w:rsidRPr="00B101EC" w:rsidRDefault="005261E5" w:rsidP="00130E53">
            <w:pPr>
              <w:spacing w:line="360" w:lineRule="auto"/>
              <w:jc w:val="center"/>
              <w:rPr>
                <w:color w:val="000000" w:themeColor="text1"/>
                <w:sz w:val="20"/>
                <w:szCs w:val="20"/>
              </w:rPr>
            </w:pPr>
            <w:r w:rsidRPr="00B101EC">
              <w:rPr>
                <w:color w:val="000000"/>
                <w:sz w:val="20"/>
                <w:szCs w:val="20"/>
              </w:rPr>
              <w:t>12</w:t>
            </w:r>
          </w:p>
        </w:tc>
      </w:tr>
      <w:tr w:rsidR="005261E5" w14:paraId="7A3456C7" w14:textId="77777777" w:rsidTr="00F25348">
        <w:tc>
          <w:tcPr>
            <w:tcW w:w="988" w:type="dxa"/>
          </w:tcPr>
          <w:p w14:paraId="17B94250" w14:textId="77777777" w:rsidR="005261E5" w:rsidRPr="00B101EC" w:rsidRDefault="005261E5" w:rsidP="00130E53">
            <w:pPr>
              <w:spacing w:line="360" w:lineRule="auto"/>
              <w:jc w:val="both"/>
              <w:rPr>
                <w:b/>
                <w:color w:val="000000" w:themeColor="text1"/>
                <w:sz w:val="20"/>
                <w:szCs w:val="20"/>
              </w:rPr>
            </w:pPr>
            <w:r w:rsidRPr="00B101EC">
              <w:rPr>
                <w:b/>
                <w:color w:val="000000" w:themeColor="text1"/>
                <w:sz w:val="20"/>
                <w:szCs w:val="20"/>
              </w:rPr>
              <w:t>24-60</w:t>
            </w:r>
          </w:p>
        </w:tc>
        <w:tc>
          <w:tcPr>
            <w:tcW w:w="992" w:type="dxa"/>
          </w:tcPr>
          <w:p w14:paraId="3931A4C5" w14:textId="77777777" w:rsidR="005261E5" w:rsidRPr="00B101EC" w:rsidRDefault="005261E5" w:rsidP="00130E53">
            <w:pPr>
              <w:spacing w:line="360" w:lineRule="auto"/>
              <w:jc w:val="center"/>
              <w:rPr>
                <w:color w:val="000000" w:themeColor="text1"/>
                <w:sz w:val="20"/>
                <w:szCs w:val="20"/>
              </w:rPr>
            </w:pPr>
            <w:r w:rsidRPr="00B101EC">
              <w:rPr>
                <w:color w:val="000000" w:themeColor="text1"/>
                <w:sz w:val="20"/>
                <w:szCs w:val="20"/>
              </w:rPr>
              <w:t>41</w:t>
            </w:r>
          </w:p>
        </w:tc>
        <w:tc>
          <w:tcPr>
            <w:tcW w:w="919" w:type="dxa"/>
          </w:tcPr>
          <w:p w14:paraId="408AEBC3" w14:textId="77777777" w:rsidR="005261E5" w:rsidRPr="00B101EC" w:rsidRDefault="005261E5" w:rsidP="00130E53">
            <w:pPr>
              <w:spacing w:line="360" w:lineRule="auto"/>
              <w:jc w:val="center"/>
              <w:rPr>
                <w:color w:val="000000" w:themeColor="text1"/>
                <w:sz w:val="20"/>
                <w:szCs w:val="20"/>
              </w:rPr>
            </w:pPr>
            <w:r w:rsidRPr="00B101EC">
              <w:rPr>
                <w:color w:val="000000" w:themeColor="text1"/>
                <w:sz w:val="20"/>
                <w:szCs w:val="20"/>
              </w:rPr>
              <w:t>19</w:t>
            </w:r>
          </w:p>
        </w:tc>
        <w:tc>
          <w:tcPr>
            <w:tcW w:w="994" w:type="dxa"/>
            <w:vAlign w:val="bottom"/>
          </w:tcPr>
          <w:p w14:paraId="2C837BA5" w14:textId="77777777" w:rsidR="005261E5" w:rsidRPr="00B101EC" w:rsidRDefault="005261E5" w:rsidP="00130E53">
            <w:pPr>
              <w:spacing w:line="360" w:lineRule="auto"/>
              <w:jc w:val="center"/>
              <w:rPr>
                <w:color w:val="000000" w:themeColor="text1"/>
                <w:sz w:val="20"/>
                <w:szCs w:val="20"/>
              </w:rPr>
            </w:pPr>
            <w:r w:rsidRPr="00B101EC">
              <w:rPr>
                <w:color w:val="000000"/>
                <w:sz w:val="20"/>
                <w:szCs w:val="20"/>
              </w:rPr>
              <w:t>52</w:t>
            </w:r>
          </w:p>
        </w:tc>
        <w:tc>
          <w:tcPr>
            <w:tcW w:w="994" w:type="dxa"/>
            <w:vAlign w:val="bottom"/>
          </w:tcPr>
          <w:p w14:paraId="4B2B40AF" w14:textId="77777777" w:rsidR="005261E5" w:rsidRPr="00B101EC" w:rsidRDefault="005261E5" w:rsidP="00130E53">
            <w:pPr>
              <w:spacing w:line="360" w:lineRule="auto"/>
              <w:jc w:val="center"/>
              <w:rPr>
                <w:color w:val="000000" w:themeColor="text1"/>
                <w:sz w:val="20"/>
                <w:szCs w:val="20"/>
              </w:rPr>
            </w:pPr>
            <w:r w:rsidRPr="00B101EC">
              <w:rPr>
                <w:color w:val="000000"/>
                <w:sz w:val="20"/>
                <w:szCs w:val="20"/>
              </w:rPr>
              <w:t>21</w:t>
            </w:r>
          </w:p>
        </w:tc>
        <w:tc>
          <w:tcPr>
            <w:tcW w:w="1004" w:type="dxa"/>
            <w:vAlign w:val="bottom"/>
          </w:tcPr>
          <w:p w14:paraId="555D47F3" w14:textId="77777777" w:rsidR="005261E5" w:rsidRPr="00B101EC" w:rsidRDefault="005261E5" w:rsidP="00130E53">
            <w:pPr>
              <w:spacing w:line="360" w:lineRule="auto"/>
              <w:jc w:val="center"/>
              <w:rPr>
                <w:color w:val="000000" w:themeColor="text1"/>
                <w:sz w:val="20"/>
                <w:szCs w:val="20"/>
              </w:rPr>
            </w:pPr>
            <w:r w:rsidRPr="00B101EC">
              <w:rPr>
                <w:color w:val="000000"/>
                <w:sz w:val="20"/>
                <w:szCs w:val="20"/>
              </w:rPr>
              <w:t>124</w:t>
            </w:r>
          </w:p>
        </w:tc>
        <w:tc>
          <w:tcPr>
            <w:tcW w:w="1004" w:type="dxa"/>
            <w:vAlign w:val="bottom"/>
          </w:tcPr>
          <w:p w14:paraId="769E0EF7" w14:textId="77777777" w:rsidR="005261E5" w:rsidRPr="00B101EC" w:rsidRDefault="005261E5" w:rsidP="00130E53">
            <w:pPr>
              <w:spacing w:line="360" w:lineRule="auto"/>
              <w:jc w:val="center"/>
              <w:rPr>
                <w:color w:val="000000" w:themeColor="text1"/>
                <w:sz w:val="20"/>
                <w:szCs w:val="20"/>
              </w:rPr>
            </w:pPr>
            <w:r w:rsidRPr="00B101EC">
              <w:rPr>
                <w:color w:val="000000"/>
                <w:sz w:val="20"/>
                <w:szCs w:val="20"/>
              </w:rPr>
              <w:t>15</w:t>
            </w:r>
          </w:p>
        </w:tc>
        <w:tc>
          <w:tcPr>
            <w:tcW w:w="1057" w:type="dxa"/>
            <w:vAlign w:val="bottom"/>
          </w:tcPr>
          <w:p w14:paraId="28B103D5" w14:textId="77777777" w:rsidR="005261E5" w:rsidRPr="00B101EC" w:rsidRDefault="005261E5" w:rsidP="00130E53">
            <w:pPr>
              <w:spacing w:line="360" w:lineRule="auto"/>
              <w:jc w:val="center"/>
              <w:rPr>
                <w:color w:val="000000" w:themeColor="text1"/>
                <w:sz w:val="20"/>
                <w:szCs w:val="20"/>
              </w:rPr>
            </w:pPr>
            <w:r w:rsidRPr="00B101EC">
              <w:rPr>
                <w:color w:val="000000"/>
                <w:sz w:val="20"/>
                <w:szCs w:val="20"/>
              </w:rPr>
              <w:t>347</w:t>
            </w:r>
          </w:p>
        </w:tc>
        <w:tc>
          <w:tcPr>
            <w:tcW w:w="1058" w:type="dxa"/>
            <w:vAlign w:val="bottom"/>
          </w:tcPr>
          <w:p w14:paraId="29ECBDA6" w14:textId="77777777" w:rsidR="005261E5" w:rsidRPr="00B101EC" w:rsidRDefault="005261E5" w:rsidP="00130E53">
            <w:pPr>
              <w:spacing w:line="360" w:lineRule="auto"/>
              <w:jc w:val="center"/>
              <w:rPr>
                <w:color w:val="000000" w:themeColor="text1"/>
                <w:sz w:val="20"/>
                <w:szCs w:val="20"/>
              </w:rPr>
            </w:pPr>
            <w:r w:rsidRPr="00B101EC">
              <w:rPr>
                <w:color w:val="000000"/>
                <w:sz w:val="20"/>
                <w:szCs w:val="20"/>
              </w:rPr>
              <w:t>53</w:t>
            </w:r>
          </w:p>
        </w:tc>
      </w:tr>
      <w:tr w:rsidR="005261E5" w14:paraId="23DEDEB5" w14:textId="77777777" w:rsidTr="00F25348">
        <w:tc>
          <w:tcPr>
            <w:tcW w:w="988" w:type="dxa"/>
          </w:tcPr>
          <w:p w14:paraId="44F20974" w14:textId="77777777" w:rsidR="005261E5" w:rsidRPr="00B101EC" w:rsidRDefault="005261E5" w:rsidP="00130E53">
            <w:pPr>
              <w:spacing w:line="360" w:lineRule="auto"/>
              <w:jc w:val="both"/>
              <w:rPr>
                <w:b/>
                <w:color w:val="000000" w:themeColor="text1"/>
                <w:sz w:val="20"/>
                <w:szCs w:val="20"/>
              </w:rPr>
            </w:pPr>
            <w:r w:rsidRPr="00B101EC">
              <w:rPr>
                <w:b/>
                <w:color w:val="000000" w:themeColor="text1"/>
                <w:sz w:val="20"/>
                <w:szCs w:val="20"/>
              </w:rPr>
              <w:t>Over 60</w:t>
            </w:r>
          </w:p>
        </w:tc>
        <w:tc>
          <w:tcPr>
            <w:tcW w:w="992" w:type="dxa"/>
          </w:tcPr>
          <w:p w14:paraId="1461760B" w14:textId="77777777" w:rsidR="005261E5" w:rsidRPr="00B101EC" w:rsidRDefault="005261E5" w:rsidP="00130E53">
            <w:pPr>
              <w:spacing w:line="360" w:lineRule="auto"/>
              <w:jc w:val="center"/>
              <w:rPr>
                <w:color w:val="000000" w:themeColor="text1"/>
                <w:sz w:val="20"/>
                <w:szCs w:val="20"/>
              </w:rPr>
            </w:pPr>
            <w:r w:rsidRPr="00B101EC">
              <w:rPr>
                <w:color w:val="000000" w:themeColor="text1"/>
                <w:sz w:val="20"/>
                <w:szCs w:val="20"/>
              </w:rPr>
              <w:t>43</w:t>
            </w:r>
          </w:p>
        </w:tc>
        <w:tc>
          <w:tcPr>
            <w:tcW w:w="919" w:type="dxa"/>
          </w:tcPr>
          <w:p w14:paraId="79FA41BC" w14:textId="77777777" w:rsidR="005261E5" w:rsidRPr="00B101EC" w:rsidRDefault="005261E5" w:rsidP="00130E53">
            <w:pPr>
              <w:spacing w:line="360" w:lineRule="auto"/>
              <w:jc w:val="center"/>
              <w:rPr>
                <w:color w:val="000000" w:themeColor="text1"/>
                <w:sz w:val="20"/>
                <w:szCs w:val="20"/>
              </w:rPr>
            </w:pPr>
            <w:r w:rsidRPr="00B101EC">
              <w:rPr>
                <w:color w:val="000000" w:themeColor="text1"/>
                <w:sz w:val="20"/>
                <w:szCs w:val="20"/>
              </w:rPr>
              <w:t>19</w:t>
            </w:r>
          </w:p>
        </w:tc>
        <w:tc>
          <w:tcPr>
            <w:tcW w:w="994" w:type="dxa"/>
            <w:vAlign w:val="bottom"/>
          </w:tcPr>
          <w:p w14:paraId="10B8BCEA" w14:textId="77777777" w:rsidR="005261E5" w:rsidRPr="00B101EC" w:rsidRDefault="005261E5" w:rsidP="00130E53">
            <w:pPr>
              <w:spacing w:line="360" w:lineRule="auto"/>
              <w:jc w:val="center"/>
              <w:rPr>
                <w:color w:val="000000" w:themeColor="text1"/>
                <w:sz w:val="20"/>
                <w:szCs w:val="20"/>
              </w:rPr>
            </w:pPr>
            <w:r w:rsidRPr="00B101EC">
              <w:rPr>
                <w:color w:val="000000"/>
                <w:sz w:val="20"/>
                <w:szCs w:val="20"/>
              </w:rPr>
              <w:t>34</w:t>
            </w:r>
          </w:p>
        </w:tc>
        <w:tc>
          <w:tcPr>
            <w:tcW w:w="994" w:type="dxa"/>
            <w:vAlign w:val="bottom"/>
          </w:tcPr>
          <w:p w14:paraId="1A341AFA" w14:textId="77777777" w:rsidR="005261E5" w:rsidRPr="00B101EC" w:rsidRDefault="005261E5" w:rsidP="00130E53">
            <w:pPr>
              <w:spacing w:line="360" w:lineRule="auto"/>
              <w:jc w:val="center"/>
              <w:rPr>
                <w:color w:val="000000" w:themeColor="text1"/>
                <w:sz w:val="20"/>
                <w:szCs w:val="20"/>
              </w:rPr>
            </w:pPr>
            <w:r w:rsidRPr="00B101EC">
              <w:rPr>
                <w:color w:val="000000"/>
                <w:sz w:val="20"/>
                <w:szCs w:val="20"/>
              </w:rPr>
              <w:t>13</w:t>
            </w:r>
          </w:p>
        </w:tc>
        <w:tc>
          <w:tcPr>
            <w:tcW w:w="1004" w:type="dxa"/>
            <w:vAlign w:val="bottom"/>
          </w:tcPr>
          <w:p w14:paraId="5BFBA49D" w14:textId="77777777" w:rsidR="005261E5" w:rsidRPr="00B101EC" w:rsidRDefault="005261E5" w:rsidP="00130E53">
            <w:pPr>
              <w:spacing w:line="360" w:lineRule="auto"/>
              <w:jc w:val="center"/>
              <w:rPr>
                <w:color w:val="000000" w:themeColor="text1"/>
                <w:sz w:val="20"/>
                <w:szCs w:val="20"/>
              </w:rPr>
            </w:pPr>
            <w:r w:rsidRPr="00B101EC">
              <w:rPr>
                <w:color w:val="000000"/>
                <w:sz w:val="20"/>
                <w:szCs w:val="20"/>
              </w:rPr>
              <w:t>654</w:t>
            </w:r>
          </w:p>
        </w:tc>
        <w:tc>
          <w:tcPr>
            <w:tcW w:w="1004" w:type="dxa"/>
            <w:vAlign w:val="bottom"/>
          </w:tcPr>
          <w:p w14:paraId="5FE6F2ED" w14:textId="77777777" w:rsidR="005261E5" w:rsidRPr="00B101EC" w:rsidRDefault="005261E5" w:rsidP="00130E53">
            <w:pPr>
              <w:spacing w:line="360" w:lineRule="auto"/>
              <w:jc w:val="center"/>
              <w:rPr>
                <w:color w:val="000000" w:themeColor="text1"/>
                <w:sz w:val="20"/>
                <w:szCs w:val="20"/>
              </w:rPr>
            </w:pPr>
            <w:r w:rsidRPr="00B101EC">
              <w:rPr>
                <w:color w:val="000000"/>
                <w:sz w:val="20"/>
                <w:szCs w:val="20"/>
              </w:rPr>
              <w:t>79</w:t>
            </w:r>
          </w:p>
        </w:tc>
        <w:tc>
          <w:tcPr>
            <w:tcW w:w="1057" w:type="dxa"/>
            <w:vAlign w:val="bottom"/>
          </w:tcPr>
          <w:p w14:paraId="3A024A69" w14:textId="77777777" w:rsidR="005261E5" w:rsidRPr="00B101EC" w:rsidRDefault="005261E5" w:rsidP="00130E53">
            <w:pPr>
              <w:spacing w:line="360" w:lineRule="auto"/>
              <w:jc w:val="center"/>
              <w:rPr>
                <w:color w:val="000000" w:themeColor="text1"/>
                <w:sz w:val="20"/>
                <w:szCs w:val="20"/>
              </w:rPr>
            </w:pPr>
            <w:r w:rsidRPr="00B101EC">
              <w:rPr>
                <w:color w:val="000000"/>
                <w:sz w:val="20"/>
                <w:szCs w:val="20"/>
              </w:rPr>
              <w:t>201</w:t>
            </w:r>
          </w:p>
        </w:tc>
        <w:tc>
          <w:tcPr>
            <w:tcW w:w="1058" w:type="dxa"/>
            <w:vAlign w:val="bottom"/>
          </w:tcPr>
          <w:p w14:paraId="04ED6F98" w14:textId="77777777" w:rsidR="005261E5" w:rsidRPr="00B101EC" w:rsidRDefault="005261E5" w:rsidP="00130E53">
            <w:pPr>
              <w:spacing w:line="360" w:lineRule="auto"/>
              <w:jc w:val="center"/>
              <w:rPr>
                <w:color w:val="000000" w:themeColor="text1"/>
                <w:sz w:val="20"/>
                <w:szCs w:val="20"/>
              </w:rPr>
            </w:pPr>
            <w:r w:rsidRPr="00B101EC">
              <w:rPr>
                <w:color w:val="000000"/>
                <w:sz w:val="20"/>
                <w:szCs w:val="20"/>
              </w:rPr>
              <w:t>31</w:t>
            </w:r>
          </w:p>
        </w:tc>
      </w:tr>
      <w:tr w:rsidR="005261E5" w14:paraId="32834AFB" w14:textId="77777777" w:rsidTr="00F25348">
        <w:tc>
          <w:tcPr>
            <w:tcW w:w="988" w:type="dxa"/>
            <w:shd w:val="clear" w:color="auto" w:fill="E7E6E6" w:themeFill="background2"/>
          </w:tcPr>
          <w:p w14:paraId="381279FB" w14:textId="77777777" w:rsidR="005261E5" w:rsidRPr="00B101EC" w:rsidRDefault="005261E5" w:rsidP="00130E53">
            <w:pPr>
              <w:spacing w:line="360" w:lineRule="auto"/>
              <w:jc w:val="both"/>
              <w:rPr>
                <w:b/>
                <w:color w:val="000000" w:themeColor="text1"/>
                <w:sz w:val="20"/>
                <w:szCs w:val="20"/>
              </w:rPr>
            </w:pPr>
            <w:r w:rsidRPr="00B101EC">
              <w:rPr>
                <w:b/>
                <w:color w:val="000000" w:themeColor="text1"/>
                <w:sz w:val="20"/>
                <w:szCs w:val="20"/>
              </w:rPr>
              <w:lastRenderedPageBreak/>
              <w:t>TOTAL</w:t>
            </w:r>
          </w:p>
        </w:tc>
        <w:tc>
          <w:tcPr>
            <w:tcW w:w="992" w:type="dxa"/>
            <w:shd w:val="clear" w:color="auto" w:fill="E7E6E6" w:themeFill="background2"/>
          </w:tcPr>
          <w:p w14:paraId="37DE5CD0" w14:textId="77777777" w:rsidR="005261E5" w:rsidRPr="00B101EC" w:rsidRDefault="005261E5" w:rsidP="00130E53">
            <w:pPr>
              <w:spacing w:line="360" w:lineRule="auto"/>
              <w:jc w:val="center"/>
              <w:rPr>
                <w:color w:val="000000" w:themeColor="text1"/>
                <w:sz w:val="20"/>
                <w:szCs w:val="20"/>
              </w:rPr>
            </w:pPr>
            <w:r w:rsidRPr="00B101EC">
              <w:rPr>
                <w:color w:val="000000" w:themeColor="text1"/>
                <w:sz w:val="20"/>
                <w:szCs w:val="20"/>
              </w:rPr>
              <w:t>220</w:t>
            </w:r>
          </w:p>
        </w:tc>
        <w:tc>
          <w:tcPr>
            <w:tcW w:w="919" w:type="dxa"/>
            <w:shd w:val="clear" w:color="auto" w:fill="E7E6E6" w:themeFill="background2"/>
          </w:tcPr>
          <w:p w14:paraId="689B6E1A" w14:textId="77777777" w:rsidR="005261E5" w:rsidRPr="00B101EC" w:rsidRDefault="005261E5" w:rsidP="00130E53">
            <w:pPr>
              <w:spacing w:line="360" w:lineRule="auto"/>
              <w:jc w:val="center"/>
              <w:rPr>
                <w:color w:val="000000" w:themeColor="text1"/>
                <w:sz w:val="20"/>
                <w:szCs w:val="20"/>
              </w:rPr>
            </w:pPr>
            <w:r w:rsidRPr="00B101EC">
              <w:rPr>
                <w:color w:val="000000" w:themeColor="text1"/>
                <w:sz w:val="20"/>
                <w:szCs w:val="20"/>
              </w:rPr>
              <w:t>100</w:t>
            </w:r>
          </w:p>
        </w:tc>
        <w:tc>
          <w:tcPr>
            <w:tcW w:w="994" w:type="dxa"/>
            <w:shd w:val="clear" w:color="auto" w:fill="E7E6E6" w:themeFill="background2"/>
            <w:vAlign w:val="bottom"/>
          </w:tcPr>
          <w:p w14:paraId="2DDBD3C8" w14:textId="77777777" w:rsidR="005261E5" w:rsidRPr="00B101EC" w:rsidRDefault="005261E5" w:rsidP="00130E53">
            <w:pPr>
              <w:spacing w:line="360" w:lineRule="auto"/>
              <w:jc w:val="center"/>
              <w:rPr>
                <w:color w:val="000000" w:themeColor="text1"/>
                <w:sz w:val="20"/>
                <w:szCs w:val="20"/>
              </w:rPr>
            </w:pPr>
            <w:r w:rsidRPr="00B101EC">
              <w:rPr>
                <w:color w:val="000000"/>
                <w:sz w:val="20"/>
                <w:szCs w:val="20"/>
              </w:rPr>
              <w:t>251</w:t>
            </w:r>
          </w:p>
        </w:tc>
        <w:tc>
          <w:tcPr>
            <w:tcW w:w="994" w:type="dxa"/>
            <w:shd w:val="clear" w:color="auto" w:fill="E7E6E6" w:themeFill="background2"/>
            <w:vAlign w:val="bottom"/>
          </w:tcPr>
          <w:p w14:paraId="65586E8E" w14:textId="77777777" w:rsidR="005261E5" w:rsidRPr="00B101EC" w:rsidRDefault="005261E5" w:rsidP="00130E53">
            <w:pPr>
              <w:spacing w:line="360" w:lineRule="auto"/>
              <w:jc w:val="center"/>
              <w:rPr>
                <w:color w:val="000000" w:themeColor="text1"/>
                <w:sz w:val="20"/>
                <w:szCs w:val="20"/>
              </w:rPr>
            </w:pPr>
            <w:r w:rsidRPr="00B101EC">
              <w:rPr>
                <w:color w:val="000000"/>
                <w:sz w:val="20"/>
                <w:szCs w:val="20"/>
              </w:rPr>
              <w:t>100</w:t>
            </w:r>
          </w:p>
        </w:tc>
        <w:tc>
          <w:tcPr>
            <w:tcW w:w="1004" w:type="dxa"/>
            <w:shd w:val="clear" w:color="auto" w:fill="E7E6E6" w:themeFill="background2"/>
            <w:vAlign w:val="bottom"/>
          </w:tcPr>
          <w:p w14:paraId="0C9621B2" w14:textId="77777777" w:rsidR="005261E5" w:rsidRPr="00B101EC" w:rsidRDefault="005261E5" w:rsidP="00130E53">
            <w:pPr>
              <w:spacing w:line="360" w:lineRule="auto"/>
              <w:jc w:val="center"/>
              <w:rPr>
                <w:color w:val="000000" w:themeColor="text1"/>
                <w:sz w:val="20"/>
                <w:szCs w:val="20"/>
              </w:rPr>
            </w:pPr>
            <w:r w:rsidRPr="00B101EC">
              <w:rPr>
                <w:color w:val="000000"/>
                <w:sz w:val="20"/>
                <w:szCs w:val="20"/>
              </w:rPr>
              <w:t>823</w:t>
            </w:r>
          </w:p>
        </w:tc>
        <w:tc>
          <w:tcPr>
            <w:tcW w:w="1004" w:type="dxa"/>
            <w:shd w:val="clear" w:color="auto" w:fill="E7E6E6" w:themeFill="background2"/>
            <w:vAlign w:val="bottom"/>
          </w:tcPr>
          <w:p w14:paraId="7697508D" w14:textId="77777777" w:rsidR="005261E5" w:rsidRPr="00B101EC" w:rsidRDefault="005261E5" w:rsidP="00130E53">
            <w:pPr>
              <w:spacing w:line="360" w:lineRule="auto"/>
              <w:jc w:val="center"/>
              <w:rPr>
                <w:color w:val="000000" w:themeColor="text1"/>
                <w:sz w:val="20"/>
                <w:szCs w:val="20"/>
              </w:rPr>
            </w:pPr>
            <w:r w:rsidRPr="00B101EC">
              <w:rPr>
                <w:color w:val="000000"/>
                <w:sz w:val="20"/>
                <w:szCs w:val="20"/>
              </w:rPr>
              <w:t>100</w:t>
            </w:r>
          </w:p>
        </w:tc>
        <w:tc>
          <w:tcPr>
            <w:tcW w:w="1057" w:type="dxa"/>
            <w:shd w:val="clear" w:color="auto" w:fill="E7E6E6" w:themeFill="background2"/>
            <w:vAlign w:val="bottom"/>
          </w:tcPr>
          <w:p w14:paraId="25FA157B" w14:textId="77777777" w:rsidR="005261E5" w:rsidRPr="00B101EC" w:rsidRDefault="005261E5" w:rsidP="00130E53">
            <w:pPr>
              <w:spacing w:line="360" w:lineRule="auto"/>
              <w:jc w:val="center"/>
              <w:rPr>
                <w:color w:val="000000" w:themeColor="text1"/>
                <w:sz w:val="20"/>
                <w:szCs w:val="20"/>
              </w:rPr>
            </w:pPr>
            <w:r w:rsidRPr="00B101EC">
              <w:rPr>
                <w:color w:val="000000"/>
                <w:sz w:val="20"/>
                <w:szCs w:val="20"/>
              </w:rPr>
              <w:t>654</w:t>
            </w:r>
          </w:p>
        </w:tc>
        <w:tc>
          <w:tcPr>
            <w:tcW w:w="1058" w:type="dxa"/>
            <w:shd w:val="clear" w:color="auto" w:fill="E7E6E6" w:themeFill="background2"/>
            <w:vAlign w:val="bottom"/>
          </w:tcPr>
          <w:p w14:paraId="0616C4A9" w14:textId="77777777" w:rsidR="005261E5" w:rsidRPr="00B101EC" w:rsidRDefault="005261E5" w:rsidP="00130E53">
            <w:pPr>
              <w:spacing w:line="360" w:lineRule="auto"/>
              <w:jc w:val="center"/>
              <w:rPr>
                <w:color w:val="000000" w:themeColor="text1"/>
                <w:sz w:val="20"/>
                <w:szCs w:val="20"/>
              </w:rPr>
            </w:pPr>
            <w:r w:rsidRPr="00B101EC">
              <w:rPr>
                <w:color w:val="000000"/>
                <w:sz w:val="20"/>
                <w:szCs w:val="20"/>
              </w:rPr>
              <w:t>100</w:t>
            </w:r>
          </w:p>
        </w:tc>
      </w:tr>
    </w:tbl>
    <w:p w14:paraId="3D54FE92" w14:textId="77777777" w:rsidR="005261E5" w:rsidRDefault="005261E5" w:rsidP="00B101EC">
      <w:pPr>
        <w:spacing w:line="360" w:lineRule="auto"/>
        <w:jc w:val="both"/>
        <w:rPr>
          <w:color w:val="000000" w:themeColor="text1"/>
          <w:sz w:val="22"/>
          <w:szCs w:val="22"/>
        </w:rPr>
      </w:pPr>
    </w:p>
    <w:p w14:paraId="326B1BE2" w14:textId="681E7E4D" w:rsidR="00812E24" w:rsidRPr="00FC0E35" w:rsidRDefault="005261E5" w:rsidP="00B101EC">
      <w:pPr>
        <w:spacing w:line="360" w:lineRule="auto"/>
        <w:jc w:val="both"/>
        <w:rPr>
          <w:color w:val="000000" w:themeColor="text1"/>
          <w:sz w:val="22"/>
          <w:szCs w:val="22"/>
        </w:rPr>
      </w:pPr>
      <w:r>
        <w:rPr>
          <w:color w:val="000000" w:themeColor="text1"/>
          <w:sz w:val="22"/>
          <w:szCs w:val="22"/>
        </w:rPr>
        <w:t>In the UK, o</w:t>
      </w:r>
      <w:r w:rsidR="00DF58B8">
        <w:rPr>
          <w:color w:val="000000" w:themeColor="text1"/>
          <w:sz w:val="22"/>
          <w:szCs w:val="22"/>
        </w:rPr>
        <w:t>f those who reoffended after release from custody, approximately half of British ex-</w:t>
      </w:r>
      <w:proofErr w:type="gramStart"/>
      <w:r w:rsidR="00DF58B8">
        <w:rPr>
          <w:color w:val="000000" w:themeColor="text1"/>
          <w:sz w:val="22"/>
          <w:szCs w:val="22"/>
        </w:rPr>
        <w:t>convicts</w:t>
      </w:r>
      <w:proofErr w:type="gramEnd"/>
      <w:r w:rsidR="00DF58B8">
        <w:rPr>
          <w:color w:val="000000" w:themeColor="text1"/>
          <w:sz w:val="22"/>
          <w:szCs w:val="22"/>
        </w:rPr>
        <w:t xml:space="preserve"> subject to habitual offender legislation (under the 1869 Habitual Offenders Act and 1871 Prevention of Crimes Act) were reconvicted within a year of release from prison. </w:t>
      </w:r>
      <w:r w:rsidR="006A4145">
        <w:rPr>
          <w:color w:val="000000" w:themeColor="text1"/>
          <w:sz w:val="22"/>
          <w:szCs w:val="22"/>
        </w:rPr>
        <w:t>H</w:t>
      </w:r>
      <w:r w:rsidR="006A4145" w:rsidRPr="006A4145">
        <w:rPr>
          <w:color w:val="000000" w:themeColor="text1"/>
          <w:sz w:val="22"/>
          <w:szCs w:val="22"/>
        </w:rPr>
        <w:t xml:space="preserve">abitual offender legislation was at least as onerous a form of surveillance as that which existed in Australia (Godfrey </w:t>
      </w:r>
      <w:r w:rsidR="006A4145" w:rsidRPr="006A4145">
        <w:rPr>
          <w:i/>
          <w:color w:val="000000" w:themeColor="text1"/>
          <w:sz w:val="22"/>
          <w:szCs w:val="22"/>
        </w:rPr>
        <w:t>et al</w:t>
      </w:r>
      <w:r w:rsidR="006A4145" w:rsidRPr="006A4145">
        <w:rPr>
          <w:color w:val="000000" w:themeColor="text1"/>
          <w:sz w:val="22"/>
          <w:szCs w:val="22"/>
        </w:rPr>
        <w:t xml:space="preserve"> 2010). </w:t>
      </w:r>
      <w:r w:rsidR="00DF58B8">
        <w:rPr>
          <w:color w:val="000000" w:themeColor="text1"/>
          <w:sz w:val="22"/>
          <w:szCs w:val="22"/>
        </w:rPr>
        <w:t xml:space="preserve">They were subject to this particular kind of legislation which combined long sentences with an extended period of police surveillance after release, because they had already committed two or more indictable offences. It is not necessarily surprising that they quickly re-offended. Their life-chances were slim, they were subject to close scrutiny by the police, and they already had significant antecedent histories. </w:t>
      </w:r>
      <w:r w:rsidR="00D60304">
        <w:rPr>
          <w:color w:val="000000" w:themeColor="text1"/>
          <w:sz w:val="22"/>
          <w:szCs w:val="22"/>
        </w:rPr>
        <w:t>Most convicts were not subject to conditions imposed by being placed under habitual offender legislation, but the speed to reconviction was still high for this group. Nearly four in ten (39%) ex-convicts also reoffended within a year of release; over six in ten were reconvicted within two years</w:t>
      </w:r>
      <w:r w:rsidR="00B22E12">
        <w:rPr>
          <w:color w:val="000000" w:themeColor="text1"/>
          <w:sz w:val="22"/>
          <w:szCs w:val="22"/>
        </w:rPr>
        <w:t xml:space="preserve"> (64%)</w:t>
      </w:r>
      <w:r w:rsidR="00D60304">
        <w:rPr>
          <w:color w:val="000000" w:themeColor="text1"/>
          <w:sz w:val="22"/>
          <w:szCs w:val="22"/>
        </w:rPr>
        <w:t xml:space="preserve">. Ignoring the numbers or proportion of released British convicts, those who did re-offend, got down to criminal work very quickly. </w:t>
      </w:r>
      <w:r w:rsidR="006A4145">
        <w:rPr>
          <w:color w:val="000000" w:themeColor="text1"/>
          <w:sz w:val="22"/>
          <w:szCs w:val="22"/>
        </w:rPr>
        <w:t xml:space="preserve">Indeed, British </w:t>
      </w:r>
      <w:r w:rsidR="00812E24" w:rsidRPr="00FC0E35">
        <w:rPr>
          <w:color w:val="000000" w:themeColor="text1"/>
          <w:sz w:val="22"/>
          <w:szCs w:val="22"/>
        </w:rPr>
        <w:t xml:space="preserve">convicts were </w:t>
      </w:r>
      <w:r w:rsidR="00FC0E35" w:rsidRPr="00FC0E35">
        <w:rPr>
          <w:color w:val="000000" w:themeColor="text1"/>
          <w:sz w:val="22"/>
          <w:szCs w:val="22"/>
        </w:rPr>
        <w:t xml:space="preserve">over ten times as </w:t>
      </w:r>
      <w:r w:rsidR="00812E24" w:rsidRPr="00FC0E35">
        <w:rPr>
          <w:color w:val="000000" w:themeColor="text1"/>
          <w:sz w:val="22"/>
          <w:szCs w:val="22"/>
        </w:rPr>
        <w:t>likely as Western Australian convicts to be reconvicted in the first twelve months of their release</w:t>
      </w:r>
      <w:r w:rsidR="006A4145">
        <w:rPr>
          <w:color w:val="000000" w:themeColor="text1"/>
          <w:sz w:val="22"/>
          <w:szCs w:val="22"/>
        </w:rPr>
        <w:t xml:space="preserve"> from incarceration (see Fig </w:t>
      </w:r>
      <w:r w:rsidR="006A4145" w:rsidRPr="000D581F">
        <w:rPr>
          <w:color w:val="000000" w:themeColor="text1"/>
          <w:sz w:val="22"/>
          <w:szCs w:val="22"/>
        </w:rPr>
        <w:t>7)</w:t>
      </w:r>
      <w:r w:rsidR="000D581F" w:rsidRPr="000D581F">
        <w:rPr>
          <w:color w:val="000000" w:themeColor="text1"/>
          <w:sz w:val="22"/>
          <w:szCs w:val="22"/>
        </w:rPr>
        <w:t>.</w:t>
      </w:r>
      <w:r w:rsidR="000D581F" w:rsidRPr="000D581F">
        <w:rPr>
          <w:rStyle w:val="FootnoteReference"/>
          <w:color w:val="000000" w:themeColor="text1"/>
          <w:sz w:val="22"/>
          <w:szCs w:val="22"/>
        </w:rPr>
        <w:footnoteReference w:id="21"/>
      </w:r>
      <w:r w:rsidR="00574415">
        <w:rPr>
          <w:color w:val="000000" w:themeColor="text1"/>
          <w:sz w:val="22"/>
          <w:szCs w:val="22"/>
        </w:rPr>
        <w:t xml:space="preserve"> </w:t>
      </w:r>
      <w:r w:rsidR="006A4145">
        <w:rPr>
          <w:color w:val="000000" w:themeColor="text1"/>
          <w:sz w:val="22"/>
          <w:szCs w:val="22"/>
        </w:rPr>
        <w:t xml:space="preserve">The records show that </w:t>
      </w:r>
      <w:r w:rsidR="00F72575">
        <w:rPr>
          <w:color w:val="000000" w:themeColor="text1"/>
          <w:sz w:val="22"/>
          <w:szCs w:val="22"/>
        </w:rPr>
        <w:t xml:space="preserve">during their first twelve months of release </w:t>
      </w:r>
      <w:r w:rsidR="006A4145">
        <w:rPr>
          <w:color w:val="000000" w:themeColor="text1"/>
          <w:sz w:val="22"/>
          <w:szCs w:val="22"/>
        </w:rPr>
        <w:t xml:space="preserve">only 4% of Australian convicts were convicted of serious offences at the Supreme Court (many would have been convicted of minor offences, see Godfrey and Cox 2008), and only 4% were imprisoned in Fremantle prison. </w:t>
      </w:r>
    </w:p>
    <w:p w14:paraId="4E1392B0" w14:textId="7B951D25" w:rsidR="0021340A" w:rsidRDefault="0021340A" w:rsidP="00B101EC">
      <w:pPr>
        <w:spacing w:line="360" w:lineRule="auto"/>
        <w:jc w:val="both"/>
        <w:rPr>
          <w:color w:val="C00000"/>
          <w:sz w:val="22"/>
          <w:szCs w:val="22"/>
        </w:rPr>
      </w:pPr>
    </w:p>
    <w:p w14:paraId="1E3AE7FF" w14:textId="228C52E2" w:rsidR="00B61182" w:rsidRPr="007C53B6" w:rsidRDefault="007C53B6" w:rsidP="00B101EC">
      <w:pPr>
        <w:spacing w:line="360" w:lineRule="auto"/>
        <w:jc w:val="both"/>
        <w:rPr>
          <w:color w:val="000000" w:themeColor="text1"/>
          <w:sz w:val="22"/>
          <w:szCs w:val="22"/>
        </w:rPr>
      </w:pPr>
      <w:r>
        <w:rPr>
          <w:color w:val="000000" w:themeColor="text1"/>
          <w:sz w:val="22"/>
          <w:szCs w:val="22"/>
        </w:rPr>
        <w:t>The Western Australian system performed much stronger in the second efficiency test – speed to reconviction – although one could also argue that the system seemed not to be able to curb offending over the long term. There was a long tail of offending.</w:t>
      </w:r>
    </w:p>
    <w:p w14:paraId="2537E3B5" w14:textId="77777777" w:rsidR="00451461" w:rsidRDefault="00451461" w:rsidP="00B101EC">
      <w:pPr>
        <w:spacing w:line="360" w:lineRule="auto"/>
        <w:jc w:val="both"/>
        <w:rPr>
          <w:b/>
          <w:color w:val="000000" w:themeColor="text1"/>
          <w:sz w:val="22"/>
          <w:szCs w:val="22"/>
        </w:rPr>
      </w:pPr>
    </w:p>
    <w:p w14:paraId="1427972B" w14:textId="705F5678" w:rsidR="002336D0" w:rsidRPr="002336D0" w:rsidRDefault="002336D0" w:rsidP="00B101EC">
      <w:pPr>
        <w:spacing w:line="360" w:lineRule="auto"/>
        <w:jc w:val="both"/>
        <w:rPr>
          <w:b/>
          <w:color w:val="000000" w:themeColor="text1"/>
          <w:sz w:val="22"/>
          <w:szCs w:val="22"/>
        </w:rPr>
      </w:pPr>
      <w:r w:rsidRPr="002336D0">
        <w:rPr>
          <w:b/>
          <w:color w:val="000000" w:themeColor="text1"/>
          <w:sz w:val="22"/>
          <w:szCs w:val="22"/>
        </w:rPr>
        <w:t>The general and the specific</w:t>
      </w:r>
    </w:p>
    <w:p w14:paraId="29FB59D8" w14:textId="2AB284C4" w:rsidR="002336D0" w:rsidRDefault="002336D0" w:rsidP="00B101EC">
      <w:pPr>
        <w:spacing w:line="360" w:lineRule="auto"/>
        <w:jc w:val="both"/>
        <w:rPr>
          <w:color w:val="000000" w:themeColor="text1"/>
          <w:sz w:val="22"/>
          <w:szCs w:val="22"/>
        </w:rPr>
      </w:pPr>
    </w:p>
    <w:p w14:paraId="4E09A25E" w14:textId="7BCB0552" w:rsidR="001800A1" w:rsidRDefault="00B61182" w:rsidP="00B101EC">
      <w:pPr>
        <w:spacing w:line="360" w:lineRule="auto"/>
        <w:jc w:val="both"/>
        <w:rPr>
          <w:color w:val="000000" w:themeColor="text1"/>
          <w:sz w:val="22"/>
          <w:szCs w:val="22"/>
        </w:rPr>
      </w:pPr>
      <w:r>
        <w:rPr>
          <w:color w:val="000000" w:themeColor="text1"/>
          <w:sz w:val="22"/>
          <w:szCs w:val="22"/>
        </w:rPr>
        <w:t xml:space="preserve">What has been presented so far is a quantitative analysis </w:t>
      </w:r>
      <w:r w:rsidR="002336D0">
        <w:rPr>
          <w:color w:val="000000" w:themeColor="text1"/>
          <w:sz w:val="22"/>
          <w:szCs w:val="22"/>
        </w:rPr>
        <w:t xml:space="preserve">of archival records. There is, of course, much variation </w:t>
      </w:r>
      <w:r w:rsidR="001F3F49">
        <w:rPr>
          <w:color w:val="000000" w:themeColor="text1"/>
          <w:sz w:val="22"/>
          <w:szCs w:val="22"/>
        </w:rPr>
        <w:t xml:space="preserve">of experience contained </w:t>
      </w:r>
      <w:r w:rsidR="002336D0">
        <w:rPr>
          <w:color w:val="000000" w:themeColor="text1"/>
          <w:sz w:val="22"/>
          <w:szCs w:val="22"/>
        </w:rPr>
        <w:t>within</w:t>
      </w:r>
      <w:r>
        <w:rPr>
          <w:color w:val="000000" w:themeColor="text1"/>
          <w:sz w:val="22"/>
          <w:szCs w:val="22"/>
        </w:rPr>
        <w:t xml:space="preserve"> the aggregated data</w:t>
      </w:r>
      <w:r w:rsidR="002336D0">
        <w:rPr>
          <w:color w:val="000000" w:themeColor="text1"/>
          <w:sz w:val="22"/>
          <w:szCs w:val="22"/>
        </w:rPr>
        <w:t>. T</w:t>
      </w:r>
      <w:r>
        <w:rPr>
          <w:color w:val="000000" w:themeColor="text1"/>
          <w:sz w:val="22"/>
          <w:szCs w:val="22"/>
        </w:rPr>
        <w:t>he life-histories of t</w:t>
      </w:r>
      <w:r w:rsidR="002336D0">
        <w:rPr>
          <w:color w:val="000000" w:themeColor="text1"/>
          <w:sz w:val="22"/>
          <w:szCs w:val="22"/>
        </w:rPr>
        <w:t xml:space="preserve">wo brothers, Mark and </w:t>
      </w:r>
      <w:r w:rsidR="00C85450">
        <w:rPr>
          <w:color w:val="000000" w:themeColor="text1"/>
          <w:sz w:val="22"/>
          <w:szCs w:val="22"/>
        </w:rPr>
        <w:t>Luke</w:t>
      </w:r>
      <w:r w:rsidR="002336D0">
        <w:rPr>
          <w:color w:val="000000" w:themeColor="text1"/>
          <w:sz w:val="22"/>
          <w:szCs w:val="22"/>
        </w:rPr>
        <w:t xml:space="preserve"> Jeffreys, are probably the best example of this.</w:t>
      </w:r>
    </w:p>
    <w:p w14:paraId="7A60EB71" w14:textId="50AD97B3" w:rsidR="0021340A" w:rsidRDefault="009C64FA" w:rsidP="00B101EC">
      <w:pPr>
        <w:spacing w:line="360" w:lineRule="auto"/>
        <w:jc w:val="both"/>
        <w:rPr>
          <w:color w:val="000000" w:themeColor="text1"/>
          <w:sz w:val="22"/>
          <w:szCs w:val="22"/>
        </w:rPr>
      </w:pPr>
      <w:r w:rsidRPr="00B22EC5">
        <w:rPr>
          <w:color w:val="000000" w:themeColor="text1"/>
          <w:sz w:val="22"/>
          <w:szCs w:val="22"/>
        </w:rPr>
        <w:t xml:space="preserve">Mark Jeffrey led an extraordinary life, </w:t>
      </w:r>
      <w:r w:rsidR="0039269E">
        <w:rPr>
          <w:color w:val="000000" w:themeColor="text1"/>
          <w:sz w:val="22"/>
          <w:szCs w:val="22"/>
        </w:rPr>
        <w:t xml:space="preserve">one he described himself in his autobiography </w:t>
      </w:r>
      <w:r w:rsidR="006C3F6E" w:rsidRPr="009A3B5C">
        <w:rPr>
          <w:color w:val="000000" w:themeColor="text1"/>
          <w:sz w:val="22"/>
          <w:szCs w:val="22"/>
        </w:rPr>
        <w:t>(Jeffrey 1893; see Godfrey 2014)</w:t>
      </w:r>
      <w:r w:rsidRPr="00B22EC5">
        <w:rPr>
          <w:color w:val="000000" w:themeColor="text1"/>
          <w:sz w:val="22"/>
          <w:szCs w:val="22"/>
        </w:rPr>
        <w:t>. Mark</w:t>
      </w:r>
      <w:r w:rsidR="00B22EC5" w:rsidRPr="00B22EC5">
        <w:rPr>
          <w:color w:val="000000" w:themeColor="text1"/>
          <w:sz w:val="22"/>
          <w:szCs w:val="22"/>
        </w:rPr>
        <w:t xml:space="preserve"> was born in 1825 in Newmarket but </w:t>
      </w:r>
      <w:r w:rsidRPr="00B22EC5">
        <w:rPr>
          <w:color w:val="000000" w:themeColor="text1"/>
          <w:sz w:val="22"/>
          <w:szCs w:val="22"/>
        </w:rPr>
        <w:t>ran away fr</w:t>
      </w:r>
      <w:r w:rsidR="0039269E">
        <w:rPr>
          <w:color w:val="000000" w:themeColor="text1"/>
          <w:sz w:val="22"/>
          <w:szCs w:val="22"/>
        </w:rPr>
        <w:t>om home with his brother aged fifteen</w:t>
      </w:r>
      <w:r w:rsidRPr="00B22EC5">
        <w:rPr>
          <w:color w:val="000000" w:themeColor="text1"/>
          <w:sz w:val="22"/>
          <w:szCs w:val="22"/>
        </w:rPr>
        <w:t xml:space="preserve"> </w:t>
      </w:r>
      <w:r w:rsidR="00B22EC5" w:rsidRPr="00B22EC5">
        <w:rPr>
          <w:color w:val="000000" w:themeColor="text1"/>
          <w:sz w:val="22"/>
          <w:szCs w:val="22"/>
        </w:rPr>
        <w:t xml:space="preserve">to escape their violent father. </w:t>
      </w:r>
      <w:r w:rsidR="00C734A7">
        <w:rPr>
          <w:color w:val="000000" w:themeColor="text1"/>
          <w:sz w:val="22"/>
          <w:szCs w:val="22"/>
        </w:rPr>
        <w:t>Working as a</w:t>
      </w:r>
      <w:r w:rsidR="00B22EC5" w:rsidRPr="00601387">
        <w:rPr>
          <w:color w:val="000000" w:themeColor="text1"/>
          <w:sz w:val="22"/>
          <w:szCs w:val="22"/>
        </w:rPr>
        <w:t xml:space="preserve"> </w:t>
      </w:r>
      <w:r w:rsidR="0039269E">
        <w:rPr>
          <w:color w:val="000000" w:themeColor="text1"/>
          <w:sz w:val="22"/>
          <w:szCs w:val="22"/>
        </w:rPr>
        <w:t>knife-seller</w:t>
      </w:r>
      <w:r w:rsidR="00B22EC5" w:rsidRPr="00601387">
        <w:rPr>
          <w:color w:val="000000" w:themeColor="text1"/>
          <w:sz w:val="22"/>
          <w:szCs w:val="22"/>
        </w:rPr>
        <w:t xml:space="preserve"> and amateur boxer in f</w:t>
      </w:r>
      <w:r w:rsidRPr="00601387">
        <w:rPr>
          <w:color w:val="000000" w:themeColor="text1"/>
          <w:sz w:val="22"/>
          <w:szCs w:val="22"/>
        </w:rPr>
        <w:t xml:space="preserve">airs around the Fens. </w:t>
      </w:r>
      <w:r w:rsidR="0039269E" w:rsidRPr="00601387">
        <w:rPr>
          <w:color w:val="000000" w:themeColor="text1"/>
          <w:sz w:val="22"/>
          <w:szCs w:val="22"/>
        </w:rPr>
        <w:t>Mark</w:t>
      </w:r>
      <w:r w:rsidR="0039269E">
        <w:rPr>
          <w:color w:val="000000" w:themeColor="text1"/>
          <w:sz w:val="22"/>
          <w:szCs w:val="22"/>
        </w:rPr>
        <w:t>, l</w:t>
      </w:r>
      <w:r w:rsidR="00B22EC5" w:rsidRPr="00601387">
        <w:rPr>
          <w:color w:val="000000" w:themeColor="text1"/>
          <w:sz w:val="22"/>
          <w:szCs w:val="22"/>
        </w:rPr>
        <w:t>ike</w:t>
      </w:r>
      <w:r w:rsidR="00601387" w:rsidRPr="00601387">
        <w:rPr>
          <w:color w:val="000000" w:themeColor="text1"/>
          <w:sz w:val="22"/>
          <w:szCs w:val="22"/>
        </w:rPr>
        <w:t xml:space="preserve"> his father, </w:t>
      </w:r>
      <w:r w:rsidR="00B22EC5" w:rsidRPr="00601387">
        <w:rPr>
          <w:color w:val="000000" w:themeColor="text1"/>
          <w:sz w:val="22"/>
          <w:szCs w:val="22"/>
        </w:rPr>
        <w:t xml:space="preserve">enjoyed </w:t>
      </w:r>
      <w:r w:rsidR="0039269E">
        <w:rPr>
          <w:color w:val="000000" w:themeColor="text1"/>
          <w:sz w:val="22"/>
          <w:szCs w:val="22"/>
        </w:rPr>
        <w:t xml:space="preserve">drinking </w:t>
      </w:r>
      <w:r w:rsidR="00B22EC5" w:rsidRPr="00601387">
        <w:rPr>
          <w:color w:val="000000" w:themeColor="text1"/>
          <w:sz w:val="22"/>
          <w:szCs w:val="22"/>
        </w:rPr>
        <w:t>alcohol</w:t>
      </w:r>
      <w:r w:rsidR="0039269E">
        <w:rPr>
          <w:color w:val="000000" w:themeColor="text1"/>
          <w:sz w:val="22"/>
          <w:szCs w:val="22"/>
        </w:rPr>
        <w:t>,</w:t>
      </w:r>
      <w:r w:rsidR="00B22EC5" w:rsidRPr="00601387">
        <w:rPr>
          <w:color w:val="000000" w:themeColor="text1"/>
          <w:sz w:val="22"/>
          <w:szCs w:val="22"/>
        </w:rPr>
        <w:t xml:space="preserve"> but that did not prevent him becom</w:t>
      </w:r>
      <w:r w:rsidR="00601387" w:rsidRPr="00601387">
        <w:rPr>
          <w:color w:val="000000" w:themeColor="text1"/>
          <w:sz w:val="22"/>
          <w:szCs w:val="22"/>
        </w:rPr>
        <w:t>ing</w:t>
      </w:r>
      <w:r w:rsidRPr="00601387">
        <w:rPr>
          <w:color w:val="000000" w:themeColor="text1"/>
          <w:sz w:val="22"/>
          <w:szCs w:val="22"/>
        </w:rPr>
        <w:t xml:space="preserve"> a relatively </w:t>
      </w:r>
      <w:r w:rsidRPr="00601387">
        <w:rPr>
          <w:color w:val="000000" w:themeColor="text1"/>
          <w:sz w:val="22"/>
          <w:szCs w:val="22"/>
        </w:rPr>
        <w:lastRenderedPageBreak/>
        <w:t>successful prize-fighter</w:t>
      </w:r>
      <w:r w:rsidR="00B22EC5" w:rsidRPr="00601387">
        <w:rPr>
          <w:color w:val="000000" w:themeColor="text1"/>
          <w:sz w:val="22"/>
          <w:szCs w:val="22"/>
        </w:rPr>
        <w:t xml:space="preserve"> and friend of </w:t>
      </w:r>
      <w:r w:rsidRPr="00601387">
        <w:rPr>
          <w:color w:val="000000" w:themeColor="text1"/>
          <w:sz w:val="22"/>
          <w:szCs w:val="22"/>
        </w:rPr>
        <w:t xml:space="preserve">champion pugilist Bendigo Thompson. </w:t>
      </w:r>
      <w:r w:rsidR="00601387" w:rsidRPr="00601387">
        <w:rPr>
          <w:color w:val="000000" w:themeColor="text1"/>
          <w:sz w:val="22"/>
          <w:szCs w:val="22"/>
        </w:rPr>
        <w:t xml:space="preserve">Perhaps because of his physical prowess, Mark became a central member of a group of London-based burglars. His night-time activities ceased when he </w:t>
      </w:r>
      <w:r w:rsidR="00C734A7">
        <w:rPr>
          <w:color w:val="000000" w:themeColor="text1"/>
          <w:sz w:val="22"/>
          <w:szCs w:val="22"/>
        </w:rPr>
        <w:t>and his brother, Luke</w:t>
      </w:r>
      <w:r w:rsidR="00601387">
        <w:rPr>
          <w:color w:val="000000" w:themeColor="text1"/>
          <w:sz w:val="22"/>
          <w:szCs w:val="22"/>
        </w:rPr>
        <w:t>, were</w:t>
      </w:r>
      <w:r w:rsidRPr="00601387">
        <w:rPr>
          <w:color w:val="000000" w:themeColor="text1"/>
          <w:sz w:val="22"/>
          <w:szCs w:val="22"/>
        </w:rPr>
        <w:t xml:space="preserve"> convicted</w:t>
      </w:r>
      <w:r w:rsidR="00601387">
        <w:rPr>
          <w:color w:val="000000" w:themeColor="text1"/>
          <w:sz w:val="22"/>
          <w:szCs w:val="22"/>
        </w:rPr>
        <w:t xml:space="preserve"> of burglary and sentenced to fifteen</w:t>
      </w:r>
      <w:r w:rsidRPr="00601387">
        <w:rPr>
          <w:color w:val="000000" w:themeColor="text1"/>
          <w:sz w:val="22"/>
          <w:szCs w:val="22"/>
        </w:rPr>
        <w:t xml:space="preserve"> years’ transportation. </w:t>
      </w:r>
      <w:r w:rsidR="00C734A7">
        <w:rPr>
          <w:color w:val="000000" w:themeColor="text1"/>
          <w:sz w:val="22"/>
          <w:szCs w:val="22"/>
        </w:rPr>
        <w:t xml:space="preserve">He </w:t>
      </w:r>
      <w:r w:rsidR="00B61182">
        <w:rPr>
          <w:color w:val="000000" w:themeColor="text1"/>
          <w:sz w:val="22"/>
          <w:szCs w:val="22"/>
        </w:rPr>
        <w:t>was initially imprisoned</w:t>
      </w:r>
      <w:r w:rsidR="00C734A7">
        <w:rPr>
          <w:color w:val="000000" w:themeColor="text1"/>
          <w:sz w:val="22"/>
          <w:szCs w:val="22"/>
        </w:rPr>
        <w:t xml:space="preserve"> in Millbank Prison, </w:t>
      </w:r>
      <w:r w:rsidR="0039269E">
        <w:rPr>
          <w:color w:val="000000" w:themeColor="text1"/>
          <w:sz w:val="22"/>
          <w:szCs w:val="22"/>
        </w:rPr>
        <w:t>but this did not keep him out of trouble</w:t>
      </w:r>
      <w:r w:rsidR="00F96E36">
        <w:rPr>
          <w:color w:val="000000" w:themeColor="text1"/>
          <w:sz w:val="22"/>
          <w:szCs w:val="22"/>
        </w:rPr>
        <w:t xml:space="preserve">, especially when </w:t>
      </w:r>
      <w:r w:rsidR="00C734A7">
        <w:rPr>
          <w:color w:val="000000" w:themeColor="text1"/>
          <w:sz w:val="22"/>
          <w:szCs w:val="22"/>
        </w:rPr>
        <w:t xml:space="preserve">he ran into the man who </w:t>
      </w:r>
      <w:r w:rsidR="0039269E">
        <w:rPr>
          <w:color w:val="000000" w:themeColor="text1"/>
          <w:sz w:val="22"/>
          <w:szCs w:val="22"/>
        </w:rPr>
        <w:t>had testified against him at the</w:t>
      </w:r>
      <w:r w:rsidR="00C734A7">
        <w:rPr>
          <w:color w:val="000000" w:themeColor="text1"/>
          <w:sz w:val="22"/>
          <w:szCs w:val="22"/>
        </w:rPr>
        <w:t xml:space="preserve"> Cambridgeshire Assize</w:t>
      </w:r>
      <w:r w:rsidR="0039269E">
        <w:rPr>
          <w:color w:val="000000" w:themeColor="text1"/>
          <w:sz w:val="22"/>
          <w:szCs w:val="22"/>
        </w:rPr>
        <w:t>s</w:t>
      </w:r>
      <w:r w:rsidR="00C734A7">
        <w:rPr>
          <w:color w:val="000000" w:themeColor="text1"/>
          <w:sz w:val="22"/>
          <w:szCs w:val="22"/>
        </w:rPr>
        <w:t xml:space="preserve">. </w:t>
      </w:r>
      <w:r w:rsidR="00F96E36">
        <w:rPr>
          <w:color w:val="000000" w:themeColor="text1"/>
          <w:sz w:val="22"/>
          <w:szCs w:val="22"/>
        </w:rPr>
        <w:t>It seems unlikely that the torrent of threats and insults that Mark hurled at the man caused his heart attac</w:t>
      </w:r>
      <w:r w:rsidR="00831174">
        <w:rPr>
          <w:color w:val="000000" w:themeColor="text1"/>
          <w:sz w:val="22"/>
          <w:szCs w:val="22"/>
        </w:rPr>
        <w:t>k, but as Mark had already had one attempt at assaulting the man (during the</w:t>
      </w:r>
      <w:r w:rsidR="00F96E36">
        <w:rPr>
          <w:color w:val="000000" w:themeColor="text1"/>
          <w:sz w:val="22"/>
          <w:szCs w:val="22"/>
        </w:rPr>
        <w:t xml:space="preserve"> trial</w:t>
      </w:r>
      <w:r w:rsidR="00831174">
        <w:rPr>
          <w:color w:val="000000" w:themeColor="text1"/>
          <w:sz w:val="22"/>
          <w:szCs w:val="22"/>
        </w:rPr>
        <w:t>)</w:t>
      </w:r>
      <w:r w:rsidR="00F96E36">
        <w:rPr>
          <w:color w:val="000000" w:themeColor="text1"/>
          <w:sz w:val="22"/>
          <w:szCs w:val="22"/>
        </w:rPr>
        <w:t>, the authorities were not in a forgiving mood. Mark was charged with manslaughter</w:t>
      </w:r>
      <w:r w:rsidR="00853B9E">
        <w:rPr>
          <w:color w:val="000000" w:themeColor="text1"/>
          <w:sz w:val="22"/>
          <w:szCs w:val="22"/>
        </w:rPr>
        <w:t>,</w:t>
      </w:r>
      <w:r w:rsidR="00F96E36">
        <w:rPr>
          <w:color w:val="000000" w:themeColor="text1"/>
          <w:sz w:val="22"/>
          <w:szCs w:val="22"/>
        </w:rPr>
        <w:t xml:space="preserve"> but </w:t>
      </w:r>
      <w:r w:rsidR="00B61182">
        <w:rPr>
          <w:color w:val="000000" w:themeColor="text1"/>
          <w:sz w:val="22"/>
          <w:szCs w:val="22"/>
        </w:rPr>
        <w:t xml:space="preserve">the jury found him not guilty and he was </w:t>
      </w:r>
      <w:r w:rsidR="00F96E36">
        <w:rPr>
          <w:color w:val="000000" w:themeColor="text1"/>
          <w:sz w:val="22"/>
          <w:szCs w:val="22"/>
        </w:rPr>
        <w:t>acquitted</w:t>
      </w:r>
      <w:r w:rsidR="00853B9E">
        <w:rPr>
          <w:color w:val="000000" w:themeColor="text1"/>
          <w:sz w:val="22"/>
          <w:szCs w:val="22"/>
        </w:rPr>
        <w:t xml:space="preserve">, and so he </w:t>
      </w:r>
      <w:r w:rsidR="00F96E36">
        <w:rPr>
          <w:color w:val="000000" w:themeColor="text1"/>
          <w:sz w:val="22"/>
          <w:szCs w:val="22"/>
        </w:rPr>
        <w:t>returned to Millbank to await transportation to V</w:t>
      </w:r>
      <w:r w:rsidR="00063529">
        <w:rPr>
          <w:color w:val="000000" w:themeColor="text1"/>
          <w:sz w:val="22"/>
          <w:szCs w:val="22"/>
        </w:rPr>
        <w:t>DL</w:t>
      </w:r>
      <w:r w:rsidR="00F96E36">
        <w:rPr>
          <w:color w:val="000000" w:themeColor="text1"/>
          <w:sz w:val="22"/>
          <w:szCs w:val="22"/>
        </w:rPr>
        <w:t xml:space="preserve">. </w:t>
      </w:r>
      <w:r w:rsidR="00853B9E">
        <w:rPr>
          <w:color w:val="000000" w:themeColor="text1"/>
          <w:sz w:val="22"/>
          <w:szCs w:val="22"/>
        </w:rPr>
        <w:t xml:space="preserve">However, whilst on board the hulk he </w:t>
      </w:r>
      <w:r w:rsidR="00601387" w:rsidRPr="00601387">
        <w:rPr>
          <w:color w:val="000000" w:themeColor="text1"/>
          <w:sz w:val="22"/>
          <w:szCs w:val="22"/>
        </w:rPr>
        <w:t xml:space="preserve">contracted cholera which made him unfit </w:t>
      </w:r>
      <w:r w:rsidR="007316B6">
        <w:rPr>
          <w:color w:val="000000" w:themeColor="text1"/>
          <w:sz w:val="22"/>
          <w:szCs w:val="22"/>
        </w:rPr>
        <w:t>to be transported</w:t>
      </w:r>
      <w:r w:rsidR="00B341FC">
        <w:rPr>
          <w:color w:val="000000" w:themeColor="text1"/>
          <w:sz w:val="22"/>
          <w:szCs w:val="22"/>
        </w:rPr>
        <w:t xml:space="preserve"> </w:t>
      </w:r>
      <w:r w:rsidR="00B341FC" w:rsidRPr="00B341FC">
        <w:rPr>
          <w:color w:val="000000" w:themeColor="text1"/>
          <w:sz w:val="22"/>
          <w:szCs w:val="22"/>
        </w:rPr>
        <w:t>(Jeffrey 1893: 41-42)</w:t>
      </w:r>
      <w:r w:rsidR="00601387" w:rsidRPr="00B341FC">
        <w:rPr>
          <w:color w:val="000000" w:themeColor="text1"/>
          <w:sz w:val="22"/>
          <w:szCs w:val="22"/>
        </w:rPr>
        <w:t xml:space="preserve">. Whilst his brother sailed to Australia, Mark </w:t>
      </w:r>
      <w:r w:rsidR="007316B6" w:rsidRPr="00B341FC">
        <w:rPr>
          <w:color w:val="000000" w:themeColor="text1"/>
          <w:sz w:val="22"/>
          <w:szCs w:val="22"/>
        </w:rPr>
        <w:t>remained behind</w:t>
      </w:r>
      <w:r w:rsidR="00601387" w:rsidRPr="00B341FC">
        <w:rPr>
          <w:color w:val="000000" w:themeColor="text1"/>
          <w:sz w:val="22"/>
          <w:szCs w:val="22"/>
        </w:rPr>
        <w:t xml:space="preserve"> on the</w:t>
      </w:r>
      <w:r w:rsidR="00853B9E" w:rsidRPr="00B341FC">
        <w:rPr>
          <w:color w:val="000000" w:themeColor="text1"/>
          <w:sz w:val="22"/>
          <w:szCs w:val="22"/>
        </w:rPr>
        <w:t xml:space="preserve"> </w:t>
      </w:r>
      <w:r w:rsidR="00601387" w:rsidRPr="00B341FC">
        <w:rPr>
          <w:i/>
          <w:color w:val="000000" w:themeColor="text1"/>
          <w:sz w:val="22"/>
          <w:szCs w:val="22"/>
        </w:rPr>
        <w:t>Warrior</w:t>
      </w:r>
      <w:r w:rsidR="007316B6" w:rsidRPr="00B341FC">
        <w:rPr>
          <w:color w:val="000000" w:themeColor="text1"/>
          <w:sz w:val="22"/>
          <w:szCs w:val="22"/>
        </w:rPr>
        <w:t xml:space="preserve"> </w:t>
      </w:r>
      <w:r w:rsidR="00B61182" w:rsidRPr="00B341FC">
        <w:rPr>
          <w:color w:val="000000" w:themeColor="text1"/>
          <w:sz w:val="22"/>
          <w:szCs w:val="22"/>
        </w:rPr>
        <w:t>hulk</w:t>
      </w:r>
      <w:r w:rsidR="00B61182">
        <w:rPr>
          <w:color w:val="000000" w:themeColor="text1"/>
          <w:sz w:val="22"/>
          <w:szCs w:val="22"/>
        </w:rPr>
        <w:t xml:space="preserve"> permanently </w:t>
      </w:r>
      <w:r w:rsidR="007316B6">
        <w:rPr>
          <w:color w:val="000000" w:themeColor="text1"/>
          <w:sz w:val="22"/>
          <w:szCs w:val="22"/>
        </w:rPr>
        <w:t>moored</w:t>
      </w:r>
      <w:r w:rsidR="00601387" w:rsidRPr="00601387">
        <w:rPr>
          <w:color w:val="000000" w:themeColor="text1"/>
          <w:sz w:val="22"/>
          <w:szCs w:val="22"/>
        </w:rPr>
        <w:t xml:space="preserve"> at Woolwich. </w:t>
      </w:r>
    </w:p>
    <w:p w14:paraId="5F979EE4" w14:textId="53BF50FD" w:rsidR="0021340A" w:rsidRPr="00F34C20" w:rsidRDefault="00601387" w:rsidP="00B101EC">
      <w:pPr>
        <w:spacing w:line="360" w:lineRule="auto"/>
        <w:jc w:val="both"/>
        <w:rPr>
          <w:color w:val="000000" w:themeColor="text1"/>
          <w:sz w:val="22"/>
          <w:szCs w:val="22"/>
        </w:rPr>
      </w:pPr>
      <w:r w:rsidRPr="00B22EC5">
        <w:rPr>
          <w:color w:val="000000" w:themeColor="text1"/>
          <w:sz w:val="22"/>
          <w:szCs w:val="22"/>
        </w:rPr>
        <w:t>Described as a ‘giant’,</w:t>
      </w:r>
      <w:r>
        <w:rPr>
          <w:color w:val="000000" w:themeColor="text1"/>
          <w:sz w:val="22"/>
          <w:szCs w:val="22"/>
        </w:rPr>
        <w:t xml:space="preserve"> Mark constantly complained that he was denied sufficient food</w:t>
      </w:r>
      <w:r w:rsidR="00A6279D">
        <w:rPr>
          <w:color w:val="000000" w:themeColor="text1"/>
          <w:sz w:val="22"/>
          <w:szCs w:val="22"/>
        </w:rPr>
        <w:t xml:space="preserve"> on the </w:t>
      </w:r>
      <w:r w:rsidR="00A6279D" w:rsidRPr="00A6279D">
        <w:rPr>
          <w:i/>
          <w:color w:val="000000" w:themeColor="text1"/>
          <w:sz w:val="22"/>
          <w:szCs w:val="22"/>
        </w:rPr>
        <w:t>Warrior</w:t>
      </w:r>
      <w:r>
        <w:rPr>
          <w:color w:val="000000" w:themeColor="text1"/>
          <w:sz w:val="22"/>
          <w:szCs w:val="22"/>
        </w:rPr>
        <w:t xml:space="preserve">, and he had several </w:t>
      </w:r>
      <w:r w:rsidR="001A5D78">
        <w:rPr>
          <w:color w:val="000000" w:themeColor="text1"/>
          <w:sz w:val="22"/>
          <w:szCs w:val="22"/>
        </w:rPr>
        <w:t>fracases</w:t>
      </w:r>
      <w:r>
        <w:rPr>
          <w:color w:val="000000" w:themeColor="text1"/>
          <w:sz w:val="22"/>
          <w:szCs w:val="22"/>
        </w:rPr>
        <w:t xml:space="preserve"> with the </w:t>
      </w:r>
      <w:r w:rsidRPr="006E1A26">
        <w:rPr>
          <w:color w:val="000000" w:themeColor="text1"/>
          <w:sz w:val="22"/>
          <w:szCs w:val="22"/>
        </w:rPr>
        <w:t>cooks, other inmates, and warders</w:t>
      </w:r>
      <w:r w:rsidR="00A6279D">
        <w:rPr>
          <w:color w:val="000000" w:themeColor="text1"/>
          <w:sz w:val="22"/>
          <w:szCs w:val="22"/>
        </w:rPr>
        <w:t>,</w:t>
      </w:r>
      <w:r w:rsidRPr="006E1A26">
        <w:rPr>
          <w:color w:val="000000" w:themeColor="text1"/>
          <w:sz w:val="22"/>
          <w:szCs w:val="22"/>
        </w:rPr>
        <w:t xml:space="preserve"> in his various attempts to gain more rations. </w:t>
      </w:r>
      <w:r w:rsidR="00C85450">
        <w:rPr>
          <w:color w:val="000000" w:themeColor="text1"/>
          <w:sz w:val="22"/>
          <w:szCs w:val="22"/>
        </w:rPr>
        <w:t xml:space="preserve">He complained that </w:t>
      </w:r>
      <w:r w:rsidRPr="006E1A26">
        <w:rPr>
          <w:color w:val="000000" w:themeColor="text1"/>
          <w:sz w:val="22"/>
          <w:szCs w:val="22"/>
        </w:rPr>
        <w:t xml:space="preserve">he had ‘lost four pounds in a fortnight, and three pounds before that, besides a stone and a half in Milbank’. </w:t>
      </w:r>
      <w:r w:rsidR="00B61182">
        <w:rPr>
          <w:color w:val="000000" w:themeColor="text1"/>
          <w:sz w:val="22"/>
          <w:szCs w:val="22"/>
        </w:rPr>
        <w:t>Taking</w:t>
      </w:r>
      <w:r w:rsidRPr="006E1A26">
        <w:rPr>
          <w:color w:val="000000" w:themeColor="text1"/>
          <w:sz w:val="22"/>
          <w:szCs w:val="22"/>
        </w:rPr>
        <w:t xml:space="preserve"> out his frustrations on the </w:t>
      </w:r>
      <w:r w:rsidRPr="00853B9E">
        <w:rPr>
          <w:i/>
          <w:color w:val="000000" w:themeColor="text1"/>
          <w:sz w:val="22"/>
          <w:szCs w:val="22"/>
        </w:rPr>
        <w:t>Warrior</w:t>
      </w:r>
      <w:r w:rsidRPr="006E1A26">
        <w:rPr>
          <w:color w:val="000000" w:themeColor="text1"/>
          <w:sz w:val="22"/>
          <w:szCs w:val="22"/>
        </w:rPr>
        <w:t>’s second-mate,</w:t>
      </w:r>
      <w:r w:rsidR="001D3B3C">
        <w:rPr>
          <w:color w:val="000000" w:themeColor="text1"/>
          <w:sz w:val="22"/>
          <w:szCs w:val="22"/>
        </w:rPr>
        <w:t xml:space="preserve"> he</w:t>
      </w:r>
      <w:r w:rsidRPr="006E1A26">
        <w:rPr>
          <w:color w:val="000000" w:themeColor="text1"/>
          <w:sz w:val="22"/>
          <w:szCs w:val="22"/>
        </w:rPr>
        <w:t xml:space="preserve"> hit him on the head with a piece of wood. On the way to Newgate Prison</w:t>
      </w:r>
      <w:r w:rsidR="00F34C20">
        <w:rPr>
          <w:color w:val="000000" w:themeColor="text1"/>
          <w:sz w:val="22"/>
          <w:szCs w:val="22"/>
        </w:rPr>
        <w:t xml:space="preserve"> </w:t>
      </w:r>
      <w:r w:rsidR="00B61182">
        <w:rPr>
          <w:color w:val="000000" w:themeColor="text1"/>
          <w:sz w:val="22"/>
          <w:szCs w:val="22"/>
        </w:rPr>
        <w:t>where he was held awaiting trial at the Old Bailey</w:t>
      </w:r>
      <w:r w:rsidR="00F34C20">
        <w:rPr>
          <w:color w:val="000000" w:themeColor="text1"/>
          <w:sz w:val="22"/>
          <w:szCs w:val="22"/>
        </w:rPr>
        <w:t>, he assaulted t</w:t>
      </w:r>
      <w:r w:rsidRPr="006E1A26">
        <w:rPr>
          <w:color w:val="000000" w:themeColor="text1"/>
          <w:sz w:val="22"/>
          <w:szCs w:val="22"/>
        </w:rPr>
        <w:t>w</w:t>
      </w:r>
      <w:r w:rsidR="00F34C20">
        <w:rPr>
          <w:color w:val="000000" w:themeColor="text1"/>
          <w:sz w:val="22"/>
          <w:szCs w:val="22"/>
        </w:rPr>
        <w:t>o</w:t>
      </w:r>
      <w:r w:rsidRPr="006E1A26">
        <w:rPr>
          <w:color w:val="000000" w:themeColor="text1"/>
          <w:sz w:val="22"/>
          <w:szCs w:val="22"/>
        </w:rPr>
        <w:t xml:space="preserve"> more warders. He was sentenced to </w:t>
      </w:r>
      <w:r w:rsidR="00F34C20">
        <w:rPr>
          <w:color w:val="000000" w:themeColor="text1"/>
          <w:sz w:val="22"/>
          <w:szCs w:val="22"/>
        </w:rPr>
        <w:t xml:space="preserve">another </w:t>
      </w:r>
      <w:r w:rsidRPr="006E1A26">
        <w:rPr>
          <w:color w:val="000000" w:themeColor="text1"/>
          <w:sz w:val="22"/>
          <w:szCs w:val="22"/>
        </w:rPr>
        <w:t xml:space="preserve">fifteen </w:t>
      </w:r>
      <w:r w:rsidR="009C64FA" w:rsidRPr="006E1A26">
        <w:rPr>
          <w:color w:val="000000" w:themeColor="text1"/>
          <w:sz w:val="22"/>
          <w:szCs w:val="22"/>
        </w:rPr>
        <w:t>years transportation</w:t>
      </w:r>
      <w:r w:rsidR="006E1A26">
        <w:rPr>
          <w:color w:val="000000" w:themeColor="text1"/>
          <w:sz w:val="22"/>
          <w:szCs w:val="22"/>
        </w:rPr>
        <w:t xml:space="preserve"> and th</w:t>
      </w:r>
      <w:r w:rsidR="006E1A26" w:rsidRPr="006E1A26">
        <w:rPr>
          <w:color w:val="000000" w:themeColor="text1"/>
          <w:sz w:val="22"/>
          <w:szCs w:val="22"/>
        </w:rPr>
        <w:t xml:space="preserve">is time he </w:t>
      </w:r>
      <w:r w:rsidR="00F34C20">
        <w:rPr>
          <w:color w:val="000000" w:themeColor="text1"/>
          <w:sz w:val="22"/>
          <w:szCs w:val="22"/>
        </w:rPr>
        <w:t xml:space="preserve">would not avoid a sea-voyage. </w:t>
      </w:r>
      <w:r w:rsidR="00B61182">
        <w:rPr>
          <w:color w:val="000000" w:themeColor="text1"/>
          <w:sz w:val="22"/>
          <w:szCs w:val="22"/>
        </w:rPr>
        <w:t>I</w:t>
      </w:r>
      <w:r w:rsidR="00B61182" w:rsidRPr="006E1A26">
        <w:rPr>
          <w:color w:val="000000" w:themeColor="text1"/>
          <w:sz w:val="22"/>
          <w:szCs w:val="22"/>
        </w:rPr>
        <w:t>n 1849</w:t>
      </w:r>
      <w:r w:rsidR="00B61182">
        <w:rPr>
          <w:color w:val="000000" w:themeColor="text1"/>
          <w:sz w:val="22"/>
          <w:szCs w:val="22"/>
        </w:rPr>
        <w:t>, t</w:t>
      </w:r>
      <w:r w:rsidR="00F34C20">
        <w:rPr>
          <w:color w:val="000000" w:themeColor="text1"/>
          <w:sz w:val="22"/>
          <w:szCs w:val="22"/>
        </w:rPr>
        <w:t xml:space="preserve">he </w:t>
      </w:r>
      <w:r w:rsidR="006E1A26" w:rsidRPr="004D3019">
        <w:rPr>
          <w:i/>
          <w:color w:val="000000" w:themeColor="text1"/>
          <w:sz w:val="22"/>
          <w:szCs w:val="22"/>
        </w:rPr>
        <w:t>Eliza</w:t>
      </w:r>
      <w:r w:rsidR="00F34C20">
        <w:rPr>
          <w:color w:val="000000" w:themeColor="text1"/>
          <w:sz w:val="22"/>
          <w:szCs w:val="22"/>
        </w:rPr>
        <w:t xml:space="preserve"> </w:t>
      </w:r>
      <w:r w:rsidR="006E1A26" w:rsidRPr="006E1A26">
        <w:rPr>
          <w:color w:val="000000" w:themeColor="text1"/>
          <w:sz w:val="22"/>
          <w:szCs w:val="22"/>
        </w:rPr>
        <w:t xml:space="preserve">deposited him on </w:t>
      </w:r>
      <w:r w:rsidR="009C64FA" w:rsidRPr="006E1A26">
        <w:rPr>
          <w:color w:val="000000" w:themeColor="text1"/>
          <w:sz w:val="22"/>
          <w:szCs w:val="22"/>
        </w:rPr>
        <w:t>Norfolk Is</w:t>
      </w:r>
      <w:r w:rsidR="006E1A26" w:rsidRPr="006E1A26">
        <w:rPr>
          <w:color w:val="000000" w:themeColor="text1"/>
          <w:sz w:val="22"/>
          <w:szCs w:val="22"/>
        </w:rPr>
        <w:t>land</w:t>
      </w:r>
      <w:r w:rsidR="00B61182">
        <w:rPr>
          <w:color w:val="000000" w:themeColor="text1"/>
          <w:sz w:val="22"/>
          <w:szCs w:val="22"/>
        </w:rPr>
        <w:t xml:space="preserve">, a brutal penal colony reserved for those who had </w:t>
      </w:r>
      <w:r w:rsidR="00AB51B7">
        <w:rPr>
          <w:color w:val="000000" w:themeColor="text1"/>
          <w:sz w:val="22"/>
          <w:szCs w:val="22"/>
        </w:rPr>
        <w:t xml:space="preserve">previous convictions. </w:t>
      </w:r>
      <w:r w:rsidR="004D3019">
        <w:rPr>
          <w:color w:val="000000" w:themeColor="text1"/>
          <w:sz w:val="22"/>
          <w:szCs w:val="22"/>
        </w:rPr>
        <w:t xml:space="preserve">He had mixed experiences on Norfolk Island, working as a </w:t>
      </w:r>
      <w:r w:rsidR="004D3019" w:rsidRPr="004D3019">
        <w:rPr>
          <w:color w:val="000000" w:themeColor="text1"/>
          <w:sz w:val="22"/>
          <w:szCs w:val="22"/>
        </w:rPr>
        <w:t xml:space="preserve">gardener and </w:t>
      </w:r>
      <w:r w:rsidR="00AB51B7">
        <w:rPr>
          <w:color w:val="000000" w:themeColor="text1"/>
          <w:sz w:val="22"/>
          <w:szCs w:val="22"/>
        </w:rPr>
        <w:t>(briefly) as a police constable, but</w:t>
      </w:r>
      <w:r w:rsidR="004D3019" w:rsidRPr="004D3019">
        <w:rPr>
          <w:color w:val="000000" w:themeColor="text1"/>
          <w:sz w:val="22"/>
          <w:szCs w:val="22"/>
        </w:rPr>
        <w:t xml:space="preserve"> </w:t>
      </w:r>
      <w:r w:rsidR="00AB51B7">
        <w:rPr>
          <w:color w:val="000000" w:themeColor="text1"/>
          <w:sz w:val="22"/>
          <w:szCs w:val="22"/>
        </w:rPr>
        <w:t>w</w:t>
      </w:r>
      <w:r w:rsidR="009C64FA" w:rsidRPr="004D3019">
        <w:rPr>
          <w:color w:val="000000" w:themeColor="text1"/>
          <w:sz w:val="22"/>
          <w:szCs w:val="22"/>
        </w:rPr>
        <w:t xml:space="preserve">hen </w:t>
      </w:r>
      <w:r w:rsidR="00F34C20">
        <w:rPr>
          <w:color w:val="000000" w:themeColor="text1"/>
          <w:sz w:val="22"/>
          <w:szCs w:val="22"/>
        </w:rPr>
        <w:t xml:space="preserve">that </w:t>
      </w:r>
      <w:r w:rsidR="00AB51B7">
        <w:rPr>
          <w:color w:val="000000" w:themeColor="text1"/>
          <w:sz w:val="22"/>
          <w:szCs w:val="22"/>
        </w:rPr>
        <w:t xml:space="preserve">isolated and </w:t>
      </w:r>
      <w:r w:rsidR="00F34C20">
        <w:rPr>
          <w:color w:val="000000" w:themeColor="text1"/>
          <w:sz w:val="22"/>
          <w:szCs w:val="22"/>
        </w:rPr>
        <w:t>distant penal colony</w:t>
      </w:r>
      <w:r w:rsidR="00AB51B7">
        <w:rPr>
          <w:color w:val="000000" w:themeColor="text1"/>
          <w:sz w:val="22"/>
          <w:szCs w:val="22"/>
        </w:rPr>
        <w:t>,</w:t>
      </w:r>
      <w:r w:rsidR="00F34C20">
        <w:rPr>
          <w:color w:val="000000" w:themeColor="text1"/>
          <w:sz w:val="22"/>
          <w:szCs w:val="22"/>
        </w:rPr>
        <w:t xml:space="preserve"> fifteen-hundred miles from the Australian coast</w:t>
      </w:r>
      <w:r w:rsidR="00AB51B7">
        <w:rPr>
          <w:color w:val="000000" w:themeColor="text1"/>
          <w:sz w:val="22"/>
          <w:szCs w:val="22"/>
        </w:rPr>
        <w:t>,</w:t>
      </w:r>
      <w:r w:rsidR="00F34C20">
        <w:rPr>
          <w:color w:val="000000" w:themeColor="text1"/>
          <w:sz w:val="22"/>
          <w:szCs w:val="22"/>
        </w:rPr>
        <w:t xml:space="preserve"> was closed,</w:t>
      </w:r>
      <w:r w:rsidR="009C64FA" w:rsidRPr="004D3019">
        <w:rPr>
          <w:color w:val="000000" w:themeColor="text1"/>
          <w:sz w:val="22"/>
          <w:szCs w:val="22"/>
        </w:rPr>
        <w:t xml:space="preserve"> he w</w:t>
      </w:r>
      <w:r w:rsidR="00F34C20">
        <w:rPr>
          <w:color w:val="000000" w:themeColor="text1"/>
          <w:sz w:val="22"/>
          <w:szCs w:val="22"/>
        </w:rPr>
        <w:t xml:space="preserve">as transferred to Port Arthur, </w:t>
      </w:r>
      <w:r w:rsidR="00AB51B7">
        <w:rPr>
          <w:color w:val="000000" w:themeColor="text1"/>
          <w:sz w:val="22"/>
          <w:szCs w:val="22"/>
        </w:rPr>
        <w:t>another</w:t>
      </w:r>
      <w:r w:rsidR="009C64FA" w:rsidRPr="004D3019">
        <w:rPr>
          <w:color w:val="000000" w:themeColor="text1"/>
          <w:sz w:val="22"/>
          <w:szCs w:val="22"/>
        </w:rPr>
        <w:t xml:space="preserve"> notorious </w:t>
      </w:r>
      <w:r w:rsidR="00AB51B7">
        <w:rPr>
          <w:color w:val="000000" w:themeColor="text1"/>
          <w:sz w:val="22"/>
          <w:szCs w:val="22"/>
        </w:rPr>
        <w:t>penal colony reserved for those who had previous convictions</w:t>
      </w:r>
      <w:r w:rsidR="009C64FA" w:rsidRPr="004D3019">
        <w:rPr>
          <w:color w:val="000000" w:themeColor="text1"/>
          <w:sz w:val="22"/>
          <w:szCs w:val="22"/>
        </w:rPr>
        <w:t xml:space="preserve"> </w:t>
      </w:r>
      <w:r w:rsidR="00B61182">
        <w:rPr>
          <w:color w:val="000000" w:themeColor="text1"/>
          <w:sz w:val="22"/>
          <w:szCs w:val="22"/>
        </w:rPr>
        <w:t>(Maxwell-Stewart 2008)</w:t>
      </w:r>
      <w:r w:rsidR="002B7974">
        <w:rPr>
          <w:color w:val="000000" w:themeColor="text1"/>
          <w:sz w:val="22"/>
          <w:szCs w:val="22"/>
        </w:rPr>
        <w:t>.</w:t>
      </w:r>
      <w:r w:rsidR="00B61182">
        <w:rPr>
          <w:color w:val="000000" w:themeColor="text1"/>
          <w:sz w:val="22"/>
          <w:szCs w:val="22"/>
        </w:rPr>
        <w:t xml:space="preserve"> </w:t>
      </w:r>
      <w:r w:rsidR="00B310A6" w:rsidRPr="00FB0841">
        <w:rPr>
          <w:color w:val="000000" w:themeColor="text1"/>
          <w:sz w:val="22"/>
          <w:szCs w:val="22"/>
        </w:rPr>
        <w:t>The</w:t>
      </w:r>
      <w:r w:rsidR="00B310A6" w:rsidRPr="00B310A6">
        <w:rPr>
          <w:color w:val="000000" w:themeColor="text1"/>
          <w:sz w:val="22"/>
          <w:szCs w:val="22"/>
        </w:rPr>
        <w:t xml:space="preserve"> ticket-of-leave he earned in </w:t>
      </w:r>
      <w:r w:rsidR="002B7974">
        <w:rPr>
          <w:color w:val="000000" w:themeColor="text1"/>
          <w:sz w:val="22"/>
          <w:szCs w:val="22"/>
        </w:rPr>
        <w:t xml:space="preserve">VDL in </w:t>
      </w:r>
      <w:r w:rsidR="00B310A6" w:rsidRPr="00B310A6">
        <w:rPr>
          <w:color w:val="000000" w:themeColor="text1"/>
          <w:sz w:val="22"/>
          <w:szCs w:val="22"/>
        </w:rPr>
        <w:t xml:space="preserve">the </w:t>
      </w:r>
      <w:r w:rsidR="000C1C28">
        <w:rPr>
          <w:color w:val="000000" w:themeColor="text1"/>
          <w:sz w:val="22"/>
          <w:szCs w:val="22"/>
        </w:rPr>
        <w:t>early 1850s</w:t>
      </w:r>
      <w:r w:rsidR="00B310A6" w:rsidRPr="00B310A6">
        <w:rPr>
          <w:color w:val="000000" w:themeColor="text1"/>
          <w:sz w:val="22"/>
          <w:szCs w:val="22"/>
        </w:rPr>
        <w:t xml:space="preserve"> was revoked on several occasions (for assaulting a poli</w:t>
      </w:r>
      <w:r w:rsidR="002B7974">
        <w:rPr>
          <w:color w:val="000000" w:themeColor="text1"/>
          <w:sz w:val="22"/>
          <w:szCs w:val="22"/>
        </w:rPr>
        <w:t xml:space="preserve">ce-magistrate, </w:t>
      </w:r>
      <w:r w:rsidR="00B310A6">
        <w:rPr>
          <w:color w:val="000000" w:themeColor="text1"/>
          <w:sz w:val="22"/>
          <w:szCs w:val="22"/>
        </w:rPr>
        <w:t>drunk</w:t>
      </w:r>
      <w:r w:rsidR="002B7974">
        <w:rPr>
          <w:color w:val="000000" w:themeColor="text1"/>
          <w:sz w:val="22"/>
          <w:szCs w:val="22"/>
        </w:rPr>
        <w:t>enness, and so on</w:t>
      </w:r>
      <w:r w:rsidR="00B310A6">
        <w:rPr>
          <w:color w:val="000000" w:themeColor="text1"/>
          <w:sz w:val="22"/>
          <w:szCs w:val="22"/>
        </w:rPr>
        <w:t>)</w:t>
      </w:r>
      <w:r w:rsidR="002B7974">
        <w:rPr>
          <w:color w:val="000000" w:themeColor="text1"/>
          <w:sz w:val="22"/>
          <w:szCs w:val="22"/>
        </w:rPr>
        <w:t xml:space="preserve"> </w:t>
      </w:r>
      <w:r w:rsidR="000C1C28">
        <w:rPr>
          <w:color w:val="000000" w:themeColor="text1"/>
          <w:sz w:val="22"/>
          <w:szCs w:val="22"/>
        </w:rPr>
        <w:t>and in</w:t>
      </w:r>
      <w:r w:rsidR="000C1C28" w:rsidRPr="000C1C28">
        <w:rPr>
          <w:color w:val="222222"/>
          <w:sz w:val="22"/>
          <w:szCs w:val="22"/>
          <w:shd w:val="clear" w:color="auto" w:fill="FFFFFF"/>
        </w:rPr>
        <w:t xml:space="preserve"> 1866 </w:t>
      </w:r>
      <w:r w:rsidR="000C1C28">
        <w:rPr>
          <w:color w:val="222222"/>
          <w:sz w:val="22"/>
          <w:szCs w:val="22"/>
          <w:shd w:val="clear" w:color="auto" w:fill="FFFFFF"/>
        </w:rPr>
        <w:t xml:space="preserve">he was sent to Port Arthur again, this time as an ‘invalid’ due to his walking difficulties. </w:t>
      </w:r>
      <w:r w:rsidR="000C1C28" w:rsidRPr="000C1C28">
        <w:rPr>
          <w:color w:val="222222"/>
          <w:sz w:val="22"/>
          <w:szCs w:val="22"/>
          <w:shd w:val="clear" w:color="auto" w:fill="FFFFFF"/>
        </w:rPr>
        <w:t xml:space="preserve"> </w:t>
      </w:r>
      <w:r w:rsidR="000C1C28">
        <w:rPr>
          <w:color w:val="222222"/>
          <w:sz w:val="22"/>
          <w:szCs w:val="22"/>
          <w:shd w:val="clear" w:color="auto" w:fill="FFFFFF"/>
        </w:rPr>
        <w:t xml:space="preserve">Following release, </w:t>
      </w:r>
      <w:r w:rsidR="002B7974">
        <w:rPr>
          <w:color w:val="222222"/>
          <w:sz w:val="22"/>
          <w:szCs w:val="22"/>
          <w:shd w:val="clear" w:color="auto" w:fill="FFFFFF"/>
        </w:rPr>
        <w:t xml:space="preserve">long after transportation to VDL had ended, </w:t>
      </w:r>
      <w:r w:rsidR="000C1C28">
        <w:rPr>
          <w:color w:val="222222"/>
          <w:sz w:val="22"/>
          <w:szCs w:val="22"/>
          <w:shd w:val="clear" w:color="auto" w:fill="FFFFFF"/>
        </w:rPr>
        <w:t xml:space="preserve">he </w:t>
      </w:r>
      <w:r w:rsidR="000C1C28">
        <w:rPr>
          <w:color w:val="000000" w:themeColor="text1"/>
          <w:sz w:val="22"/>
          <w:szCs w:val="22"/>
        </w:rPr>
        <w:t>f</w:t>
      </w:r>
      <w:r w:rsidR="00FC4E99">
        <w:rPr>
          <w:color w:val="000000" w:themeColor="text1"/>
          <w:sz w:val="22"/>
          <w:szCs w:val="22"/>
        </w:rPr>
        <w:t xml:space="preserve">ound himself in </w:t>
      </w:r>
      <w:r w:rsidR="002B7974">
        <w:rPr>
          <w:color w:val="000000" w:themeColor="text1"/>
          <w:sz w:val="22"/>
          <w:szCs w:val="22"/>
        </w:rPr>
        <w:t xml:space="preserve">and out of </w:t>
      </w:r>
      <w:r w:rsidR="00FC4E99">
        <w:rPr>
          <w:color w:val="000000" w:themeColor="text1"/>
          <w:sz w:val="22"/>
          <w:szCs w:val="22"/>
        </w:rPr>
        <w:t xml:space="preserve">Hobart Gaol (for assault mainly). </w:t>
      </w:r>
    </w:p>
    <w:p w14:paraId="5A1E7EC5" w14:textId="6BA3ED31" w:rsidR="0021340A" w:rsidRDefault="00FC4E99" w:rsidP="00B101EC">
      <w:pPr>
        <w:spacing w:line="360" w:lineRule="auto"/>
        <w:jc w:val="both"/>
        <w:rPr>
          <w:color w:val="000000" w:themeColor="text1"/>
          <w:sz w:val="22"/>
          <w:szCs w:val="22"/>
        </w:rPr>
      </w:pPr>
      <w:r>
        <w:rPr>
          <w:color w:val="000000" w:themeColor="text1"/>
          <w:sz w:val="22"/>
          <w:szCs w:val="22"/>
        </w:rPr>
        <w:t>He was, in that respect</w:t>
      </w:r>
      <w:r w:rsidR="00831174">
        <w:rPr>
          <w:color w:val="000000" w:themeColor="text1"/>
          <w:sz w:val="22"/>
          <w:szCs w:val="22"/>
        </w:rPr>
        <w:t>,</w:t>
      </w:r>
      <w:r>
        <w:rPr>
          <w:color w:val="000000" w:themeColor="text1"/>
          <w:sz w:val="22"/>
          <w:szCs w:val="22"/>
        </w:rPr>
        <w:t xml:space="preserve"> fairly typical of the men who were out of the government’s clutches as far as the convict system was concerned, but </w:t>
      </w:r>
      <w:r w:rsidR="005E3207">
        <w:rPr>
          <w:color w:val="000000" w:themeColor="text1"/>
          <w:sz w:val="22"/>
          <w:szCs w:val="22"/>
        </w:rPr>
        <w:t>who were also</w:t>
      </w:r>
      <w:r>
        <w:rPr>
          <w:color w:val="000000" w:themeColor="text1"/>
          <w:sz w:val="22"/>
          <w:szCs w:val="22"/>
        </w:rPr>
        <w:t xml:space="preserve"> periodically su</w:t>
      </w:r>
      <w:r w:rsidR="00163CF5">
        <w:rPr>
          <w:color w:val="000000" w:themeColor="text1"/>
          <w:sz w:val="22"/>
          <w:szCs w:val="22"/>
        </w:rPr>
        <w:t>bject to bouts of incarceration i</w:t>
      </w:r>
      <w:r w:rsidR="00120CAF">
        <w:rPr>
          <w:color w:val="000000" w:themeColor="text1"/>
          <w:sz w:val="22"/>
          <w:szCs w:val="22"/>
        </w:rPr>
        <w:t>n local prisons.</w:t>
      </w:r>
      <w:r w:rsidR="00831174">
        <w:rPr>
          <w:color w:val="000000" w:themeColor="text1"/>
          <w:sz w:val="22"/>
          <w:szCs w:val="22"/>
        </w:rPr>
        <w:t xml:space="preserve"> The period that Mark</w:t>
      </w:r>
      <w:r>
        <w:rPr>
          <w:color w:val="000000" w:themeColor="text1"/>
          <w:sz w:val="22"/>
          <w:szCs w:val="22"/>
        </w:rPr>
        <w:t xml:space="preserve"> would be in custody was lengthened significantly when he was convicted of </w:t>
      </w:r>
      <w:r w:rsidR="000A1825">
        <w:rPr>
          <w:color w:val="000000" w:themeColor="text1"/>
          <w:sz w:val="22"/>
          <w:szCs w:val="22"/>
        </w:rPr>
        <w:t xml:space="preserve">the </w:t>
      </w:r>
      <w:r w:rsidRPr="00FC4E99">
        <w:rPr>
          <w:color w:val="000000" w:themeColor="text1"/>
          <w:sz w:val="22"/>
          <w:szCs w:val="22"/>
        </w:rPr>
        <w:t xml:space="preserve">manslaughter </w:t>
      </w:r>
      <w:r w:rsidR="000A1825">
        <w:rPr>
          <w:color w:val="000000" w:themeColor="text1"/>
          <w:sz w:val="22"/>
          <w:szCs w:val="22"/>
        </w:rPr>
        <w:t xml:space="preserve">of a man who had insulted him in a public house </w:t>
      </w:r>
      <w:r w:rsidRPr="00FC4E99">
        <w:rPr>
          <w:color w:val="000000" w:themeColor="text1"/>
          <w:sz w:val="22"/>
          <w:szCs w:val="22"/>
        </w:rPr>
        <w:t xml:space="preserve">in </w:t>
      </w:r>
      <w:r w:rsidR="00C85450">
        <w:rPr>
          <w:color w:val="000000" w:themeColor="text1"/>
          <w:sz w:val="22"/>
          <w:szCs w:val="22"/>
        </w:rPr>
        <w:t>1871</w:t>
      </w:r>
      <w:r w:rsidR="00C85450" w:rsidRPr="000A1825">
        <w:rPr>
          <w:color w:val="000000" w:themeColor="text1"/>
          <w:sz w:val="22"/>
          <w:szCs w:val="22"/>
        </w:rPr>
        <w:t>.</w:t>
      </w:r>
      <w:r w:rsidRPr="00FC4E99">
        <w:rPr>
          <w:color w:val="000000" w:themeColor="text1"/>
          <w:sz w:val="22"/>
          <w:szCs w:val="22"/>
        </w:rPr>
        <w:t xml:space="preserve"> Sentenced to life imprisonment</w:t>
      </w:r>
      <w:r w:rsidR="00C85450">
        <w:rPr>
          <w:color w:val="000000" w:themeColor="text1"/>
          <w:sz w:val="22"/>
          <w:szCs w:val="22"/>
        </w:rPr>
        <w:t>, Mark</w:t>
      </w:r>
      <w:r w:rsidRPr="00FC4E99">
        <w:rPr>
          <w:color w:val="000000" w:themeColor="text1"/>
          <w:sz w:val="22"/>
          <w:szCs w:val="22"/>
        </w:rPr>
        <w:t xml:space="preserve"> r</w:t>
      </w:r>
      <w:r w:rsidR="009C64FA" w:rsidRPr="00FC4E99">
        <w:rPr>
          <w:color w:val="000000" w:themeColor="text1"/>
          <w:sz w:val="22"/>
          <w:szCs w:val="22"/>
        </w:rPr>
        <w:t>eturned to Port Arthur</w:t>
      </w:r>
      <w:r w:rsidRPr="00FC4E99">
        <w:rPr>
          <w:color w:val="000000" w:themeColor="text1"/>
          <w:sz w:val="22"/>
          <w:szCs w:val="22"/>
        </w:rPr>
        <w:t xml:space="preserve"> for a third time</w:t>
      </w:r>
      <w:r w:rsidR="009C64FA" w:rsidRPr="00FC4E99">
        <w:rPr>
          <w:color w:val="000000" w:themeColor="text1"/>
          <w:sz w:val="22"/>
          <w:szCs w:val="22"/>
        </w:rPr>
        <w:t>. </w:t>
      </w:r>
    </w:p>
    <w:p w14:paraId="35ED87C5" w14:textId="3D92B0F2" w:rsidR="00FC4E99" w:rsidRPr="009A3B5C" w:rsidRDefault="00163CF5" w:rsidP="00B101EC">
      <w:pPr>
        <w:spacing w:line="360" w:lineRule="auto"/>
        <w:jc w:val="both"/>
        <w:rPr>
          <w:color w:val="000000" w:themeColor="text1"/>
          <w:sz w:val="22"/>
          <w:szCs w:val="22"/>
        </w:rPr>
      </w:pPr>
      <w:r>
        <w:rPr>
          <w:color w:val="000000" w:themeColor="text1"/>
          <w:sz w:val="22"/>
          <w:szCs w:val="22"/>
        </w:rPr>
        <w:t>Known by the authorities to be</w:t>
      </w:r>
      <w:r w:rsidR="0063667A">
        <w:rPr>
          <w:color w:val="000000" w:themeColor="text1"/>
          <w:sz w:val="22"/>
          <w:szCs w:val="22"/>
        </w:rPr>
        <w:t xml:space="preserve"> a troubled and troublesome inmate, </w:t>
      </w:r>
      <w:r w:rsidR="009C64FA" w:rsidRPr="009A3B5C">
        <w:rPr>
          <w:color w:val="000000" w:themeColor="text1"/>
          <w:sz w:val="22"/>
          <w:szCs w:val="22"/>
        </w:rPr>
        <w:t>Mark was sent to work as th</w:t>
      </w:r>
      <w:r w:rsidR="009A3B5C" w:rsidRPr="009A3B5C">
        <w:rPr>
          <w:color w:val="000000" w:themeColor="text1"/>
          <w:sz w:val="22"/>
          <w:szCs w:val="22"/>
        </w:rPr>
        <w:t>e gravedigger on Port Arthur’s ‘Island of the Dead’</w:t>
      </w:r>
      <w:r w:rsidR="009C64FA" w:rsidRPr="009A3B5C">
        <w:rPr>
          <w:color w:val="000000" w:themeColor="text1"/>
          <w:sz w:val="22"/>
          <w:szCs w:val="22"/>
        </w:rPr>
        <w:t xml:space="preserve"> </w:t>
      </w:r>
      <w:r w:rsidR="00831174">
        <w:rPr>
          <w:color w:val="000000" w:themeColor="text1"/>
          <w:sz w:val="22"/>
          <w:szCs w:val="22"/>
        </w:rPr>
        <w:t>(</w:t>
      </w:r>
      <w:r w:rsidR="009C64FA" w:rsidRPr="009A3B5C">
        <w:rPr>
          <w:color w:val="000000" w:themeColor="text1"/>
          <w:sz w:val="22"/>
          <w:szCs w:val="22"/>
        </w:rPr>
        <w:t>where convict</w:t>
      </w:r>
      <w:r w:rsidR="009A3B5C" w:rsidRPr="009A3B5C">
        <w:rPr>
          <w:color w:val="000000" w:themeColor="text1"/>
          <w:sz w:val="22"/>
          <w:szCs w:val="22"/>
        </w:rPr>
        <w:t>s</w:t>
      </w:r>
      <w:r w:rsidR="009C64FA" w:rsidRPr="009A3B5C">
        <w:rPr>
          <w:color w:val="000000" w:themeColor="text1"/>
          <w:sz w:val="22"/>
          <w:szCs w:val="22"/>
        </w:rPr>
        <w:t xml:space="preserve"> were </w:t>
      </w:r>
      <w:r w:rsidR="009A3B5C" w:rsidRPr="009A3B5C">
        <w:rPr>
          <w:color w:val="000000" w:themeColor="text1"/>
          <w:sz w:val="22"/>
          <w:szCs w:val="22"/>
        </w:rPr>
        <w:t>interred</w:t>
      </w:r>
      <w:r w:rsidR="00831174">
        <w:rPr>
          <w:color w:val="000000" w:themeColor="text1"/>
          <w:sz w:val="22"/>
          <w:szCs w:val="22"/>
        </w:rPr>
        <w:t>)</w:t>
      </w:r>
      <w:r w:rsidR="009C64FA" w:rsidRPr="009A3B5C">
        <w:rPr>
          <w:color w:val="000000" w:themeColor="text1"/>
          <w:sz w:val="22"/>
          <w:szCs w:val="22"/>
        </w:rPr>
        <w:t xml:space="preserve">. </w:t>
      </w:r>
      <w:r w:rsidR="009A3B5C" w:rsidRPr="009A3B5C">
        <w:rPr>
          <w:color w:val="000000" w:themeColor="text1"/>
          <w:sz w:val="22"/>
          <w:szCs w:val="22"/>
        </w:rPr>
        <w:t>This arrangement seemed satisfactory to all concerned. Mar</w:t>
      </w:r>
      <w:r w:rsidR="006C3F6E">
        <w:rPr>
          <w:color w:val="000000" w:themeColor="text1"/>
          <w:sz w:val="22"/>
          <w:szCs w:val="22"/>
        </w:rPr>
        <w:t xml:space="preserve">k was supplied with provisions </w:t>
      </w:r>
      <w:r w:rsidR="009A3B5C" w:rsidRPr="009A3B5C">
        <w:rPr>
          <w:color w:val="000000" w:themeColor="text1"/>
          <w:sz w:val="22"/>
          <w:szCs w:val="22"/>
        </w:rPr>
        <w:t xml:space="preserve">and could bake his own bread – he was no longer plagued by hunger – but he began to suffer badly from </w:t>
      </w:r>
      <w:r w:rsidR="009C64FA" w:rsidRPr="009A3B5C">
        <w:rPr>
          <w:color w:val="000000" w:themeColor="text1"/>
          <w:sz w:val="22"/>
          <w:szCs w:val="22"/>
        </w:rPr>
        <w:t>nightmares</w:t>
      </w:r>
      <w:r w:rsidR="009A3B5C" w:rsidRPr="009A3B5C">
        <w:rPr>
          <w:color w:val="000000" w:themeColor="text1"/>
          <w:sz w:val="22"/>
          <w:szCs w:val="22"/>
        </w:rPr>
        <w:t xml:space="preserve"> and visions of </w:t>
      </w:r>
      <w:r w:rsidR="009A3B5C" w:rsidRPr="009A3B5C">
        <w:rPr>
          <w:color w:val="000000" w:themeColor="text1"/>
          <w:sz w:val="22"/>
          <w:szCs w:val="22"/>
        </w:rPr>
        <w:lastRenderedPageBreak/>
        <w:t xml:space="preserve">demons and devils. His physical and mental state deteriorated as he got older, and he was removed to </w:t>
      </w:r>
      <w:r w:rsidR="009C64FA" w:rsidRPr="009A3B5C">
        <w:rPr>
          <w:color w:val="000000" w:themeColor="text1"/>
          <w:sz w:val="22"/>
          <w:szCs w:val="22"/>
        </w:rPr>
        <w:t>Launceston Invalid Station</w:t>
      </w:r>
      <w:r w:rsidR="009A3B5C" w:rsidRPr="009A3B5C">
        <w:rPr>
          <w:color w:val="000000" w:themeColor="text1"/>
          <w:sz w:val="22"/>
          <w:szCs w:val="22"/>
        </w:rPr>
        <w:t xml:space="preserve"> in the north of </w:t>
      </w:r>
      <w:r w:rsidR="00063529">
        <w:rPr>
          <w:color w:val="000000" w:themeColor="text1"/>
          <w:sz w:val="22"/>
          <w:szCs w:val="22"/>
        </w:rPr>
        <w:t>VDL</w:t>
      </w:r>
      <w:r>
        <w:rPr>
          <w:color w:val="000000" w:themeColor="text1"/>
          <w:sz w:val="22"/>
          <w:szCs w:val="22"/>
        </w:rPr>
        <w:t xml:space="preserve"> where he stayed</w:t>
      </w:r>
      <w:r w:rsidR="006C3F6E">
        <w:rPr>
          <w:color w:val="000000" w:themeColor="text1"/>
          <w:sz w:val="22"/>
          <w:szCs w:val="22"/>
        </w:rPr>
        <w:t xml:space="preserve"> until he died</w:t>
      </w:r>
      <w:r>
        <w:rPr>
          <w:color w:val="000000" w:themeColor="text1"/>
          <w:sz w:val="22"/>
          <w:szCs w:val="22"/>
        </w:rPr>
        <w:t xml:space="preserve"> and was buried,</w:t>
      </w:r>
      <w:r w:rsidR="006C3F6E">
        <w:rPr>
          <w:color w:val="000000" w:themeColor="text1"/>
          <w:sz w:val="22"/>
          <w:szCs w:val="22"/>
        </w:rPr>
        <w:t xml:space="preserve"> aged sixty-eight</w:t>
      </w:r>
      <w:r>
        <w:rPr>
          <w:color w:val="000000" w:themeColor="text1"/>
          <w:sz w:val="22"/>
          <w:szCs w:val="22"/>
        </w:rPr>
        <w:t>,</w:t>
      </w:r>
      <w:r w:rsidR="006C3F6E">
        <w:rPr>
          <w:color w:val="000000" w:themeColor="text1"/>
          <w:sz w:val="22"/>
          <w:szCs w:val="22"/>
        </w:rPr>
        <w:t xml:space="preserve"> </w:t>
      </w:r>
      <w:r w:rsidR="009A3B5C" w:rsidRPr="009A3B5C">
        <w:rPr>
          <w:color w:val="000000" w:themeColor="text1"/>
          <w:sz w:val="22"/>
          <w:szCs w:val="22"/>
        </w:rPr>
        <w:t>in 1903</w:t>
      </w:r>
      <w:r w:rsidR="001D3B3C">
        <w:rPr>
          <w:color w:val="000000" w:themeColor="text1"/>
          <w:sz w:val="22"/>
          <w:szCs w:val="22"/>
        </w:rPr>
        <w:t>.</w:t>
      </w:r>
      <w:r w:rsidR="006C3F6E">
        <w:rPr>
          <w:color w:val="000000" w:themeColor="text1"/>
          <w:sz w:val="22"/>
          <w:szCs w:val="22"/>
        </w:rPr>
        <w:t xml:space="preserve"> T</w:t>
      </w:r>
      <w:r w:rsidR="009C64FA" w:rsidRPr="009A3B5C">
        <w:rPr>
          <w:color w:val="000000" w:themeColor="text1"/>
          <w:sz w:val="22"/>
          <w:szCs w:val="22"/>
        </w:rPr>
        <w:t xml:space="preserve">hankfully </w:t>
      </w:r>
      <w:r w:rsidR="006C3F6E">
        <w:rPr>
          <w:color w:val="000000" w:themeColor="text1"/>
          <w:sz w:val="22"/>
          <w:szCs w:val="22"/>
        </w:rPr>
        <w:t xml:space="preserve">Mark </w:t>
      </w:r>
      <w:r w:rsidR="009C64FA" w:rsidRPr="009A3B5C">
        <w:rPr>
          <w:color w:val="000000" w:themeColor="text1"/>
          <w:sz w:val="22"/>
          <w:szCs w:val="22"/>
        </w:rPr>
        <w:t xml:space="preserve">avoided being buried in the grave he had </w:t>
      </w:r>
      <w:r w:rsidR="006C3F6E">
        <w:rPr>
          <w:color w:val="000000" w:themeColor="text1"/>
          <w:sz w:val="22"/>
          <w:szCs w:val="22"/>
        </w:rPr>
        <w:t>dug</w:t>
      </w:r>
      <w:r w:rsidR="009C64FA" w:rsidRPr="009A3B5C">
        <w:rPr>
          <w:color w:val="000000" w:themeColor="text1"/>
          <w:sz w:val="22"/>
          <w:szCs w:val="22"/>
        </w:rPr>
        <w:t xml:space="preserve"> for himse</w:t>
      </w:r>
      <w:r w:rsidR="006C3F6E">
        <w:rPr>
          <w:color w:val="000000" w:themeColor="text1"/>
          <w:sz w:val="22"/>
          <w:szCs w:val="22"/>
        </w:rPr>
        <w:t>lf on the Island of the Dead (the grave</w:t>
      </w:r>
      <w:r w:rsidR="009C64FA" w:rsidRPr="009A3B5C">
        <w:rPr>
          <w:color w:val="000000" w:themeColor="text1"/>
          <w:sz w:val="22"/>
          <w:szCs w:val="22"/>
        </w:rPr>
        <w:t xml:space="preserve"> remained open and unf</w:t>
      </w:r>
      <w:r w:rsidR="009A3B5C" w:rsidRPr="009A3B5C">
        <w:rPr>
          <w:color w:val="000000" w:themeColor="text1"/>
          <w:sz w:val="22"/>
          <w:szCs w:val="22"/>
        </w:rPr>
        <w:t>illed for years after his death</w:t>
      </w:r>
      <w:r w:rsidR="006C3F6E">
        <w:rPr>
          <w:color w:val="000000" w:themeColor="text1"/>
          <w:sz w:val="22"/>
          <w:szCs w:val="22"/>
        </w:rPr>
        <w:t>).</w:t>
      </w:r>
      <w:r w:rsidR="009A3B5C" w:rsidRPr="009A3B5C">
        <w:rPr>
          <w:color w:val="000000" w:themeColor="text1"/>
          <w:sz w:val="22"/>
          <w:szCs w:val="22"/>
        </w:rPr>
        <w:t xml:space="preserve"> </w:t>
      </w:r>
    </w:p>
    <w:p w14:paraId="42AF61E6" w14:textId="18AEAE17" w:rsidR="00DB2A4C" w:rsidRDefault="00163CF5" w:rsidP="005F65F0">
      <w:pPr>
        <w:spacing w:line="360" w:lineRule="auto"/>
        <w:jc w:val="both"/>
        <w:rPr>
          <w:color w:val="000000" w:themeColor="text1"/>
          <w:sz w:val="22"/>
          <w:szCs w:val="22"/>
        </w:rPr>
      </w:pPr>
      <w:r>
        <w:rPr>
          <w:color w:val="000000" w:themeColor="text1"/>
          <w:sz w:val="22"/>
          <w:szCs w:val="22"/>
        </w:rPr>
        <w:t>Whilst Mark had been living in VDL, his</w:t>
      </w:r>
      <w:r w:rsidR="00FC4E99">
        <w:rPr>
          <w:color w:val="000000" w:themeColor="text1"/>
          <w:sz w:val="22"/>
          <w:szCs w:val="22"/>
        </w:rPr>
        <w:t xml:space="preserve"> brother Luke, meanwhile had been living three-</w:t>
      </w:r>
      <w:r w:rsidR="00831174">
        <w:rPr>
          <w:color w:val="000000" w:themeColor="text1"/>
          <w:sz w:val="22"/>
          <w:szCs w:val="22"/>
        </w:rPr>
        <w:t>thousand-</w:t>
      </w:r>
      <w:r w:rsidR="00FC4E99">
        <w:rPr>
          <w:color w:val="000000" w:themeColor="text1"/>
          <w:sz w:val="22"/>
          <w:szCs w:val="22"/>
        </w:rPr>
        <w:t>miles away in Western Australia.</w:t>
      </w:r>
      <w:r w:rsidR="00D479F8">
        <w:rPr>
          <w:color w:val="000000" w:themeColor="text1"/>
          <w:sz w:val="22"/>
          <w:szCs w:val="22"/>
        </w:rPr>
        <w:t xml:space="preserve"> </w:t>
      </w:r>
      <w:r w:rsidR="004464FC">
        <w:rPr>
          <w:color w:val="000000" w:themeColor="text1"/>
          <w:sz w:val="22"/>
          <w:szCs w:val="22"/>
        </w:rPr>
        <w:t>H</w:t>
      </w:r>
      <w:r w:rsidR="00D479F8">
        <w:rPr>
          <w:color w:val="000000" w:themeColor="text1"/>
          <w:sz w:val="22"/>
          <w:szCs w:val="22"/>
        </w:rPr>
        <w:t xml:space="preserve">e had been transported on the </w:t>
      </w:r>
      <w:proofErr w:type="spellStart"/>
      <w:r w:rsidR="00D479F8" w:rsidRPr="00D479F8">
        <w:rPr>
          <w:i/>
          <w:color w:val="000000" w:themeColor="text1"/>
          <w:sz w:val="22"/>
          <w:szCs w:val="22"/>
        </w:rPr>
        <w:t>Scindian</w:t>
      </w:r>
      <w:proofErr w:type="spellEnd"/>
      <w:r w:rsidR="00D479F8">
        <w:rPr>
          <w:color w:val="000000" w:themeColor="text1"/>
          <w:sz w:val="22"/>
          <w:szCs w:val="22"/>
        </w:rPr>
        <w:t>, the first transport ship to arrive in Fremantle. Luke received his ticket-of-leave in 1851, and only received one conviction (for drunkenness in 1852) until he received his Certificate of Freedom in 1861. Working as a sawyer, the criminal courts next saw Luke acting as a witness in a murder case</w:t>
      </w:r>
      <w:r w:rsidR="00AE33C6">
        <w:rPr>
          <w:color w:val="000000" w:themeColor="text1"/>
          <w:sz w:val="22"/>
          <w:szCs w:val="22"/>
        </w:rPr>
        <w:t xml:space="preserve"> (</w:t>
      </w:r>
      <w:r w:rsidR="00AE33C6" w:rsidRPr="00AA76CA">
        <w:rPr>
          <w:i/>
          <w:color w:val="000000" w:themeColor="text1"/>
          <w:sz w:val="22"/>
          <w:szCs w:val="22"/>
        </w:rPr>
        <w:t>Western Australian</w:t>
      </w:r>
      <w:r w:rsidR="00AE33C6">
        <w:rPr>
          <w:color w:val="000000" w:themeColor="text1"/>
          <w:sz w:val="22"/>
          <w:szCs w:val="22"/>
        </w:rPr>
        <w:t xml:space="preserve"> April 1877)</w:t>
      </w:r>
      <w:r w:rsidR="00D479F8">
        <w:rPr>
          <w:color w:val="000000" w:themeColor="text1"/>
          <w:sz w:val="22"/>
          <w:szCs w:val="22"/>
        </w:rPr>
        <w:t>. He had challenged a man</w:t>
      </w:r>
      <w:r w:rsidR="009D0D5F">
        <w:rPr>
          <w:color w:val="000000" w:themeColor="text1"/>
          <w:sz w:val="22"/>
          <w:szCs w:val="22"/>
        </w:rPr>
        <w:t xml:space="preserve"> he suspected of </w:t>
      </w:r>
      <w:r>
        <w:rPr>
          <w:color w:val="000000" w:themeColor="text1"/>
          <w:sz w:val="22"/>
          <w:szCs w:val="22"/>
        </w:rPr>
        <w:t>murdering</w:t>
      </w:r>
      <w:r w:rsidR="009D0D5F">
        <w:rPr>
          <w:color w:val="000000" w:themeColor="text1"/>
          <w:sz w:val="22"/>
          <w:szCs w:val="22"/>
        </w:rPr>
        <w:t xml:space="preserve"> his </w:t>
      </w:r>
      <w:r>
        <w:rPr>
          <w:color w:val="000000" w:themeColor="text1"/>
          <w:sz w:val="22"/>
          <w:szCs w:val="22"/>
        </w:rPr>
        <w:t xml:space="preserve">own </w:t>
      </w:r>
      <w:r w:rsidR="009D0D5F">
        <w:rPr>
          <w:color w:val="000000" w:themeColor="text1"/>
          <w:sz w:val="22"/>
          <w:szCs w:val="22"/>
        </w:rPr>
        <w:t>wife,</w:t>
      </w:r>
      <w:r w:rsidR="00D479F8">
        <w:rPr>
          <w:color w:val="000000" w:themeColor="text1"/>
          <w:sz w:val="22"/>
          <w:szCs w:val="22"/>
        </w:rPr>
        <w:t xml:space="preserve"> </w:t>
      </w:r>
      <w:r>
        <w:rPr>
          <w:color w:val="000000" w:themeColor="text1"/>
          <w:sz w:val="22"/>
          <w:szCs w:val="22"/>
        </w:rPr>
        <w:t xml:space="preserve">and </w:t>
      </w:r>
      <w:r w:rsidR="00D479F8">
        <w:rPr>
          <w:color w:val="000000" w:themeColor="text1"/>
          <w:sz w:val="22"/>
          <w:szCs w:val="22"/>
        </w:rPr>
        <w:t xml:space="preserve">who then attacked </w:t>
      </w:r>
      <w:r w:rsidR="009D0D5F">
        <w:rPr>
          <w:color w:val="000000" w:themeColor="text1"/>
          <w:sz w:val="22"/>
          <w:szCs w:val="22"/>
        </w:rPr>
        <w:t xml:space="preserve">Luke </w:t>
      </w:r>
      <w:r w:rsidR="00D479F8">
        <w:rPr>
          <w:color w:val="000000" w:themeColor="text1"/>
          <w:sz w:val="22"/>
          <w:szCs w:val="22"/>
        </w:rPr>
        <w:t xml:space="preserve">with a stick. Possibly sharing his brother’s pugilistic skills, Luke downed the man with a single punch. </w:t>
      </w:r>
      <w:r w:rsidR="00AA76CA">
        <w:rPr>
          <w:color w:val="000000" w:themeColor="text1"/>
          <w:sz w:val="22"/>
          <w:szCs w:val="22"/>
        </w:rPr>
        <w:t>It was his turn to be downed a few years later, when an accident with his horse left him with head injuries (</w:t>
      </w:r>
      <w:r w:rsidR="00AA76CA" w:rsidRPr="00AA76CA">
        <w:rPr>
          <w:i/>
          <w:color w:val="000000" w:themeColor="text1"/>
          <w:sz w:val="22"/>
          <w:szCs w:val="22"/>
        </w:rPr>
        <w:t>Western Australian</w:t>
      </w:r>
      <w:r w:rsidR="00AA76CA">
        <w:rPr>
          <w:color w:val="000000" w:themeColor="text1"/>
          <w:sz w:val="22"/>
          <w:szCs w:val="22"/>
        </w:rPr>
        <w:t xml:space="preserve"> November 1882). Whether his injuries caused long-term damage </w:t>
      </w:r>
      <w:r>
        <w:rPr>
          <w:color w:val="000000" w:themeColor="text1"/>
          <w:sz w:val="22"/>
          <w:szCs w:val="22"/>
        </w:rPr>
        <w:t xml:space="preserve">or whether he was suffering from the same kinds of mental-illness that inflicted his brother in later life </w:t>
      </w:r>
      <w:r w:rsidR="00AA76CA">
        <w:rPr>
          <w:color w:val="000000" w:themeColor="text1"/>
          <w:sz w:val="22"/>
          <w:szCs w:val="22"/>
        </w:rPr>
        <w:t xml:space="preserve">is unknown, but five months later, in April 1883, Luke put a gun in his mouth and pulled the trigger. </w:t>
      </w:r>
      <w:r w:rsidR="008F05E5">
        <w:rPr>
          <w:color w:val="000000" w:themeColor="text1"/>
          <w:sz w:val="22"/>
          <w:szCs w:val="22"/>
        </w:rPr>
        <w:t>The woman he had lived with for ten years as his</w:t>
      </w:r>
      <w:r w:rsidR="00AA76CA">
        <w:rPr>
          <w:color w:val="000000" w:themeColor="text1"/>
          <w:sz w:val="22"/>
          <w:szCs w:val="22"/>
        </w:rPr>
        <w:t xml:space="preserve"> </w:t>
      </w:r>
      <w:r w:rsidR="008F05E5">
        <w:rPr>
          <w:color w:val="000000" w:themeColor="text1"/>
          <w:sz w:val="22"/>
          <w:szCs w:val="22"/>
        </w:rPr>
        <w:t>‘</w:t>
      </w:r>
      <w:r w:rsidR="00AA76CA">
        <w:rPr>
          <w:color w:val="000000" w:themeColor="text1"/>
          <w:sz w:val="22"/>
          <w:szCs w:val="22"/>
        </w:rPr>
        <w:t>wife</w:t>
      </w:r>
      <w:r w:rsidR="008F05E5">
        <w:rPr>
          <w:color w:val="000000" w:themeColor="text1"/>
          <w:sz w:val="22"/>
          <w:szCs w:val="22"/>
        </w:rPr>
        <w:t>’</w:t>
      </w:r>
      <w:r w:rsidR="00AA76CA">
        <w:rPr>
          <w:color w:val="000000" w:themeColor="text1"/>
          <w:sz w:val="22"/>
          <w:szCs w:val="22"/>
        </w:rPr>
        <w:t xml:space="preserve"> stated that he had been drinking more than u</w:t>
      </w:r>
      <w:r w:rsidR="00634869">
        <w:rPr>
          <w:color w:val="000000" w:themeColor="text1"/>
          <w:sz w:val="22"/>
          <w:szCs w:val="22"/>
        </w:rPr>
        <w:t>sual in the previous few months</w:t>
      </w:r>
      <w:r w:rsidR="00AA76CA">
        <w:rPr>
          <w:color w:val="000000" w:themeColor="text1"/>
          <w:sz w:val="22"/>
          <w:szCs w:val="22"/>
        </w:rPr>
        <w:t xml:space="preserve"> and seemed downhearted at times</w:t>
      </w:r>
      <w:r w:rsidR="005F65F0">
        <w:rPr>
          <w:color w:val="000000" w:themeColor="text1"/>
          <w:sz w:val="22"/>
          <w:szCs w:val="22"/>
        </w:rPr>
        <w:t xml:space="preserve"> </w:t>
      </w:r>
      <w:r w:rsidR="00634869" w:rsidRPr="00634869">
        <w:rPr>
          <w:color w:val="000000" w:themeColor="text1"/>
          <w:sz w:val="22"/>
          <w:szCs w:val="22"/>
        </w:rPr>
        <w:t>(</w:t>
      </w:r>
      <w:r w:rsidR="00634869" w:rsidRPr="00634869">
        <w:rPr>
          <w:i/>
          <w:color w:val="000000" w:themeColor="text1"/>
          <w:sz w:val="22"/>
          <w:szCs w:val="22"/>
        </w:rPr>
        <w:t>Western Australian</w:t>
      </w:r>
      <w:r w:rsidR="00634869" w:rsidRPr="00634869">
        <w:rPr>
          <w:color w:val="000000" w:themeColor="text1"/>
          <w:sz w:val="22"/>
          <w:szCs w:val="22"/>
        </w:rPr>
        <w:t xml:space="preserve"> 28th March</w:t>
      </w:r>
      <w:r w:rsidR="00AA76CA" w:rsidRPr="00634869">
        <w:rPr>
          <w:color w:val="000000" w:themeColor="text1"/>
          <w:sz w:val="22"/>
          <w:szCs w:val="22"/>
        </w:rPr>
        <w:t xml:space="preserve"> 1883</w:t>
      </w:r>
      <w:r w:rsidR="00634869" w:rsidRPr="00634869">
        <w:rPr>
          <w:color w:val="000000" w:themeColor="text1"/>
          <w:sz w:val="22"/>
          <w:szCs w:val="22"/>
        </w:rPr>
        <w:t>)</w:t>
      </w:r>
      <w:r w:rsidR="00AA76CA" w:rsidRPr="00634869">
        <w:rPr>
          <w:color w:val="000000" w:themeColor="text1"/>
          <w:sz w:val="22"/>
          <w:szCs w:val="22"/>
        </w:rPr>
        <w:t>.</w:t>
      </w:r>
      <w:r w:rsidR="00DB2A4C">
        <w:rPr>
          <w:color w:val="000000" w:themeColor="text1"/>
          <w:sz w:val="22"/>
          <w:szCs w:val="22"/>
        </w:rPr>
        <w:t xml:space="preserve"> </w:t>
      </w:r>
    </w:p>
    <w:p w14:paraId="423F0844" w14:textId="51E7BFA1" w:rsidR="00543937" w:rsidRPr="00634869" w:rsidRDefault="00543937" w:rsidP="00B101EC">
      <w:pPr>
        <w:spacing w:line="360" w:lineRule="auto"/>
        <w:rPr>
          <w:color w:val="000000" w:themeColor="text1"/>
          <w:sz w:val="22"/>
          <w:szCs w:val="22"/>
        </w:rPr>
      </w:pPr>
      <w:r w:rsidRPr="00B341FC">
        <w:rPr>
          <w:color w:val="000000" w:themeColor="text1"/>
          <w:sz w:val="22"/>
          <w:szCs w:val="22"/>
        </w:rPr>
        <w:t xml:space="preserve">If Mark had been well enough </w:t>
      </w:r>
      <w:r w:rsidR="00163CF5" w:rsidRPr="00B341FC">
        <w:rPr>
          <w:color w:val="000000" w:themeColor="text1"/>
          <w:sz w:val="22"/>
          <w:szCs w:val="22"/>
        </w:rPr>
        <w:t xml:space="preserve">at the time </w:t>
      </w:r>
      <w:r w:rsidRPr="00B341FC">
        <w:rPr>
          <w:color w:val="000000" w:themeColor="text1"/>
          <w:sz w:val="22"/>
          <w:szCs w:val="22"/>
        </w:rPr>
        <w:t xml:space="preserve">the brothers </w:t>
      </w:r>
      <w:r w:rsidR="009D0D5F" w:rsidRPr="00B341FC">
        <w:rPr>
          <w:color w:val="000000" w:themeColor="text1"/>
          <w:sz w:val="22"/>
          <w:szCs w:val="22"/>
        </w:rPr>
        <w:t>might</w:t>
      </w:r>
      <w:r w:rsidRPr="00B341FC">
        <w:rPr>
          <w:color w:val="000000" w:themeColor="text1"/>
          <w:sz w:val="22"/>
          <w:szCs w:val="22"/>
        </w:rPr>
        <w:t xml:space="preserve"> have both been transported to </w:t>
      </w:r>
      <w:r w:rsidR="009D0D5F" w:rsidRPr="00B341FC">
        <w:rPr>
          <w:color w:val="000000" w:themeColor="text1"/>
          <w:sz w:val="22"/>
          <w:szCs w:val="22"/>
        </w:rPr>
        <w:t>Australia. T</w:t>
      </w:r>
      <w:r w:rsidRPr="00B341FC">
        <w:rPr>
          <w:color w:val="000000" w:themeColor="text1"/>
          <w:sz w:val="22"/>
          <w:szCs w:val="22"/>
        </w:rPr>
        <w:t xml:space="preserve">hey may still have got into trouble </w:t>
      </w:r>
      <w:r w:rsidR="009D0D5F" w:rsidRPr="00B341FC">
        <w:rPr>
          <w:color w:val="000000" w:themeColor="text1"/>
          <w:sz w:val="22"/>
          <w:szCs w:val="22"/>
        </w:rPr>
        <w:t>(with Mark having</w:t>
      </w:r>
      <w:r w:rsidRPr="00B341FC">
        <w:rPr>
          <w:color w:val="000000" w:themeColor="text1"/>
          <w:sz w:val="22"/>
          <w:szCs w:val="22"/>
        </w:rPr>
        <w:t xml:space="preserve"> far more </w:t>
      </w:r>
      <w:r w:rsidR="009D0D5F" w:rsidRPr="00B341FC">
        <w:rPr>
          <w:color w:val="000000" w:themeColor="text1"/>
          <w:sz w:val="22"/>
          <w:szCs w:val="22"/>
        </w:rPr>
        <w:t xml:space="preserve">re-convictions </w:t>
      </w:r>
      <w:r w:rsidR="00114F71" w:rsidRPr="00B341FC">
        <w:rPr>
          <w:color w:val="000000" w:themeColor="text1"/>
          <w:sz w:val="22"/>
          <w:szCs w:val="22"/>
        </w:rPr>
        <w:t>than Luke),</w:t>
      </w:r>
      <w:r w:rsidR="00114F71">
        <w:rPr>
          <w:color w:val="000000" w:themeColor="text1"/>
          <w:sz w:val="22"/>
          <w:szCs w:val="22"/>
        </w:rPr>
        <w:t xml:space="preserve"> or they may have offered each other support and help to make successful new lives in Australia. </w:t>
      </w:r>
      <w:r w:rsidR="00163CF5">
        <w:rPr>
          <w:color w:val="000000" w:themeColor="text1"/>
          <w:sz w:val="22"/>
          <w:szCs w:val="22"/>
        </w:rPr>
        <w:t>Both men</w:t>
      </w:r>
      <w:r w:rsidR="00114F71">
        <w:rPr>
          <w:color w:val="000000" w:themeColor="text1"/>
          <w:sz w:val="22"/>
          <w:szCs w:val="22"/>
        </w:rPr>
        <w:t>, of course, could have been retained by their motherlan</w:t>
      </w:r>
      <w:r w:rsidR="00882C8D">
        <w:rPr>
          <w:color w:val="000000" w:themeColor="text1"/>
          <w:sz w:val="22"/>
          <w:szCs w:val="22"/>
        </w:rPr>
        <w:t>d</w:t>
      </w:r>
      <w:r w:rsidR="00114F71">
        <w:rPr>
          <w:color w:val="000000" w:themeColor="text1"/>
          <w:sz w:val="22"/>
          <w:szCs w:val="22"/>
        </w:rPr>
        <w:t>.</w:t>
      </w:r>
      <w:r w:rsidR="00882C8D">
        <w:rPr>
          <w:color w:val="000000" w:themeColor="text1"/>
          <w:sz w:val="22"/>
          <w:szCs w:val="22"/>
        </w:rPr>
        <w:t xml:space="preserve"> If they had both been imprisoned in a Brit</w:t>
      </w:r>
      <w:r w:rsidR="00163CF5">
        <w:rPr>
          <w:color w:val="000000" w:themeColor="text1"/>
          <w:sz w:val="22"/>
          <w:szCs w:val="22"/>
        </w:rPr>
        <w:t xml:space="preserve">ish convict prison, they would </w:t>
      </w:r>
      <w:r w:rsidR="000B042D">
        <w:rPr>
          <w:color w:val="000000" w:themeColor="text1"/>
          <w:sz w:val="22"/>
          <w:szCs w:val="22"/>
        </w:rPr>
        <w:t xml:space="preserve">(as </w:t>
      </w:r>
      <w:r w:rsidR="00882C8D">
        <w:rPr>
          <w:color w:val="000000" w:themeColor="text1"/>
          <w:sz w:val="22"/>
          <w:szCs w:val="22"/>
        </w:rPr>
        <w:t>we have seen</w:t>
      </w:r>
      <w:r w:rsidR="00163CF5">
        <w:rPr>
          <w:color w:val="000000" w:themeColor="text1"/>
          <w:sz w:val="22"/>
          <w:szCs w:val="22"/>
        </w:rPr>
        <w:t xml:space="preserve">) </w:t>
      </w:r>
      <w:r w:rsidR="00882C8D">
        <w:rPr>
          <w:color w:val="000000" w:themeColor="text1"/>
          <w:sz w:val="22"/>
          <w:szCs w:val="22"/>
        </w:rPr>
        <w:t>still be likely to re-offend on release.</w:t>
      </w:r>
    </w:p>
    <w:p w14:paraId="64A2EA1C" w14:textId="77777777" w:rsidR="00AC6E93" w:rsidRDefault="00AC6E93" w:rsidP="00B101EC">
      <w:pPr>
        <w:spacing w:line="360" w:lineRule="auto"/>
        <w:rPr>
          <w:color w:val="000000" w:themeColor="text1"/>
          <w:sz w:val="22"/>
          <w:szCs w:val="22"/>
        </w:rPr>
      </w:pPr>
    </w:p>
    <w:p w14:paraId="5DCAD8F0" w14:textId="7BF82E51" w:rsidR="00843907" w:rsidRDefault="00843907" w:rsidP="00B101EC">
      <w:pPr>
        <w:spacing w:line="360" w:lineRule="auto"/>
        <w:rPr>
          <w:b/>
          <w:color w:val="000000" w:themeColor="text1"/>
          <w:sz w:val="22"/>
          <w:szCs w:val="22"/>
        </w:rPr>
      </w:pPr>
      <w:r>
        <w:rPr>
          <w:b/>
          <w:color w:val="000000" w:themeColor="text1"/>
          <w:sz w:val="22"/>
          <w:szCs w:val="22"/>
        </w:rPr>
        <w:t xml:space="preserve">Which system </w:t>
      </w:r>
      <w:r w:rsidR="006E380A">
        <w:rPr>
          <w:b/>
          <w:color w:val="000000" w:themeColor="text1"/>
          <w:sz w:val="22"/>
          <w:szCs w:val="22"/>
        </w:rPr>
        <w:t>‘</w:t>
      </w:r>
      <w:r>
        <w:rPr>
          <w:b/>
          <w:color w:val="000000" w:themeColor="text1"/>
          <w:sz w:val="22"/>
          <w:szCs w:val="22"/>
        </w:rPr>
        <w:t>won</w:t>
      </w:r>
      <w:r w:rsidR="006E380A">
        <w:rPr>
          <w:b/>
          <w:color w:val="000000" w:themeColor="text1"/>
          <w:sz w:val="22"/>
          <w:szCs w:val="22"/>
        </w:rPr>
        <w:t>’</w:t>
      </w:r>
      <w:r>
        <w:rPr>
          <w:b/>
          <w:color w:val="000000" w:themeColor="text1"/>
          <w:sz w:val="22"/>
          <w:szCs w:val="22"/>
        </w:rPr>
        <w:t>?</w:t>
      </w:r>
    </w:p>
    <w:p w14:paraId="7B15C7F1" w14:textId="77777777" w:rsidR="00327547" w:rsidRPr="00D81FBB" w:rsidRDefault="00327547" w:rsidP="00B101EC">
      <w:pPr>
        <w:spacing w:line="360" w:lineRule="auto"/>
        <w:rPr>
          <w:b/>
          <w:color w:val="000000" w:themeColor="text1"/>
          <w:sz w:val="22"/>
          <w:szCs w:val="22"/>
        </w:rPr>
      </w:pPr>
    </w:p>
    <w:p w14:paraId="4C5F97CF" w14:textId="41C5B26F" w:rsidR="00A27E75" w:rsidRDefault="00DF40F2" w:rsidP="00B101EC">
      <w:pPr>
        <w:spacing w:line="360" w:lineRule="auto"/>
        <w:jc w:val="both"/>
        <w:rPr>
          <w:color w:val="1F4E79" w:themeColor="accent1" w:themeShade="80"/>
          <w:sz w:val="22"/>
          <w:szCs w:val="22"/>
        </w:rPr>
      </w:pPr>
      <w:r w:rsidRPr="00183E9D">
        <w:rPr>
          <w:color w:val="000000" w:themeColor="text1"/>
          <w:sz w:val="22"/>
          <w:szCs w:val="22"/>
        </w:rPr>
        <w:t xml:space="preserve">Contemporary and modern conceptions of the aims and successes of punishment may differ, although the desire to inhibit reoffending was the main concern of penal theorists and remains so today. Researchers working on processes of persistence and desistence identify education, relationship-formation, gaining employment, and the support of family and peers in turning released prisoners away from crime </w:t>
      </w:r>
      <w:r w:rsidRPr="00DF5A00">
        <w:rPr>
          <w:color w:val="000000" w:themeColor="text1"/>
          <w:sz w:val="22"/>
          <w:szCs w:val="22"/>
        </w:rPr>
        <w:t>(</w:t>
      </w:r>
      <w:proofErr w:type="spellStart"/>
      <w:r w:rsidR="008B56A5" w:rsidRPr="00DF5A00">
        <w:rPr>
          <w:color w:val="000000" w:themeColor="text1"/>
          <w:sz w:val="22"/>
          <w:szCs w:val="22"/>
        </w:rPr>
        <w:t>Farrall</w:t>
      </w:r>
      <w:proofErr w:type="spellEnd"/>
      <w:r w:rsidR="008B56A5" w:rsidRPr="00DF5A00">
        <w:rPr>
          <w:color w:val="000000" w:themeColor="text1"/>
          <w:sz w:val="22"/>
          <w:szCs w:val="22"/>
        </w:rPr>
        <w:t xml:space="preserve"> 2002; </w:t>
      </w:r>
      <w:proofErr w:type="spellStart"/>
      <w:r w:rsidR="006D017D" w:rsidRPr="00DF5A00">
        <w:rPr>
          <w:color w:val="000000" w:themeColor="text1"/>
          <w:sz w:val="22"/>
          <w:szCs w:val="22"/>
          <w:lang w:val="en-US"/>
        </w:rPr>
        <w:t>Laub</w:t>
      </w:r>
      <w:proofErr w:type="spellEnd"/>
      <w:r w:rsidR="006D017D" w:rsidRPr="00DF5A00">
        <w:rPr>
          <w:color w:val="000000" w:themeColor="text1"/>
          <w:sz w:val="22"/>
          <w:szCs w:val="22"/>
          <w:lang w:val="en-US"/>
        </w:rPr>
        <w:t xml:space="preserve"> </w:t>
      </w:r>
      <w:r w:rsidR="008B56A5" w:rsidRPr="00DF5A00">
        <w:rPr>
          <w:color w:val="000000" w:themeColor="text1"/>
          <w:sz w:val="22"/>
          <w:szCs w:val="22"/>
          <w:lang w:val="en-US"/>
        </w:rPr>
        <w:t xml:space="preserve">and Sampson </w:t>
      </w:r>
      <w:r w:rsidR="006D017D" w:rsidRPr="00DF5A00">
        <w:rPr>
          <w:color w:val="000000" w:themeColor="text1"/>
          <w:sz w:val="22"/>
          <w:szCs w:val="22"/>
          <w:lang w:val="en-US"/>
        </w:rPr>
        <w:t>2006</w:t>
      </w:r>
      <w:r w:rsidRPr="00DF5A00">
        <w:rPr>
          <w:color w:val="000000" w:themeColor="text1"/>
          <w:sz w:val="22"/>
          <w:szCs w:val="22"/>
        </w:rPr>
        <w:t>).</w:t>
      </w:r>
      <w:r w:rsidRPr="00183E9D">
        <w:rPr>
          <w:color w:val="000000" w:themeColor="text1"/>
          <w:sz w:val="22"/>
          <w:szCs w:val="22"/>
        </w:rPr>
        <w:t xml:space="preserve"> Historical data tends, in the main, to support modern theories (</w:t>
      </w:r>
      <w:r w:rsidR="00211AA8">
        <w:rPr>
          <w:color w:val="000000" w:themeColor="text1"/>
          <w:sz w:val="22"/>
          <w:szCs w:val="22"/>
        </w:rPr>
        <w:t xml:space="preserve">Cox </w:t>
      </w:r>
      <w:r w:rsidR="00211AA8" w:rsidRPr="00211AA8">
        <w:rPr>
          <w:i/>
          <w:color w:val="000000" w:themeColor="text1"/>
          <w:sz w:val="22"/>
          <w:szCs w:val="22"/>
        </w:rPr>
        <w:t>et al</w:t>
      </w:r>
      <w:r w:rsidR="00211AA8">
        <w:rPr>
          <w:color w:val="000000" w:themeColor="text1"/>
          <w:sz w:val="22"/>
          <w:szCs w:val="22"/>
        </w:rPr>
        <w:t xml:space="preserve"> 2014; </w:t>
      </w:r>
      <w:r w:rsidR="00843907">
        <w:rPr>
          <w:color w:val="000000" w:themeColor="text1"/>
          <w:sz w:val="22"/>
          <w:szCs w:val="22"/>
        </w:rPr>
        <w:t xml:space="preserve">Godfrey </w:t>
      </w:r>
      <w:r w:rsidR="00843907" w:rsidRPr="00843907">
        <w:rPr>
          <w:i/>
          <w:color w:val="000000" w:themeColor="text1"/>
          <w:sz w:val="22"/>
          <w:szCs w:val="22"/>
        </w:rPr>
        <w:t>et al</w:t>
      </w:r>
      <w:r w:rsidR="00843907">
        <w:rPr>
          <w:color w:val="000000" w:themeColor="text1"/>
          <w:sz w:val="22"/>
          <w:szCs w:val="22"/>
        </w:rPr>
        <w:t xml:space="preserve"> 2007, 2010, 2017; Rogers 2015)</w:t>
      </w:r>
      <w:r w:rsidRPr="00183E9D">
        <w:rPr>
          <w:color w:val="000000" w:themeColor="text1"/>
          <w:sz w:val="22"/>
          <w:szCs w:val="22"/>
        </w:rPr>
        <w:t>.</w:t>
      </w:r>
      <w:r w:rsidR="004E6204">
        <w:rPr>
          <w:color w:val="000000" w:themeColor="text1"/>
          <w:sz w:val="22"/>
          <w:szCs w:val="22"/>
        </w:rPr>
        <w:t xml:space="preserve"> Australian historians</w:t>
      </w:r>
      <w:r w:rsidRPr="00183E9D">
        <w:rPr>
          <w:color w:val="000000" w:themeColor="text1"/>
          <w:sz w:val="22"/>
          <w:szCs w:val="22"/>
        </w:rPr>
        <w:t xml:space="preserve"> have shown that it is possible to analyse Australian convict records to show how similar processes of reformation took place in </w:t>
      </w:r>
      <w:r w:rsidR="00063529">
        <w:rPr>
          <w:color w:val="000000" w:themeColor="text1"/>
          <w:sz w:val="22"/>
          <w:szCs w:val="22"/>
        </w:rPr>
        <w:t>VDL</w:t>
      </w:r>
      <w:r w:rsidRPr="00183E9D">
        <w:rPr>
          <w:color w:val="000000" w:themeColor="text1"/>
          <w:sz w:val="22"/>
          <w:szCs w:val="22"/>
        </w:rPr>
        <w:t xml:space="preserve">. </w:t>
      </w:r>
      <w:r w:rsidR="00243627" w:rsidRPr="00DF15B5">
        <w:rPr>
          <w:color w:val="000000" w:themeColor="text1"/>
          <w:sz w:val="22"/>
          <w:szCs w:val="22"/>
        </w:rPr>
        <w:t xml:space="preserve">(Frost and Maxwell-Stewart 2001; Maxwell-Stewart and Hood 2001; </w:t>
      </w:r>
      <w:proofErr w:type="spellStart"/>
      <w:r w:rsidR="00243627" w:rsidRPr="00DF15B5">
        <w:rPr>
          <w:color w:val="000000" w:themeColor="text1"/>
          <w:sz w:val="22"/>
          <w:szCs w:val="22"/>
        </w:rPr>
        <w:t>Hasluck</w:t>
      </w:r>
      <w:proofErr w:type="spellEnd"/>
      <w:r w:rsidR="00243627" w:rsidRPr="00DF15B5">
        <w:rPr>
          <w:color w:val="000000" w:themeColor="text1"/>
          <w:sz w:val="22"/>
          <w:szCs w:val="22"/>
        </w:rPr>
        <w:t xml:space="preserve"> 1959; Dunstan 2000; Hyland 2003, Erickson 1983).</w:t>
      </w:r>
      <w:r w:rsidR="00886F09" w:rsidRPr="00DF15B5">
        <w:rPr>
          <w:color w:val="000000" w:themeColor="text1"/>
          <w:sz w:val="22"/>
          <w:szCs w:val="22"/>
        </w:rPr>
        <w:t xml:space="preserve"> </w:t>
      </w:r>
      <w:r w:rsidR="00886F09" w:rsidRPr="00886F09">
        <w:rPr>
          <w:color w:val="000000" w:themeColor="text1"/>
          <w:sz w:val="22"/>
          <w:szCs w:val="22"/>
        </w:rPr>
        <w:t xml:space="preserve">However, despite the notable </w:t>
      </w:r>
      <w:r w:rsidR="00886F09" w:rsidRPr="00002E01">
        <w:rPr>
          <w:color w:val="000000" w:themeColor="text1"/>
          <w:sz w:val="22"/>
          <w:szCs w:val="22"/>
        </w:rPr>
        <w:t xml:space="preserve">successes of some convicts to reform, the majority of Western Australian </w:t>
      </w:r>
      <w:r w:rsidR="00D90699">
        <w:rPr>
          <w:color w:val="000000" w:themeColor="text1"/>
          <w:sz w:val="22"/>
          <w:szCs w:val="22"/>
        </w:rPr>
        <w:t xml:space="preserve">and UK </w:t>
      </w:r>
      <w:r w:rsidR="00002E01" w:rsidRPr="00002E01">
        <w:rPr>
          <w:color w:val="000000" w:themeColor="text1"/>
          <w:sz w:val="22"/>
          <w:szCs w:val="22"/>
        </w:rPr>
        <w:t>convicts and expirees</w:t>
      </w:r>
      <w:r w:rsidR="00002E01">
        <w:rPr>
          <w:color w:val="000000" w:themeColor="text1"/>
          <w:sz w:val="22"/>
          <w:szCs w:val="22"/>
        </w:rPr>
        <w:t xml:space="preserve"> </w:t>
      </w:r>
      <w:r w:rsidR="00886F09" w:rsidRPr="00886F09">
        <w:rPr>
          <w:color w:val="000000" w:themeColor="text1"/>
          <w:sz w:val="22"/>
          <w:szCs w:val="22"/>
        </w:rPr>
        <w:t xml:space="preserve">continued to appear in the courts for both petty and serious offences.  </w:t>
      </w:r>
    </w:p>
    <w:p w14:paraId="46108677" w14:textId="48718B18" w:rsidR="00541167" w:rsidRDefault="00A27E75" w:rsidP="00B101EC">
      <w:pPr>
        <w:spacing w:line="360" w:lineRule="auto"/>
        <w:jc w:val="both"/>
        <w:rPr>
          <w:color w:val="000000" w:themeColor="text1"/>
          <w:sz w:val="22"/>
          <w:szCs w:val="22"/>
        </w:rPr>
      </w:pPr>
      <w:r w:rsidRPr="00243627">
        <w:rPr>
          <w:color w:val="000000" w:themeColor="text1"/>
          <w:sz w:val="22"/>
          <w:szCs w:val="22"/>
        </w:rPr>
        <w:lastRenderedPageBreak/>
        <w:t xml:space="preserve">It would be simplistic to make too close a comparison between the historical and the modern. Western Australian probation was different from modern probationary schemes; and processes of desistence are historically contingent. It would also be a mistake to label one system the winner </w:t>
      </w:r>
      <w:r w:rsidR="00654272">
        <w:rPr>
          <w:color w:val="000000" w:themeColor="text1"/>
          <w:sz w:val="22"/>
          <w:szCs w:val="22"/>
        </w:rPr>
        <w:t xml:space="preserve">in some sort of </w:t>
      </w:r>
      <w:r w:rsidR="00886F09">
        <w:rPr>
          <w:color w:val="000000" w:themeColor="text1"/>
          <w:sz w:val="22"/>
          <w:szCs w:val="22"/>
        </w:rPr>
        <w:t xml:space="preserve">historical </w:t>
      </w:r>
      <w:r w:rsidR="00654272">
        <w:rPr>
          <w:color w:val="000000" w:themeColor="text1"/>
          <w:sz w:val="22"/>
          <w:szCs w:val="22"/>
        </w:rPr>
        <w:t xml:space="preserve">“Convict Ashes” </w:t>
      </w:r>
      <w:r w:rsidRPr="00243627">
        <w:rPr>
          <w:color w:val="000000" w:themeColor="text1"/>
          <w:sz w:val="22"/>
          <w:szCs w:val="22"/>
        </w:rPr>
        <w:t xml:space="preserve">in a </w:t>
      </w:r>
      <w:r w:rsidR="00361E3A">
        <w:rPr>
          <w:color w:val="000000" w:themeColor="text1"/>
          <w:sz w:val="22"/>
          <w:szCs w:val="22"/>
        </w:rPr>
        <w:t>context when</w:t>
      </w:r>
      <w:r w:rsidR="009A411A" w:rsidRPr="00243627">
        <w:rPr>
          <w:color w:val="000000" w:themeColor="text1"/>
          <w:sz w:val="22"/>
          <w:szCs w:val="22"/>
        </w:rPr>
        <w:t xml:space="preserve"> both systems failed. </w:t>
      </w:r>
      <w:r w:rsidR="00654272">
        <w:rPr>
          <w:color w:val="000000" w:themeColor="text1"/>
          <w:sz w:val="22"/>
          <w:szCs w:val="22"/>
        </w:rPr>
        <w:t xml:space="preserve">In the final assessment, we would have to say that </w:t>
      </w:r>
      <w:r w:rsidR="00654272" w:rsidRPr="00654272">
        <w:rPr>
          <w:color w:val="000000" w:themeColor="text1"/>
          <w:sz w:val="22"/>
          <w:szCs w:val="22"/>
        </w:rPr>
        <w:t>b</w:t>
      </w:r>
      <w:r w:rsidR="009A411A" w:rsidRPr="00654272">
        <w:rPr>
          <w:color w:val="000000" w:themeColor="text1"/>
          <w:sz w:val="22"/>
          <w:szCs w:val="22"/>
        </w:rPr>
        <w:t>o</w:t>
      </w:r>
      <w:r w:rsidR="009A411A" w:rsidRPr="00243627">
        <w:rPr>
          <w:color w:val="000000" w:themeColor="text1"/>
          <w:sz w:val="22"/>
          <w:szCs w:val="22"/>
        </w:rPr>
        <w:t xml:space="preserve">th </w:t>
      </w:r>
      <w:r w:rsidR="00654272">
        <w:rPr>
          <w:color w:val="000000" w:themeColor="text1"/>
          <w:sz w:val="22"/>
          <w:szCs w:val="22"/>
        </w:rPr>
        <w:t xml:space="preserve">the Australian and the British convict systems </w:t>
      </w:r>
      <w:r w:rsidR="009A411A" w:rsidRPr="00243627">
        <w:rPr>
          <w:color w:val="000000" w:themeColor="text1"/>
          <w:sz w:val="22"/>
          <w:szCs w:val="22"/>
        </w:rPr>
        <w:t xml:space="preserve">were shoddy attempts to deal with a complex </w:t>
      </w:r>
      <w:r w:rsidR="008856E8">
        <w:rPr>
          <w:color w:val="000000" w:themeColor="text1"/>
          <w:sz w:val="22"/>
          <w:szCs w:val="22"/>
        </w:rPr>
        <w:t xml:space="preserve">problem </w:t>
      </w:r>
      <w:r w:rsidR="00361E3A">
        <w:rPr>
          <w:color w:val="000000" w:themeColor="text1"/>
          <w:sz w:val="22"/>
          <w:szCs w:val="22"/>
        </w:rPr>
        <w:t>that still consumes</w:t>
      </w:r>
      <w:r w:rsidR="009A411A" w:rsidRPr="00243627">
        <w:rPr>
          <w:color w:val="000000" w:themeColor="text1"/>
          <w:sz w:val="22"/>
          <w:szCs w:val="22"/>
        </w:rPr>
        <w:t xml:space="preserve"> policy-makers today. </w:t>
      </w:r>
      <w:r w:rsidR="000E089C">
        <w:rPr>
          <w:color w:val="000000" w:themeColor="text1"/>
          <w:sz w:val="22"/>
          <w:szCs w:val="22"/>
        </w:rPr>
        <w:t xml:space="preserve">Neither achieved their aim of </w:t>
      </w:r>
      <w:r w:rsidR="00DB4287">
        <w:rPr>
          <w:color w:val="000000" w:themeColor="text1"/>
          <w:sz w:val="22"/>
          <w:szCs w:val="22"/>
        </w:rPr>
        <w:t>significantly curbing</w:t>
      </w:r>
      <w:r w:rsidR="000E089C">
        <w:rPr>
          <w:color w:val="000000" w:themeColor="text1"/>
          <w:sz w:val="22"/>
          <w:szCs w:val="22"/>
        </w:rPr>
        <w:t xml:space="preserve"> re-offending, and many people who went through </w:t>
      </w:r>
      <w:r w:rsidR="00DB4287">
        <w:rPr>
          <w:color w:val="000000" w:themeColor="text1"/>
          <w:sz w:val="22"/>
          <w:szCs w:val="22"/>
        </w:rPr>
        <w:t>‘</w:t>
      </w:r>
      <w:r w:rsidR="000E089C">
        <w:rPr>
          <w:color w:val="000000" w:themeColor="text1"/>
          <w:sz w:val="22"/>
          <w:szCs w:val="22"/>
        </w:rPr>
        <w:t>the system</w:t>
      </w:r>
      <w:r w:rsidR="00DB4287">
        <w:rPr>
          <w:color w:val="000000" w:themeColor="text1"/>
          <w:sz w:val="22"/>
          <w:szCs w:val="22"/>
        </w:rPr>
        <w:t>’</w:t>
      </w:r>
      <w:r w:rsidR="000E089C">
        <w:rPr>
          <w:color w:val="000000" w:themeColor="text1"/>
          <w:sz w:val="22"/>
          <w:szCs w:val="22"/>
        </w:rPr>
        <w:t xml:space="preserve"> (in the UK and in Australia) </w:t>
      </w:r>
      <w:r w:rsidR="00DB4287">
        <w:rPr>
          <w:color w:val="000000" w:themeColor="text1"/>
          <w:sz w:val="22"/>
          <w:szCs w:val="22"/>
        </w:rPr>
        <w:t>were subsequently reconvicted</w:t>
      </w:r>
      <w:r w:rsidR="000E089C">
        <w:rPr>
          <w:color w:val="000000" w:themeColor="text1"/>
          <w:sz w:val="22"/>
          <w:szCs w:val="22"/>
        </w:rPr>
        <w:t xml:space="preserve">, </w:t>
      </w:r>
      <w:r w:rsidR="00DB4287">
        <w:rPr>
          <w:color w:val="000000" w:themeColor="text1"/>
          <w:sz w:val="22"/>
          <w:szCs w:val="22"/>
        </w:rPr>
        <w:t>many for</w:t>
      </w:r>
      <w:r w:rsidR="000E089C">
        <w:rPr>
          <w:color w:val="000000" w:themeColor="text1"/>
          <w:sz w:val="22"/>
          <w:szCs w:val="22"/>
        </w:rPr>
        <w:t xml:space="preserve"> serious</w:t>
      </w:r>
      <w:r w:rsidR="00DB4287">
        <w:rPr>
          <w:color w:val="000000" w:themeColor="text1"/>
          <w:sz w:val="22"/>
          <w:szCs w:val="22"/>
        </w:rPr>
        <w:t xml:space="preserve"> offences</w:t>
      </w:r>
      <w:r w:rsidR="000E089C">
        <w:rPr>
          <w:color w:val="000000" w:themeColor="text1"/>
          <w:sz w:val="22"/>
          <w:szCs w:val="22"/>
        </w:rPr>
        <w:t xml:space="preserve">. We should conclude that far from measuring both systems for their efficiency in promoting desistence we should instead note their </w:t>
      </w:r>
      <w:r w:rsidR="00DB4287">
        <w:rPr>
          <w:color w:val="000000" w:themeColor="text1"/>
          <w:sz w:val="22"/>
          <w:szCs w:val="22"/>
        </w:rPr>
        <w:t xml:space="preserve">remarkable </w:t>
      </w:r>
      <w:r w:rsidR="000E089C">
        <w:rPr>
          <w:color w:val="000000" w:themeColor="text1"/>
          <w:sz w:val="22"/>
          <w:szCs w:val="22"/>
        </w:rPr>
        <w:t xml:space="preserve">efficiency in manufacturing </w:t>
      </w:r>
      <w:r w:rsidR="000E089C" w:rsidRPr="000E089C">
        <w:rPr>
          <w:color w:val="000000" w:themeColor="text1"/>
          <w:sz w:val="22"/>
          <w:szCs w:val="22"/>
        </w:rPr>
        <w:t>r</w:t>
      </w:r>
      <w:r w:rsidR="000E089C">
        <w:rPr>
          <w:color w:val="000000" w:themeColor="text1"/>
          <w:sz w:val="22"/>
          <w:szCs w:val="22"/>
        </w:rPr>
        <w:t>ecidivism.</w:t>
      </w:r>
    </w:p>
    <w:p w14:paraId="1F59637D" w14:textId="434A7B8A" w:rsidR="000E089C" w:rsidRDefault="000E089C" w:rsidP="00B101EC">
      <w:pPr>
        <w:spacing w:line="360" w:lineRule="auto"/>
        <w:jc w:val="both"/>
        <w:rPr>
          <w:color w:val="000000" w:themeColor="text1"/>
          <w:sz w:val="22"/>
          <w:szCs w:val="22"/>
        </w:rPr>
      </w:pPr>
    </w:p>
    <w:p w14:paraId="1A5FE79C" w14:textId="1C51C189" w:rsidR="0021340A" w:rsidRDefault="0021340A" w:rsidP="00B101EC">
      <w:pPr>
        <w:spacing w:line="360" w:lineRule="auto"/>
        <w:rPr>
          <w:b/>
          <w:color w:val="000000" w:themeColor="text1"/>
          <w:sz w:val="22"/>
          <w:szCs w:val="22"/>
        </w:rPr>
      </w:pPr>
    </w:p>
    <w:p w14:paraId="480C5B82" w14:textId="39695EA0" w:rsidR="00AF202B" w:rsidRPr="00690BA6" w:rsidRDefault="00A3086B" w:rsidP="00B101EC">
      <w:pPr>
        <w:spacing w:line="360" w:lineRule="auto"/>
        <w:contextualSpacing/>
        <w:jc w:val="both"/>
        <w:rPr>
          <w:b/>
          <w:color w:val="000000" w:themeColor="text1"/>
          <w:sz w:val="22"/>
          <w:szCs w:val="22"/>
        </w:rPr>
      </w:pPr>
      <w:r w:rsidRPr="00567C90">
        <w:rPr>
          <w:b/>
          <w:color w:val="000000" w:themeColor="text1"/>
          <w:sz w:val="22"/>
          <w:szCs w:val="22"/>
        </w:rPr>
        <w:t>References</w:t>
      </w:r>
      <w:r w:rsidR="00845279" w:rsidRPr="00114891">
        <w:rPr>
          <w:color w:val="000000" w:themeColor="text1"/>
          <w:sz w:val="22"/>
          <w:szCs w:val="22"/>
          <w:highlight w:val="yellow"/>
        </w:rPr>
        <w:t xml:space="preserve"> </w:t>
      </w:r>
    </w:p>
    <w:p w14:paraId="5834D303" w14:textId="77777777" w:rsidR="00AF202B" w:rsidRDefault="00AF202B" w:rsidP="00B101EC">
      <w:pPr>
        <w:spacing w:line="360" w:lineRule="auto"/>
        <w:jc w:val="both"/>
        <w:rPr>
          <w:color w:val="333333"/>
          <w:sz w:val="22"/>
          <w:szCs w:val="22"/>
          <w:shd w:val="clear" w:color="auto" w:fill="FFFFFF"/>
        </w:rPr>
      </w:pPr>
    </w:p>
    <w:p w14:paraId="27D7AAE4" w14:textId="3A7C5ABB" w:rsidR="00036484" w:rsidRDefault="00036484" w:rsidP="00B101EC">
      <w:pPr>
        <w:spacing w:line="360" w:lineRule="auto"/>
        <w:jc w:val="both"/>
        <w:rPr>
          <w:color w:val="333333"/>
          <w:sz w:val="22"/>
          <w:szCs w:val="22"/>
          <w:shd w:val="clear" w:color="auto" w:fill="FFFFFF"/>
        </w:rPr>
      </w:pPr>
      <w:r w:rsidRPr="004E6CC6">
        <w:rPr>
          <w:color w:val="333333"/>
          <w:sz w:val="22"/>
          <w:szCs w:val="22"/>
          <w:shd w:val="clear" w:color="auto" w:fill="FFFFFF"/>
        </w:rPr>
        <w:t>Anderson C</w:t>
      </w:r>
      <w:r>
        <w:rPr>
          <w:color w:val="333333"/>
          <w:sz w:val="22"/>
          <w:szCs w:val="22"/>
          <w:shd w:val="clear" w:color="auto" w:fill="FFFFFF"/>
        </w:rPr>
        <w:t>.</w:t>
      </w:r>
      <w:r w:rsidRPr="004E6CC6">
        <w:rPr>
          <w:color w:val="333333"/>
          <w:sz w:val="22"/>
          <w:szCs w:val="22"/>
          <w:shd w:val="clear" w:color="auto" w:fill="FFFFFF"/>
        </w:rPr>
        <w:t xml:space="preserve"> (2016) </w:t>
      </w:r>
      <w:r>
        <w:rPr>
          <w:color w:val="333333"/>
          <w:sz w:val="22"/>
          <w:szCs w:val="22"/>
          <w:shd w:val="clear" w:color="auto" w:fill="FFFFFF"/>
        </w:rPr>
        <w:t>‘</w:t>
      </w:r>
      <w:r w:rsidRPr="004E6CC6">
        <w:rPr>
          <w:color w:val="333333"/>
          <w:sz w:val="22"/>
          <w:szCs w:val="22"/>
          <w:shd w:val="clear" w:color="auto" w:fill="FFFFFF"/>
        </w:rPr>
        <w:t>Transnational histories of penal transportation: Punishment, labour and governance in the British Imperial World, 1788-1939</w:t>
      </w:r>
      <w:r>
        <w:rPr>
          <w:color w:val="333333"/>
          <w:sz w:val="22"/>
          <w:szCs w:val="22"/>
          <w:shd w:val="clear" w:color="auto" w:fill="FFFFFF"/>
        </w:rPr>
        <w:t xml:space="preserve">’, </w:t>
      </w:r>
      <w:r w:rsidRPr="004E6CC6">
        <w:rPr>
          <w:i/>
          <w:color w:val="333333"/>
          <w:sz w:val="22"/>
          <w:szCs w:val="22"/>
          <w:shd w:val="clear" w:color="auto" w:fill="FFFFFF"/>
        </w:rPr>
        <w:t>Australian Historical Studies</w:t>
      </w:r>
      <w:r w:rsidRPr="004E6CC6">
        <w:rPr>
          <w:color w:val="333333"/>
          <w:sz w:val="22"/>
          <w:szCs w:val="22"/>
          <w:shd w:val="clear" w:color="auto" w:fill="FFFFFF"/>
        </w:rPr>
        <w:t>, 47 (3), pp. 381-397</w:t>
      </w:r>
    </w:p>
    <w:p w14:paraId="4FB18C87" w14:textId="6968F3A7" w:rsidR="00594099" w:rsidRDefault="00594099" w:rsidP="00B101EC">
      <w:pPr>
        <w:spacing w:line="360" w:lineRule="auto"/>
        <w:jc w:val="both"/>
        <w:rPr>
          <w:color w:val="333333"/>
          <w:sz w:val="22"/>
          <w:szCs w:val="22"/>
          <w:shd w:val="clear" w:color="auto" w:fill="FFFFFF"/>
        </w:rPr>
      </w:pPr>
    </w:p>
    <w:p w14:paraId="7A583AFC" w14:textId="1A70C59A" w:rsidR="00594099" w:rsidRPr="00594099" w:rsidRDefault="00594099" w:rsidP="00B101EC">
      <w:pPr>
        <w:spacing w:line="360" w:lineRule="auto"/>
        <w:jc w:val="both"/>
        <w:rPr>
          <w:color w:val="000000" w:themeColor="text1"/>
          <w:sz w:val="22"/>
          <w:szCs w:val="22"/>
        </w:rPr>
      </w:pPr>
      <w:r w:rsidRPr="00594099">
        <w:rPr>
          <w:color w:val="000000" w:themeColor="text1"/>
          <w:sz w:val="22"/>
          <w:szCs w:val="22"/>
        </w:rPr>
        <w:t xml:space="preserve">Anderson, P. (1964) </w:t>
      </w:r>
      <w:r w:rsidRPr="00594099">
        <w:rPr>
          <w:i/>
          <w:color w:val="000000" w:themeColor="text1"/>
          <w:sz w:val="22"/>
          <w:szCs w:val="22"/>
        </w:rPr>
        <w:t>Economic Aspects of Transportation to Western Australia</w:t>
      </w:r>
      <w:r w:rsidRPr="00594099">
        <w:rPr>
          <w:color w:val="000000" w:themeColor="text1"/>
          <w:sz w:val="22"/>
          <w:szCs w:val="22"/>
        </w:rPr>
        <w:t>, London.</w:t>
      </w:r>
    </w:p>
    <w:p w14:paraId="14F1C88A" w14:textId="77777777" w:rsidR="005635A5" w:rsidRDefault="005635A5" w:rsidP="00B101EC">
      <w:pPr>
        <w:spacing w:line="360" w:lineRule="auto"/>
        <w:jc w:val="both"/>
        <w:rPr>
          <w:sz w:val="22"/>
          <w:szCs w:val="22"/>
        </w:rPr>
      </w:pPr>
    </w:p>
    <w:p w14:paraId="17C3B5E3" w14:textId="7BA24A13" w:rsidR="00036484" w:rsidRPr="004A0C5E" w:rsidRDefault="00036484" w:rsidP="00B101EC">
      <w:pPr>
        <w:spacing w:line="360" w:lineRule="auto"/>
        <w:jc w:val="both"/>
        <w:rPr>
          <w:sz w:val="22"/>
          <w:szCs w:val="22"/>
        </w:rPr>
      </w:pPr>
      <w:proofErr w:type="spellStart"/>
      <w:r w:rsidRPr="004A0C5E">
        <w:rPr>
          <w:sz w:val="22"/>
          <w:szCs w:val="22"/>
        </w:rPr>
        <w:t>Battye</w:t>
      </w:r>
      <w:proofErr w:type="spellEnd"/>
      <w:r w:rsidRPr="004A0C5E">
        <w:rPr>
          <w:sz w:val="22"/>
          <w:szCs w:val="22"/>
        </w:rPr>
        <w:t xml:space="preserve">, J. (1924) </w:t>
      </w:r>
      <w:r w:rsidRPr="004A0C5E">
        <w:rPr>
          <w:i/>
          <w:sz w:val="22"/>
          <w:szCs w:val="22"/>
        </w:rPr>
        <w:t>Western Australia from its Discovery to the Inauguration of the Commonwealth</w:t>
      </w:r>
      <w:r w:rsidRPr="004A0C5E">
        <w:rPr>
          <w:sz w:val="22"/>
          <w:szCs w:val="22"/>
        </w:rPr>
        <w:t>, Clare</w:t>
      </w:r>
      <w:r w:rsidR="00690BA6" w:rsidRPr="004A0C5E">
        <w:rPr>
          <w:sz w:val="22"/>
          <w:szCs w:val="22"/>
        </w:rPr>
        <w:t xml:space="preserve">ndon, Oxford. </w:t>
      </w:r>
    </w:p>
    <w:p w14:paraId="7448F6F0" w14:textId="77777777" w:rsidR="00036484" w:rsidRPr="004A0C5E" w:rsidRDefault="00036484" w:rsidP="00B101EC">
      <w:pPr>
        <w:spacing w:line="360" w:lineRule="auto"/>
        <w:jc w:val="both"/>
        <w:rPr>
          <w:sz w:val="22"/>
          <w:szCs w:val="22"/>
        </w:rPr>
      </w:pPr>
    </w:p>
    <w:p w14:paraId="4A257CC3" w14:textId="00205AD3" w:rsidR="00036484" w:rsidRPr="004A0C5E" w:rsidRDefault="00036484" w:rsidP="00B101EC">
      <w:pPr>
        <w:spacing w:line="360" w:lineRule="auto"/>
        <w:jc w:val="both"/>
        <w:rPr>
          <w:sz w:val="22"/>
          <w:szCs w:val="22"/>
        </w:rPr>
      </w:pPr>
      <w:r w:rsidRPr="004A0C5E">
        <w:rPr>
          <w:sz w:val="22"/>
          <w:szCs w:val="22"/>
        </w:rPr>
        <w:t xml:space="preserve">Braithwaite, J. (2001) Crime in a Convict Republic, </w:t>
      </w:r>
      <w:r w:rsidRPr="004A0C5E">
        <w:rPr>
          <w:i/>
          <w:sz w:val="22"/>
          <w:szCs w:val="22"/>
        </w:rPr>
        <w:t>Modern Law Review</w:t>
      </w:r>
      <w:r w:rsidRPr="004A0C5E">
        <w:rPr>
          <w:sz w:val="22"/>
          <w:szCs w:val="22"/>
        </w:rPr>
        <w:t>, 64, 1, 11-50</w:t>
      </w:r>
    </w:p>
    <w:p w14:paraId="46FA2722" w14:textId="77777777" w:rsidR="004A0C5E" w:rsidRPr="004A0C5E" w:rsidRDefault="004A0C5E" w:rsidP="004A0C5E">
      <w:pPr>
        <w:rPr>
          <w:color w:val="000000"/>
          <w:sz w:val="22"/>
          <w:szCs w:val="22"/>
        </w:rPr>
      </w:pPr>
    </w:p>
    <w:p w14:paraId="3AA5CF2B" w14:textId="3136DB9E" w:rsidR="004A0C5E" w:rsidRPr="004A0C5E" w:rsidRDefault="004A0C5E" w:rsidP="004A0C5E">
      <w:pPr>
        <w:rPr>
          <w:sz w:val="22"/>
          <w:szCs w:val="22"/>
        </w:rPr>
      </w:pPr>
      <w:r w:rsidRPr="000A3F59">
        <w:rPr>
          <w:sz w:val="22"/>
          <w:szCs w:val="22"/>
        </w:rPr>
        <w:t xml:space="preserve">Braithwaite, J. </w:t>
      </w:r>
      <w:r w:rsidR="000A3F59" w:rsidRPr="000A3F59">
        <w:rPr>
          <w:sz w:val="22"/>
          <w:szCs w:val="22"/>
        </w:rPr>
        <w:t xml:space="preserve">(1989) </w:t>
      </w:r>
      <w:r w:rsidRPr="000A3F59">
        <w:rPr>
          <w:i/>
          <w:color w:val="000000"/>
          <w:sz w:val="22"/>
          <w:szCs w:val="22"/>
        </w:rPr>
        <w:t>Crime, Shame and Reintegration</w:t>
      </w:r>
      <w:r w:rsidR="000A3F59" w:rsidRPr="000A3F59">
        <w:rPr>
          <w:color w:val="000000"/>
          <w:sz w:val="22"/>
          <w:szCs w:val="22"/>
        </w:rPr>
        <w:t>, Cambridge University Press.</w:t>
      </w:r>
    </w:p>
    <w:p w14:paraId="32D2A2BC" w14:textId="77777777" w:rsidR="004A0C5E" w:rsidRPr="004A0C5E" w:rsidRDefault="004A0C5E" w:rsidP="00B101EC">
      <w:pPr>
        <w:spacing w:line="360" w:lineRule="auto"/>
        <w:jc w:val="both"/>
        <w:rPr>
          <w:color w:val="000000" w:themeColor="text1"/>
          <w:sz w:val="22"/>
          <w:szCs w:val="22"/>
        </w:rPr>
      </w:pPr>
    </w:p>
    <w:p w14:paraId="1B3020A1" w14:textId="0C686FDF" w:rsidR="00036484" w:rsidRPr="004A0C5E" w:rsidRDefault="00036484" w:rsidP="00B101EC">
      <w:pPr>
        <w:spacing w:line="360" w:lineRule="auto"/>
        <w:jc w:val="both"/>
        <w:rPr>
          <w:color w:val="000000" w:themeColor="text1"/>
          <w:sz w:val="22"/>
          <w:szCs w:val="22"/>
        </w:rPr>
      </w:pPr>
      <w:r w:rsidRPr="004A0C5E">
        <w:rPr>
          <w:color w:val="000000" w:themeColor="text1"/>
          <w:sz w:val="22"/>
          <w:szCs w:val="22"/>
        </w:rPr>
        <w:t xml:space="preserve">Brodie, A., Croom, J. and Davies, J. (2002) </w:t>
      </w:r>
      <w:r w:rsidRPr="004A0C5E">
        <w:rPr>
          <w:i/>
          <w:color w:val="000000" w:themeColor="text1"/>
          <w:sz w:val="22"/>
          <w:szCs w:val="22"/>
        </w:rPr>
        <w:t>English Prisons. An Architectural History</w:t>
      </w:r>
      <w:r w:rsidRPr="004A0C5E">
        <w:rPr>
          <w:color w:val="000000" w:themeColor="text1"/>
          <w:sz w:val="22"/>
          <w:szCs w:val="22"/>
        </w:rPr>
        <w:t>, English Heritage.</w:t>
      </w:r>
    </w:p>
    <w:p w14:paraId="43754EB4" w14:textId="7DB30F08" w:rsidR="00036484" w:rsidRPr="004A0C5E" w:rsidRDefault="00036484" w:rsidP="00B101EC">
      <w:pPr>
        <w:spacing w:line="360" w:lineRule="auto"/>
        <w:jc w:val="both"/>
        <w:rPr>
          <w:color w:val="000000" w:themeColor="text1"/>
          <w:sz w:val="22"/>
          <w:szCs w:val="22"/>
        </w:rPr>
      </w:pPr>
    </w:p>
    <w:p w14:paraId="5954B372" w14:textId="4B549AA6" w:rsidR="00594099" w:rsidRPr="00594099" w:rsidRDefault="00594099" w:rsidP="00B101EC">
      <w:pPr>
        <w:spacing w:line="360" w:lineRule="auto"/>
        <w:jc w:val="both"/>
        <w:rPr>
          <w:color w:val="000000" w:themeColor="text1"/>
          <w:sz w:val="22"/>
          <w:szCs w:val="22"/>
        </w:rPr>
      </w:pPr>
      <w:r w:rsidRPr="004A0C5E">
        <w:rPr>
          <w:color w:val="000000" w:themeColor="text1"/>
          <w:sz w:val="22"/>
          <w:szCs w:val="22"/>
        </w:rPr>
        <w:t xml:space="preserve">Calvert, A.F. (1894) </w:t>
      </w:r>
      <w:r w:rsidRPr="004A0C5E">
        <w:rPr>
          <w:i/>
          <w:color w:val="000000" w:themeColor="text1"/>
          <w:sz w:val="22"/>
          <w:szCs w:val="22"/>
        </w:rPr>
        <w:t>Western Australia. Its History and Progress</w:t>
      </w:r>
      <w:r w:rsidRPr="004A0C5E">
        <w:rPr>
          <w:color w:val="000000" w:themeColor="text1"/>
          <w:sz w:val="22"/>
          <w:szCs w:val="22"/>
        </w:rPr>
        <w:t xml:space="preserve">, </w:t>
      </w:r>
      <w:proofErr w:type="spellStart"/>
      <w:r w:rsidRPr="004A0C5E">
        <w:rPr>
          <w:color w:val="000000" w:themeColor="text1"/>
          <w:sz w:val="22"/>
          <w:szCs w:val="22"/>
        </w:rPr>
        <w:t>Simpkin</w:t>
      </w:r>
      <w:proofErr w:type="spellEnd"/>
      <w:r w:rsidRPr="004A0C5E">
        <w:rPr>
          <w:color w:val="000000" w:themeColor="text1"/>
          <w:sz w:val="22"/>
          <w:szCs w:val="22"/>
        </w:rPr>
        <w:t>, Marshall, Hamilton, Kent</w:t>
      </w:r>
      <w:r w:rsidRPr="00594099">
        <w:rPr>
          <w:color w:val="000000" w:themeColor="text1"/>
          <w:sz w:val="22"/>
          <w:szCs w:val="22"/>
        </w:rPr>
        <w:t xml:space="preserve"> and Co.</w:t>
      </w:r>
    </w:p>
    <w:p w14:paraId="47F42EC5" w14:textId="502F459F" w:rsidR="00594099" w:rsidRDefault="00594099" w:rsidP="00B101EC">
      <w:pPr>
        <w:spacing w:line="360" w:lineRule="auto"/>
        <w:jc w:val="both"/>
        <w:rPr>
          <w:color w:val="000000" w:themeColor="text1"/>
          <w:sz w:val="22"/>
          <w:szCs w:val="22"/>
        </w:rPr>
      </w:pPr>
    </w:p>
    <w:p w14:paraId="408ECE69" w14:textId="3E32F4F2" w:rsidR="00211AA8" w:rsidRPr="00211AA8" w:rsidRDefault="00211AA8" w:rsidP="00B101EC">
      <w:pPr>
        <w:spacing w:line="360" w:lineRule="auto"/>
        <w:jc w:val="both"/>
        <w:rPr>
          <w:rFonts w:eastAsiaTheme="minorEastAsia"/>
          <w:sz w:val="22"/>
          <w:szCs w:val="22"/>
        </w:rPr>
      </w:pPr>
      <w:r w:rsidRPr="00D33649">
        <w:rPr>
          <w:iCs/>
          <w:sz w:val="22"/>
          <w:szCs w:val="22"/>
          <w:lang w:val="en-US" w:eastAsia="en-GB"/>
        </w:rPr>
        <w:t>Cox, D., Godfrey, B., Johnston, H. and Turner, J. (2014)</w:t>
      </w:r>
      <w:r w:rsidRPr="00D33649">
        <w:rPr>
          <w:sz w:val="22"/>
          <w:szCs w:val="22"/>
          <w:lang w:val="en-US" w:eastAsia="en-GB"/>
        </w:rPr>
        <w:t xml:space="preserve"> ‘On Licence: Understanding punishment, recidivism and desistance in penal policy, 1853-1945’, in Miller, V. and Campbell, J. (2014) </w:t>
      </w:r>
      <w:r w:rsidRPr="00D33649">
        <w:rPr>
          <w:bCs/>
          <w:i/>
          <w:color w:val="0E0E0E"/>
          <w:sz w:val="22"/>
          <w:szCs w:val="22"/>
          <w:lang w:val="en-US" w:eastAsia="en-GB"/>
        </w:rPr>
        <w:t>Transnational Penal Cultures: New perspectives on discipline, punishment and desistance</w:t>
      </w:r>
      <w:r w:rsidRPr="00D33649">
        <w:rPr>
          <w:bCs/>
          <w:color w:val="0E0E0E"/>
          <w:sz w:val="22"/>
          <w:szCs w:val="22"/>
          <w:lang w:val="en-US" w:eastAsia="en-GB"/>
        </w:rPr>
        <w:t>, Routledge.</w:t>
      </w:r>
    </w:p>
    <w:p w14:paraId="1831F922" w14:textId="77777777" w:rsidR="00211AA8" w:rsidRDefault="00211AA8" w:rsidP="00B101EC">
      <w:pPr>
        <w:spacing w:line="360" w:lineRule="auto"/>
        <w:jc w:val="both"/>
        <w:rPr>
          <w:color w:val="000000" w:themeColor="text1"/>
          <w:sz w:val="22"/>
          <w:szCs w:val="22"/>
        </w:rPr>
      </w:pPr>
    </w:p>
    <w:p w14:paraId="174B1445" w14:textId="2452F7EB" w:rsidR="00594099" w:rsidRPr="00594099" w:rsidRDefault="00594099" w:rsidP="00B101EC">
      <w:pPr>
        <w:spacing w:line="360" w:lineRule="auto"/>
        <w:jc w:val="both"/>
        <w:rPr>
          <w:color w:val="000000" w:themeColor="text1"/>
          <w:sz w:val="22"/>
          <w:szCs w:val="22"/>
        </w:rPr>
      </w:pPr>
      <w:r w:rsidRPr="00594099">
        <w:rPr>
          <w:color w:val="000000" w:themeColor="text1"/>
          <w:sz w:val="22"/>
          <w:szCs w:val="22"/>
        </w:rPr>
        <w:lastRenderedPageBreak/>
        <w:t xml:space="preserve">Crowley, F. (1960) </w:t>
      </w:r>
      <w:r w:rsidRPr="00594099">
        <w:rPr>
          <w:i/>
          <w:color w:val="000000" w:themeColor="text1"/>
          <w:sz w:val="22"/>
          <w:szCs w:val="22"/>
        </w:rPr>
        <w:t>Australia’s Western Third. A history of Western Australia from the first settlements to modern times</w:t>
      </w:r>
      <w:r w:rsidRPr="00594099">
        <w:rPr>
          <w:color w:val="000000" w:themeColor="text1"/>
          <w:sz w:val="22"/>
          <w:szCs w:val="22"/>
        </w:rPr>
        <w:t>, Macmillan.</w:t>
      </w:r>
    </w:p>
    <w:p w14:paraId="036228C6" w14:textId="77777777" w:rsidR="00594099" w:rsidRDefault="00594099" w:rsidP="00B101EC">
      <w:pPr>
        <w:spacing w:line="360" w:lineRule="auto"/>
        <w:rPr>
          <w:iCs/>
          <w:color w:val="333333"/>
          <w:sz w:val="22"/>
          <w:szCs w:val="22"/>
          <w:shd w:val="clear" w:color="auto" w:fill="FFFFFF"/>
        </w:rPr>
      </w:pPr>
    </w:p>
    <w:p w14:paraId="006A3227" w14:textId="365559C8" w:rsidR="00E40060" w:rsidRPr="00E40060" w:rsidRDefault="00E40060" w:rsidP="00B101EC">
      <w:pPr>
        <w:spacing w:line="360" w:lineRule="auto"/>
        <w:rPr>
          <w:sz w:val="22"/>
          <w:szCs w:val="22"/>
        </w:rPr>
      </w:pPr>
      <w:r w:rsidRPr="00E40060">
        <w:rPr>
          <w:iCs/>
          <w:color w:val="333333"/>
          <w:sz w:val="22"/>
          <w:szCs w:val="22"/>
          <w:shd w:val="clear" w:color="auto" w:fill="FFFFFF"/>
        </w:rPr>
        <w:t>Davies, A. (1999). 'These viragoes are no less cruel than the lads': young women, gangs and violence in late Vi</w:t>
      </w:r>
      <w:r>
        <w:rPr>
          <w:iCs/>
          <w:color w:val="333333"/>
          <w:sz w:val="22"/>
          <w:szCs w:val="22"/>
          <w:shd w:val="clear" w:color="auto" w:fill="FFFFFF"/>
        </w:rPr>
        <w:t xml:space="preserve">ctorian Manchester and Salford, </w:t>
      </w:r>
      <w:r w:rsidRPr="00E40060">
        <w:rPr>
          <w:i/>
          <w:iCs/>
          <w:color w:val="333333"/>
          <w:sz w:val="22"/>
          <w:szCs w:val="22"/>
          <w:shd w:val="clear" w:color="auto" w:fill="FFFFFF"/>
        </w:rPr>
        <w:t>British Journal of Criminology</w:t>
      </w:r>
      <w:r w:rsidRPr="00E40060">
        <w:rPr>
          <w:iCs/>
          <w:color w:val="333333"/>
          <w:sz w:val="22"/>
          <w:szCs w:val="22"/>
          <w:shd w:val="clear" w:color="auto" w:fill="FFFFFF"/>
        </w:rPr>
        <w:t>, 39</w:t>
      </w:r>
      <w:r>
        <w:rPr>
          <w:iCs/>
          <w:color w:val="333333"/>
          <w:sz w:val="22"/>
          <w:szCs w:val="22"/>
          <w:shd w:val="clear" w:color="auto" w:fill="FFFFFF"/>
        </w:rPr>
        <w:t xml:space="preserve"> </w:t>
      </w:r>
      <w:r w:rsidRPr="00E40060">
        <w:rPr>
          <w:iCs/>
          <w:color w:val="333333"/>
          <w:sz w:val="22"/>
          <w:szCs w:val="22"/>
          <w:shd w:val="clear" w:color="auto" w:fill="FFFFFF"/>
        </w:rPr>
        <w:t xml:space="preserve">(1), </w:t>
      </w:r>
      <w:r>
        <w:rPr>
          <w:iCs/>
          <w:color w:val="333333"/>
          <w:sz w:val="22"/>
          <w:szCs w:val="22"/>
          <w:shd w:val="clear" w:color="auto" w:fill="FFFFFF"/>
        </w:rPr>
        <w:t>pp.</w:t>
      </w:r>
      <w:r w:rsidRPr="00E40060">
        <w:rPr>
          <w:iCs/>
          <w:color w:val="333333"/>
          <w:sz w:val="22"/>
          <w:szCs w:val="22"/>
          <w:shd w:val="clear" w:color="auto" w:fill="FFFFFF"/>
        </w:rPr>
        <w:t>72-89</w:t>
      </w:r>
    </w:p>
    <w:p w14:paraId="2EE70997" w14:textId="7D1843CE" w:rsidR="007861CB" w:rsidRPr="000C2377" w:rsidRDefault="007861CB" w:rsidP="00B101EC">
      <w:pPr>
        <w:spacing w:line="360" w:lineRule="auto"/>
        <w:jc w:val="both"/>
      </w:pPr>
    </w:p>
    <w:p w14:paraId="7067ABB0" w14:textId="77777777" w:rsidR="007861CB" w:rsidRPr="007861CB" w:rsidRDefault="007861CB" w:rsidP="00B101EC">
      <w:pPr>
        <w:spacing w:line="360" w:lineRule="auto"/>
        <w:jc w:val="both"/>
        <w:rPr>
          <w:sz w:val="22"/>
          <w:szCs w:val="22"/>
        </w:rPr>
      </w:pPr>
      <w:proofErr w:type="spellStart"/>
      <w:r w:rsidRPr="007861CB">
        <w:rPr>
          <w:sz w:val="22"/>
          <w:szCs w:val="22"/>
        </w:rPr>
        <w:t>Driesen</w:t>
      </w:r>
      <w:proofErr w:type="spellEnd"/>
      <w:r w:rsidRPr="007861CB">
        <w:rPr>
          <w:sz w:val="22"/>
          <w:szCs w:val="22"/>
        </w:rPr>
        <w:t xml:space="preserve">, Van D. (1986a) ‘Convicts and migrants in Western Australia 1850-1868’, </w:t>
      </w:r>
      <w:r w:rsidRPr="007861CB">
        <w:rPr>
          <w:i/>
          <w:sz w:val="22"/>
          <w:szCs w:val="22"/>
        </w:rPr>
        <w:t>Journal of the Royal Western Australian Historical Society</w:t>
      </w:r>
      <w:r w:rsidRPr="007861CB">
        <w:rPr>
          <w:sz w:val="22"/>
          <w:szCs w:val="22"/>
        </w:rPr>
        <w:t>, 72, 1, pp.50-59.</w:t>
      </w:r>
    </w:p>
    <w:p w14:paraId="543263DD" w14:textId="77777777" w:rsidR="007861CB" w:rsidRPr="007861CB" w:rsidRDefault="007861CB" w:rsidP="00B101EC">
      <w:pPr>
        <w:spacing w:line="360" w:lineRule="auto"/>
        <w:jc w:val="both"/>
        <w:rPr>
          <w:sz w:val="22"/>
          <w:szCs w:val="22"/>
        </w:rPr>
      </w:pPr>
    </w:p>
    <w:p w14:paraId="2C2E08E7" w14:textId="780CBCCE" w:rsidR="007861CB" w:rsidRPr="007861CB" w:rsidRDefault="007861CB" w:rsidP="00B101EC">
      <w:pPr>
        <w:spacing w:line="360" w:lineRule="auto"/>
        <w:jc w:val="both"/>
        <w:rPr>
          <w:sz w:val="22"/>
          <w:szCs w:val="22"/>
        </w:rPr>
      </w:pPr>
      <w:proofErr w:type="spellStart"/>
      <w:r w:rsidRPr="007861CB">
        <w:rPr>
          <w:sz w:val="22"/>
          <w:szCs w:val="22"/>
        </w:rPr>
        <w:t>Driesen</w:t>
      </w:r>
      <w:proofErr w:type="spellEnd"/>
      <w:r w:rsidRPr="007861CB">
        <w:rPr>
          <w:sz w:val="22"/>
          <w:szCs w:val="22"/>
        </w:rPr>
        <w:t xml:space="preserve">, Van D. (1986b) </w:t>
      </w:r>
      <w:r w:rsidRPr="007861CB">
        <w:rPr>
          <w:i/>
          <w:sz w:val="22"/>
          <w:szCs w:val="22"/>
        </w:rPr>
        <w:t>Essays on Immigration Policy and Population in Western Australia 1850-1901</w:t>
      </w:r>
      <w:r w:rsidRPr="007861CB">
        <w:rPr>
          <w:sz w:val="22"/>
          <w:szCs w:val="22"/>
        </w:rPr>
        <w:t>, University of Western Australia Press.</w:t>
      </w:r>
    </w:p>
    <w:p w14:paraId="1F7F6F3A" w14:textId="77777777" w:rsidR="008A3BD9" w:rsidRPr="008A3BD9" w:rsidRDefault="008A3BD9" w:rsidP="00B101EC">
      <w:pPr>
        <w:spacing w:line="360" w:lineRule="auto"/>
        <w:jc w:val="both"/>
        <w:rPr>
          <w:color w:val="FF0000"/>
          <w:sz w:val="22"/>
          <w:szCs w:val="22"/>
        </w:rPr>
      </w:pPr>
    </w:p>
    <w:p w14:paraId="79445CB0" w14:textId="6E6889D9" w:rsidR="008A3BD9" w:rsidRPr="001B03C7" w:rsidRDefault="001B03C7" w:rsidP="00B101EC">
      <w:pPr>
        <w:spacing w:line="360" w:lineRule="auto"/>
        <w:jc w:val="both"/>
        <w:rPr>
          <w:sz w:val="22"/>
          <w:szCs w:val="22"/>
        </w:rPr>
      </w:pPr>
      <w:r w:rsidRPr="001B03C7">
        <w:rPr>
          <w:sz w:val="22"/>
          <w:szCs w:val="22"/>
        </w:rPr>
        <w:t xml:space="preserve">Dunstan, D (2000) </w:t>
      </w:r>
      <w:r w:rsidRPr="001B03C7">
        <w:rPr>
          <w:i/>
          <w:sz w:val="22"/>
          <w:szCs w:val="22"/>
        </w:rPr>
        <w:t>Owen Suffolk’s days of crime and years of suffering</w:t>
      </w:r>
      <w:r w:rsidRPr="001B03C7">
        <w:rPr>
          <w:sz w:val="22"/>
          <w:szCs w:val="22"/>
        </w:rPr>
        <w:t>, Australian Scholarly Publishing.</w:t>
      </w:r>
    </w:p>
    <w:p w14:paraId="6EDED600" w14:textId="77777777" w:rsidR="001B03C7" w:rsidRDefault="001B03C7" w:rsidP="00B101EC">
      <w:pPr>
        <w:spacing w:line="360" w:lineRule="auto"/>
        <w:jc w:val="both"/>
        <w:rPr>
          <w:color w:val="000000" w:themeColor="text1"/>
          <w:sz w:val="22"/>
          <w:szCs w:val="22"/>
        </w:rPr>
      </w:pPr>
    </w:p>
    <w:p w14:paraId="597DB606" w14:textId="1C0DD4C0" w:rsidR="00F47BCE" w:rsidRPr="00F47BCE" w:rsidRDefault="00531DCE" w:rsidP="00B101EC">
      <w:pPr>
        <w:spacing w:line="360" w:lineRule="auto"/>
        <w:jc w:val="both"/>
        <w:rPr>
          <w:sz w:val="22"/>
          <w:szCs w:val="22"/>
        </w:rPr>
      </w:pPr>
      <w:r w:rsidRPr="00F47BCE">
        <w:rPr>
          <w:color w:val="000000" w:themeColor="text1"/>
          <w:sz w:val="22"/>
          <w:szCs w:val="22"/>
        </w:rPr>
        <w:t>Edgar</w:t>
      </w:r>
      <w:r w:rsidR="00F47BCE" w:rsidRPr="00F47BCE">
        <w:rPr>
          <w:color w:val="000000" w:themeColor="text1"/>
          <w:sz w:val="22"/>
          <w:szCs w:val="22"/>
        </w:rPr>
        <w:t xml:space="preserve">, W. (2012) </w:t>
      </w:r>
      <w:r w:rsidR="00F47BCE" w:rsidRPr="00F47BCE">
        <w:rPr>
          <w:i/>
          <w:color w:val="000000" w:themeColor="text1"/>
          <w:sz w:val="22"/>
          <w:szCs w:val="22"/>
        </w:rPr>
        <w:t>“Lags”. A History of the Western Australian Convict Phenomena</w:t>
      </w:r>
      <w:r w:rsidR="00F47BCE" w:rsidRPr="00F47BCE">
        <w:rPr>
          <w:color w:val="000000" w:themeColor="text1"/>
          <w:sz w:val="22"/>
          <w:szCs w:val="22"/>
        </w:rPr>
        <w:t>,</w:t>
      </w:r>
      <w:r w:rsidR="00F47BCE" w:rsidRPr="00F47BCE">
        <w:rPr>
          <w:color w:val="000000"/>
          <w:sz w:val="22"/>
          <w:szCs w:val="22"/>
          <w:shd w:val="clear" w:color="auto" w:fill="FFFFFF"/>
        </w:rPr>
        <w:t xml:space="preserve"> </w:t>
      </w:r>
      <w:proofErr w:type="spellStart"/>
      <w:r w:rsidR="00F47BCE" w:rsidRPr="00F47BCE">
        <w:rPr>
          <w:color w:val="000000"/>
          <w:sz w:val="22"/>
          <w:szCs w:val="22"/>
          <w:shd w:val="clear" w:color="auto" w:fill="FFFFFF"/>
        </w:rPr>
        <w:t>Tammar</w:t>
      </w:r>
      <w:proofErr w:type="spellEnd"/>
      <w:r w:rsidR="00F47BCE" w:rsidRPr="00F47BCE">
        <w:rPr>
          <w:color w:val="000000"/>
          <w:sz w:val="22"/>
          <w:szCs w:val="22"/>
          <w:shd w:val="clear" w:color="auto" w:fill="FFFFFF"/>
        </w:rPr>
        <w:t xml:space="preserve"> Publications.</w:t>
      </w:r>
    </w:p>
    <w:p w14:paraId="4ADCC098" w14:textId="0C6564DD" w:rsidR="00531DCE" w:rsidRDefault="00531DCE" w:rsidP="00B101EC">
      <w:pPr>
        <w:spacing w:line="360" w:lineRule="auto"/>
        <w:jc w:val="both"/>
        <w:rPr>
          <w:color w:val="000000" w:themeColor="text1"/>
          <w:sz w:val="22"/>
          <w:szCs w:val="22"/>
        </w:rPr>
      </w:pPr>
    </w:p>
    <w:p w14:paraId="1626950F" w14:textId="29CC2A00" w:rsidR="001B03C7" w:rsidRPr="001B03C7" w:rsidRDefault="001B03C7" w:rsidP="00B101EC">
      <w:pPr>
        <w:spacing w:line="360" w:lineRule="auto"/>
        <w:jc w:val="both"/>
        <w:rPr>
          <w:sz w:val="22"/>
          <w:szCs w:val="22"/>
        </w:rPr>
      </w:pPr>
      <w:r w:rsidRPr="001B03C7">
        <w:rPr>
          <w:sz w:val="22"/>
          <w:szCs w:val="22"/>
        </w:rPr>
        <w:t xml:space="preserve">Erickson, R. (1983) </w:t>
      </w:r>
      <w:r w:rsidRPr="001B03C7">
        <w:rPr>
          <w:i/>
          <w:sz w:val="22"/>
          <w:szCs w:val="22"/>
        </w:rPr>
        <w:t>The Brand On His Coat: Biographies of Some Western Australian Convicts</w:t>
      </w:r>
      <w:r w:rsidRPr="001B03C7">
        <w:rPr>
          <w:sz w:val="22"/>
          <w:szCs w:val="22"/>
        </w:rPr>
        <w:t xml:space="preserve">, University of Western </w:t>
      </w:r>
      <w:proofErr w:type="gramStart"/>
      <w:r w:rsidRPr="001B03C7">
        <w:rPr>
          <w:sz w:val="22"/>
          <w:szCs w:val="22"/>
        </w:rPr>
        <w:t>Australia  Press</w:t>
      </w:r>
      <w:proofErr w:type="gramEnd"/>
      <w:r w:rsidRPr="001B03C7">
        <w:rPr>
          <w:sz w:val="22"/>
          <w:szCs w:val="22"/>
        </w:rPr>
        <w:t>.</w:t>
      </w:r>
    </w:p>
    <w:p w14:paraId="3F8ABC0C" w14:textId="77777777" w:rsidR="00243627" w:rsidRDefault="00243627" w:rsidP="00B101EC">
      <w:pPr>
        <w:spacing w:line="360" w:lineRule="auto"/>
        <w:jc w:val="both"/>
        <w:rPr>
          <w:color w:val="000000" w:themeColor="text1"/>
          <w:sz w:val="22"/>
          <w:szCs w:val="22"/>
        </w:rPr>
      </w:pPr>
    </w:p>
    <w:p w14:paraId="57BC4A1A" w14:textId="3E154594" w:rsidR="00C97D4C" w:rsidRDefault="00183E9D" w:rsidP="00B101EC">
      <w:pPr>
        <w:spacing w:line="360" w:lineRule="auto"/>
        <w:jc w:val="both"/>
        <w:rPr>
          <w:color w:val="000000" w:themeColor="text1"/>
          <w:sz w:val="22"/>
          <w:szCs w:val="22"/>
        </w:rPr>
      </w:pPr>
      <w:r w:rsidRPr="00183E9D">
        <w:rPr>
          <w:color w:val="000000" w:themeColor="text1"/>
          <w:sz w:val="22"/>
          <w:szCs w:val="22"/>
        </w:rPr>
        <w:t xml:space="preserve">Erickson, R. and O’Mara (1994) </w:t>
      </w:r>
      <w:r w:rsidRPr="00183E9D">
        <w:rPr>
          <w:i/>
          <w:color w:val="000000" w:themeColor="text1"/>
          <w:sz w:val="22"/>
          <w:szCs w:val="22"/>
        </w:rPr>
        <w:t>Dictionary of Western Australians. Vol. XI, Convicts in Western Australia 1850-1887</w:t>
      </w:r>
      <w:r w:rsidRPr="00183E9D">
        <w:rPr>
          <w:color w:val="000000" w:themeColor="text1"/>
          <w:sz w:val="22"/>
          <w:szCs w:val="22"/>
        </w:rPr>
        <w:t xml:space="preserve">, University of Western </w:t>
      </w:r>
      <w:proofErr w:type="gramStart"/>
      <w:r w:rsidRPr="00183E9D">
        <w:rPr>
          <w:color w:val="000000" w:themeColor="text1"/>
          <w:sz w:val="22"/>
          <w:szCs w:val="22"/>
        </w:rPr>
        <w:t>Australia  Press</w:t>
      </w:r>
      <w:proofErr w:type="gramEnd"/>
      <w:r w:rsidRPr="00183E9D">
        <w:rPr>
          <w:color w:val="000000" w:themeColor="text1"/>
          <w:sz w:val="22"/>
          <w:szCs w:val="22"/>
        </w:rPr>
        <w:t>.</w:t>
      </w:r>
    </w:p>
    <w:p w14:paraId="5E207C94" w14:textId="1F5810C2" w:rsidR="008B56A5" w:rsidRDefault="008B56A5" w:rsidP="00B101EC">
      <w:pPr>
        <w:spacing w:line="360" w:lineRule="auto"/>
        <w:jc w:val="both"/>
        <w:rPr>
          <w:color w:val="000000" w:themeColor="text1"/>
          <w:sz w:val="22"/>
          <w:szCs w:val="22"/>
        </w:rPr>
      </w:pPr>
    </w:p>
    <w:p w14:paraId="03451667" w14:textId="10030963" w:rsidR="008B56A5" w:rsidRPr="008B56A5" w:rsidRDefault="008B56A5" w:rsidP="00B101EC">
      <w:pPr>
        <w:pStyle w:val="Heading1"/>
        <w:spacing w:before="0" w:line="360" w:lineRule="auto"/>
        <w:rPr>
          <w:rFonts w:ascii="Times New Roman" w:hAnsi="Times New Roman" w:cs="Times New Roman"/>
          <w:i/>
          <w:color w:val="111111"/>
          <w:sz w:val="22"/>
          <w:szCs w:val="22"/>
        </w:rPr>
      </w:pPr>
      <w:proofErr w:type="spellStart"/>
      <w:r>
        <w:rPr>
          <w:rStyle w:val="a-size-large"/>
          <w:rFonts w:ascii="Times New Roman" w:hAnsi="Times New Roman" w:cs="Times New Roman"/>
          <w:color w:val="111111"/>
          <w:sz w:val="22"/>
          <w:szCs w:val="22"/>
        </w:rPr>
        <w:t>Farrall</w:t>
      </w:r>
      <w:proofErr w:type="spellEnd"/>
      <w:r>
        <w:rPr>
          <w:rStyle w:val="a-size-large"/>
          <w:rFonts w:ascii="Times New Roman" w:hAnsi="Times New Roman" w:cs="Times New Roman"/>
          <w:color w:val="111111"/>
          <w:sz w:val="22"/>
          <w:szCs w:val="22"/>
        </w:rPr>
        <w:t xml:space="preserve">, S. (2002) </w:t>
      </w:r>
      <w:r w:rsidRPr="008B56A5">
        <w:rPr>
          <w:rStyle w:val="a-size-large"/>
          <w:rFonts w:ascii="Times New Roman" w:hAnsi="Times New Roman" w:cs="Times New Roman"/>
          <w:i/>
          <w:color w:val="111111"/>
          <w:sz w:val="22"/>
          <w:szCs w:val="22"/>
        </w:rPr>
        <w:t xml:space="preserve">Rethinking What Works </w:t>
      </w:r>
      <w:proofErr w:type="gramStart"/>
      <w:r w:rsidRPr="008B56A5">
        <w:rPr>
          <w:rStyle w:val="a-size-large"/>
          <w:rFonts w:ascii="Times New Roman" w:hAnsi="Times New Roman" w:cs="Times New Roman"/>
          <w:i/>
          <w:color w:val="111111"/>
          <w:sz w:val="22"/>
          <w:szCs w:val="22"/>
        </w:rPr>
        <w:t>With</w:t>
      </w:r>
      <w:proofErr w:type="gramEnd"/>
      <w:r w:rsidRPr="008B56A5">
        <w:rPr>
          <w:rStyle w:val="a-size-large"/>
          <w:rFonts w:ascii="Times New Roman" w:hAnsi="Times New Roman" w:cs="Times New Roman"/>
          <w:i/>
          <w:color w:val="111111"/>
          <w:sz w:val="22"/>
          <w:szCs w:val="22"/>
        </w:rPr>
        <w:t xml:space="preserve"> Offenders: Probation, Social Context and Desistance from Crime</w:t>
      </w:r>
      <w:r>
        <w:rPr>
          <w:rStyle w:val="a-size-large"/>
          <w:rFonts w:ascii="Times New Roman" w:hAnsi="Times New Roman" w:cs="Times New Roman"/>
          <w:color w:val="111111"/>
          <w:sz w:val="22"/>
          <w:szCs w:val="22"/>
        </w:rPr>
        <w:t>, Routledge.</w:t>
      </w:r>
      <w:r w:rsidRPr="008B56A5">
        <w:rPr>
          <w:rStyle w:val="apple-converted-space"/>
          <w:rFonts w:ascii="Times New Roman" w:hAnsi="Times New Roman" w:cs="Times New Roman"/>
          <w:i/>
          <w:color w:val="111111"/>
          <w:sz w:val="22"/>
          <w:szCs w:val="22"/>
        </w:rPr>
        <w:t> </w:t>
      </w:r>
    </w:p>
    <w:p w14:paraId="25D1AB22" w14:textId="1B79A9A5" w:rsidR="00036484" w:rsidRDefault="00036484" w:rsidP="00B101EC">
      <w:pPr>
        <w:spacing w:line="360" w:lineRule="auto"/>
        <w:jc w:val="both"/>
        <w:rPr>
          <w:color w:val="000000" w:themeColor="text1"/>
          <w:sz w:val="22"/>
          <w:szCs w:val="22"/>
        </w:rPr>
      </w:pPr>
    </w:p>
    <w:p w14:paraId="34DBA57E" w14:textId="1110B009" w:rsidR="001B03C7" w:rsidRPr="001B03C7" w:rsidRDefault="001B03C7" w:rsidP="00B101EC">
      <w:pPr>
        <w:spacing w:line="360" w:lineRule="auto"/>
        <w:jc w:val="both"/>
        <w:rPr>
          <w:sz w:val="22"/>
          <w:szCs w:val="22"/>
        </w:rPr>
      </w:pPr>
      <w:r w:rsidRPr="001B03C7">
        <w:rPr>
          <w:sz w:val="22"/>
          <w:szCs w:val="22"/>
        </w:rPr>
        <w:t xml:space="preserve">Frost, L. and Maxwell-Stewart (2001) </w:t>
      </w:r>
      <w:r>
        <w:rPr>
          <w:i/>
          <w:sz w:val="22"/>
          <w:szCs w:val="22"/>
        </w:rPr>
        <w:t>Chain Letters. Narrating Convict L</w:t>
      </w:r>
      <w:r w:rsidRPr="001B03C7">
        <w:rPr>
          <w:i/>
          <w:sz w:val="22"/>
          <w:szCs w:val="22"/>
        </w:rPr>
        <w:t>ives</w:t>
      </w:r>
      <w:r w:rsidRPr="001B03C7">
        <w:rPr>
          <w:sz w:val="22"/>
          <w:szCs w:val="22"/>
        </w:rPr>
        <w:t>, Melbourne University Press.</w:t>
      </w:r>
    </w:p>
    <w:p w14:paraId="19825974" w14:textId="77777777" w:rsidR="00243627" w:rsidRDefault="00243627" w:rsidP="00B101EC">
      <w:pPr>
        <w:spacing w:line="360" w:lineRule="auto"/>
        <w:jc w:val="both"/>
        <w:rPr>
          <w:color w:val="000000" w:themeColor="text1"/>
          <w:sz w:val="22"/>
          <w:szCs w:val="22"/>
        </w:rPr>
      </w:pPr>
    </w:p>
    <w:p w14:paraId="0A7922C6" w14:textId="09DA5F30" w:rsidR="00594099" w:rsidRPr="00594099" w:rsidRDefault="00594099" w:rsidP="00B101EC">
      <w:pPr>
        <w:spacing w:line="360" w:lineRule="auto"/>
        <w:jc w:val="both"/>
        <w:rPr>
          <w:i/>
          <w:color w:val="000000" w:themeColor="text1"/>
          <w:sz w:val="22"/>
          <w:szCs w:val="22"/>
        </w:rPr>
      </w:pPr>
      <w:proofErr w:type="spellStart"/>
      <w:r w:rsidRPr="00594099">
        <w:rPr>
          <w:color w:val="000000" w:themeColor="text1"/>
          <w:sz w:val="22"/>
          <w:szCs w:val="22"/>
        </w:rPr>
        <w:t>Gertzel</w:t>
      </w:r>
      <w:proofErr w:type="spellEnd"/>
      <w:r w:rsidRPr="00594099">
        <w:rPr>
          <w:color w:val="000000" w:themeColor="text1"/>
          <w:sz w:val="22"/>
          <w:szCs w:val="22"/>
        </w:rPr>
        <w:t xml:space="preserve">, C. (1949) </w:t>
      </w:r>
      <w:r w:rsidRPr="00594099">
        <w:rPr>
          <w:i/>
          <w:color w:val="000000" w:themeColor="text1"/>
          <w:sz w:val="22"/>
          <w:szCs w:val="22"/>
        </w:rPr>
        <w:t>The Convict System in Western Australia</w:t>
      </w:r>
      <w:r w:rsidRPr="00594099">
        <w:rPr>
          <w:color w:val="000000" w:themeColor="text1"/>
          <w:sz w:val="22"/>
          <w:szCs w:val="22"/>
        </w:rPr>
        <w:t xml:space="preserve">, </w:t>
      </w:r>
      <w:r w:rsidRPr="00594099">
        <w:rPr>
          <w:i/>
          <w:color w:val="000000" w:themeColor="text1"/>
          <w:sz w:val="22"/>
          <w:szCs w:val="22"/>
        </w:rPr>
        <w:t>1850 – 1870</w:t>
      </w:r>
      <w:r w:rsidRPr="00594099">
        <w:rPr>
          <w:color w:val="000000" w:themeColor="text1"/>
          <w:sz w:val="22"/>
          <w:szCs w:val="22"/>
        </w:rPr>
        <w:t>’, unpublished dissertation, University of Western Australia.</w:t>
      </w:r>
    </w:p>
    <w:p w14:paraId="67D250F8" w14:textId="6437C6E4" w:rsidR="00594099" w:rsidRPr="00690BA6" w:rsidRDefault="00594099" w:rsidP="00B101EC">
      <w:pPr>
        <w:spacing w:line="360" w:lineRule="auto"/>
        <w:jc w:val="both"/>
        <w:rPr>
          <w:color w:val="000000" w:themeColor="text1"/>
          <w:sz w:val="22"/>
          <w:szCs w:val="22"/>
        </w:rPr>
      </w:pPr>
    </w:p>
    <w:p w14:paraId="5C5C5A62" w14:textId="25F65B1B" w:rsidR="00690BA6" w:rsidRPr="00690BA6" w:rsidRDefault="00690BA6" w:rsidP="00B101EC">
      <w:pPr>
        <w:spacing w:line="360" w:lineRule="auto"/>
        <w:jc w:val="both"/>
        <w:rPr>
          <w:color w:val="000000" w:themeColor="text1"/>
          <w:sz w:val="22"/>
          <w:szCs w:val="22"/>
        </w:rPr>
      </w:pPr>
      <w:r w:rsidRPr="00690BA6">
        <w:rPr>
          <w:color w:val="000000" w:themeColor="text1"/>
          <w:sz w:val="22"/>
          <w:szCs w:val="22"/>
        </w:rPr>
        <w:t>Gibbs, M. (2006) ‘The convict places of Western Australia’ in J. Sherriff and A. Brake (</w:t>
      </w:r>
      <w:proofErr w:type="spellStart"/>
      <w:r w:rsidRPr="00690BA6">
        <w:rPr>
          <w:color w:val="000000" w:themeColor="text1"/>
          <w:sz w:val="22"/>
          <w:szCs w:val="22"/>
        </w:rPr>
        <w:t>eds</w:t>
      </w:r>
      <w:proofErr w:type="spellEnd"/>
      <w:r w:rsidRPr="00690BA6">
        <w:rPr>
          <w:color w:val="000000" w:themeColor="text1"/>
          <w:sz w:val="22"/>
          <w:szCs w:val="22"/>
        </w:rPr>
        <w:t xml:space="preserve">) </w:t>
      </w:r>
      <w:r w:rsidRPr="00690BA6">
        <w:rPr>
          <w:i/>
          <w:color w:val="000000" w:themeColor="text1"/>
          <w:sz w:val="22"/>
          <w:szCs w:val="22"/>
        </w:rPr>
        <w:t>Building a Colony. The convict legacy</w:t>
      </w:r>
      <w:r w:rsidRPr="00690BA6">
        <w:rPr>
          <w:color w:val="000000" w:themeColor="text1"/>
          <w:sz w:val="22"/>
          <w:szCs w:val="22"/>
        </w:rPr>
        <w:t>, Studies in Western Australian History, 24.</w:t>
      </w:r>
    </w:p>
    <w:p w14:paraId="6740437E" w14:textId="77777777" w:rsidR="00690BA6" w:rsidRDefault="00690BA6" w:rsidP="00B101EC">
      <w:pPr>
        <w:spacing w:line="360" w:lineRule="auto"/>
        <w:jc w:val="both"/>
        <w:rPr>
          <w:color w:val="000000" w:themeColor="text1"/>
          <w:sz w:val="22"/>
          <w:szCs w:val="22"/>
        </w:rPr>
      </w:pPr>
    </w:p>
    <w:p w14:paraId="323BDAA6" w14:textId="58D070D5" w:rsidR="00036484" w:rsidRDefault="00036484" w:rsidP="00B101EC">
      <w:pPr>
        <w:spacing w:line="360" w:lineRule="auto"/>
        <w:jc w:val="both"/>
        <w:rPr>
          <w:color w:val="000000" w:themeColor="text1"/>
          <w:sz w:val="22"/>
          <w:szCs w:val="22"/>
        </w:rPr>
      </w:pPr>
      <w:r w:rsidRPr="00567C90">
        <w:rPr>
          <w:color w:val="000000" w:themeColor="text1"/>
          <w:sz w:val="22"/>
          <w:szCs w:val="22"/>
        </w:rPr>
        <w:t xml:space="preserve">Gill, A. (2004/16) </w:t>
      </w:r>
      <w:r w:rsidRPr="00567C90">
        <w:rPr>
          <w:i/>
          <w:color w:val="000000" w:themeColor="text1"/>
          <w:sz w:val="22"/>
          <w:szCs w:val="22"/>
        </w:rPr>
        <w:t>Convict Assignment in Western Australia, 1842-1851</w:t>
      </w:r>
      <w:r w:rsidRPr="00567C90">
        <w:rPr>
          <w:color w:val="000000" w:themeColor="text1"/>
          <w:sz w:val="22"/>
          <w:szCs w:val="22"/>
        </w:rPr>
        <w:t>, Hesperian Press.</w:t>
      </w:r>
    </w:p>
    <w:p w14:paraId="68CED4BA" w14:textId="61C3DD2D" w:rsidR="00495AA4" w:rsidRDefault="00495AA4" w:rsidP="00B101EC">
      <w:pPr>
        <w:spacing w:line="360" w:lineRule="auto"/>
        <w:jc w:val="both"/>
        <w:rPr>
          <w:color w:val="000000" w:themeColor="text1"/>
          <w:sz w:val="22"/>
          <w:szCs w:val="22"/>
        </w:rPr>
      </w:pPr>
    </w:p>
    <w:p w14:paraId="3208FFFC" w14:textId="50C93B87" w:rsidR="00495AA4" w:rsidRDefault="00495AA4" w:rsidP="00B101EC">
      <w:pPr>
        <w:spacing w:line="360" w:lineRule="auto"/>
        <w:jc w:val="both"/>
        <w:rPr>
          <w:color w:val="000000" w:themeColor="text1"/>
          <w:sz w:val="22"/>
          <w:szCs w:val="22"/>
        </w:rPr>
      </w:pPr>
      <w:r>
        <w:rPr>
          <w:color w:val="000000" w:themeColor="text1"/>
          <w:sz w:val="22"/>
          <w:szCs w:val="22"/>
        </w:rPr>
        <w:t xml:space="preserve">Godfrey, B. (2014) </w:t>
      </w:r>
      <w:r w:rsidRPr="002C3E3D">
        <w:rPr>
          <w:i/>
          <w:color w:val="000000" w:themeColor="text1"/>
          <w:sz w:val="22"/>
          <w:szCs w:val="22"/>
        </w:rPr>
        <w:t>Crime in England 1880-1945: The Rough, the Policed, and the Incarcerated</w:t>
      </w:r>
      <w:r>
        <w:rPr>
          <w:color w:val="000000" w:themeColor="text1"/>
          <w:sz w:val="22"/>
          <w:szCs w:val="22"/>
        </w:rPr>
        <w:t>, Routledge</w:t>
      </w:r>
      <w:r w:rsidRPr="00794AE7">
        <w:rPr>
          <w:color w:val="000000" w:themeColor="text1"/>
          <w:sz w:val="22"/>
          <w:szCs w:val="22"/>
        </w:rPr>
        <w:t>. </w:t>
      </w:r>
    </w:p>
    <w:p w14:paraId="38B56E95" w14:textId="23601728" w:rsidR="005A30A3" w:rsidRDefault="005A30A3" w:rsidP="00B101EC">
      <w:pPr>
        <w:spacing w:line="360" w:lineRule="auto"/>
        <w:jc w:val="both"/>
        <w:rPr>
          <w:color w:val="000000" w:themeColor="text1"/>
          <w:sz w:val="22"/>
          <w:szCs w:val="22"/>
        </w:rPr>
      </w:pPr>
    </w:p>
    <w:p w14:paraId="6D479434" w14:textId="55DE781E" w:rsidR="00843907" w:rsidRPr="00843907" w:rsidRDefault="00843907" w:rsidP="00B101EC">
      <w:pPr>
        <w:spacing w:line="360" w:lineRule="auto"/>
        <w:jc w:val="both"/>
        <w:rPr>
          <w:sz w:val="22"/>
          <w:szCs w:val="22"/>
        </w:rPr>
      </w:pPr>
      <w:r w:rsidRPr="00843907">
        <w:rPr>
          <w:sz w:val="22"/>
          <w:szCs w:val="22"/>
        </w:rPr>
        <w:t xml:space="preserve">Godfrey, B. Cox, D and </w:t>
      </w:r>
      <w:proofErr w:type="spellStart"/>
      <w:r w:rsidRPr="00843907">
        <w:rPr>
          <w:sz w:val="22"/>
          <w:szCs w:val="22"/>
        </w:rPr>
        <w:t>Farrall</w:t>
      </w:r>
      <w:proofErr w:type="spellEnd"/>
      <w:r w:rsidRPr="00843907">
        <w:rPr>
          <w:sz w:val="22"/>
          <w:szCs w:val="22"/>
        </w:rPr>
        <w:t>, S. (2007) Criminal Lives: Family, Employment and Offending, Oxford: Clarendon Series in Criminology, Oxford University Press.</w:t>
      </w:r>
    </w:p>
    <w:p w14:paraId="40514D75" w14:textId="77777777" w:rsidR="00843907" w:rsidRPr="00843907" w:rsidRDefault="00843907" w:rsidP="00B101EC">
      <w:pPr>
        <w:spacing w:line="360" w:lineRule="auto"/>
        <w:rPr>
          <w:sz w:val="22"/>
          <w:szCs w:val="22"/>
        </w:rPr>
      </w:pPr>
    </w:p>
    <w:p w14:paraId="299D566B" w14:textId="433A00A9" w:rsidR="00036484" w:rsidRPr="00843907" w:rsidRDefault="005511D3" w:rsidP="00B101EC">
      <w:pPr>
        <w:spacing w:line="360" w:lineRule="auto"/>
        <w:jc w:val="both"/>
        <w:rPr>
          <w:sz w:val="22"/>
          <w:szCs w:val="22"/>
        </w:rPr>
      </w:pPr>
      <w:r w:rsidRPr="00843907">
        <w:rPr>
          <w:sz w:val="22"/>
          <w:szCs w:val="22"/>
        </w:rPr>
        <w:t xml:space="preserve">Godfrey, B. and Cox, D. (2008) `The “Last Fleet”: Crime, Reformation, and Punishment in Western Australia after 1868’, </w:t>
      </w:r>
      <w:r w:rsidRPr="00843907">
        <w:rPr>
          <w:i/>
          <w:sz w:val="22"/>
          <w:szCs w:val="22"/>
        </w:rPr>
        <w:t>Australian and New Zealand Journal of Criminology</w:t>
      </w:r>
      <w:r w:rsidRPr="00843907">
        <w:rPr>
          <w:sz w:val="22"/>
          <w:szCs w:val="22"/>
        </w:rPr>
        <w:t>, 41, 2, pp.236-258</w:t>
      </w:r>
      <w:r w:rsidR="00C97D4C" w:rsidRPr="00843907">
        <w:rPr>
          <w:sz w:val="22"/>
          <w:szCs w:val="22"/>
        </w:rPr>
        <w:t>.</w:t>
      </w:r>
    </w:p>
    <w:p w14:paraId="23383DA5" w14:textId="3FA1AC26" w:rsidR="00C97D4C" w:rsidRPr="00843907" w:rsidRDefault="00C97D4C" w:rsidP="00B101EC">
      <w:pPr>
        <w:spacing w:line="360" w:lineRule="auto"/>
        <w:jc w:val="both"/>
        <w:rPr>
          <w:sz w:val="22"/>
          <w:szCs w:val="22"/>
        </w:rPr>
      </w:pPr>
    </w:p>
    <w:p w14:paraId="3855F30A" w14:textId="19DE3308" w:rsidR="00C97D4C" w:rsidRPr="00843907" w:rsidRDefault="00C97D4C" w:rsidP="00B101EC">
      <w:pPr>
        <w:spacing w:line="360" w:lineRule="auto"/>
        <w:jc w:val="both"/>
        <w:rPr>
          <w:sz w:val="22"/>
          <w:szCs w:val="22"/>
        </w:rPr>
      </w:pPr>
      <w:r w:rsidRPr="00843907">
        <w:rPr>
          <w:sz w:val="22"/>
          <w:szCs w:val="22"/>
        </w:rPr>
        <w:t xml:space="preserve">Godfrey, B. Cox, D. and </w:t>
      </w:r>
      <w:proofErr w:type="spellStart"/>
      <w:r w:rsidRPr="00843907">
        <w:rPr>
          <w:sz w:val="22"/>
          <w:szCs w:val="22"/>
        </w:rPr>
        <w:t>Farrall</w:t>
      </w:r>
      <w:proofErr w:type="spellEnd"/>
      <w:r w:rsidRPr="00843907">
        <w:rPr>
          <w:sz w:val="22"/>
          <w:szCs w:val="22"/>
        </w:rPr>
        <w:t xml:space="preserve">, S. (2010) </w:t>
      </w:r>
      <w:r w:rsidRPr="00843907">
        <w:rPr>
          <w:i/>
          <w:sz w:val="22"/>
          <w:szCs w:val="22"/>
        </w:rPr>
        <w:t>Serious Offenders. A Historical Study of Habitual Offenders</w:t>
      </w:r>
      <w:r w:rsidRPr="00843907">
        <w:rPr>
          <w:sz w:val="22"/>
          <w:szCs w:val="22"/>
        </w:rPr>
        <w:t>, Clarendon Series in Criminology, Oxford University Press, pp.272.</w:t>
      </w:r>
    </w:p>
    <w:p w14:paraId="5B112BA6" w14:textId="77777777" w:rsidR="00843907" w:rsidRPr="00843907" w:rsidRDefault="00843907" w:rsidP="00B101EC">
      <w:pPr>
        <w:spacing w:line="360" w:lineRule="auto"/>
        <w:jc w:val="both"/>
        <w:rPr>
          <w:sz w:val="22"/>
          <w:szCs w:val="22"/>
        </w:rPr>
      </w:pPr>
    </w:p>
    <w:p w14:paraId="50924C02" w14:textId="177ABF7F" w:rsidR="00843907" w:rsidRPr="00843907" w:rsidRDefault="00843907" w:rsidP="00B101EC">
      <w:pPr>
        <w:spacing w:line="360" w:lineRule="auto"/>
        <w:jc w:val="both"/>
        <w:rPr>
          <w:sz w:val="22"/>
          <w:szCs w:val="22"/>
        </w:rPr>
      </w:pPr>
      <w:r w:rsidRPr="00843907">
        <w:rPr>
          <w:sz w:val="22"/>
          <w:szCs w:val="22"/>
        </w:rPr>
        <w:t xml:space="preserve">Godfrey, B., Cox, P, Shore, H. and Alker, Z. (2017) Young Criminal Lives: Life Courses and Life Chances after 1850, Clarendon Series in Criminology, Oxford University Press. </w:t>
      </w:r>
    </w:p>
    <w:p w14:paraId="53EA4511" w14:textId="77777777" w:rsidR="00114F97" w:rsidRPr="00843907" w:rsidRDefault="00114F97" w:rsidP="00B101EC">
      <w:pPr>
        <w:spacing w:line="360" w:lineRule="auto"/>
        <w:jc w:val="both"/>
        <w:rPr>
          <w:sz w:val="22"/>
          <w:szCs w:val="22"/>
        </w:rPr>
      </w:pPr>
    </w:p>
    <w:p w14:paraId="3D3FEA45" w14:textId="779EFEAE" w:rsidR="00036484" w:rsidRPr="00843907" w:rsidRDefault="00036484" w:rsidP="00B101EC">
      <w:pPr>
        <w:spacing w:line="360" w:lineRule="auto"/>
        <w:jc w:val="both"/>
        <w:rPr>
          <w:sz w:val="20"/>
          <w:szCs w:val="20"/>
        </w:rPr>
      </w:pPr>
      <w:proofErr w:type="spellStart"/>
      <w:r w:rsidRPr="00843907">
        <w:rPr>
          <w:sz w:val="22"/>
          <w:szCs w:val="22"/>
        </w:rPr>
        <w:t>Handforth</w:t>
      </w:r>
      <w:proofErr w:type="spellEnd"/>
      <w:r w:rsidRPr="00843907">
        <w:rPr>
          <w:sz w:val="22"/>
          <w:szCs w:val="22"/>
        </w:rPr>
        <w:t xml:space="preserve">, P. (2018) ‘Criminal prosecutions in Western Australia: A view from the nineteenth century’, </w:t>
      </w:r>
      <w:r w:rsidRPr="00843907">
        <w:rPr>
          <w:i/>
          <w:sz w:val="22"/>
          <w:szCs w:val="22"/>
        </w:rPr>
        <w:t>University</w:t>
      </w:r>
      <w:r w:rsidRPr="00843907">
        <w:rPr>
          <w:i/>
          <w:sz w:val="20"/>
          <w:szCs w:val="20"/>
        </w:rPr>
        <w:t xml:space="preserve"> of Western Australia Law Review</w:t>
      </w:r>
      <w:r w:rsidRPr="00843907">
        <w:rPr>
          <w:sz w:val="20"/>
          <w:szCs w:val="20"/>
        </w:rPr>
        <w:t>, 43, 1, January, pp143-71</w:t>
      </w:r>
    </w:p>
    <w:p w14:paraId="3434B968" w14:textId="753FA4A8" w:rsidR="00EF5B1C" w:rsidRPr="00843907" w:rsidRDefault="00EF5B1C" w:rsidP="00B101EC">
      <w:pPr>
        <w:spacing w:line="360" w:lineRule="auto"/>
        <w:jc w:val="both"/>
        <w:rPr>
          <w:color w:val="000000" w:themeColor="text1"/>
          <w:sz w:val="20"/>
          <w:szCs w:val="20"/>
        </w:rPr>
      </w:pPr>
    </w:p>
    <w:p w14:paraId="4F03C1DB" w14:textId="6E4D555F" w:rsidR="00B47EF2" w:rsidRPr="00594099" w:rsidRDefault="00B47EF2" w:rsidP="00B101EC">
      <w:pPr>
        <w:spacing w:line="360" w:lineRule="auto"/>
        <w:jc w:val="both"/>
        <w:rPr>
          <w:color w:val="000000" w:themeColor="text1"/>
          <w:sz w:val="22"/>
          <w:szCs w:val="22"/>
        </w:rPr>
      </w:pPr>
      <w:proofErr w:type="spellStart"/>
      <w:r w:rsidRPr="00594099">
        <w:rPr>
          <w:color w:val="000000" w:themeColor="text1"/>
          <w:sz w:val="22"/>
          <w:szCs w:val="22"/>
        </w:rPr>
        <w:t>Hasluck</w:t>
      </w:r>
      <w:proofErr w:type="spellEnd"/>
      <w:r w:rsidRPr="00594099">
        <w:rPr>
          <w:color w:val="000000" w:themeColor="text1"/>
          <w:sz w:val="22"/>
          <w:szCs w:val="22"/>
        </w:rPr>
        <w:t xml:space="preserve">, A. (1959) </w:t>
      </w:r>
      <w:r w:rsidRPr="00594099">
        <w:rPr>
          <w:i/>
          <w:color w:val="000000" w:themeColor="text1"/>
          <w:sz w:val="22"/>
          <w:szCs w:val="22"/>
        </w:rPr>
        <w:t>Unwilling Emigrants: A Study of the Convict Period in Western Australia</w:t>
      </w:r>
      <w:r w:rsidRPr="00594099">
        <w:rPr>
          <w:color w:val="000000" w:themeColor="text1"/>
          <w:sz w:val="22"/>
          <w:szCs w:val="22"/>
        </w:rPr>
        <w:t>, OUP, 1959.</w:t>
      </w:r>
    </w:p>
    <w:p w14:paraId="6BDC4E21" w14:textId="733A27D3" w:rsidR="00B47EF2" w:rsidRPr="00676B54" w:rsidRDefault="00B47EF2" w:rsidP="00B101EC">
      <w:pPr>
        <w:spacing w:line="360" w:lineRule="auto"/>
        <w:jc w:val="both"/>
        <w:rPr>
          <w:color w:val="FF0000"/>
          <w:sz w:val="22"/>
          <w:szCs w:val="22"/>
        </w:rPr>
      </w:pPr>
    </w:p>
    <w:p w14:paraId="31B0188C" w14:textId="6C406000" w:rsidR="00690BA6" w:rsidRPr="00690BA6" w:rsidRDefault="00690BA6" w:rsidP="00B101EC">
      <w:pPr>
        <w:spacing w:line="360" w:lineRule="auto"/>
        <w:jc w:val="both"/>
        <w:rPr>
          <w:color w:val="000000" w:themeColor="text1"/>
          <w:sz w:val="22"/>
          <w:szCs w:val="22"/>
        </w:rPr>
      </w:pPr>
      <w:r w:rsidRPr="00690BA6">
        <w:rPr>
          <w:color w:val="000000" w:themeColor="text1"/>
          <w:sz w:val="22"/>
          <w:szCs w:val="22"/>
        </w:rPr>
        <w:t xml:space="preserve">Hughes, R. (1987) </w:t>
      </w:r>
      <w:r w:rsidRPr="00690BA6">
        <w:rPr>
          <w:i/>
          <w:color w:val="000000" w:themeColor="text1"/>
          <w:sz w:val="22"/>
          <w:szCs w:val="22"/>
        </w:rPr>
        <w:t>The Fatal Shore. A history of transportation of convicts to Australia 1787-1868</w:t>
      </w:r>
      <w:r w:rsidRPr="00690BA6">
        <w:rPr>
          <w:color w:val="000000" w:themeColor="text1"/>
          <w:sz w:val="22"/>
          <w:szCs w:val="22"/>
        </w:rPr>
        <w:t>, Collins Harvill.</w:t>
      </w:r>
    </w:p>
    <w:p w14:paraId="352E9DAE" w14:textId="6862016C" w:rsidR="00036484" w:rsidRDefault="00036484" w:rsidP="00B101EC">
      <w:pPr>
        <w:spacing w:line="360" w:lineRule="auto"/>
        <w:jc w:val="both"/>
        <w:rPr>
          <w:color w:val="000000" w:themeColor="text1"/>
          <w:sz w:val="22"/>
          <w:szCs w:val="22"/>
        </w:rPr>
      </w:pPr>
    </w:p>
    <w:p w14:paraId="1977DCA4" w14:textId="6A96C2CC" w:rsidR="001B03C7" w:rsidRDefault="001B03C7" w:rsidP="00B101EC">
      <w:pPr>
        <w:spacing w:line="360" w:lineRule="auto"/>
        <w:jc w:val="both"/>
        <w:rPr>
          <w:sz w:val="22"/>
          <w:szCs w:val="22"/>
        </w:rPr>
      </w:pPr>
      <w:r w:rsidRPr="001B03C7">
        <w:rPr>
          <w:sz w:val="22"/>
          <w:szCs w:val="22"/>
        </w:rPr>
        <w:t xml:space="preserve">Hyland, T. (2004) </w:t>
      </w:r>
      <w:r w:rsidRPr="001B03C7">
        <w:rPr>
          <w:i/>
          <w:sz w:val="22"/>
          <w:szCs w:val="22"/>
        </w:rPr>
        <w:t xml:space="preserve">Thanks a lot, Guv! The stories of 8 convicts, from trial in England to detention and freedom in Van </w:t>
      </w:r>
      <w:proofErr w:type="spellStart"/>
      <w:r w:rsidRPr="001B03C7">
        <w:rPr>
          <w:i/>
          <w:sz w:val="22"/>
          <w:szCs w:val="22"/>
        </w:rPr>
        <w:t>Dieman’s</w:t>
      </w:r>
      <w:proofErr w:type="spellEnd"/>
      <w:r w:rsidRPr="001B03C7">
        <w:rPr>
          <w:i/>
          <w:sz w:val="22"/>
          <w:szCs w:val="22"/>
        </w:rPr>
        <w:t xml:space="preserve"> Land</w:t>
      </w:r>
      <w:r w:rsidRPr="001B03C7">
        <w:rPr>
          <w:sz w:val="22"/>
          <w:szCs w:val="22"/>
        </w:rPr>
        <w:t>, T. Garth Hyland Press.</w:t>
      </w:r>
    </w:p>
    <w:p w14:paraId="0C0E1F1A" w14:textId="14CBDBB3" w:rsidR="00495AA4" w:rsidRDefault="00495AA4" w:rsidP="00B101EC">
      <w:pPr>
        <w:spacing w:line="360" w:lineRule="auto"/>
        <w:jc w:val="both"/>
        <w:rPr>
          <w:sz w:val="22"/>
          <w:szCs w:val="22"/>
        </w:rPr>
      </w:pPr>
    </w:p>
    <w:p w14:paraId="4B97F6C0" w14:textId="16A71815" w:rsidR="00495AA4" w:rsidRDefault="00495AA4" w:rsidP="00B101EC">
      <w:pPr>
        <w:spacing w:line="360" w:lineRule="auto"/>
        <w:jc w:val="both"/>
        <w:rPr>
          <w:color w:val="000000" w:themeColor="text1"/>
          <w:sz w:val="22"/>
          <w:szCs w:val="22"/>
        </w:rPr>
      </w:pPr>
      <w:r w:rsidRPr="00794AE7">
        <w:rPr>
          <w:color w:val="000000" w:themeColor="text1"/>
          <w:sz w:val="22"/>
          <w:szCs w:val="22"/>
        </w:rPr>
        <w:t xml:space="preserve">Jeffrey, M. (1893) </w:t>
      </w:r>
      <w:r w:rsidRPr="002C3E3D">
        <w:rPr>
          <w:i/>
          <w:color w:val="000000" w:themeColor="text1"/>
          <w:sz w:val="22"/>
          <w:szCs w:val="22"/>
        </w:rPr>
        <w:t>A Burglar's life; or, The stirring adventures of the great English burglar, Mark Jeffrey: A thrilling history of the dark days of convictism in Australia</w:t>
      </w:r>
      <w:r w:rsidR="00CE21E8">
        <w:rPr>
          <w:color w:val="000000" w:themeColor="text1"/>
          <w:sz w:val="22"/>
          <w:szCs w:val="22"/>
        </w:rPr>
        <w:t xml:space="preserve">, </w:t>
      </w:r>
      <w:r w:rsidRPr="00794AE7">
        <w:rPr>
          <w:color w:val="000000" w:themeColor="text1"/>
          <w:sz w:val="22"/>
          <w:szCs w:val="22"/>
        </w:rPr>
        <w:t xml:space="preserve">J </w:t>
      </w:r>
      <w:proofErr w:type="spellStart"/>
      <w:r w:rsidRPr="00794AE7">
        <w:rPr>
          <w:color w:val="000000" w:themeColor="text1"/>
          <w:sz w:val="22"/>
          <w:szCs w:val="22"/>
        </w:rPr>
        <w:t>Walch</w:t>
      </w:r>
      <w:proofErr w:type="spellEnd"/>
      <w:r w:rsidRPr="00794AE7">
        <w:rPr>
          <w:color w:val="000000" w:themeColor="text1"/>
          <w:sz w:val="22"/>
          <w:szCs w:val="22"/>
        </w:rPr>
        <w:t xml:space="preserve"> and Sons</w:t>
      </w:r>
      <w:r>
        <w:rPr>
          <w:color w:val="000000" w:themeColor="text1"/>
          <w:sz w:val="22"/>
          <w:szCs w:val="22"/>
        </w:rPr>
        <w:t>.</w:t>
      </w:r>
    </w:p>
    <w:p w14:paraId="6BB81ECB" w14:textId="3D59E98D" w:rsidR="00495AA4" w:rsidRPr="001B03C7" w:rsidRDefault="00495AA4" w:rsidP="00B101EC">
      <w:pPr>
        <w:spacing w:line="360" w:lineRule="auto"/>
        <w:jc w:val="both"/>
        <w:rPr>
          <w:sz w:val="22"/>
          <w:szCs w:val="22"/>
        </w:rPr>
      </w:pPr>
    </w:p>
    <w:p w14:paraId="76E703E3" w14:textId="61D6BD18" w:rsidR="005511D3" w:rsidRPr="005511D3" w:rsidRDefault="005511D3" w:rsidP="00B101EC">
      <w:pPr>
        <w:spacing w:line="360" w:lineRule="auto"/>
        <w:jc w:val="both"/>
        <w:rPr>
          <w:sz w:val="22"/>
          <w:szCs w:val="22"/>
        </w:rPr>
      </w:pPr>
      <w:r w:rsidRPr="005511D3">
        <w:rPr>
          <w:sz w:val="22"/>
          <w:szCs w:val="22"/>
        </w:rPr>
        <w:t xml:space="preserve">Johnston, H, Godfrey, B, Cox, D. and Turner J. (2013) Reconstructing Prison Lives: Criminal Lives in the Digital Age, </w:t>
      </w:r>
      <w:r w:rsidRPr="005511D3">
        <w:rPr>
          <w:i/>
          <w:sz w:val="22"/>
          <w:szCs w:val="22"/>
        </w:rPr>
        <w:t xml:space="preserve">Prison Services Journal, </w:t>
      </w:r>
      <w:r>
        <w:rPr>
          <w:sz w:val="22"/>
          <w:szCs w:val="22"/>
          <w:lang w:val="en-US"/>
        </w:rPr>
        <w:t xml:space="preserve">210. </w:t>
      </w:r>
    </w:p>
    <w:p w14:paraId="00CA350E" w14:textId="77777777" w:rsidR="00E929F6" w:rsidRPr="005511D3" w:rsidRDefault="00E929F6" w:rsidP="00B101EC">
      <w:pPr>
        <w:spacing w:line="360" w:lineRule="auto"/>
        <w:jc w:val="both"/>
        <w:rPr>
          <w:color w:val="000000" w:themeColor="text1"/>
          <w:sz w:val="22"/>
          <w:szCs w:val="22"/>
        </w:rPr>
      </w:pPr>
    </w:p>
    <w:p w14:paraId="580B3C58" w14:textId="4DC0118D" w:rsidR="00036484" w:rsidRDefault="00036484" w:rsidP="00B101EC">
      <w:pPr>
        <w:spacing w:line="360" w:lineRule="auto"/>
        <w:jc w:val="both"/>
        <w:rPr>
          <w:color w:val="000000" w:themeColor="text1"/>
          <w:sz w:val="22"/>
          <w:szCs w:val="22"/>
        </w:rPr>
      </w:pPr>
      <w:r>
        <w:rPr>
          <w:color w:val="000000" w:themeColor="text1"/>
          <w:sz w:val="22"/>
          <w:szCs w:val="22"/>
        </w:rPr>
        <w:t xml:space="preserve">Johnston, H. (2015) </w:t>
      </w:r>
      <w:r w:rsidRPr="00574707">
        <w:rPr>
          <w:i/>
          <w:color w:val="000000" w:themeColor="text1"/>
          <w:sz w:val="22"/>
          <w:szCs w:val="22"/>
        </w:rPr>
        <w:t xml:space="preserve">Crime </w:t>
      </w:r>
      <w:r>
        <w:rPr>
          <w:i/>
          <w:color w:val="000000" w:themeColor="text1"/>
          <w:sz w:val="22"/>
          <w:szCs w:val="22"/>
        </w:rPr>
        <w:t>in England, 1815-</w:t>
      </w:r>
      <w:r w:rsidRPr="00574707">
        <w:rPr>
          <w:i/>
          <w:color w:val="000000" w:themeColor="text1"/>
          <w:sz w:val="22"/>
          <w:szCs w:val="22"/>
        </w:rPr>
        <w:t>1880</w:t>
      </w:r>
      <w:r>
        <w:rPr>
          <w:i/>
          <w:color w:val="000000" w:themeColor="text1"/>
          <w:sz w:val="22"/>
          <w:szCs w:val="22"/>
        </w:rPr>
        <w:t>. Experiencing the criminal justice system</w:t>
      </w:r>
      <w:r>
        <w:rPr>
          <w:color w:val="000000" w:themeColor="text1"/>
          <w:sz w:val="22"/>
          <w:szCs w:val="22"/>
        </w:rPr>
        <w:t>, Routledge</w:t>
      </w:r>
      <w:r w:rsidR="00CE21E8">
        <w:rPr>
          <w:color w:val="000000" w:themeColor="text1"/>
          <w:sz w:val="22"/>
          <w:szCs w:val="22"/>
        </w:rPr>
        <w:t>.</w:t>
      </w:r>
      <w:r>
        <w:rPr>
          <w:color w:val="000000" w:themeColor="text1"/>
          <w:sz w:val="22"/>
          <w:szCs w:val="22"/>
        </w:rPr>
        <w:t xml:space="preserve"> </w:t>
      </w:r>
    </w:p>
    <w:p w14:paraId="0E112054" w14:textId="50CC4EA8" w:rsidR="00036484" w:rsidRDefault="00036484" w:rsidP="00B101EC">
      <w:pPr>
        <w:spacing w:line="360" w:lineRule="auto"/>
        <w:jc w:val="both"/>
        <w:rPr>
          <w:sz w:val="22"/>
          <w:szCs w:val="22"/>
        </w:rPr>
      </w:pPr>
    </w:p>
    <w:p w14:paraId="4141253F" w14:textId="1DBBD0B1" w:rsidR="0023658C" w:rsidRPr="0023658C" w:rsidRDefault="0023658C" w:rsidP="00B101EC">
      <w:pPr>
        <w:spacing w:line="360" w:lineRule="auto"/>
        <w:jc w:val="both"/>
        <w:rPr>
          <w:sz w:val="22"/>
          <w:szCs w:val="22"/>
        </w:rPr>
      </w:pPr>
      <w:r w:rsidRPr="0023658C">
        <w:rPr>
          <w:sz w:val="22"/>
          <w:szCs w:val="22"/>
        </w:rPr>
        <w:lastRenderedPageBreak/>
        <w:t xml:space="preserve">Kercher, B. (1995) </w:t>
      </w:r>
      <w:r w:rsidRPr="0023658C">
        <w:rPr>
          <w:i/>
          <w:sz w:val="22"/>
          <w:szCs w:val="22"/>
        </w:rPr>
        <w:t>An Unruly Child. A History of Law in Australia</w:t>
      </w:r>
      <w:r w:rsidRPr="0023658C">
        <w:rPr>
          <w:sz w:val="22"/>
          <w:szCs w:val="22"/>
        </w:rPr>
        <w:t>, Allen and Unwin.</w:t>
      </w:r>
    </w:p>
    <w:p w14:paraId="64A24BC1" w14:textId="7B3EBE92" w:rsidR="0023658C" w:rsidRDefault="0023658C" w:rsidP="00B101EC">
      <w:pPr>
        <w:spacing w:line="360" w:lineRule="auto"/>
        <w:jc w:val="both"/>
        <w:rPr>
          <w:sz w:val="22"/>
          <w:szCs w:val="22"/>
        </w:rPr>
      </w:pPr>
    </w:p>
    <w:p w14:paraId="06A40B1D" w14:textId="217AF353" w:rsidR="00E47217" w:rsidRPr="00E47217" w:rsidRDefault="00E47217" w:rsidP="00B101EC">
      <w:pPr>
        <w:spacing w:line="360" w:lineRule="auto"/>
        <w:jc w:val="both"/>
        <w:rPr>
          <w:color w:val="000000" w:themeColor="text1"/>
          <w:sz w:val="22"/>
          <w:szCs w:val="22"/>
        </w:rPr>
      </w:pPr>
      <w:r>
        <w:rPr>
          <w:color w:val="000000" w:themeColor="text1"/>
          <w:sz w:val="22"/>
          <w:szCs w:val="22"/>
        </w:rPr>
        <w:t>Kerr, J</w:t>
      </w:r>
      <w:r w:rsidRPr="00E47217">
        <w:rPr>
          <w:color w:val="000000" w:themeColor="text1"/>
          <w:sz w:val="22"/>
          <w:szCs w:val="22"/>
        </w:rPr>
        <w:t xml:space="preserve">. </w:t>
      </w:r>
      <w:r>
        <w:rPr>
          <w:color w:val="000000" w:themeColor="text1"/>
          <w:sz w:val="22"/>
          <w:szCs w:val="22"/>
        </w:rPr>
        <w:t>(</w:t>
      </w:r>
      <w:r w:rsidRPr="00E47217">
        <w:rPr>
          <w:color w:val="000000" w:themeColor="text1"/>
          <w:sz w:val="22"/>
          <w:szCs w:val="22"/>
        </w:rPr>
        <w:t>1984</w:t>
      </w:r>
      <w:r>
        <w:rPr>
          <w:color w:val="000000" w:themeColor="text1"/>
          <w:sz w:val="22"/>
          <w:szCs w:val="22"/>
        </w:rPr>
        <w:t xml:space="preserve">) </w:t>
      </w:r>
      <w:r w:rsidRPr="00E47217">
        <w:rPr>
          <w:i/>
          <w:color w:val="000000" w:themeColor="text1"/>
          <w:sz w:val="22"/>
          <w:szCs w:val="22"/>
        </w:rPr>
        <w:t>Design for Convicts</w:t>
      </w:r>
      <w:r>
        <w:rPr>
          <w:color w:val="000000" w:themeColor="text1"/>
          <w:sz w:val="22"/>
          <w:szCs w:val="22"/>
        </w:rPr>
        <w:t>,</w:t>
      </w:r>
      <w:r w:rsidRPr="00E47217">
        <w:rPr>
          <w:color w:val="000000" w:themeColor="text1"/>
          <w:sz w:val="22"/>
          <w:szCs w:val="22"/>
        </w:rPr>
        <w:t xml:space="preserve"> Sydney: Library of Australian History.</w:t>
      </w:r>
    </w:p>
    <w:p w14:paraId="7EF26F45" w14:textId="77777777" w:rsidR="00E47217" w:rsidRDefault="00E47217" w:rsidP="00B101EC">
      <w:pPr>
        <w:spacing w:line="360" w:lineRule="auto"/>
        <w:jc w:val="both"/>
        <w:rPr>
          <w:sz w:val="22"/>
          <w:szCs w:val="22"/>
        </w:rPr>
      </w:pPr>
    </w:p>
    <w:p w14:paraId="4216EFA9" w14:textId="723551A5" w:rsidR="00036484" w:rsidRPr="0045458C" w:rsidRDefault="00036484" w:rsidP="00B101EC">
      <w:pPr>
        <w:spacing w:line="360" w:lineRule="auto"/>
        <w:jc w:val="both"/>
        <w:rPr>
          <w:sz w:val="22"/>
          <w:szCs w:val="22"/>
        </w:rPr>
      </w:pPr>
      <w:r w:rsidRPr="0045458C">
        <w:rPr>
          <w:sz w:val="22"/>
          <w:szCs w:val="22"/>
        </w:rPr>
        <w:t xml:space="preserve">Kingston, B. (1988) </w:t>
      </w:r>
      <w:r w:rsidRPr="0045458C">
        <w:rPr>
          <w:i/>
          <w:sz w:val="22"/>
          <w:szCs w:val="22"/>
        </w:rPr>
        <w:t>The Oxford History of Australia, Volume Three: 1860-1900</w:t>
      </w:r>
      <w:r w:rsidRPr="0045458C">
        <w:rPr>
          <w:sz w:val="22"/>
          <w:szCs w:val="22"/>
        </w:rPr>
        <w:t>, Oxford University Press.</w:t>
      </w:r>
    </w:p>
    <w:p w14:paraId="095D998B" w14:textId="77777777" w:rsidR="00CC5D82" w:rsidRDefault="00CC5D82" w:rsidP="00B101EC">
      <w:pPr>
        <w:spacing w:line="360" w:lineRule="auto"/>
        <w:jc w:val="both"/>
        <w:rPr>
          <w:color w:val="000000" w:themeColor="text1"/>
          <w:sz w:val="22"/>
          <w:szCs w:val="22"/>
        </w:rPr>
      </w:pPr>
    </w:p>
    <w:p w14:paraId="7C094C67" w14:textId="26C1594F" w:rsidR="00CC5D82" w:rsidRDefault="00CC5D82" w:rsidP="00B101EC">
      <w:pPr>
        <w:spacing w:line="360" w:lineRule="auto"/>
        <w:jc w:val="both"/>
        <w:rPr>
          <w:sz w:val="22"/>
          <w:szCs w:val="22"/>
        </w:rPr>
      </w:pPr>
      <w:r w:rsidRPr="00CC5D82">
        <w:rPr>
          <w:color w:val="000000" w:themeColor="text1"/>
          <w:sz w:val="22"/>
          <w:szCs w:val="22"/>
        </w:rPr>
        <w:t>Marshall, L. (2018)</w:t>
      </w:r>
      <w:r w:rsidRPr="00CC5D82">
        <w:rPr>
          <w:b/>
          <w:color w:val="000000" w:themeColor="text1"/>
          <w:sz w:val="22"/>
          <w:szCs w:val="22"/>
        </w:rPr>
        <w:t xml:space="preserve"> </w:t>
      </w:r>
      <w:r w:rsidRPr="00CC5D82">
        <w:rPr>
          <w:color w:val="000000" w:themeColor="text1"/>
          <w:sz w:val="22"/>
          <w:szCs w:val="22"/>
        </w:rPr>
        <w:t xml:space="preserve">‘Surviving the Colony: The Impact of the Western Australian Convict System on </w:t>
      </w:r>
      <w:r w:rsidRPr="00B27CE8">
        <w:rPr>
          <w:sz w:val="22"/>
          <w:szCs w:val="22"/>
        </w:rPr>
        <w:t xml:space="preserve">prisoner health, 1850-1877’, </w:t>
      </w:r>
      <w:r>
        <w:rPr>
          <w:sz w:val="22"/>
          <w:szCs w:val="22"/>
        </w:rPr>
        <w:t xml:space="preserve">unpublished PhD thesis, </w:t>
      </w:r>
      <w:r w:rsidRPr="00B27CE8">
        <w:rPr>
          <w:sz w:val="22"/>
          <w:szCs w:val="22"/>
        </w:rPr>
        <w:t>U</w:t>
      </w:r>
      <w:r>
        <w:rPr>
          <w:sz w:val="22"/>
          <w:szCs w:val="22"/>
        </w:rPr>
        <w:t xml:space="preserve">niversity of </w:t>
      </w:r>
      <w:r w:rsidRPr="00B27CE8">
        <w:rPr>
          <w:sz w:val="22"/>
          <w:szCs w:val="22"/>
        </w:rPr>
        <w:t>W</w:t>
      </w:r>
      <w:r>
        <w:rPr>
          <w:sz w:val="22"/>
          <w:szCs w:val="22"/>
        </w:rPr>
        <w:t xml:space="preserve">estern </w:t>
      </w:r>
      <w:r w:rsidRPr="00B27CE8">
        <w:rPr>
          <w:sz w:val="22"/>
          <w:szCs w:val="22"/>
        </w:rPr>
        <w:t>A</w:t>
      </w:r>
      <w:r>
        <w:rPr>
          <w:sz w:val="22"/>
          <w:szCs w:val="22"/>
        </w:rPr>
        <w:t>ustralia.</w:t>
      </w:r>
    </w:p>
    <w:p w14:paraId="628BFDF8" w14:textId="77777777" w:rsidR="00CC5D82" w:rsidRDefault="00CC5D82" w:rsidP="00B101EC">
      <w:pPr>
        <w:spacing w:line="360" w:lineRule="auto"/>
        <w:jc w:val="both"/>
        <w:rPr>
          <w:color w:val="000000" w:themeColor="text1"/>
          <w:sz w:val="22"/>
          <w:szCs w:val="22"/>
        </w:rPr>
      </w:pPr>
    </w:p>
    <w:p w14:paraId="795CBCC0" w14:textId="77777777" w:rsidR="007333BF" w:rsidRPr="007333BF" w:rsidRDefault="007333BF" w:rsidP="00B101EC">
      <w:pPr>
        <w:spacing w:line="360" w:lineRule="auto"/>
        <w:jc w:val="both"/>
        <w:rPr>
          <w:sz w:val="22"/>
          <w:szCs w:val="22"/>
        </w:rPr>
      </w:pPr>
      <w:r w:rsidRPr="007333BF">
        <w:rPr>
          <w:sz w:val="22"/>
          <w:szCs w:val="22"/>
        </w:rPr>
        <w:t xml:space="preserve">Maxwell-Stewart, H. and Hood, S. (2001) </w:t>
      </w:r>
      <w:r w:rsidRPr="007333BF">
        <w:rPr>
          <w:i/>
          <w:sz w:val="22"/>
          <w:szCs w:val="22"/>
        </w:rPr>
        <w:t>Pack of Thieves? 52 Port Arthur Lives</w:t>
      </w:r>
      <w:r w:rsidRPr="007333BF">
        <w:rPr>
          <w:sz w:val="22"/>
          <w:szCs w:val="22"/>
        </w:rPr>
        <w:t>, Port Arthur Historic Site Management Authority, Port Arthur.</w:t>
      </w:r>
    </w:p>
    <w:p w14:paraId="06FCEDA2" w14:textId="77777777" w:rsidR="00243627" w:rsidRDefault="00243627" w:rsidP="00B101EC">
      <w:pPr>
        <w:spacing w:line="360" w:lineRule="auto"/>
        <w:jc w:val="both"/>
        <w:rPr>
          <w:color w:val="000000" w:themeColor="text1"/>
          <w:sz w:val="22"/>
          <w:szCs w:val="22"/>
        </w:rPr>
      </w:pPr>
    </w:p>
    <w:p w14:paraId="186F3F8C" w14:textId="01865CA6" w:rsidR="00FB0841" w:rsidRPr="007333BF" w:rsidRDefault="00FB0841" w:rsidP="00B101EC">
      <w:pPr>
        <w:spacing w:line="360" w:lineRule="auto"/>
        <w:rPr>
          <w:color w:val="000000" w:themeColor="text1"/>
          <w:sz w:val="22"/>
          <w:szCs w:val="22"/>
        </w:rPr>
      </w:pPr>
      <w:r w:rsidRPr="007333BF">
        <w:rPr>
          <w:color w:val="000000" w:themeColor="text1"/>
          <w:sz w:val="22"/>
          <w:szCs w:val="22"/>
          <w:shd w:val="clear" w:color="auto" w:fill="FFFFFF"/>
        </w:rPr>
        <w:t>Maxwell-Stewart, H. (2008) </w:t>
      </w:r>
      <w:r w:rsidRPr="007333BF">
        <w:rPr>
          <w:bCs/>
          <w:i/>
          <w:color w:val="000000" w:themeColor="text1"/>
          <w:sz w:val="22"/>
          <w:szCs w:val="22"/>
        </w:rPr>
        <w:t>Closing Hell’s Gates. The Death of a Convict Station</w:t>
      </w:r>
      <w:r w:rsidRPr="007333BF">
        <w:rPr>
          <w:color w:val="000000" w:themeColor="text1"/>
          <w:sz w:val="22"/>
          <w:szCs w:val="22"/>
          <w:shd w:val="clear" w:color="auto" w:fill="FFFFFF"/>
        </w:rPr>
        <w:t>, Allen and Unwin.</w:t>
      </w:r>
    </w:p>
    <w:p w14:paraId="6D7AC051" w14:textId="77777777" w:rsidR="00FB0841" w:rsidRDefault="00FB0841" w:rsidP="00B101EC">
      <w:pPr>
        <w:spacing w:line="360" w:lineRule="auto"/>
        <w:jc w:val="both"/>
        <w:rPr>
          <w:color w:val="000000" w:themeColor="text1"/>
          <w:sz w:val="22"/>
          <w:szCs w:val="22"/>
        </w:rPr>
      </w:pPr>
    </w:p>
    <w:p w14:paraId="4A30D040" w14:textId="359D84CE" w:rsidR="00436B1B" w:rsidRPr="00436B1B" w:rsidRDefault="00FB0841" w:rsidP="00B101EC">
      <w:pPr>
        <w:spacing w:line="360" w:lineRule="auto"/>
        <w:jc w:val="both"/>
        <w:rPr>
          <w:sz w:val="22"/>
          <w:szCs w:val="22"/>
          <w:lang w:eastAsia="en-GB"/>
        </w:rPr>
      </w:pPr>
      <w:r>
        <w:rPr>
          <w:color w:val="000000" w:themeColor="text1"/>
          <w:sz w:val="22"/>
          <w:szCs w:val="22"/>
          <w:lang w:val="en-US"/>
        </w:rPr>
        <w:t>Maxwell-Stewart, H. and Godfrey</w:t>
      </w:r>
      <w:r w:rsidR="00436B1B" w:rsidRPr="00436B1B">
        <w:rPr>
          <w:color w:val="000000" w:themeColor="text1"/>
          <w:sz w:val="22"/>
          <w:szCs w:val="22"/>
          <w:lang w:val="en-US"/>
        </w:rPr>
        <w:t>, B. (2018)</w:t>
      </w:r>
      <w:r w:rsidR="00436B1B" w:rsidRPr="00436B1B">
        <w:rPr>
          <w:b/>
          <w:bCs/>
          <w:color w:val="000000" w:themeColor="text1"/>
          <w:sz w:val="22"/>
          <w:szCs w:val="22"/>
        </w:rPr>
        <w:t xml:space="preserve"> ‘</w:t>
      </w:r>
      <w:r w:rsidR="00436B1B" w:rsidRPr="00436B1B">
        <w:rPr>
          <w:color w:val="000000"/>
          <w:sz w:val="22"/>
          <w:szCs w:val="22"/>
          <w:lang w:eastAsia="en-GB"/>
        </w:rPr>
        <w:t>Convict transportation and life course offending</w:t>
      </w:r>
      <w:r w:rsidR="00436B1B" w:rsidRPr="00436B1B">
        <w:rPr>
          <w:bCs/>
          <w:color w:val="000000" w:themeColor="text1"/>
          <w:sz w:val="22"/>
          <w:szCs w:val="22"/>
        </w:rPr>
        <w:t>’</w:t>
      </w:r>
      <w:r w:rsidR="00436B1B" w:rsidRPr="00436B1B">
        <w:rPr>
          <w:bCs/>
          <w:color w:val="000000" w:themeColor="text1"/>
          <w:sz w:val="22"/>
          <w:szCs w:val="22"/>
          <w:lang w:val="en-US"/>
        </w:rPr>
        <w:t xml:space="preserve"> in </w:t>
      </w:r>
      <w:proofErr w:type="spellStart"/>
      <w:r w:rsidR="00436B1B" w:rsidRPr="00436B1B">
        <w:rPr>
          <w:bCs/>
          <w:color w:val="000000" w:themeColor="text1"/>
          <w:sz w:val="22"/>
          <w:szCs w:val="22"/>
          <w:lang w:val="en-US"/>
        </w:rPr>
        <w:t>Finnane</w:t>
      </w:r>
      <w:proofErr w:type="spellEnd"/>
      <w:r w:rsidR="00436B1B" w:rsidRPr="00436B1B">
        <w:rPr>
          <w:bCs/>
          <w:color w:val="000000" w:themeColor="text1"/>
          <w:sz w:val="22"/>
          <w:szCs w:val="22"/>
          <w:lang w:val="en-US"/>
        </w:rPr>
        <w:t>, M</w:t>
      </w:r>
      <w:r w:rsidR="00436B1B" w:rsidRPr="00436B1B">
        <w:rPr>
          <w:bCs/>
          <w:i/>
          <w:color w:val="000000" w:themeColor="text1"/>
          <w:sz w:val="22"/>
          <w:szCs w:val="22"/>
          <w:lang w:val="en-US"/>
        </w:rPr>
        <w:t xml:space="preserve">., </w:t>
      </w:r>
      <w:r w:rsidR="00436B1B" w:rsidRPr="00436B1B">
        <w:rPr>
          <w:i/>
          <w:sz w:val="22"/>
          <w:szCs w:val="22"/>
        </w:rPr>
        <w:t xml:space="preserve">A Cultural History of Crime and Punishment in the Age of </w:t>
      </w:r>
      <w:r w:rsidR="00436B1B" w:rsidRPr="00436B1B">
        <w:rPr>
          <w:sz w:val="22"/>
          <w:szCs w:val="22"/>
        </w:rPr>
        <w:t xml:space="preserve">Empire, Bloomsbury. </w:t>
      </w:r>
    </w:p>
    <w:p w14:paraId="2AD2798B" w14:textId="77777777" w:rsidR="00036484" w:rsidRDefault="00036484" w:rsidP="00B101EC">
      <w:pPr>
        <w:spacing w:line="360" w:lineRule="auto"/>
        <w:jc w:val="both"/>
        <w:rPr>
          <w:sz w:val="22"/>
          <w:szCs w:val="22"/>
        </w:rPr>
      </w:pPr>
    </w:p>
    <w:p w14:paraId="42F1F3AE" w14:textId="6E40E6E6" w:rsidR="00036484" w:rsidRDefault="00036484" w:rsidP="00B101EC">
      <w:pPr>
        <w:spacing w:line="360" w:lineRule="auto"/>
        <w:jc w:val="both"/>
        <w:rPr>
          <w:sz w:val="22"/>
          <w:szCs w:val="22"/>
        </w:rPr>
      </w:pPr>
      <w:r w:rsidRPr="0045458C">
        <w:rPr>
          <w:sz w:val="22"/>
          <w:szCs w:val="22"/>
        </w:rPr>
        <w:t xml:space="preserve">McConville, S. (1981) </w:t>
      </w:r>
      <w:r w:rsidRPr="0045458C">
        <w:rPr>
          <w:i/>
          <w:sz w:val="22"/>
          <w:szCs w:val="22"/>
        </w:rPr>
        <w:t>A History of English Prison Administration. Volume I, 1750-1877</w:t>
      </w:r>
      <w:r w:rsidRPr="0045458C">
        <w:rPr>
          <w:sz w:val="22"/>
          <w:szCs w:val="22"/>
        </w:rPr>
        <w:t>, Routledge and Kegan Paul.</w:t>
      </w:r>
    </w:p>
    <w:p w14:paraId="6175786E" w14:textId="729A0CF8" w:rsidR="00DB2A4C" w:rsidRDefault="00DB2A4C" w:rsidP="00B101EC">
      <w:pPr>
        <w:spacing w:line="360" w:lineRule="auto"/>
        <w:jc w:val="both"/>
        <w:rPr>
          <w:sz w:val="22"/>
          <w:szCs w:val="22"/>
        </w:rPr>
      </w:pPr>
    </w:p>
    <w:p w14:paraId="1AF06D59" w14:textId="37885668" w:rsidR="00DB2A4C" w:rsidRPr="00DB2A4C" w:rsidRDefault="00DB2A4C" w:rsidP="00B101EC">
      <w:pPr>
        <w:spacing w:line="360" w:lineRule="auto"/>
        <w:jc w:val="both"/>
        <w:rPr>
          <w:sz w:val="22"/>
          <w:szCs w:val="22"/>
        </w:rPr>
      </w:pPr>
      <w:r>
        <w:rPr>
          <w:sz w:val="22"/>
          <w:szCs w:val="22"/>
        </w:rPr>
        <w:t>McConville, S. (1998) ‘The Victorian Prison: England 1865-1965’ in N. Morris and D. Rothman (</w:t>
      </w:r>
      <w:proofErr w:type="spellStart"/>
      <w:r>
        <w:rPr>
          <w:sz w:val="22"/>
          <w:szCs w:val="22"/>
        </w:rPr>
        <w:t>eds</w:t>
      </w:r>
      <w:proofErr w:type="spellEnd"/>
      <w:r>
        <w:rPr>
          <w:sz w:val="22"/>
          <w:szCs w:val="22"/>
        </w:rPr>
        <w:t xml:space="preserve">) </w:t>
      </w:r>
      <w:r>
        <w:rPr>
          <w:i/>
          <w:sz w:val="22"/>
          <w:szCs w:val="22"/>
        </w:rPr>
        <w:t>The Oxford History of the Prison: The Practice of Punishment in Western Society</w:t>
      </w:r>
      <w:r>
        <w:rPr>
          <w:sz w:val="22"/>
          <w:szCs w:val="22"/>
        </w:rPr>
        <w:t>, Oxford University Press, pp.266-294.</w:t>
      </w:r>
    </w:p>
    <w:p w14:paraId="3F91EDFC" w14:textId="77777777" w:rsidR="00036484" w:rsidRDefault="00036484" w:rsidP="00B101EC">
      <w:pPr>
        <w:spacing w:line="360" w:lineRule="auto"/>
        <w:jc w:val="both"/>
        <w:rPr>
          <w:sz w:val="22"/>
          <w:szCs w:val="22"/>
        </w:rPr>
      </w:pPr>
    </w:p>
    <w:p w14:paraId="571E3699" w14:textId="026E97DF" w:rsidR="00036484" w:rsidRDefault="00036484" w:rsidP="00B101EC">
      <w:pPr>
        <w:spacing w:line="360" w:lineRule="auto"/>
        <w:jc w:val="both"/>
        <w:rPr>
          <w:sz w:val="22"/>
          <w:szCs w:val="22"/>
        </w:rPr>
      </w:pPr>
      <w:proofErr w:type="spellStart"/>
      <w:r w:rsidRPr="0045458C">
        <w:rPr>
          <w:sz w:val="22"/>
          <w:szCs w:val="22"/>
        </w:rPr>
        <w:t>Meinzer</w:t>
      </w:r>
      <w:proofErr w:type="spellEnd"/>
      <w:r w:rsidRPr="0045458C">
        <w:rPr>
          <w:sz w:val="22"/>
          <w:szCs w:val="22"/>
        </w:rPr>
        <w:t xml:space="preserve">, N. (2015) The Western Australian Convicts, </w:t>
      </w:r>
      <w:r w:rsidRPr="0045458C">
        <w:rPr>
          <w:i/>
          <w:sz w:val="22"/>
          <w:szCs w:val="22"/>
        </w:rPr>
        <w:t>Australian Economic History Review</w:t>
      </w:r>
      <w:r w:rsidRPr="0045458C">
        <w:rPr>
          <w:sz w:val="22"/>
          <w:szCs w:val="22"/>
        </w:rPr>
        <w:t>, 55, 2, pp.163-186.</w:t>
      </w:r>
    </w:p>
    <w:p w14:paraId="67C4EB19" w14:textId="087C1AEB" w:rsidR="00C97871" w:rsidRDefault="00C97871" w:rsidP="00B101EC">
      <w:pPr>
        <w:spacing w:line="360" w:lineRule="auto"/>
        <w:jc w:val="both"/>
        <w:rPr>
          <w:sz w:val="22"/>
          <w:szCs w:val="22"/>
        </w:rPr>
      </w:pPr>
    </w:p>
    <w:p w14:paraId="1C216504" w14:textId="6479E420" w:rsidR="00C97871" w:rsidRPr="0045458C" w:rsidRDefault="00C97871" w:rsidP="00B101EC">
      <w:pPr>
        <w:spacing w:line="360" w:lineRule="auto"/>
        <w:jc w:val="both"/>
        <w:rPr>
          <w:sz w:val="22"/>
          <w:szCs w:val="22"/>
        </w:rPr>
      </w:pPr>
      <w:proofErr w:type="spellStart"/>
      <w:r w:rsidRPr="00C97871">
        <w:rPr>
          <w:sz w:val="22"/>
          <w:szCs w:val="22"/>
        </w:rPr>
        <w:t>Melossi</w:t>
      </w:r>
      <w:proofErr w:type="spellEnd"/>
      <w:r w:rsidRPr="00C97871">
        <w:rPr>
          <w:sz w:val="22"/>
          <w:szCs w:val="22"/>
        </w:rPr>
        <w:t xml:space="preserve">, D. and </w:t>
      </w:r>
      <w:proofErr w:type="spellStart"/>
      <w:r w:rsidRPr="00C97871">
        <w:rPr>
          <w:sz w:val="22"/>
          <w:szCs w:val="22"/>
        </w:rPr>
        <w:t>Pavarini</w:t>
      </w:r>
      <w:proofErr w:type="spellEnd"/>
      <w:r w:rsidRPr="00C97871">
        <w:rPr>
          <w:sz w:val="22"/>
          <w:szCs w:val="22"/>
        </w:rPr>
        <w:t xml:space="preserve">, M. (1981), </w:t>
      </w:r>
      <w:r w:rsidRPr="00C97871">
        <w:rPr>
          <w:i/>
          <w:sz w:val="22"/>
          <w:szCs w:val="22"/>
        </w:rPr>
        <w:t>The Prison and the Factory. The Origins of the Penitentiary System</w:t>
      </w:r>
      <w:r w:rsidRPr="00C97871">
        <w:rPr>
          <w:sz w:val="22"/>
          <w:szCs w:val="22"/>
        </w:rPr>
        <w:t>. Macmillan.</w:t>
      </w:r>
    </w:p>
    <w:p w14:paraId="76A99908" w14:textId="6DCEA1E4" w:rsidR="00036484" w:rsidRDefault="00036484" w:rsidP="00B101EC">
      <w:pPr>
        <w:spacing w:line="360" w:lineRule="auto"/>
        <w:jc w:val="both"/>
        <w:rPr>
          <w:color w:val="000000" w:themeColor="text1"/>
          <w:sz w:val="22"/>
          <w:szCs w:val="22"/>
        </w:rPr>
      </w:pPr>
    </w:p>
    <w:p w14:paraId="2B25A02A" w14:textId="2A2362F0" w:rsidR="005635A5" w:rsidRDefault="005635A5" w:rsidP="00B101EC">
      <w:pPr>
        <w:spacing w:line="360" w:lineRule="auto"/>
        <w:jc w:val="both"/>
        <w:rPr>
          <w:color w:val="000000" w:themeColor="text1"/>
          <w:sz w:val="22"/>
          <w:szCs w:val="22"/>
        </w:rPr>
      </w:pPr>
      <w:r w:rsidRPr="00AF202B">
        <w:rPr>
          <w:color w:val="000000" w:themeColor="text1"/>
          <w:sz w:val="22"/>
          <w:szCs w:val="22"/>
        </w:rPr>
        <w:t>Morrison, B. (2009) ‘Controlling the Hopeless: Re-visioning the history of female inebriate institutions</w:t>
      </w:r>
      <w:r>
        <w:rPr>
          <w:color w:val="000000" w:themeColor="text1"/>
          <w:sz w:val="22"/>
          <w:szCs w:val="22"/>
        </w:rPr>
        <w:t xml:space="preserve"> c.1870-1920’ in Johnston, H. (</w:t>
      </w:r>
      <w:proofErr w:type="spellStart"/>
      <w:r>
        <w:rPr>
          <w:color w:val="000000" w:themeColor="text1"/>
          <w:sz w:val="22"/>
          <w:szCs w:val="22"/>
        </w:rPr>
        <w:t>ed</w:t>
      </w:r>
      <w:proofErr w:type="spellEnd"/>
      <w:r>
        <w:rPr>
          <w:color w:val="000000" w:themeColor="text1"/>
          <w:sz w:val="22"/>
          <w:szCs w:val="22"/>
        </w:rPr>
        <w:t xml:space="preserve">) </w:t>
      </w:r>
      <w:r>
        <w:rPr>
          <w:i/>
          <w:color w:val="000000" w:themeColor="text1"/>
          <w:sz w:val="22"/>
          <w:szCs w:val="22"/>
        </w:rPr>
        <w:t xml:space="preserve">Punishment and Control in Historical Perspective, </w:t>
      </w:r>
      <w:r w:rsidRPr="00E14483">
        <w:rPr>
          <w:color w:val="000000" w:themeColor="text1"/>
          <w:sz w:val="22"/>
          <w:szCs w:val="22"/>
        </w:rPr>
        <w:t>AIAA</w:t>
      </w:r>
      <w:r>
        <w:rPr>
          <w:color w:val="000000" w:themeColor="text1"/>
          <w:sz w:val="22"/>
          <w:szCs w:val="22"/>
        </w:rPr>
        <w:t>, pp.135-158</w:t>
      </w:r>
    </w:p>
    <w:p w14:paraId="681E4F21" w14:textId="77777777" w:rsidR="005635A5" w:rsidRDefault="005635A5" w:rsidP="00B101EC">
      <w:pPr>
        <w:spacing w:line="360" w:lineRule="auto"/>
        <w:jc w:val="both"/>
        <w:rPr>
          <w:color w:val="000000" w:themeColor="text1"/>
          <w:sz w:val="22"/>
          <w:szCs w:val="22"/>
        </w:rPr>
      </w:pPr>
    </w:p>
    <w:p w14:paraId="7987BF33" w14:textId="28E58079" w:rsidR="00594099" w:rsidRPr="008E2D7D" w:rsidRDefault="00594099" w:rsidP="00B101EC">
      <w:pPr>
        <w:spacing w:line="360" w:lineRule="auto"/>
        <w:jc w:val="both"/>
        <w:rPr>
          <w:color w:val="000000" w:themeColor="text1"/>
          <w:sz w:val="22"/>
          <w:szCs w:val="22"/>
        </w:rPr>
      </w:pPr>
      <w:r w:rsidRPr="008E2D7D">
        <w:rPr>
          <w:color w:val="000000" w:themeColor="text1"/>
          <w:sz w:val="22"/>
          <w:szCs w:val="22"/>
        </w:rPr>
        <w:t>Nicholas, S. (1988) ‘Introduction’ in S. Nicholas (</w:t>
      </w:r>
      <w:proofErr w:type="spellStart"/>
      <w:r w:rsidRPr="008E2D7D">
        <w:rPr>
          <w:color w:val="000000" w:themeColor="text1"/>
          <w:sz w:val="22"/>
          <w:szCs w:val="22"/>
        </w:rPr>
        <w:t>ed</w:t>
      </w:r>
      <w:proofErr w:type="spellEnd"/>
      <w:r w:rsidRPr="008E2D7D">
        <w:rPr>
          <w:color w:val="000000" w:themeColor="text1"/>
          <w:sz w:val="22"/>
          <w:szCs w:val="22"/>
        </w:rPr>
        <w:t xml:space="preserve">) </w:t>
      </w:r>
      <w:r w:rsidRPr="008E2D7D">
        <w:rPr>
          <w:i/>
          <w:color w:val="000000" w:themeColor="text1"/>
          <w:sz w:val="22"/>
          <w:szCs w:val="22"/>
        </w:rPr>
        <w:t>Convict Workers: Reinterpreting Australia’s Past</w:t>
      </w:r>
      <w:r w:rsidRPr="008E2D7D">
        <w:rPr>
          <w:color w:val="000000" w:themeColor="text1"/>
          <w:sz w:val="22"/>
          <w:szCs w:val="22"/>
        </w:rPr>
        <w:t>, Melbourne</w:t>
      </w:r>
      <w:r w:rsidR="00CE21E8">
        <w:rPr>
          <w:color w:val="000000" w:themeColor="text1"/>
          <w:sz w:val="22"/>
          <w:szCs w:val="22"/>
        </w:rPr>
        <w:t xml:space="preserve"> UP</w:t>
      </w:r>
      <w:r w:rsidRPr="008E2D7D">
        <w:rPr>
          <w:color w:val="000000" w:themeColor="text1"/>
          <w:sz w:val="22"/>
          <w:szCs w:val="22"/>
        </w:rPr>
        <w:t>.</w:t>
      </w:r>
    </w:p>
    <w:p w14:paraId="27FFB271" w14:textId="77777777" w:rsidR="00594099" w:rsidRPr="008E2D7D" w:rsidRDefault="00594099" w:rsidP="00B101EC">
      <w:pPr>
        <w:spacing w:line="360" w:lineRule="auto"/>
        <w:jc w:val="both"/>
        <w:rPr>
          <w:color w:val="000000" w:themeColor="text1"/>
          <w:sz w:val="22"/>
          <w:szCs w:val="22"/>
        </w:rPr>
      </w:pPr>
    </w:p>
    <w:p w14:paraId="28E85B4F" w14:textId="77777777" w:rsidR="00436B1B" w:rsidRPr="00436B1B" w:rsidRDefault="00436B1B" w:rsidP="00B101EC">
      <w:pPr>
        <w:spacing w:line="360" w:lineRule="auto"/>
        <w:jc w:val="both"/>
        <w:rPr>
          <w:sz w:val="22"/>
          <w:szCs w:val="22"/>
        </w:rPr>
      </w:pPr>
      <w:r w:rsidRPr="00436B1B">
        <w:rPr>
          <w:sz w:val="22"/>
          <w:szCs w:val="22"/>
        </w:rPr>
        <w:t xml:space="preserve">O’Toole, S. (2006) </w:t>
      </w:r>
      <w:r w:rsidRPr="00436B1B">
        <w:rPr>
          <w:i/>
          <w:sz w:val="22"/>
          <w:szCs w:val="22"/>
        </w:rPr>
        <w:t xml:space="preserve">The History of Australian Corrections, </w:t>
      </w:r>
      <w:r w:rsidRPr="00436B1B">
        <w:rPr>
          <w:sz w:val="22"/>
          <w:szCs w:val="22"/>
        </w:rPr>
        <w:t>UNSW Press, Sydney.</w:t>
      </w:r>
    </w:p>
    <w:p w14:paraId="137F2532" w14:textId="77777777" w:rsidR="00036484" w:rsidRDefault="00036484" w:rsidP="00B101EC">
      <w:pPr>
        <w:spacing w:line="360" w:lineRule="auto"/>
        <w:jc w:val="both"/>
        <w:rPr>
          <w:sz w:val="22"/>
          <w:szCs w:val="22"/>
        </w:rPr>
      </w:pPr>
    </w:p>
    <w:p w14:paraId="4506145D" w14:textId="5F97EED2" w:rsidR="00036484" w:rsidRPr="00843907" w:rsidRDefault="00036484" w:rsidP="00B101EC">
      <w:pPr>
        <w:spacing w:line="360" w:lineRule="auto"/>
        <w:jc w:val="both"/>
        <w:rPr>
          <w:sz w:val="22"/>
          <w:szCs w:val="22"/>
        </w:rPr>
      </w:pPr>
      <w:r w:rsidRPr="00843907">
        <w:rPr>
          <w:sz w:val="22"/>
          <w:szCs w:val="22"/>
        </w:rPr>
        <w:t xml:space="preserve">Piddock, S. (2010) ‘A Place for Convicts: The Fremantle Lunatic Asylum, Western Australia and John Conolly’s “Ideal” Asylum’, </w:t>
      </w:r>
      <w:r w:rsidRPr="00843907">
        <w:rPr>
          <w:i/>
          <w:sz w:val="22"/>
          <w:szCs w:val="22"/>
        </w:rPr>
        <w:t>International Journal of Historical Archaeology</w:t>
      </w:r>
      <w:r w:rsidRPr="00843907">
        <w:rPr>
          <w:sz w:val="22"/>
          <w:szCs w:val="22"/>
        </w:rPr>
        <w:t xml:space="preserve">, </w:t>
      </w:r>
      <w:proofErr w:type="gramStart"/>
      <w:r w:rsidRPr="00843907">
        <w:rPr>
          <w:sz w:val="22"/>
          <w:szCs w:val="22"/>
        </w:rPr>
        <w:t>September,</w:t>
      </w:r>
      <w:proofErr w:type="gramEnd"/>
      <w:r w:rsidRPr="00843907">
        <w:rPr>
          <w:sz w:val="22"/>
          <w:szCs w:val="22"/>
        </w:rPr>
        <w:t xml:space="preserve"> 20, 3, pp.562-73.</w:t>
      </w:r>
    </w:p>
    <w:p w14:paraId="3C41B895" w14:textId="1D47D9E2" w:rsidR="00036484" w:rsidRPr="00843907" w:rsidRDefault="00036484" w:rsidP="00B101EC">
      <w:pPr>
        <w:spacing w:line="360" w:lineRule="auto"/>
        <w:jc w:val="both"/>
        <w:rPr>
          <w:sz w:val="22"/>
          <w:szCs w:val="22"/>
        </w:rPr>
      </w:pPr>
    </w:p>
    <w:p w14:paraId="549988C8" w14:textId="77777777" w:rsidR="00843907" w:rsidRPr="00843907" w:rsidRDefault="00843907" w:rsidP="00B101EC">
      <w:pPr>
        <w:spacing w:line="360" w:lineRule="auto"/>
        <w:rPr>
          <w:sz w:val="22"/>
          <w:szCs w:val="22"/>
        </w:rPr>
      </w:pPr>
      <w:r w:rsidRPr="00843907">
        <w:rPr>
          <w:sz w:val="22"/>
          <w:szCs w:val="22"/>
        </w:rPr>
        <w:t xml:space="preserve">Rogers H. (2015) ‘A Very Fair Statement of His Past Life’: Transported Convicts, Former Lives and Previous Offences, </w:t>
      </w:r>
      <w:r w:rsidRPr="00843907">
        <w:rPr>
          <w:i/>
          <w:sz w:val="22"/>
          <w:szCs w:val="22"/>
        </w:rPr>
        <w:t>Open Library of Humanities</w:t>
      </w:r>
      <w:r w:rsidRPr="00843907">
        <w:rPr>
          <w:sz w:val="22"/>
          <w:szCs w:val="22"/>
        </w:rPr>
        <w:t>, vol. 1, no. 1.</w:t>
      </w:r>
    </w:p>
    <w:p w14:paraId="7CB7410F" w14:textId="21213F25" w:rsidR="00843907" w:rsidRPr="00843907" w:rsidRDefault="00843907" w:rsidP="00B101EC">
      <w:pPr>
        <w:spacing w:line="360" w:lineRule="auto"/>
        <w:jc w:val="both"/>
        <w:rPr>
          <w:sz w:val="22"/>
          <w:szCs w:val="22"/>
        </w:rPr>
      </w:pPr>
    </w:p>
    <w:p w14:paraId="37B77A7E" w14:textId="6FE0C7FB" w:rsidR="006D017D" w:rsidRPr="00843907" w:rsidRDefault="006D017D" w:rsidP="00B101EC">
      <w:pPr>
        <w:spacing w:line="360" w:lineRule="auto"/>
        <w:jc w:val="both"/>
        <w:rPr>
          <w:color w:val="000000" w:themeColor="text1"/>
          <w:sz w:val="22"/>
          <w:szCs w:val="22"/>
        </w:rPr>
      </w:pPr>
      <w:r w:rsidRPr="00843907">
        <w:rPr>
          <w:color w:val="000000" w:themeColor="text1"/>
          <w:sz w:val="22"/>
          <w:szCs w:val="22"/>
          <w:lang w:val="en-US"/>
        </w:rPr>
        <w:t xml:space="preserve">Sampson, R.J. and </w:t>
      </w:r>
      <w:proofErr w:type="spellStart"/>
      <w:r w:rsidRPr="00843907">
        <w:rPr>
          <w:color w:val="000000" w:themeColor="text1"/>
          <w:sz w:val="22"/>
          <w:szCs w:val="22"/>
          <w:lang w:val="en-US"/>
        </w:rPr>
        <w:t>Laub</w:t>
      </w:r>
      <w:proofErr w:type="spellEnd"/>
      <w:r w:rsidRPr="00843907">
        <w:rPr>
          <w:color w:val="000000" w:themeColor="text1"/>
          <w:sz w:val="22"/>
          <w:szCs w:val="22"/>
          <w:lang w:val="en-US"/>
        </w:rPr>
        <w:t xml:space="preserve">, J.H. (2006) </w:t>
      </w:r>
      <w:r w:rsidRPr="00843907">
        <w:rPr>
          <w:i/>
          <w:iCs/>
          <w:color w:val="000000" w:themeColor="text1"/>
          <w:sz w:val="22"/>
          <w:szCs w:val="22"/>
          <w:lang w:val="en-US"/>
        </w:rPr>
        <w:t>Shared Beginnings, Divergent Lives: Delinquent Boys to Age 70</w:t>
      </w:r>
      <w:r w:rsidRPr="00843907">
        <w:rPr>
          <w:color w:val="000000" w:themeColor="text1"/>
          <w:sz w:val="22"/>
          <w:szCs w:val="22"/>
          <w:lang w:val="en-US"/>
        </w:rPr>
        <w:t xml:space="preserve">, Harvard University Press. </w:t>
      </w:r>
    </w:p>
    <w:p w14:paraId="7AA21974" w14:textId="22224B67" w:rsidR="006D017D" w:rsidRPr="00843907" w:rsidRDefault="006D017D" w:rsidP="00B101EC">
      <w:pPr>
        <w:spacing w:line="360" w:lineRule="auto"/>
        <w:jc w:val="both"/>
        <w:rPr>
          <w:sz w:val="22"/>
          <w:szCs w:val="22"/>
        </w:rPr>
      </w:pPr>
    </w:p>
    <w:p w14:paraId="2B332E6B" w14:textId="1F68BE7B" w:rsidR="00DB637B" w:rsidRPr="009A6AE8" w:rsidRDefault="00036484" w:rsidP="000A3F59">
      <w:pPr>
        <w:spacing w:line="360" w:lineRule="auto"/>
        <w:jc w:val="both"/>
        <w:rPr>
          <w:sz w:val="22"/>
          <w:szCs w:val="22"/>
        </w:rPr>
      </w:pPr>
      <w:r w:rsidRPr="0045458C">
        <w:rPr>
          <w:sz w:val="22"/>
          <w:szCs w:val="22"/>
        </w:rPr>
        <w:t xml:space="preserve">Shaw, A. (1966) </w:t>
      </w:r>
      <w:r w:rsidRPr="0045458C">
        <w:rPr>
          <w:i/>
          <w:sz w:val="22"/>
          <w:szCs w:val="22"/>
        </w:rPr>
        <w:t>Convicts and the Colonies. A Study of Penal Transportation from Great Britain and Ireland to Australia and other parts of the British Empire</w:t>
      </w:r>
      <w:r w:rsidRPr="0045458C">
        <w:rPr>
          <w:sz w:val="22"/>
          <w:szCs w:val="22"/>
        </w:rPr>
        <w:t>, Faber and Faber.</w:t>
      </w:r>
    </w:p>
    <w:p w14:paraId="33E883C4" w14:textId="4CF29AA2" w:rsidR="000A3F59" w:rsidRPr="000A3F59" w:rsidRDefault="006109BB" w:rsidP="000A3F59">
      <w:pPr>
        <w:pStyle w:val="Heading1"/>
        <w:spacing w:line="360" w:lineRule="auto"/>
        <w:jc w:val="both"/>
        <w:textAlignment w:val="baseline"/>
        <w:rPr>
          <w:rFonts w:ascii="Times New Roman" w:hAnsi="Times New Roman" w:cs="Times New Roman"/>
          <w:color w:val="000000" w:themeColor="text1"/>
          <w:sz w:val="22"/>
          <w:szCs w:val="22"/>
        </w:rPr>
      </w:pPr>
      <w:r w:rsidRPr="000A3F59">
        <w:rPr>
          <w:rFonts w:ascii="Times New Roman" w:hAnsi="Times New Roman" w:cs="Times New Roman"/>
          <w:color w:val="000000" w:themeColor="text1"/>
          <w:sz w:val="22"/>
          <w:szCs w:val="22"/>
        </w:rPr>
        <w:t>Shoemaker</w:t>
      </w:r>
      <w:r w:rsidR="000A3F59" w:rsidRPr="000A3F59">
        <w:rPr>
          <w:rFonts w:ascii="Times New Roman" w:hAnsi="Times New Roman" w:cs="Times New Roman"/>
          <w:color w:val="000000" w:themeColor="text1"/>
          <w:sz w:val="22"/>
          <w:szCs w:val="22"/>
        </w:rPr>
        <w:t>, R.</w:t>
      </w:r>
      <w:r w:rsidRPr="000A3F59">
        <w:rPr>
          <w:rFonts w:ascii="Times New Roman" w:hAnsi="Times New Roman" w:cs="Times New Roman"/>
          <w:color w:val="000000" w:themeColor="text1"/>
          <w:sz w:val="22"/>
          <w:szCs w:val="22"/>
        </w:rPr>
        <w:t xml:space="preserve"> and Ward</w:t>
      </w:r>
      <w:r w:rsidR="000A3F59" w:rsidRPr="000A3F59">
        <w:rPr>
          <w:rFonts w:ascii="Times New Roman" w:hAnsi="Times New Roman" w:cs="Times New Roman"/>
          <w:color w:val="000000" w:themeColor="text1"/>
          <w:sz w:val="22"/>
          <w:szCs w:val="22"/>
        </w:rPr>
        <w:t>, R. (2017) ‘Understanding the Criminal: Record-Keeping, Statistics and the Early History of Criminology in England’,</w:t>
      </w:r>
      <w:r w:rsidR="000A3F59" w:rsidRPr="000A3F59">
        <w:rPr>
          <w:rStyle w:val="apple-converted-space"/>
          <w:rFonts w:ascii="Times New Roman" w:hAnsi="Times New Roman" w:cs="Times New Roman"/>
          <w:color w:val="000000" w:themeColor="text1"/>
          <w:sz w:val="22"/>
          <w:szCs w:val="22"/>
        </w:rPr>
        <w:t> </w:t>
      </w:r>
      <w:r w:rsidR="000A3F59" w:rsidRPr="000A3F59">
        <w:rPr>
          <w:rFonts w:ascii="Times New Roman" w:hAnsi="Times New Roman" w:cs="Times New Roman"/>
          <w:i/>
          <w:iCs/>
          <w:color w:val="000000" w:themeColor="text1"/>
          <w:sz w:val="22"/>
          <w:szCs w:val="22"/>
          <w:bdr w:val="none" w:sz="0" w:space="0" w:color="auto" w:frame="1"/>
        </w:rPr>
        <w:t>The British Journal of Criminology</w:t>
      </w:r>
      <w:r w:rsidR="000A3F59" w:rsidRPr="000A3F59">
        <w:rPr>
          <w:rFonts w:ascii="Times New Roman" w:hAnsi="Times New Roman" w:cs="Times New Roman"/>
          <w:color w:val="000000" w:themeColor="text1"/>
          <w:sz w:val="22"/>
          <w:szCs w:val="22"/>
          <w:shd w:val="clear" w:color="auto" w:fill="FFFFFF"/>
        </w:rPr>
        <w:t>, Volume 57, Issue 6, 1 November 2017, Pages 1442–1461</w:t>
      </w:r>
      <w:r w:rsidR="004E0F86">
        <w:rPr>
          <w:rFonts w:ascii="Times New Roman" w:hAnsi="Times New Roman" w:cs="Times New Roman"/>
          <w:color w:val="000000" w:themeColor="text1"/>
          <w:sz w:val="22"/>
          <w:szCs w:val="22"/>
          <w:shd w:val="clear" w:color="auto" w:fill="FFFFFF"/>
        </w:rPr>
        <w:t>.</w:t>
      </w:r>
    </w:p>
    <w:p w14:paraId="2E15FB05" w14:textId="77777777" w:rsidR="000A3F59" w:rsidRDefault="000A3F59" w:rsidP="00B101EC">
      <w:pPr>
        <w:spacing w:line="360" w:lineRule="auto"/>
        <w:jc w:val="both"/>
        <w:rPr>
          <w:color w:val="000000" w:themeColor="text1"/>
          <w:sz w:val="22"/>
          <w:szCs w:val="22"/>
        </w:rPr>
      </w:pPr>
    </w:p>
    <w:p w14:paraId="27C9FA02" w14:textId="752BD84D" w:rsidR="009A6AE8" w:rsidRDefault="009A6AE8" w:rsidP="00B101EC">
      <w:pPr>
        <w:spacing w:line="360" w:lineRule="auto"/>
        <w:jc w:val="both"/>
        <w:rPr>
          <w:sz w:val="22"/>
          <w:szCs w:val="22"/>
        </w:rPr>
      </w:pPr>
      <w:r>
        <w:rPr>
          <w:sz w:val="22"/>
          <w:szCs w:val="22"/>
        </w:rPr>
        <w:t>Sindall, R. (1987) ‘The London Garrotting P</w:t>
      </w:r>
      <w:r w:rsidRPr="009A6AE8">
        <w:rPr>
          <w:sz w:val="22"/>
          <w:szCs w:val="22"/>
        </w:rPr>
        <w:t xml:space="preserve">anics of 1856 and 1862’, </w:t>
      </w:r>
      <w:r w:rsidRPr="009A6AE8">
        <w:rPr>
          <w:i/>
          <w:sz w:val="22"/>
          <w:szCs w:val="22"/>
        </w:rPr>
        <w:t>Social History</w:t>
      </w:r>
      <w:r w:rsidRPr="009A6AE8">
        <w:rPr>
          <w:sz w:val="22"/>
          <w:szCs w:val="22"/>
        </w:rPr>
        <w:t>, 12, 3: 351–9.</w:t>
      </w:r>
    </w:p>
    <w:p w14:paraId="7F4B9298" w14:textId="77777777" w:rsidR="009A6AE8" w:rsidRPr="009A6AE8" w:rsidRDefault="009A6AE8" w:rsidP="00B101EC">
      <w:pPr>
        <w:spacing w:line="360" w:lineRule="auto"/>
        <w:rPr>
          <w:sz w:val="22"/>
          <w:szCs w:val="22"/>
        </w:rPr>
      </w:pPr>
    </w:p>
    <w:p w14:paraId="5309D52E" w14:textId="74CF4F7B" w:rsidR="009067F1" w:rsidRPr="009A6AE8" w:rsidRDefault="009A6AE8" w:rsidP="00B101EC">
      <w:pPr>
        <w:spacing w:line="360" w:lineRule="auto"/>
        <w:jc w:val="both"/>
        <w:rPr>
          <w:sz w:val="22"/>
          <w:szCs w:val="22"/>
        </w:rPr>
      </w:pPr>
      <w:r w:rsidRPr="009A6AE8">
        <w:rPr>
          <w:sz w:val="22"/>
          <w:szCs w:val="22"/>
        </w:rPr>
        <w:t xml:space="preserve">Sindall, R. (1990) </w:t>
      </w:r>
      <w:r w:rsidRPr="009A6AE8">
        <w:rPr>
          <w:i/>
          <w:sz w:val="22"/>
          <w:szCs w:val="22"/>
        </w:rPr>
        <w:t>Street Violence in the Nineteenth Century: Media Panic or Real Danger?</w:t>
      </w:r>
      <w:r>
        <w:rPr>
          <w:sz w:val="22"/>
          <w:szCs w:val="22"/>
        </w:rPr>
        <w:t xml:space="preserve"> University of Leicester Press. </w:t>
      </w:r>
    </w:p>
    <w:p w14:paraId="3019690D" w14:textId="77777777" w:rsidR="009A6AE8" w:rsidRPr="009A6AE8" w:rsidRDefault="009A6AE8" w:rsidP="00B101EC">
      <w:pPr>
        <w:spacing w:line="360" w:lineRule="auto"/>
        <w:jc w:val="both"/>
        <w:rPr>
          <w:sz w:val="22"/>
          <w:szCs w:val="22"/>
        </w:rPr>
      </w:pPr>
    </w:p>
    <w:p w14:paraId="63824CD2" w14:textId="1C131598" w:rsidR="00DB637B" w:rsidRPr="00DB637B" w:rsidRDefault="00DB637B" w:rsidP="00B101EC">
      <w:pPr>
        <w:spacing w:line="360" w:lineRule="auto"/>
        <w:jc w:val="both"/>
        <w:rPr>
          <w:sz w:val="22"/>
          <w:szCs w:val="22"/>
        </w:rPr>
      </w:pPr>
      <w:r w:rsidRPr="00DB637B">
        <w:rPr>
          <w:color w:val="000000" w:themeColor="text1"/>
          <w:sz w:val="22"/>
          <w:szCs w:val="22"/>
        </w:rPr>
        <w:t>Stafford, C. (2018)</w:t>
      </w:r>
      <w:r w:rsidRPr="00DB637B">
        <w:rPr>
          <w:rStyle w:val="apple-converted-space"/>
          <w:color w:val="000000"/>
          <w:sz w:val="22"/>
          <w:szCs w:val="22"/>
        </w:rPr>
        <w:t> ‘</w:t>
      </w:r>
      <w:r w:rsidRPr="00DB637B">
        <w:rPr>
          <w:color w:val="000000"/>
          <w:sz w:val="22"/>
          <w:szCs w:val="22"/>
        </w:rPr>
        <w:t>"The Worst of Drunkards": Female Drunkenness in Mid-Victorian Lancashire’, unpublished PhD thesis, University of Liverpool.</w:t>
      </w:r>
    </w:p>
    <w:p w14:paraId="5F60F4CD" w14:textId="484A3FE7" w:rsidR="00AF202B" w:rsidRPr="00B47EF2" w:rsidRDefault="00AF202B" w:rsidP="00B101EC">
      <w:pPr>
        <w:spacing w:line="360" w:lineRule="auto"/>
        <w:jc w:val="both"/>
        <w:rPr>
          <w:b/>
          <w:color w:val="000000" w:themeColor="text1"/>
          <w:sz w:val="22"/>
          <w:szCs w:val="22"/>
        </w:rPr>
      </w:pPr>
    </w:p>
    <w:p w14:paraId="04792938" w14:textId="02AD19B6" w:rsidR="00B47EF2" w:rsidRDefault="00B47EF2" w:rsidP="00B101EC">
      <w:pPr>
        <w:spacing w:line="360" w:lineRule="auto"/>
        <w:jc w:val="both"/>
        <w:rPr>
          <w:color w:val="000000" w:themeColor="text1"/>
          <w:sz w:val="22"/>
          <w:szCs w:val="22"/>
        </w:rPr>
      </w:pPr>
      <w:r w:rsidRPr="00B47EF2">
        <w:rPr>
          <w:color w:val="000000" w:themeColor="text1"/>
          <w:sz w:val="22"/>
          <w:szCs w:val="22"/>
        </w:rPr>
        <w:t xml:space="preserve">Statham, P. (1981) ‘Why Convicts I: An economic analysis of colonial attitudes to the introduction of convicts’, </w:t>
      </w:r>
      <w:r w:rsidRPr="00B47EF2">
        <w:rPr>
          <w:i/>
          <w:color w:val="000000" w:themeColor="text1"/>
          <w:sz w:val="22"/>
          <w:szCs w:val="22"/>
        </w:rPr>
        <w:t>Studies in Western Australian History</w:t>
      </w:r>
      <w:r w:rsidRPr="00B47EF2">
        <w:rPr>
          <w:color w:val="000000" w:themeColor="text1"/>
          <w:sz w:val="22"/>
          <w:szCs w:val="22"/>
        </w:rPr>
        <w:t>, 4, pp.1-10.</w:t>
      </w:r>
    </w:p>
    <w:p w14:paraId="45BFFEB5" w14:textId="77777777" w:rsidR="009067F1" w:rsidRPr="00B47EF2" w:rsidRDefault="009067F1" w:rsidP="00B101EC">
      <w:pPr>
        <w:spacing w:line="360" w:lineRule="auto"/>
        <w:jc w:val="both"/>
        <w:rPr>
          <w:color w:val="000000" w:themeColor="text1"/>
          <w:sz w:val="22"/>
          <w:szCs w:val="22"/>
        </w:rPr>
      </w:pPr>
    </w:p>
    <w:p w14:paraId="47B61303" w14:textId="647074F6" w:rsidR="003A5C45" w:rsidRPr="003A5C45" w:rsidRDefault="003A5C45" w:rsidP="00B101EC">
      <w:pPr>
        <w:spacing w:line="360" w:lineRule="auto"/>
        <w:jc w:val="both"/>
        <w:rPr>
          <w:sz w:val="22"/>
          <w:szCs w:val="22"/>
        </w:rPr>
      </w:pPr>
      <w:r>
        <w:rPr>
          <w:sz w:val="22"/>
          <w:szCs w:val="22"/>
        </w:rPr>
        <w:t>Stevenson, S (1983</w:t>
      </w:r>
      <w:r w:rsidRPr="003A5C45">
        <w:rPr>
          <w:sz w:val="22"/>
          <w:szCs w:val="22"/>
        </w:rPr>
        <w:t xml:space="preserve">) ‘The “Criminal Class” in the mid Victorian City: A study of policy conducted with special reference to the provisions of 34 and 35 </w:t>
      </w:r>
      <w:proofErr w:type="spellStart"/>
      <w:r w:rsidRPr="003A5C45">
        <w:rPr>
          <w:sz w:val="22"/>
          <w:szCs w:val="22"/>
        </w:rPr>
        <w:t>Vict</w:t>
      </w:r>
      <w:proofErr w:type="spellEnd"/>
      <w:r w:rsidRPr="003A5C45">
        <w:rPr>
          <w:sz w:val="22"/>
          <w:szCs w:val="22"/>
        </w:rPr>
        <w:t xml:space="preserve">., c.112 (1871) in Birmingham and East London in the early years of registration and supervision’, unpublished </w:t>
      </w:r>
      <w:proofErr w:type="spellStart"/>
      <w:r w:rsidRPr="003A5C45">
        <w:rPr>
          <w:sz w:val="22"/>
          <w:szCs w:val="22"/>
        </w:rPr>
        <w:t>D.Phil</w:t>
      </w:r>
      <w:proofErr w:type="spellEnd"/>
      <w:r w:rsidRPr="003A5C45">
        <w:rPr>
          <w:sz w:val="22"/>
          <w:szCs w:val="22"/>
        </w:rPr>
        <w:t>, Oxford University.</w:t>
      </w:r>
    </w:p>
    <w:p w14:paraId="372F0523" w14:textId="77777777" w:rsidR="00B47EF2" w:rsidRPr="00B47EF2" w:rsidRDefault="00B47EF2" w:rsidP="00B101EC">
      <w:pPr>
        <w:spacing w:line="360" w:lineRule="auto"/>
        <w:jc w:val="both"/>
        <w:rPr>
          <w:color w:val="000000" w:themeColor="text1"/>
          <w:sz w:val="22"/>
          <w:szCs w:val="22"/>
        </w:rPr>
      </w:pPr>
    </w:p>
    <w:p w14:paraId="7DF693DB" w14:textId="5DE12150" w:rsidR="00036484" w:rsidRDefault="00036484" w:rsidP="00B101EC">
      <w:pPr>
        <w:spacing w:line="360" w:lineRule="auto"/>
        <w:jc w:val="both"/>
        <w:rPr>
          <w:color w:val="000000" w:themeColor="text1"/>
          <w:sz w:val="22"/>
          <w:szCs w:val="22"/>
        </w:rPr>
      </w:pPr>
      <w:r w:rsidRPr="00B47EF2">
        <w:rPr>
          <w:color w:val="000000" w:themeColor="text1"/>
          <w:sz w:val="22"/>
          <w:szCs w:val="22"/>
        </w:rPr>
        <w:t xml:space="preserve">Trollope, A. (1873) </w:t>
      </w:r>
      <w:r w:rsidRPr="00B47EF2">
        <w:rPr>
          <w:i/>
          <w:color w:val="000000" w:themeColor="text1"/>
          <w:sz w:val="22"/>
          <w:szCs w:val="22"/>
        </w:rPr>
        <w:t>Australia and New Zealand</w:t>
      </w:r>
      <w:r w:rsidRPr="00B47EF2">
        <w:rPr>
          <w:color w:val="000000" w:themeColor="text1"/>
          <w:sz w:val="22"/>
          <w:szCs w:val="22"/>
        </w:rPr>
        <w:t xml:space="preserve">, 2 volumes, P. D. Edwards and R. B. Joyce </w:t>
      </w:r>
      <w:r w:rsidR="00327547">
        <w:rPr>
          <w:color w:val="000000" w:themeColor="text1"/>
          <w:sz w:val="22"/>
          <w:szCs w:val="22"/>
        </w:rPr>
        <w:t>(</w:t>
      </w:r>
      <w:proofErr w:type="spellStart"/>
      <w:r w:rsidRPr="00B47EF2">
        <w:rPr>
          <w:color w:val="000000" w:themeColor="text1"/>
          <w:sz w:val="22"/>
          <w:szCs w:val="22"/>
        </w:rPr>
        <w:t>eds</w:t>
      </w:r>
      <w:proofErr w:type="spellEnd"/>
      <w:r w:rsidR="00327547">
        <w:rPr>
          <w:color w:val="000000" w:themeColor="text1"/>
          <w:sz w:val="22"/>
          <w:szCs w:val="22"/>
        </w:rPr>
        <w:t>) Brisbane</w:t>
      </w:r>
      <w:r w:rsidRPr="00B47EF2">
        <w:rPr>
          <w:color w:val="000000" w:themeColor="text1"/>
          <w:sz w:val="22"/>
          <w:szCs w:val="22"/>
        </w:rPr>
        <w:t xml:space="preserve"> </w:t>
      </w:r>
      <w:r w:rsidR="00327547">
        <w:rPr>
          <w:color w:val="000000" w:themeColor="text1"/>
          <w:sz w:val="22"/>
          <w:szCs w:val="22"/>
        </w:rPr>
        <w:t>1968,</w:t>
      </w:r>
    </w:p>
    <w:p w14:paraId="22E51BDC" w14:textId="2A02A438" w:rsidR="00036484" w:rsidRDefault="00036484" w:rsidP="00B101EC">
      <w:pPr>
        <w:spacing w:line="360" w:lineRule="auto"/>
        <w:jc w:val="both"/>
        <w:rPr>
          <w:sz w:val="22"/>
          <w:szCs w:val="22"/>
        </w:rPr>
      </w:pPr>
    </w:p>
    <w:p w14:paraId="4262D34F" w14:textId="4A1445F2" w:rsidR="00690BA6" w:rsidRPr="00690BA6" w:rsidRDefault="00690BA6" w:rsidP="00B101EC">
      <w:pPr>
        <w:spacing w:line="360" w:lineRule="auto"/>
        <w:jc w:val="both"/>
        <w:rPr>
          <w:color w:val="000000" w:themeColor="text1"/>
          <w:sz w:val="22"/>
          <w:szCs w:val="22"/>
        </w:rPr>
      </w:pPr>
      <w:r w:rsidRPr="00690BA6">
        <w:rPr>
          <w:color w:val="000000" w:themeColor="text1"/>
          <w:sz w:val="22"/>
          <w:szCs w:val="22"/>
        </w:rPr>
        <w:t xml:space="preserve">Vivienne, M (1902) </w:t>
      </w:r>
      <w:r w:rsidRPr="00690BA6">
        <w:rPr>
          <w:i/>
          <w:color w:val="000000" w:themeColor="text1"/>
          <w:sz w:val="22"/>
          <w:szCs w:val="22"/>
        </w:rPr>
        <w:t>Travels in Western Australia, being a description of the various cities and towns, goldfields, and agricultural districts of that state</w:t>
      </w:r>
      <w:r w:rsidRPr="00690BA6">
        <w:rPr>
          <w:color w:val="000000" w:themeColor="text1"/>
          <w:sz w:val="22"/>
          <w:szCs w:val="22"/>
        </w:rPr>
        <w:t>, William Heinemann.</w:t>
      </w:r>
    </w:p>
    <w:p w14:paraId="1CC97B23" w14:textId="77777777" w:rsidR="00690BA6" w:rsidRDefault="00690BA6" w:rsidP="00B101EC">
      <w:pPr>
        <w:spacing w:line="360" w:lineRule="auto"/>
        <w:jc w:val="both"/>
        <w:rPr>
          <w:sz w:val="22"/>
          <w:szCs w:val="22"/>
        </w:rPr>
      </w:pPr>
    </w:p>
    <w:p w14:paraId="776B3FEE" w14:textId="71F57127" w:rsidR="005635A5" w:rsidRPr="00852EA3" w:rsidRDefault="005635A5" w:rsidP="00B101EC">
      <w:pPr>
        <w:spacing w:line="360" w:lineRule="auto"/>
        <w:rPr>
          <w:sz w:val="22"/>
          <w:szCs w:val="22"/>
        </w:rPr>
      </w:pPr>
      <w:r w:rsidRPr="00852EA3">
        <w:rPr>
          <w:sz w:val="22"/>
          <w:szCs w:val="22"/>
        </w:rPr>
        <w:t xml:space="preserve">Wiener, M. (1990) </w:t>
      </w:r>
      <w:r w:rsidRPr="00852EA3">
        <w:rPr>
          <w:i/>
          <w:sz w:val="22"/>
          <w:szCs w:val="22"/>
        </w:rPr>
        <w:t>Reconstructing the Criminal: Culture, Law and Policy in England, 1830– 1914</w:t>
      </w:r>
      <w:r>
        <w:rPr>
          <w:i/>
          <w:sz w:val="22"/>
          <w:szCs w:val="22"/>
        </w:rPr>
        <w:t xml:space="preserve">, </w:t>
      </w:r>
      <w:r w:rsidRPr="00852EA3">
        <w:rPr>
          <w:sz w:val="22"/>
          <w:szCs w:val="22"/>
        </w:rPr>
        <w:t>Cambridge University Press.</w:t>
      </w:r>
    </w:p>
    <w:p w14:paraId="6E70C610" w14:textId="6E9A5318" w:rsidR="005635A5" w:rsidRDefault="005635A5" w:rsidP="00B101EC">
      <w:pPr>
        <w:spacing w:line="360" w:lineRule="auto"/>
        <w:jc w:val="both"/>
        <w:rPr>
          <w:sz w:val="22"/>
          <w:szCs w:val="22"/>
        </w:rPr>
      </w:pPr>
    </w:p>
    <w:p w14:paraId="779332C3" w14:textId="4BD95E9E" w:rsidR="00036484" w:rsidRDefault="00036484" w:rsidP="00B101EC">
      <w:pPr>
        <w:spacing w:line="360" w:lineRule="auto"/>
        <w:jc w:val="both"/>
        <w:rPr>
          <w:sz w:val="22"/>
          <w:szCs w:val="22"/>
        </w:rPr>
      </w:pPr>
      <w:r w:rsidRPr="0045458C">
        <w:rPr>
          <w:sz w:val="22"/>
          <w:szCs w:val="22"/>
        </w:rPr>
        <w:t xml:space="preserve">Winter, S. (2013) ‘Legislation, ideology and personal agency in the Western Australian penal colony, </w:t>
      </w:r>
      <w:r w:rsidRPr="0045458C">
        <w:rPr>
          <w:i/>
          <w:sz w:val="22"/>
          <w:szCs w:val="22"/>
        </w:rPr>
        <w:t>World Archaeology</w:t>
      </w:r>
      <w:r w:rsidRPr="0045458C">
        <w:rPr>
          <w:sz w:val="22"/>
          <w:szCs w:val="22"/>
        </w:rPr>
        <w:t>, 45, 5, pp.797-815.</w:t>
      </w:r>
    </w:p>
    <w:sectPr w:rsidR="00036484" w:rsidSect="00F83D9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7A7E7" w14:textId="77777777" w:rsidR="008D05CF" w:rsidRDefault="008D05CF" w:rsidP="00945D3F">
      <w:r>
        <w:separator/>
      </w:r>
    </w:p>
  </w:endnote>
  <w:endnote w:type="continuationSeparator" w:id="0">
    <w:p w14:paraId="5F49BEB8" w14:textId="77777777" w:rsidR="008D05CF" w:rsidRDefault="008D05CF" w:rsidP="00945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24CD4" w14:textId="77777777" w:rsidR="008D05CF" w:rsidRDefault="008D05CF" w:rsidP="00945D3F">
      <w:r>
        <w:separator/>
      </w:r>
    </w:p>
  </w:footnote>
  <w:footnote w:type="continuationSeparator" w:id="0">
    <w:p w14:paraId="72BE2820" w14:textId="77777777" w:rsidR="008D05CF" w:rsidRDefault="008D05CF" w:rsidP="00945D3F">
      <w:r>
        <w:continuationSeparator/>
      </w:r>
    </w:p>
  </w:footnote>
  <w:footnote w:id="1">
    <w:p w14:paraId="38576353" w14:textId="217361FB" w:rsidR="00130E53" w:rsidRPr="00DF273E" w:rsidRDefault="00130E53" w:rsidP="00DF273E">
      <w:pPr>
        <w:pStyle w:val="FootnoteText"/>
        <w:spacing w:line="276" w:lineRule="auto"/>
        <w:contextualSpacing/>
        <w:jc w:val="both"/>
        <w:rPr>
          <w:rFonts w:ascii="Times New Roman" w:hAnsi="Times New Roman" w:cs="Times New Roman"/>
          <w:sz w:val="22"/>
          <w:szCs w:val="22"/>
        </w:rPr>
      </w:pPr>
      <w:r w:rsidRPr="00DF273E">
        <w:rPr>
          <w:rStyle w:val="FootnoteReference"/>
          <w:rFonts w:ascii="Times New Roman" w:hAnsi="Times New Roman" w:cs="Times New Roman"/>
          <w:sz w:val="22"/>
          <w:szCs w:val="22"/>
        </w:rPr>
        <w:footnoteRef/>
      </w:r>
      <w:r w:rsidRPr="00DF273E">
        <w:rPr>
          <w:rFonts w:ascii="Times New Roman" w:hAnsi="Times New Roman" w:cs="Times New Roman"/>
          <w:sz w:val="22"/>
          <w:szCs w:val="22"/>
        </w:rPr>
        <w:t xml:space="preserve"> http://www.stateheritage.wa.gov.au/about-us/education-research-events/heritage-media/heritage-in-the-news/heritage-in-the-news/2018/01/19/convict-transportation-to-western-australia; http://fremantleprison.com.au/whats-on/transportation/; </w:t>
      </w:r>
      <w:hyperlink r:id="rId1" w:history="1">
        <w:r w:rsidRPr="00DF273E">
          <w:rPr>
            <w:rStyle w:val="Hyperlink"/>
            <w:rFonts w:ascii="Times New Roman" w:hAnsi="Times New Roman" w:cs="Times New Roman"/>
            <w:sz w:val="22"/>
            <w:szCs w:val="22"/>
          </w:rPr>
          <w:t>https://www2.le.ac.uk/departments/history/research/grants/CArchipelago</w:t>
        </w:r>
      </w:hyperlink>
    </w:p>
  </w:footnote>
  <w:footnote w:id="2">
    <w:p w14:paraId="0A9124E9" w14:textId="10E2479A" w:rsidR="00130E53" w:rsidRPr="00DF273E" w:rsidRDefault="00130E53" w:rsidP="00DF273E">
      <w:pPr>
        <w:spacing w:line="276" w:lineRule="auto"/>
        <w:jc w:val="both"/>
        <w:rPr>
          <w:color w:val="000000" w:themeColor="text1"/>
          <w:sz w:val="22"/>
          <w:szCs w:val="22"/>
        </w:rPr>
      </w:pPr>
      <w:r w:rsidRPr="00DF273E">
        <w:rPr>
          <w:rStyle w:val="FootnoteReference"/>
          <w:sz w:val="22"/>
          <w:szCs w:val="22"/>
        </w:rPr>
        <w:footnoteRef/>
      </w:r>
      <w:r w:rsidRPr="00DF273E">
        <w:rPr>
          <w:sz w:val="22"/>
          <w:szCs w:val="22"/>
        </w:rPr>
        <w:t xml:space="preserve"> </w:t>
      </w:r>
      <w:r w:rsidRPr="00DF273E">
        <w:rPr>
          <w:color w:val="000000" w:themeColor="text1"/>
          <w:sz w:val="22"/>
          <w:szCs w:val="22"/>
        </w:rPr>
        <w:t>http://oll.libertyfund.org/titles/bentham-the-works-of-jeremy-bentham-vol-4</w:t>
      </w:r>
    </w:p>
  </w:footnote>
  <w:footnote w:id="3">
    <w:p w14:paraId="536E8C00" w14:textId="0E5E17CA" w:rsidR="00130E53" w:rsidRPr="00DF273E" w:rsidRDefault="00130E53" w:rsidP="00B101EC">
      <w:pPr>
        <w:pStyle w:val="FootnoteText"/>
        <w:spacing w:line="276" w:lineRule="auto"/>
        <w:rPr>
          <w:rFonts w:ascii="Times New Roman" w:hAnsi="Times New Roman" w:cs="Times New Roman"/>
          <w:sz w:val="22"/>
          <w:szCs w:val="22"/>
          <w:lang w:val="en-GB"/>
        </w:rPr>
      </w:pPr>
      <w:r w:rsidRPr="00DF273E">
        <w:rPr>
          <w:rStyle w:val="FootnoteReference"/>
          <w:rFonts w:ascii="Times New Roman" w:hAnsi="Times New Roman" w:cs="Times New Roman"/>
          <w:sz w:val="22"/>
          <w:szCs w:val="22"/>
        </w:rPr>
        <w:footnoteRef/>
      </w:r>
      <w:r w:rsidRPr="00DF273E">
        <w:rPr>
          <w:rFonts w:ascii="Times New Roman" w:hAnsi="Times New Roman" w:cs="Times New Roman"/>
          <w:sz w:val="22"/>
          <w:szCs w:val="22"/>
        </w:rPr>
        <w:t xml:space="preserve"> </w:t>
      </w:r>
      <w:r w:rsidRPr="00DF273E">
        <w:rPr>
          <w:rFonts w:ascii="Times New Roman" w:hAnsi="Times New Roman" w:cs="Times New Roman"/>
          <w:sz w:val="22"/>
          <w:szCs w:val="22"/>
          <w:lang w:val="en-GB"/>
        </w:rPr>
        <w:t>Judicial Statistics 1857-1867</w:t>
      </w:r>
    </w:p>
  </w:footnote>
  <w:footnote w:id="4">
    <w:p w14:paraId="69CFD49B" w14:textId="414A3168" w:rsidR="00130E53" w:rsidRPr="00DF273E" w:rsidRDefault="00130E53" w:rsidP="00B101EC">
      <w:pPr>
        <w:pStyle w:val="FootnoteText"/>
        <w:spacing w:line="276" w:lineRule="auto"/>
        <w:contextualSpacing/>
        <w:jc w:val="both"/>
        <w:rPr>
          <w:rFonts w:ascii="Times New Roman" w:hAnsi="Times New Roman" w:cs="Times New Roman"/>
          <w:color w:val="000000" w:themeColor="text1"/>
          <w:sz w:val="22"/>
          <w:szCs w:val="22"/>
          <w:lang w:val="en-GB"/>
        </w:rPr>
      </w:pPr>
      <w:r w:rsidRPr="00DF273E">
        <w:rPr>
          <w:rStyle w:val="FootnoteReference"/>
          <w:rFonts w:ascii="Times New Roman" w:hAnsi="Times New Roman" w:cs="Times New Roman"/>
          <w:sz w:val="22"/>
          <w:szCs w:val="22"/>
        </w:rPr>
        <w:footnoteRef/>
      </w:r>
      <w:r w:rsidRPr="00DF273E">
        <w:rPr>
          <w:rFonts w:ascii="Times New Roman" w:hAnsi="Times New Roman" w:cs="Times New Roman"/>
          <w:sz w:val="22"/>
          <w:szCs w:val="22"/>
        </w:rPr>
        <w:t xml:space="preserve"> Just over four-hundred (</w:t>
      </w:r>
      <w:r w:rsidRPr="00DF273E">
        <w:rPr>
          <w:rFonts w:ascii="Times New Roman" w:hAnsi="Times New Roman" w:cs="Times New Roman"/>
          <w:sz w:val="22"/>
          <w:szCs w:val="22"/>
          <w:lang w:val="en-GB"/>
        </w:rPr>
        <w:t xml:space="preserve">420) were sentenced to death during this period. Another124,104 were sent to prison for less than two years; nearly three-thousand youths were sent to reformatory schools; and all of these were </w:t>
      </w:r>
      <w:r w:rsidRPr="00DF273E">
        <w:rPr>
          <w:rFonts w:ascii="Times New Roman" w:hAnsi="Times New Roman" w:cs="Times New Roman"/>
          <w:color w:val="000000" w:themeColor="text1"/>
          <w:sz w:val="22"/>
          <w:szCs w:val="22"/>
          <w:lang w:val="en-GB"/>
        </w:rPr>
        <w:t xml:space="preserve">dwarfed by the 156,000 who received fines rather than custodial sentences, </w:t>
      </w:r>
      <w:r w:rsidRPr="005B4A23">
        <w:rPr>
          <w:rFonts w:ascii="Times New Roman" w:hAnsi="Times New Roman" w:cs="Times New Roman"/>
          <w:i/>
          <w:color w:val="000000" w:themeColor="text1"/>
          <w:sz w:val="22"/>
          <w:szCs w:val="22"/>
          <w:lang w:val="en-GB"/>
        </w:rPr>
        <w:t>Annual Judicial Statistics, 1857-1867</w:t>
      </w:r>
      <w:r w:rsidRPr="00DF273E">
        <w:rPr>
          <w:rFonts w:ascii="Times New Roman" w:hAnsi="Times New Roman" w:cs="Times New Roman"/>
          <w:color w:val="000000" w:themeColor="text1"/>
          <w:sz w:val="22"/>
          <w:szCs w:val="22"/>
          <w:lang w:val="en-GB"/>
        </w:rPr>
        <w:t>.</w:t>
      </w:r>
    </w:p>
  </w:footnote>
  <w:footnote w:id="5">
    <w:p w14:paraId="3783FE6D" w14:textId="4007FBB0" w:rsidR="00130E53" w:rsidRPr="00DF273E" w:rsidRDefault="00130E53" w:rsidP="00B101EC">
      <w:pPr>
        <w:pStyle w:val="FootnoteText"/>
        <w:spacing w:line="276" w:lineRule="auto"/>
        <w:rPr>
          <w:rFonts w:ascii="Times New Roman" w:hAnsi="Times New Roman" w:cs="Times New Roman"/>
          <w:color w:val="000000" w:themeColor="text1"/>
          <w:sz w:val="22"/>
          <w:szCs w:val="22"/>
          <w:lang w:val="en-GB"/>
        </w:rPr>
      </w:pPr>
      <w:r w:rsidRPr="00DF273E">
        <w:rPr>
          <w:rStyle w:val="FootnoteReference"/>
          <w:rFonts w:ascii="Times New Roman" w:hAnsi="Times New Roman" w:cs="Times New Roman"/>
          <w:color w:val="000000" w:themeColor="text1"/>
          <w:sz w:val="22"/>
          <w:szCs w:val="22"/>
        </w:rPr>
        <w:footnoteRef/>
      </w:r>
      <w:r w:rsidRPr="00DF273E">
        <w:rPr>
          <w:rFonts w:ascii="Times New Roman" w:hAnsi="Times New Roman" w:cs="Times New Roman"/>
          <w:color w:val="000000" w:themeColor="text1"/>
          <w:sz w:val="22"/>
          <w:szCs w:val="22"/>
        </w:rPr>
        <w:t xml:space="preserve"> </w:t>
      </w:r>
      <w:r w:rsidRPr="00DF273E">
        <w:rPr>
          <w:rFonts w:ascii="Times New Roman" w:hAnsi="Times New Roman" w:cs="Times New Roman"/>
          <w:color w:val="000000" w:themeColor="text1"/>
          <w:sz w:val="22"/>
          <w:szCs w:val="22"/>
          <w:lang w:val="en-GB"/>
        </w:rPr>
        <w:t>Judicial Statistics, 1856-1914.</w:t>
      </w:r>
    </w:p>
  </w:footnote>
  <w:footnote w:id="6">
    <w:p w14:paraId="41B0D7C8" w14:textId="001DB90A" w:rsidR="00130E53" w:rsidRPr="003A4B2F" w:rsidRDefault="00130E53" w:rsidP="00B101EC">
      <w:pPr>
        <w:pStyle w:val="FootnoteText"/>
        <w:spacing w:line="276" w:lineRule="auto"/>
        <w:jc w:val="both"/>
        <w:rPr>
          <w:rFonts w:ascii="Times New Roman" w:hAnsi="Times New Roman" w:cs="Times New Roman"/>
          <w:i/>
          <w:color w:val="000000" w:themeColor="text1"/>
          <w:sz w:val="22"/>
          <w:szCs w:val="22"/>
          <w:lang w:val="en-GB"/>
        </w:rPr>
      </w:pPr>
      <w:r w:rsidRPr="005F65F0">
        <w:rPr>
          <w:rStyle w:val="FootnoteReference"/>
          <w:rFonts w:ascii="Times New Roman" w:hAnsi="Times New Roman" w:cs="Times New Roman"/>
          <w:color w:val="000000" w:themeColor="text1"/>
          <w:sz w:val="22"/>
          <w:szCs w:val="22"/>
        </w:rPr>
        <w:footnoteRef/>
      </w:r>
      <w:r w:rsidRPr="005F65F0">
        <w:rPr>
          <w:rFonts w:ascii="Times New Roman" w:hAnsi="Times New Roman" w:cs="Times New Roman"/>
          <w:color w:val="000000" w:themeColor="text1"/>
          <w:sz w:val="22"/>
          <w:szCs w:val="22"/>
        </w:rPr>
        <w:t xml:space="preserve"> </w:t>
      </w:r>
      <w:r w:rsidRPr="003A4B2F">
        <w:rPr>
          <w:rFonts w:ascii="Times New Roman" w:hAnsi="Times New Roman" w:cs="Times New Roman"/>
          <w:i/>
          <w:color w:val="000000" w:themeColor="text1"/>
          <w:sz w:val="22"/>
          <w:szCs w:val="22"/>
          <w:lang w:val="en-GB"/>
        </w:rPr>
        <w:t>Judicial Statistics 1857-1867.</w:t>
      </w:r>
    </w:p>
  </w:footnote>
  <w:footnote w:id="7">
    <w:p w14:paraId="530DCAE7" w14:textId="7B61641C" w:rsidR="00130E53" w:rsidRPr="00DF273E" w:rsidRDefault="00130E53" w:rsidP="00B101EC">
      <w:pPr>
        <w:pStyle w:val="FootnoteText"/>
        <w:spacing w:line="276" w:lineRule="auto"/>
        <w:rPr>
          <w:rFonts w:ascii="Times New Roman" w:hAnsi="Times New Roman" w:cs="Times New Roman"/>
          <w:i/>
          <w:sz w:val="22"/>
          <w:szCs w:val="22"/>
          <w:lang w:val="en-GB"/>
        </w:rPr>
      </w:pPr>
      <w:r w:rsidRPr="00DF273E">
        <w:rPr>
          <w:rStyle w:val="FootnoteReference"/>
          <w:rFonts w:ascii="Times New Roman" w:hAnsi="Times New Roman" w:cs="Times New Roman"/>
          <w:i/>
          <w:sz w:val="22"/>
          <w:szCs w:val="22"/>
        </w:rPr>
        <w:footnoteRef/>
      </w:r>
      <w:r w:rsidRPr="00DF273E">
        <w:rPr>
          <w:rFonts w:ascii="Times New Roman" w:hAnsi="Times New Roman" w:cs="Times New Roman"/>
          <w:i/>
          <w:sz w:val="22"/>
          <w:szCs w:val="22"/>
        </w:rPr>
        <w:t xml:space="preserve"> </w:t>
      </w:r>
      <w:r w:rsidRPr="00DF273E">
        <w:rPr>
          <w:rFonts w:ascii="Times New Roman" w:hAnsi="Times New Roman" w:cs="Times New Roman"/>
          <w:i/>
          <w:sz w:val="22"/>
          <w:szCs w:val="22"/>
          <w:lang w:val="en-GB"/>
        </w:rPr>
        <w:t>Western Australia</w:t>
      </w:r>
      <w:r>
        <w:rPr>
          <w:rFonts w:ascii="Times New Roman" w:hAnsi="Times New Roman" w:cs="Times New Roman"/>
          <w:i/>
          <w:sz w:val="22"/>
          <w:szCs w:val="22"/>
          <w:lang w:val="en-GB"/>
        </w:rPr>
        <w:t>,</w:t>
      </w:r>
      <w:r w:rsidRPr="00DF273E">
        <w:rPr>
          <w:rFonts w:ascii="Times New Roman" w:hAnsi="Times New Roman" w:cs="Times New Roman"/>
          <w:i/>
          <w:sz w:val="22"/>
          <w:szCs w:val="22"/>
          <w:lang w:val="en-GB"/>
        </w:rPr>
        <w:t xml:space="preserve"> Report, 1860</w:t>
      </w:r>
    </w:p>
  </w:footnote>
  <w:footnote w:id="8">
    <w:p w14:paraId="7AE719E1" w14:textId="58A01913" w:rsidR="00130E53" w:rsidRPr="00DF273E" w:rsidRDefault="00130E53" w:rsidP="00B101EC">
      <w:pPr>
        <w:pStyle w:val="FootnoteText"/>
        <w:spacing w:line="276" w:lineRule="auto"/>
        <w:jc w:val="both"/>
        <w:rPr>
          <w:rFonts w:ascii="Times New Roman" w:hAnsi="Times New Roman" w:cs="Times New Roman"/>
          <w:color w:val="000000" w:themeColor="text1"/>
          <w:sz w:val="22"/>
          <w:szCs w:val="22"/>
        </w:rPr>
      </w:pPr>
      <w:r w:rsidRPr="00DF273E">
        <w:rPr>
          <w:rStyle w:val="FootnoteReference"/>
          <w:rFonts w:ascii="Times New Roman" w:hAnsi="Times New Roman" w:cs="Times New Roman"/>
          <w:color w:val="000000" w:themeColor="text1"/>
          <w:sz w:val="22"/>
          <w:szCs w:val="22"/>
        </w:rPr>
        <w:footnoteRef/>
      </w:r>
      <w:r w:rsidRPr="00DF273E">
        <w:rPr>
          <w:rFonts w:ascii="Times New Roman" w:hAnsi="Times New Roman" w:cs="Times New Roman"/>
          <w:color w:val="000000" w:themeColor="text1"/>
          <w:sz w:val="22"/>
          <w:szCs w:val="22"/>
        </w:rPr>
        <w:t xml:space="preserve"> see https://www.digitalpanopticon.org/WA_Character_Books_and_General_Registers_1850-1868</w:t>
      </w:r>
    </w:p>
  </w:footnote>
  <w:footnote w:id="9">
    <w:p w14:paraId="38239702" w14:textId="455DA01C" w:rsidR="00130E53" w:rsidRPr="00DF273E" w:rsidRDefault="00130E53" w:rsidP="00B101EC">
      <w:pPr>
        <w:spacing w:line="276" w:lineRule="auto"/>
        <w:jc w:val="both"/>
        <w:rPr>
          <w:color w:val="000000" w:themeColor="text1"/>
          <w:sz w:val="22"/>
          <w:szCs w:val="22"/>
        </w:rPr>
      </w:pPr>
      <w:r w:rsidRPr="00DF273E">
        <w:rPr>
          <w:rStyle w:val="FootnoteReference"/>
          <w:color w:val="000000" w:themeColor="text1"/>
          <w:sz w:val="22"/>
          <w:szCs w:val="22"/>
        </w:rPr>
        <w:footnoteRef/>
      </w:r>
      <w:r w:rsidRPr="00DF273E">
        <w:rPr>
          <w:color w:val="000000" w:themeColor="text1"/>
          <w:sz w:val="22"/>
          <w:szCs w:val="22"/>
        </w:rPr>
        <w:t xml:space="preserve"> Western Australia retained its status as a penal colony until 1886 (Gibbs 2006).</w:t>
      </w:r>
    </w:p>
  </w:footnote>
  <w:footnote w:id="10">
    <w:p w14:paraId="71416F06" w14:textId="3972641A" w:rsidR="00130E53" w:rsidRPr="00DF273E" w:rsidRDefault="00130E53" w:rsidP="00B101EC">
      <w:pPr>
        <w:pStyle w:val="FootnoteText"/>
        <w:spacing w:line="276" w:lineRule="auto"/>
        <w:rPr>
          <w:rFonts w:ascii="Times New Roman" w:hAnsi="Times New Roman" w:cs="Times New Roman"/>
          <w:color w:val="000000" w:themeColor="text1"/>
          <w:sz w:val="22"/>
          <w:szCs w:val="22"/>
          <w:lang w:val="en-GB"/>
        </w:rPr>
      </w:pPr>
      <w:r w:rsidRPr="00DF273E">
        <w:rPr>
          <w:rStyle w:val="FootnoteReference"/>
          <w:rFonts w:ascii="Times New Roman" w:hAnsi="Times New Roman" w:cs="Times New Roman"/>
          <w:color w:val="000000" w:themeColor="text1"/>
          <w:sz w:val="22"/>
          <w:szCs w:val="22"/>
        </w:rPr>
        <w:footnoteRef/>
      </w:r>
      <w:r w:rsidRPr="00DF273E">
        <w:rPr>
          <w:rFonts w:ascii="Times New Roman" w:hAnsi="Times New Roman" w:cs="Times New Roman"/>
          <w:color w:val="000000" w:themeColor="text1"/>
          <w:sz w:val="22"/>
          <w:szCs w:val="22"/>
        </w:rPr>
        <w:t xml:space="preserve"> This lengthy and laborious task was completed b</w:t>
      </w:r>
      <w:r w:rsidRPr="00DF273E">
        <w:rPr>
          <w:rFonts w:ascii="Times New Roman" w:hAnsi="Times New Roman" w:cs="Times New Roman"/>
          <w:color w:val="000000" w:themeColor="text1"/>
          <w:sz w:val="22"/>
          <w:szCs w:val="22"/>
          <w:lang w:val="en-GB"/>
        </w:rPr>
        <w:t>y Dr Jane Richardson.</w:t>
      </w:r>
    </w:p>
  </w:footnote>
  <w:footnote w:id="11">
    <w:p w14:paraId="3021F21C" w14:textId="5EBBD1EF" w:rsidR="00130E53" w:rsidRPr="00DF273E" w:rsidRDefault="00130E53" w:rsidP="00B101EC">
      <w:pPr>
        <w:spacing w:line="276" w:lineRule="auto"/>
        <w:jc w:val="both"/>
        <w:rPr>
          <w:color w:val="000000" w:themeColor="text1"/>
          <w:sz w:val="22"/>
          <w:szCs w:val="22"/>
        </w:rPr>
      </w:pPr>
      <w:r w:rsidRPr="00DF273E">
        <w:rPr>
          <w:rStyle w:val="FootnoteReference"/>
          <w:color w:val="000000" w:themeColor="text1"/>
          <w:sz w:val="22"/>
          <w:szCs w:val="22"/>
        </w:rPr>
        <w:footnoteRef/>
      </w:r>
      <w:r w:rsidRPr="00DF273E">
        <w:rPr>
          <w:color w:val="000000" w:themeColor="text1"/>
          <w:sz w:val="22"/>
          <w:szCs w:val="22"/>
        </w:rPr>
        <w:t xml:space="preserve"> Erickson and O’Mara (1994) was also useful.</w:t>
      </w:r>
    </w:p>
  </w:footnote>
  <w:footnote w:id="12">
    <w:p w14:paraId="70DFF386" w14:textId="3414B660" w:rsidR="00130E53" w:rsidRPr="00DF273E" w:rsidRDefault="00130E53" w:rsidP="00B101EC">
      <w:pPr>
        <w:pStyle w:val="FootnoteText"/>
        <w:spacing w:line="276" w:lineRule="auto"/>
        <w:rPr>
          <w:rFonts w:ascii="Times New Roman" w:hAnsi="Times New Roman" w:cs="Times New Roman"/>
          <w:sz w:val="22"/>
          <w:szCs w:val="22"/>
          <w:lang w:val="en-GB"/>
        </w:rPr>
      </w:pPr>
      <w:r w:rsidRPr="00DF273E">
        <w:rPr>
          <w:rStyle w:val="FootnoteReference"/>
          <w:rFonts w:ascii="Times New Roman" w:hAnsi="Times New Roman" w:cs="Times New Roman"/>
          <w:sz w:val="22"/>
          <w:szCs w:val="22"/>
        </w:rPr>
        <w:footnoteRef/>
      </w:r>
      <w:r w:rsidRPr="00DF273E">
        <w:rPr>
          <w:rFonts w:ascii="Times New Roman" w:hAnsi="Times New Roman" w:cs="Times New Roman"/>
          <w:sz w:val="22"/>
          <w:szCs w:val="22"/>
        </w:rPr>
        <w:t xml:space="preserve"> 179 </w:t>
      </w:r>
      <w:r w:rsidRPr="00DF273E">
        <w:rPr>
          <w:rFonts w:ascii="Times New Roman" w:hAnsi="Times New Roman" w:cs="Times New Roman"/>
          <w:color w:val="000000" w:themeColor="text1"/>
          <w:sz w:val="22"/>
          <w:szCs w:val="22"/>
        </w:rPr>
        <w:t>indigenous men</w:t>
      </w:r>
      <w:r w:rsidRPr="00DF273E">
        <w:rPr>
          <w:rFonts w:ascii="Times New Roman" w:hAnsi="Times New Roman" w:cs="Times New Roman"/>
          <w:sz w:val="22"/>
          <w:szCs w:val="22"/>
        </w:rPr>
        <w:t xml:space="preserve"> were also prosecuted in</w:t>
      </w:r>
      <w:r w:rsidRPr="00DF273E">
        <w:rPr>
          <w:rFonts w:ascii="Times New Roman" w:hAnsi="Times New Roman" w:cs="Times New Roman"/>
          <w:color w:val="000000" w:themeColor="text1"/>
          <w:sz w:val="22"/>
          <w:szCs w:val="22"/>
        </w:rPr>
        <w:t xml:space="preserve"> Supreme Court records; 127 (72%) indigenous defendants were convicted, thirty-eight of those were executed, and ninety were confined in Rottnest Island (rather than Fremantle Prison).</w:t>
      </w:r>
    </w:p>
  </w:footnote>
  <w:footnote w:id="13">
    <w:p w14:paraId="2BA6F785" w14:textId="451A3528" w:rsidR="00130E53" w:rsidRPr="00DF273E" w:rsidRDefault="00130E53" w:rsidP="00B101EC">
      <w:pPr>
        <w:pStyle w:val="FootnoteText"/>
        <w:spacing w:line="276" w:lineRule="auto"/>
        <w:rPr>
          <w:rFonts w:ascii="Times New Roman" w:hAnsi="Times New Roman" w:cs="Times New Roman"/>
          <w:sz w:val="22"/>
          <w:szCs w:val="22"/>
          <w:lang w:val="en-GB"/>
        </w:rPr>
      </w:pPr>
      <w:r w:rsidRPr="00DF273E">
        <w:rPr>
          <w:rStyle w:val="FootnoteReference"/>
          <w:rFonts w:ascii="Times New Roman" w:hAnsi="Times New Roman" w:cs="Times New Roman"/>
          <w:sz w:val="22"/>
          <w:szCs w:val="22"/>
        </w:rPr>
        <w:footnoteRef/>
      </w:r>
      <w:r w:rsidRPr="00DF273E">
        <w:rPr>
          <w:rFonts w:ascii="Times New Roman" w:hAnsi="Times New Roman" w:cs="Times New Roman"/>
          <w:sz w:val="22"/>
          <w:szCs w:val="22"/>
        </w:rPr>
        <w:t xml:space="preserve"> </w:t>
      </w:r>
      <w:r w:rsidRPr="00DF273E">
        <w:rPr>
          <w:rStyle w:val="Hyperlink"/>
          <w:rFonts w:ascii="Times New Roman" w:hAnsi="Times New Roman" w:cs="Times New Roman"/>
          <w:i/>
          <w:color w:val="000000" w:themeColor="text1"/>
          <w:sz w:val="22"/>
          <w:szCs w:val="22"/>
          <w:u w:val="none"/>
        </w:rPr>
        <w:t>https://www.researchcatalogue.esrc.ac.uk/grants/RES-062-23-3102/read</w:t>
      </w:r>
    </w:p>
  </w:footnote>
  <w:footnote w:id="14">
    <w:p w14:paraId="3CB68993" w14:textId="6671B542" w:rsidR="00130E53" w:rsidRPr="00DF273E" w:rsidRDefault="00130E53">
      <w:pPr>
        <w:pStyle w:val="FootnoteText"/>
        <w:rPr>
          <w:rFonts w:ascii="Times New Roman" w:hAnsi="Times New Roman" w:cs="Times New Roman"/>
          <w:sz w:val="22"/>
          <w:szCs w:val="22"/>
          <w:lang w:val="en-GB"/>
        </w:rPr>
      </w:pPr>
      <w:r w:rsidRPr="00DF273E">
        <w:rPr>
          <w:rStyle w:val="FootnoteReference"/>
          <w:rFonts w:ascii="Times New Roman" w:hAnsi="Times New Roman" w:cs="Times New Roman"/>
          <w:sz w:val="22"/>
          <w:szCs w:val="22"/>
        </w:rPr>
        <w:footnoteRef/>
      </w:r>
      <w:r w:rsidRPr="00DF273E">
        <w:rPr>
          <w:rFonts w:ascii="Times New Roman" w:hAnsi="Times New Roman" w:cs="Times New Roman"/>
          <w:sz w:val="22"/>
          <w:szCs w:val="22"/>
        </w:rPr>
        <w:t xml:space="preserve"> </w:t>
      </w:r>
      <w:r w:rsidRPr="00DF273E">
        <w:rPr>
          <w:rFonts w:ascii="Times New Roman" w:hAnsi="Times New Roman" w:cs="Times New Roman"/>
          <w:sz w:val="22"/>
          <w:szCs w:val="22"/>
          <w:lang w:val="en-GB"/>
        </w:rPr>
        <w:t xml:space="preserve"> Old Bailey Online, 1853-1868</w:t>
      </w:r>
      <w:r>
        <w:rPr>
          <w:rFonts w:ascii="Times New Roman" w:hAnsi="Times New Roman" w:cs="Times New Roman"/>
          <w:sz w:val="22"/>
          <w:szCs w:val="22"/>
          <w:lang w:val="en-GB"/>
        </w:rPr>
        <w:t>.</w:t>
      </w:r>
    </w:p>
  </w:footnote>
  <w:footnote w:id="15">
    <w:p w14:paraId="6CB92A04" w14:textId="272EC6A8" w:rsidR="00130E53" w:rsidRPr="00DF273E" w:rsidRDefault="00130E53" w:rsidP="00B101EC">
      <w:pPr>
        <w:pStyle w:val="FootnoteText"/>
        <w:spacing w:line="276" w:lineRule="auto"/>
        <w:rPr>
          <w:rFonts w:ascii="Times New Roman" w:hAnsi="Times New Roman" w:cs="Times New Roman"/>
          <w:sz w:val="22"/>
          <w:szCs w:val="22"/>
          <w:lang w:val="en-GB"/>
        </w:rPr>
      </w:pPr>
      <w:r w:rsidRPr="00DF273E">
        <w:rPr>
          <w:rStyle w:val="FootnoteReference"/>
          <w:rFonts w:ascii="Times New Roman" w:hAnsi="Times New Roman" w:cs="Times New Roman"/>
          <w:sz w:val="22"/>
          <w:szCs w:val="22"/>
        </w:rPr>
        <w:footnoteRef/>
      </w:r>
      <w:r w:rsidRPr="00DF273E">
        <w:rPr>
          <w:rFonts w:ascii="Times New Roman" w:hAnsi="Times New Roman" w:cs="Times New Roman"/>
          <w:sz w:val="22"/>
          <w:szCs w:val="22"/>
        </w:rPr>
        <w:t xml:space="preserve"> </w:t>
      </w:r>
      <w:r w:rsidRPr="00DF273E">
        <w:rPr>
          <w:rFonts w:ascii="Times New Roman" w:hAnsi="Times New Roman" w:cs="Times New Roman"/>
          <w:sz w:val="22"/>
          <w:szCs w:val="22"/>
          <w:lang w:val="en-GB"/>
        </w:rPr>
        <w:t xml:space="preserve">Badcock received his Certificate of Freedom </w:t>
      </w:r>
      <w:r>
        <w:rPr>
          <w:rFonts w:ascii="Times New Roman" w:hAnsi="Times New Roman" w:cs="Times New Roman"/>
          <w:sz w:val="22"/>
          <w:szCs w:val="22"/>
          <w:lang w:val="en-GB"/>
        </w:rPr>
        <w:t>in</w:t>
      </w:r>
      <w:r w:rsidRPr="00DF273E">
        <w:rPr>
          <w:rFonts w:ascii="Times New Roman" w:hAnsi="Times New Roman" w:cs="Times New Roman"/>
          <w:sz w:val="22"/>
          <w:szCs w:val="22"/>
          <w:lang w:val="en-GB"/>
        </w:rPr>
        <w:t xml:space="preserve"> 1877 and lived out his life as a shepherd.</w:t>
      </w:r>
    </w:p>
  </w:footnote>
  <w:footnote w:id="16">
    <w:p w14:paraId="362AD3B0" w14:textId="28842289" w:rsidR="00130E53" w:rsidRPr="00DF273E" w:rsidRDefault="00130E53" w:rsidP="00B101EC">
      <w:pPr>
        <w:spacing w:line="276" w:lineRule="auto"/>
        <w:jc w:val="both"/>
        <w:rPr>
          <w:color w:val="000000" w:themeColor="text1"/>
          <w:sz w:val="22"/>
          <w:szCs w:val="22"/>
        </w:rPr>
      </w:pPr>
      <w:r w:rsidRPr="00DF273E">
        <w:rPr>
          <w:rStyle w:val="FootnoteReference"/>
          <w:sz w:val="22"/>
          <w:szCs w:val="22"/>
        </w:rPr>
        <w:footnoteRef/>
      </w:r>
      <w:r w:rsidRPr="00DF273E">
        <w:rPr>
          <w:sz w:val="22"/>
          <w:szCs w:val="22"/>
        </w:rPr>
        <w:t xml:space="preserve">  </w:t>
      </w:r>
      <w:r>
        <w:rPr>
          <w:sz w:val="22"/>
          <w:szCs w:val="22"/>
        </w:rPr>
        <w:t xml:space="preserve">Note that </w:t>
      </w:r>
      <w:r w:rsidRPr="00DF273E">
        <w:rPr>
          <w:color w:val="000000" w:themeColor="text1"/>
          <w:sz w:val="22"/>
          <w:szCs w:val="22"/>
        </w:rPr>
        <w:t>Fig 4 does not indicate that they were reconvicted in the year they arrived.</w:t>
      </w:r>
    </w:p>
  </w:footnote>
  <w:footnote w:id="17">
    <w:p w14:paraId="6CFAB617" w14:textId="77777777" w:rsidR="00130E53" w:rsidRPr="005B4A23" w:rsidRDefault="00130E53" w:rsidP="00B101EC">
      <w:pPr>
        <w:pStyle w:val="FootnoteText"/>
        <w:spacing w:line="276" w:lineRule="auto"/>
        <w:rPr>
          <w:rFonts w:ascii="Times New Roman" w:hAnsi="Times New Roman" w:cs="Times New Roman"/>
          <w:sz w:val="22"/>
          <w:szCs w:val="22"/>
          <w:lang w:val="en-GB"/>
        </w:rPr>
      </w:pPr>
      <w:r w:rsidRPr="005B4A23">
        <w:rPr>
          <w:rStyle w:val="FootnoteReference"/>
          <w:rFonts w:ascii="Times New Roman" w:hAnsi="Times New Roman" w:cs="Times New Roman"/>
          <w:sz w:val="22"/>
          <w:szCs w:val="22"/>
        </w:rPr>
        <w:footnoteRef/>
      </w:r>
      <w:r w:rsidRPr="005B4A23">
        <w:rPr>
          <w:rFonts w:ascii="Times New Roman" w:hAnsi="Times New Roman" w:cs="Times New Roman"/>
          <w:sz w:val="22"/>
          <w:szCs w:val="22"/>
        </w:rPr>
        <w:t xml:space="preserve"> </w:t>
      </w:r>
      <w:r w:rsidRPr="005B4A23">
        <w:rPr>
          <w:rStyle w:val="Hyperlink"/>
          <w:rFonts w:ascii="Times New Roman" w:hAnsi="Times New Roman" w:cs="Times New Roman"/>
          <w:color w:val="000000" w:themeColor="text1"/>
          <w:sz w:val="22"/>
          <w:szCs w:val="22"/>
          <w:u w:val="none"/>
        </w:rPr>
        <w:t>https://www.researchcatalogue.esrc.ac.uk/grants/RES-062-23-3102/read</w:t>
      </w:r>
    </w:p>
    <w:p w14:paraId="504E2460" w14:textId="197307B0" w:rsidR="00130E53" w:rsidRPr="00DF273E" w:rsidRDefault="00130E53" w:rsidP="00B101EC">
      <w:pPr>
        <w:pStyle w:val="FootnoteText"/>
        <w:spacing w:line="276" w:lineRule="auto"/>
        <w:rPr>
          <w:rFonts w:ascii="Times New Roman" w:hAnsi="Times New Roman" w:cs="Times New Roman"/>
          <w:sz w:val="22"/>
          <w:szCs w:val="22"/>
          <w:lang w:val="en-GB"/>
        </w:rPr>
      </w:pPr>
    </w:p>
  </w:footnote>
  <w:footnote w:id="18">
    <w:p w14:paraId="6ECF1C66" w14:textId="774C9565" w:rsidR="00130E53" w:rsidRPr="00DF273E" w:rsidRDefault="00130E53" w:rsidP="00B101EC">
      <w:pPr>
        <w:spacing w:line="276" w:lineRule="auto"/>
        <w:contextualSpacing/>
        <w:jc w:val="both"/>
        <w:rPr>
          <w:color w:val="000000" w:themeColor="text1"/>
          <w:sz w:val="22"/>
          <w:szCs w:val="22"/>
        </w:rPr>
      </w:pPr>
      <w:r w:rsidRPr="00DF273E">
        <w:rPr>
          <w:rStyle w:val="FootnoteReference"/>
          <w:sz w:val="22"/>
          <w:szCs w:val="22"/>
        </w:rPr>
        <w:footnoteRef/>
      </w:r>
      <w:r w:rsidRPr="00DF273E">
        <w:rPr>
          <w:color w:val="000000" w:themeColor="text1"/>
          <w:sz w:val="22"/>
          <w:szCs w:val="22"/>
        </w:rPr>
        <w:t>https://www.sentencingcouncil.vic.gov.au/statistics/sentencing-statistics/released-prisoners-returning-to-prison</w:t>
      </w:r>
    </w:p>
  </w:footnote>
  <w:footnote w:id="19">
    <w:p w14:paraId="49D1E554" w14:textId="106AF47A" w:rsidR="00130E53" w:rsidRPr="00DF273E" w:rsidRDefault="00130E53" w:rsidP="00B101EC">
      <w:pPr>
        <w:pStyle w:val="FootnoteText"/>
        <w:spacing w:line="276" w:lineRule="auto"/>
        <w:contextualSpacing/>
        <w:rPr>
          <w:rFonts w:ascii="Times New Roman" w:hAnsi="Times New Roman" w:cs="Times New Roman"/>
          <w:sz w:val="22"/>
          <w:szCs w:val="22"/>
          <w:lang w:val="en-GB"/>
        </w:rPr>
      </w:pPr>
      <w:r w:rsidRPr="00DF273E">
        <w:rPr>
          <w:rStyle w:val="FootnoteReference"/>
          <w:rFonts w:ascii="Times New Roman" w:hAnsi="Times New Roman" w:cs="Times New Roman"/>
          <w:sz w:val="22"/>
          <w:szCs w:val="22"/>
        </w:rPr>
        <w:footnoteRef/>
      </w:r>
      <w:r w:rsidRPr="00DF273E">
        <w:rPr>
          <w:rFonts w:ascii="Times New Roman" w:hAnsi="Times New Roman" w:cs="Times New Roman"/>
          <w:sz w:val="22"/>
          <w:szCs w:val="22"/>
        </w:rPr>
        <w:t xml:space="preserve"> http://open.justice.gov.uk/reoffending/prisons/</w:t>
      </w:r>
    </w:p>
  </w:footnote>
  <w:footnote w:id="20">
    <w:p w14:paraId="45D85775" w14:textId="77777777" w:rsidR="00130E53" w:rsidRPr="00DF273E" w:rsidRDefault="00130E53" w:rsidP="005261E5">
      <w:pPr>
        <w:spacing w:line="276" w:lineRule="auto"/>
        <w:jc w:val="both"/>
        <w:rPr>
          <w:color w:val="000000" w:themeColor="text1"/>
          <w:sz w:val="22"/>
          <w:szCs w:val="22"/>
        </w:rPr>
      </w:pPr>
      <w:r w:rsidRPr="00DF273E">
        <w:rPr>
          <w:rStyle w:val="FootnoteReference"/>
          <w:color w:val="000000" w:themeColor="text1"/>
          <w:sz w:val="22"/>
          <w:szCs w:val="22"/>
        </w:rPr>
        <w:footnoteRef/>
      </w:r>
      <w:r w:rsidRPr="00DF273E">
        <w:rPr>
          <w:color w:val="000000" w:themeColor="text1"/>
          <w:sz w:val="22"/>
          <w:szCs w:val="22"/>
        </w:rPr>
        <w:t xml:space="preserve"> Figures for Habitual Offenders taken from sample of MEPO 6 and PCOM 2, both held in The National Archives, London. </w:t>
      </w:r>
    </w:p>
    <w:p w14:paraId="179FF58E" w14:textId="77777777" w:rsidR="00130E53" w:rsidRPr="00DF273E" w:rsidRDefault="00130E53" w:rsidP="005261E5">
      <w:pPr>
        <w:pStyle w:val="FootnoteText"/>
        <w:spacing w:line="276" w:lineRule="auto"/>
        <w:rPr>
          <w:rFonts w:ascii="Times New Roman" w:hAnsi="Times New Roman" w:cs="Times New Roman"/>
          <w:sz w:val="22"/>
          <w:szCs w:val="22"/>
          <w:lang w:val="en-GB"/>
        </w:rPr>
      </w:pPr>
    </w:p>
  </w:footnote>
  <w:footnote w:id="21">
    <w:p w14:paraId="4E522B85" w14:textId="09579AD1" w:rsidR="00130E53" w:rsidRPr="00DF273E" w:rsidRDefault="00130E53" w:rsidP="00B101EC">
      <w:pPr>
        <w:spacing w:line="276" w:lineRule="auto"/>
        <w:jc w:val="both"/>
        <w:rPr>
          <w:color w:val="000000" w:themeColor="text1"/>
          <w:sz w:val="22"/>
          <w:szCs w:val="22"/>
        </w:rPr>
      </w:pPr>
      <w:r w:rsidRPr="00DF273E">
        <w:rPr>
          <w:rStyle w:val="FootnoteReference"/>
          <w:sz w:val="22"/>
          <w:szCs w:val="22"/>
        </w:rPr>
        <w:footnoteRef/>
      </w:r>
      <w:r w:rsidRPr="00DF273E">
        <w:rPr>
          <w:sz w:val="22"/>
          <w:szCs w:val="22"/>
        </w:rPr>
        <w:t xml:space="preserve"> Some may have been reconvicted </w:t>
      </w:r>
      <w:r w:rsidR="00DF5A00">
        <w:rPr>
          <w:sz w:val="22"/>
          <w:szCs w:val="22"/>
        </w:rPr>
        <w:t xml:space="preserve">after expiration of </w:t>
      </w:r>
      <w:proofErr w:type="gramStart"/>
      <w:r w:rsidR="00DF5A00">
        <w:rPr>
          <w:sz w:val="22"/>
          <w:szCs w:val="22"/>
        </w:rPr>
        <w:t xml:space="preserve">their </w:t>
      </w:r>
      <w:r w:rsidRPr="00DF273E">
        <w:rPr>
          <w:sz w:val="22"/>
          <w:szCs w:val="22"/>
        </w:rPr>
        <w:t xml:space="preserve"> the</w:t>
      </w:r>
      <w:proofErr w:type="gramEnd"/>
      <w:r w:rsidRPr="00DF273E">
        <w:rPr>
          <w:sz w:val="22"/>
          <w:szCs w:val="22"/>
        </w:rPr>
        <w:t xml:space="preserve"> license period (usually between </w:t>
      </w:r>
      <w:r w:rsidR="00DF5A00">
        <w:rPr>
          <w:sz w:val="22"/>
          <w:szCs w:val="22"/>
        </w:rPr>
        <w:t xml:space="preserve">12-24 </w:t>
      </w:r>
      <w:r w:rsidRPr="00DF273E">
        <w:rPr>
          <w:sz w:val="22"/>
          <w:szCs w:val="22"/>
        </w:rPr>
        <w:t xml:space="preserve">months) and would not show in reconviction figures, see </w:t>
      </w:r>
      <w:r w:rsidRPr="00DF273E">
        <w:rPr>
          <w:color w:val="000000" w:themeColor="text1"/>
          <w:sz w:val="22"/>
          <w:szCs w:val="22"/>
        </w:rPr>
        <w:t>https://www.researchcatalogue.esrc.ac.uk/grants/RES-062-23-3102/read.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A81"/>
    <w:multiLevelType w:val="hybridMultilevel"/>
    <w:tmpl w:val="1812DE72"/>
    <w:lvl w:ilvl="0" w:tplc="0804D856">
      <w:start w:val="1"/>
      <w:numFmt w:val="upp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 w15:restartNumberingAfterBreak="0">
    <w:nsid w:val="57116AB6"/>
    <w:multiLevelType w:val="hybridMultilevel"/>
    <w:tmpl w:val="AF54CAFE"/>
    <w:lvl w:ilvl="0" w:tplc="D5C44C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6B6897"/>
    <w:multiLevelType w:val="hybridMultilevel"/>
    <w:tmpl w:val="29448C76"/>
    <w:lvl w:ilvl="0" w:tplc="9C4C88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376A05"/>
    <w:multiLevelType w:val="multilevel"/>
    <w:tmpl w:val="0652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6B6B54"/>
    <w:multiLevelType w:val="multilevel"/>
    <w:tmpl w:val="6DE67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CB2B64"/>
    <w:multiLevelType w:val="multilevel"/>
    <w:tmpl w:val="8A16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BD4"/>
    <w:rsid w:val="000001B0"/>
    <w:rsid w:val="000017A0"/>
    <w:rsid w:val="00002E01"/>
    <w:rsid w:val="00003491"/>
    <w:rsid w:val="00003B10"/>
    <w:rsid w:val="00005913"/>
    <w:rsid w:val="000059B4"/>
    <w:rsid w:val="000066A6"/>
    <w:rsid w:val="00010B94"/>
    <w:rsid w:val="00010DF7"/>
    <w:rsid w:val="00013A87"/>
    <w:rsid w:val="00015938"/>
    <w:rsid w:val="00020E40"/>
    <w:rsid w:val="0002175F"/>
    <w:rsid w:val="000249BE"/>
    <w:rsid w:val="000257DA"/>
    <w:rsid w:val="00030C72"/>
    <w:rsid w:val="00036310"/>
    <w:rsid w:val="000363F6"/>
    <w:rsid w:val="00036484"/>
    <w:rsid w:val="00037E70"/>
    <w:rsid w:val="00040009"/>
    <w:rsid w:val="0004190A"/>
    <w:rsid w:val="000432FE"/>
    <w:rsid w:val="00043EA5"/>
    <w:rsid w:val="000468CA"/>
    <w:rsid w:val="0004769F"/>
    <w:rsid w:val="00052CCD"/>
    <w:rsid w:val="000544F4"/>
    <w:rsid w:val="0005769A"/>
    <w:rsid w:val="00060A79"/>
    <w:rsid w:val="00061A7A"/>
    <w:rsid w:val="00061C61"/>
    <w:rsid w:val="00061CD3"/>
    <w:rsid w:val="00062B87"/>
    <w:rsid w:val="00063529"/>
    <w:rsid w:val="00063FFA"/>
    <w:rsid w:val="0006592E"/>
    <w:rsid w:val="000667D1"/>
    <w:rsid w:val="00067681"/>
    <w:rsid w:val="00071AE1"/>
    <w:rsid w:val="00071E1A"/>
    <w:rsid w:val="00072283"/>
    <w:rsid w:val="00073884"/>
    <w:rsid w:val="00077060"/>
    <w:rsid w:val="000802FC"/>
    <w:rsid w:val="00081A6F"/>
    <w:rsid w:val="00081F54"/>
    <w:rsid w:val="00083E9C"/>
    <w:rsid w:val="0008642B"/>
    <w:rsid w:val="00087548"/>
    <w:rsid w:val="000916A6"/>
    <w:rsid w:val="00093CA6"/>
    <w:rsid w:val="00094B24"/>
    <w:rsid w:val="000A1825"/>
    <w:rsid w:val="000A363F"/>
    <w:rsid w:val="000A3F59"/>
    <w:rsid w:val="000B0171"/>
    <w:rsid w:val="000B042D"/>
    <w:rsid w:val="000B246A"/>
    <w:rsid w:val="000B2CEA"/>
    <w:rsid w:val="000B41C1"/>
    <w:rsid w:val="000C08A6"/>
    <w:rsid w:val="000C1C28"/>
    <w:rsid w:val="000C1D34"/>
    <w:rsid w:val="000C2E8B"/>
    <w:rsid w:val="000D0418"/>
    <w:rsid w:val="000D581F"/>
    <w:rsid w:val="000E089C"/>
    <w:rsid w:val="000E2B13"/>
    <w:rsid w:val="000E5A74"/>
    <w:rsid w:val="000E6FAF"/>
    <w:rsid w:val="000F00F7"/>
    <w:rsid w:val="000F0BCD"/>
    <w:rsid w:val="000F356C"/>
    <w:rsid w:val="000F7687"/>
    <w:rsid w:val="000F7AEF"/>
    <w:rsid w:val="000F7C43"/>
    <w:rsid w:val="00102DDF"/>
    <w:rsid w:val="00106251"/>
    <w:rsid w:val="0011244C"/>
    <w:rsid w:val="001142F3"/>
    <w:rsid w:val="00114891"/>
    <w:rsid w:val="00114F71"/>
    <w:rsid w:val="00114F97"/>
    <w:rsid w:val="00116E8B"/>
    <w:rsid w:val="00120CAF"/>
    <w:rsid w:val="00121A0D"/>
    <w:rsid w:val="00122376"/>
    <w:rsid w:val="00124BC4"/>
    <w:rsid w:val="00126938"/>
    <w:rsid w:val="00130E53"/>
    <w:rsid w:val="001355DB"/>
    <w:rsid w:val="001410D2"/>
    <w:rsid w:val="001412C9"/>
    <w:rsid w:val="001426C4"/>
    <w:rsid w:val="00143A25"/>
    <w:rsid w:val="00146889"/>
    <w:rsid w:val="00147A2D"/>
    <w:rsid w:val="00150B06"/>
    <w:rsid w:val="001515DA"/>
    <w:rsid w:val="00163CF5"/>
    <w:rsid w:val="00163E98"/>
    <w:rsid w:val="00166751"/>
    <w:rsid w:val="00167150"/>
    <w:rsid w:val="00167B70"/>
    <w:rsid w:val="001709B5"/>
    <w:rsid w:val="001800A1"/>
    <w:rsid w:val="00182148"/>
    <w:rsid w:val="00182BC1"/>
    <w:rsid w:val="00183E9D"/>
    <w:rsid w:val="00184B95"/>
    <w:rsid w:val="00185683"/>
    <w:rsid w:val="0018691B"/>
    <w:rsid w:val="00187B50"/>
    <w:rsid w:val="00190C65"/>
    <w:rsid w:val="00191DB4"/>
    <w:rsid w:val="00195289"/>
    <w:rsid w:val="001954DD"/>
    <w:rsid w:val="00196E0F"/>
    <w:rsid w:val="001A2288"/>
    <w:rsid w:val="001A29C8"/>
    <w:rsid w:val="001A3CB4"/>
    <w:rsid w:val="001A5D78"/>
    <w:rsid w:val="001A6054"/>
    <w:rsid w:val="001B0008"/>
    <w:rsid w:val="001B03C7"/>
    <w:rsid w:val="001B7CF8"/>
    <w:rsid w:val="001C0E7E"/>
    <w:rsid w:val="001C15EF"/>
    <w:rsid w:val="001C40E5"/>
    <w:rsid w:val="001C445C"/>
    <w:rsid w:val="001D21A6"/>
    <w:rsid w:val="001D3B3C"/>
    <w:rsid w:val="001D4948"/>
    <w:rsid w:val="001D5F2C"/>
    <w:rsid w:val="001D6C84"/>
    <w:rsid w:val="001D7941"/>
    <w:rsid w:val="001E6D31"/>
    <w:rsid w:val="001F000C"/>
    <w:rsid w:val="001F1434"/>
    <w:rsid w:val="001F15A8"/>
    <w:rsid w:val="001F1A5D"/>
    <w:rsid w:val="001F21FC"/>
    <w:rsid w:val="001F3819"/>
    <w:rsid w:val="001F3F49"/>
    <w:rsid w:val="001F6DE3"/>
    <w:rsid w:val="001F7C9E"/>
    <w:rsid w:val="002016B7"/>
    <w:rsid w:val="00204CEB"/>
    <w:rsid w:val="00205B0E"/>
    <w:rsid w:val="00211AA8"/>
    <w:rsid w:val="00212A4D"/>
    <w:rsid w:val="0021340A"/>
    <w:rsid w:val="002140C1"/>
    <w:rsid w:val="00214D06"/>
    <w:rsid w:val="00222D44"/>
    <w:rsid w:val="00226A8E"/>
    <w:rsid w:val="00227566"/>
    <w:rsid w:val="00231844"/>
    <w:rsid w:val="002336D0"/>
    <w:rsid w:val="0023658C"/>
    <w:rsid w:val="002415A7"/>
    <w:rsid w:val="00242AB9"/>
    <w:rsid w:val="002430C3"/>
    <w:rsid w:val="00243627"/>
    <w:rsid w:val="00243661"/>
    <w:rsid w:val="00244592"/>
    <w:rsid w:val="002466FD"/>
    <w:rsid w:val="00251655"/>
    <w:rsid w:val="00253807"/>
    <w:rsid w:val="00253BF2"/>
    <w:rsid w:val="00257BB1"/>
    <w:rsid w:val="00257D9B"/>
    <w:rsid w:val="002708AC"/>
    <w:rsid w:val="002716D7"/>
    <w:rsid w:val="0027634F"/>
    <w:rsid w:val="00282A28"/>
    <w:rsid w:val="002834A6"/>
    <w:rsid w:val="00284579"/>
    <w:rsid w:val="0028563C"/>
    <w:rsid w:val="00290DEF"/>
    <w:rsid w:val="0029326A"/>
    <w:rsid w:val="002934E5"/>
    <w:rsid w:val="002942D9"/>
    <w:rsid w:val="002951B5"/>
    <w:rsid w:val="002954B6"/>
    <w:rsid w:val="00297FB9"/>
    <w:rsid w:val="002A324D"/>
    <w:rsid w:val="002A3A54"/>
    <w:rsid w:val="002A479C"/>
    <w:rsid w:val="002B0013"/>
    <w:rsid w:val="002B2998"/>
    <w:rsid w:val="002B4157"/>
    <w:rsid w:val="002B7923"/>
    <w:rsid w:val="002B7974"/>
    <w:rsid w:val="002C3E3D"/>
    <w:rsid w:val="002C419B"/>
    <w:rsid w:val="002C569B"/>
    <w:rsid w:val="002C6BE5"/>
    <w:rsid w:val="002D5C5E"/>
    <w:rsid w:val="002D5F07"/>
    <w:rsid w:val="002E00C5"/>
    <w:rsid w:val="002E1F86"/>
    <w:rsid w:val="002E2675"/>
    <w:rsid w:val="002E2D62"/>
    <w:rsid w:val="002E74E1"/>
    <w:rsid w:val="002F0973"/>
    <w:rsid w:val="002F451D"/>
    <w:rsid w:val="00302C8E"/>
    <w:rsid w:val="0030396C"/>
    <w:rsid w:val="00303FA0"/>
    <w:rsid w:val="00304173"/>
    <w:rsid w:val="003054AD"/>
    <w:rsid w:val="003125D6"/>
    <w:rsid w:val="0031388E"/>
    <w:rsid w:val="003148F0"/>
    <w:rsid w:val="00314921"/>
    <w:rsid w:val="00315150"/>
    <w:rsid w:val="00317DC3"/>
    <w:rsid w:val="00320A0C"/>
    <w:rsid w:val="0032163B"/>
    <w:rsid w:val="00322403"/>
    <w:rsid w:val="00324C27"/>
    <w:rsid w:val="00325428"/>
    <w:rsid w:val="00327547"/>
    <w:rsid w:val="003304F7"/>
    <w:rsid w:val="003367CE"/>
    <w:rsid w:val="00343522"/>
    <w:rsid w:val="00347348"/>
    <w:rsid w:val="00352FD2"/>
    <w:rsid w:val="00353497"/>
    <w:rsid w:val="00353DE5"/>
    <w:rsid w:val="0036127B"/>
    <w:rsid w:val="00361E3A"/>
    <w:rsid w:val="00362629"/>
    <w:rsid w:val="00365AAE"/>
    <w:rsid w:val="00366618"/>
    <w:rsid w:val="00366709"/>
    <w:rsid w:val="00382F12"/>
    <w:rsid w:val="00385DC6"/>
    <w:rsid w:val="00392195"/>
    <w:rsid w:val="0039269E"/>
    <w:rsid w:val="003929F4"/>
    <w:rsid w:val="00396EB5"/>
    <w:rsid w:val="00397461"/>
    <w:rsid w:val="003A2291"/>
    <w:rsid w:val="003A3B22"/>
    <w:rsid w:val="003A3F3D"/>
    <w:rsid w:val="003A4B2F"/>
    <w:rsid w:val="003A54C9"/>
    <w:rsid w:val="003A5C45"/>
    <w:rsid w:val="003B0C9F"/>
    <w:rsid w:val="003B0D39"/>
    <w:rsid w:val="003B132F"/>
    <w:rsid w:val="003B313A"/>
    <w:rsid w:val="003B43C1"/>
    <w:rsid w:val="003B541A"/>
    <w:rsid w:val="003B585A"/>
    <w:rsid w:val="003B6CE2"/>
    <w:rsid w:val="003C26FD"/>
    <w:rsid w:val="003C2B12"/>
    <w:rsid w:val="003D2557"/>
    <w:rsid w:val="003D2990"/>
    <w:rsid w:val="003D31D8"/>
    <w:rsid w:val="003D3A5A"/>
    <w:rsid w:val="003D596D"/>
    <w:rsid w:val="003E62B0"/>
    <w:rsid w:val="003F2099"/>
    <w:rsid w:val="00402979"/>
    <w:rsid w:val="00404440"/>
    <w:rsid w:val="00405026"/>
    <w:rsid w:val="00406CEB"/>
    <w:rsid w:val="00407B5F"/>
    <w:rsid w:val="00414C6A"/>
    <w:rsid w:val="00416011"/>
    <w:rsid w:val="004166D5"/>
    <w:rsid w:val="0041705C"/>
    <w:rsid w:val="00417EC0"/>
    <w:rsid w:val="0042071B"/>
    <w:rsid w:val="0042245A"/>
    <w:rsid w:val="0042737F"/>
    <w:rsid w:val="004322A3"/>
    <w:rsid w:val="004334BF"/>
    <w:rsid w:val="00436B1B"/>
    <w:rsid w:val="0044219F"/>
    <w:rsid w:val="00442591"/>
    <w:rsid w:val="004464FC"/>
    <w:rsid w:val="00451461"/>
    <w:rsid w:val="0045452D"/>
    <w:rsid w:val="0045458C"/>
    <w:rsid w:val="0045759E"/>
    <w:rsid w:val="0046059E"/>
    <w:rsid w:val="004706AB"/>
    <w:rsid w:val="00474B92"/>
    <w:rsid w:val="00475663"/>
    <w:rsid w:val="00476895"/>
    <w:rsid w:val="00477DDA"/>
    <w:rsid w:val="00480832"/>
    <w:rsid w:val="0048131B"/>
    <w:rsid w:val="00484AD5"/>
    <w:rsid w:val="00490E80"/>
    <w:rsid w:val="00495AA4"/>
    <w:rsid w:val="004A0C5E"/>
    <w:rsid w:val="004A2112"/>
    <w:rsid w:val="004A289A"/>
    <w:rsid w:val="004A3A4A"/>
    <w:rsid w:val="004A485A"/>
    <w:rsid w:val="004B1F56"/>
    <w:rsid w:val="004B3126"/>
    <w:rsid w:val="004B767D"/>
    <w:rsid w:val="004C04BA"/>
    <w:rsid w:val="004C225F"/>
    <w:rsid w:val="004C31E1"/>
    <w:rsid w:val="004C366B"/>
    <w:rsid w:val="004C5B56"/>
    <w:rsid w:val="004C7D38"/>
    <w:rsid w:val="004D0F0C"/>
    <w:rsid w:val="004D0F83"/>
    <w:rsid w:val="004D3019"/>
    <w:rsid w:val="004E06AF"/>
    <w:rsid w:val="004E0B76"/>
    <w:rsid w:val="004E0F86"/>
    <w:rsid w:val="004E5F97"/>
    <w:rsid w:val="004E6204"/>
    <w:rsid w:val="004E6CC6"/>
    <w:rsid w:val="004F0E97"/>
    <w:rsid w:val="004F5EC0"/>
    <w:rsid w:val="0050135E"/>
    <w:rsid w:val="00501A9F"/>
    <w:rsid w:val="00502E43"/>
    <w:rsid w:val="00504C62"/>
    <w:rsid w:val="00506D22"/>
    <w:rsid w:val="00506D79"/>
    <w:rsid w:val="00511113"/>
    <w:rsid w:val="005112D4"/>
    <w:rsid w:val="00511387"/>
    <w:rsid w:val="005217E5"/>
    <w:rsid w:val="005222E0"/>
    <w:rsid w:val="0052256E"/>
    <w:rsid w:val="005261E5"/>
    <w:rsid w:val="0052710C"/>
    <w:rsid w:val="00531DCE"/>
    <w:rsid w:val="00531F01"/>
    <w:rsid w:val="00536418"/>
    <w:rsid w:val="00541167"/>
    <w:rsid w:val="00543937"/>
    <w:rsid w:val="00543E02"/>
    <w:rsid w:val="00546524"/>
    <w:rsid w:val="005511D3"/>
    <w:rsid w:val="00551C89"/>
    <w:rsid w:val="00551E70"/>
    <w:rsid w:val="00552B26"/>
    <w:rsid w:val="00555AD5"/>
    <w:rsid w:val="005635A5"/>
    <w:rsid w:val="00565966"/>
    <w:rsid w:val="005679A8"/>
    <w:rsid w:val="00567C90"/>
    <w:rsid w:val="00572AEA"/>
    <w:rsid w:val="00574415"/>
    <w:rsid w:val="00574707"/>
    <w:rsid w:val="005807C4"/>
    <w:rsid w:val="00583570"/>
    <w:rsid w:val="00584F34"/>
    <w:rsid w:val="005851E7"/>
    <w:rsid w:val="005909D8"/>
    <w:rsid w:val="00592047"/>
    <w:rsid w:val="005934F7"/>
    <w:rsid w:val="00594099"/>
    <w:rsid w:val="005967CF"/>
    <w:rsid w:val="005A30A3"/>
    <w:rsid w:val="005A62A6"/>
    <w:rsid w:val="005A6B61"/>
    <w:rsid w:val="005B4A23"/>
    <w:rsid w:val="005B4FBD"/>
    <w:rsid w:val="005B644F"/>
    <w:rsid w:val="005C0040"/>
    <w:rsid w:val="005C1893"/>
    <w:rsid w:val="005C1C4B"/>
    <w:rsid w:val="005C39CB"/>
    <w:rsid w:val="005C4393"/>
    <w:rsid w:val="005C4DF1"/>
    <w:rsid w:val="005C67D1"/>
    <w:rsid w:val="005C69D2"/>
    <w:rsid w:val="005D1090"/>
    <w:rsid w:val="005D6029"/>
    <w:rsid w:val="005E1A27"/>
    <w:rsid w:val="005E3207"/>
    <w:rsid w:val="005E5747"/>
    <w:rsid w:val="005E66D8"/>
    <w:rsid w:val="005E7843"/>
    <w:rsid w:val="005F65F0"/>
    <w:rsid w:val="00600310"/>
    <w:rsid w:val="00601387"/>
    <w:rsid w:val="006063EC"/>
    <w:rsid w:val="006109BB"/>
    <w:rsid w:val="0062257D"/>
    <w:rsid w:val="006263FE"/>
    <w:rsid w:val="00627BE7"/>
    <w:rsid w:val="00633144"/>
    <w:rsid w:val="00634869"/>
    <w:rsid w:val="00636351"/>
    <w:rsid w:val="0063667A"/>
    <w:rsid w:val="00637308"/>
    <w:rsid w:val="00645CE9"/>
    <w:rsid w:val="0064659B"/>
    <w:rsid w:val="006504A6"/>
    <w:rsid w:val="006507FB"/>
    <w:rsid w:val="0065320D"/>
    <w:rsid w:val="00654272"/>
    <w:rsid w:val="006545A2"/>
    <w:rsid w:val="00654E9D"/>
    <w:rsid w:val="006552CC"/>
    <w:rsid w:val="00657997"/>
    <w:rsid w:val="006617CD"/>
    <w:rsid w:val="00665409"/>
    <w:rsid w:val="00667BB9"/>
    <w:rsid w:val="006701A7"/>
    <w:rsid w:val="006719E4"/>
    <w:rsid w:val="006763BF"/>
    <w:rsid w:val="00676B54"/>
    <w:rsid w:val="006806CB"/>
    <w:rsid w:val="00682E59"/>
    <w:rsid w:val="0068538A"/>
    <w:rsid w:val="00687BA3"/>
    <w:rsid w:val="00690BA6"/>
    <w:rsid w:val="00691D4E"/>
    <w:rsid w:val="006923BF"/>
    <w:rsid w:val="00696F00"/>
    <w:rsid w:val="006A4145"/>
    <w:rsid w:val="006A73FC"/>
    <w:rsid w:val="006B229D"/>
    <w:rsid w:val="006B413F"/>
    <w:rsid w:val="006B552F"/>
    <w:rsid w:val="006C22B5"/>
    <w:rsid w:val="006C2BB1"/>
    <w:rsid w:val="006C3F6E"/>
    <w:rsid w:val="006C6ACC"/>
    <w:rsid w:val="006D017D"/>
    <w:rsid w:val="006D0A7B"/>
    <w:rsid w:val="006D1AB6"/>
    <w:rsid w:val="006D36E5"/>
    <w:rsid w:val="006D5FAE"/>
    <w:rsid w:val="006D6553"/>
    <w:rsid w:val="006D6B86"/>
    <w:rsid w:val="006E1A26"/>
    <w:rsid w:val="006E380A"/>
    <w:rsid w:val="006E48D4"/>
    <w:rsid w:val="006F3D5E"/>
    <w:rsid w:val="006F5411"/>
    <w:rsid w:val="006F58F5"/>
    <w:rsid w:val="006F6184"/>
    <w:rsid w:val="006F61E7"/>
    <w:rsid w:val="00700D83"/>
    <w:rsid w:val="00703CD1"/>
    <w:rsid w:val="007053E8"/>
    <w:rsid w:val="00706144"/>
    <w:rsid w:val="00706DE6"/>
    <w:rsid w:val="00706F2A"/>
    <w:rsid w:val="00716DEA"/>
    <w:rsid w:val="0071735E"/>
    <w:rsid w:val="00717566"/>
    <w:rsid w:val="007215E1"/>
    <w:rsid w:val="00722E76"/>
    <w:rsid w:val="007316B6"/>
    <w:rsid w:val="0073300E"/>
    <w:rsid w:val="0073312C"/>
    <w:rsid w:val="007333BF"/>
    <w:rsid w:val="00733D87"/>
    <w:rsid w:val="007374EE"/>
    <w:rsid w:val="007426CD"/>
    <w:rsid w:val="0074307D"/>
    <w:rsid w:val="00747376"/>
    <w:rsid w:val="007473CE"/>
    <w:rsid w:val="00747CC9"/>
    <w:rsid w:val="00750855"/>
    <w:rsid w:val="00751FA3"/>
    <w:rsid w:val="007538DB"/>
    <w:rsid w:val="00755E3C"/>
    <w:rsid w:val="00761E46"/>
    <w:rsid w:val="00767C21"/>
    <w:rsid w:val="00770BAE"/>
    <w:rsid w:val="00770BD4"/>
    <w:rsid w:val="007750CE"/>
    <w:rsid w:val="007770BA"/>
    <w:rsid w:val="007777C5"/>
    <w:rsid w:val="00781172"/>
    <w:rsid w:val="00783B9E"/>
    <w:rsid w:val="00783C41"/>
    <w:rsid w:val="00783D41"/>
    <w:rsid w:val="00784578"/>
    <w:rsid w:val="007861CB"/>
    <w:rsid w:val="00787B7E"/>
    <w:rsid w:val="00793FBC"/>
    <w:rsid w:val="00794396"/>
    <w:rsid w:val="00794AE7"/>
    <w:rsid w:val="00796552"/>
    <w:rsid w:val="007A29AE"/>
    <w:rsid w:val="007A32AA"/>
    <w:rsid w:val="007A4069"/>
    <w:rsid w:val="007A54F3"/>
    <w:rsid w:val="007B153B"/>
    <w:rsid w:val="007B15CD"/>
    <w:rsid w:val="007B7285"/>
    <w:rsid w:val="007B7649"/>
    <w:rsid w:val="007B7DEB"/>
    <w:rsid w:val="007C1373"/>
    <w:rsid w:val="007C22A6"/>
    <w:rsid w:val="007C392A"/>
    <w:rsid w:val="007C53B6"/>
    <w:rsid w:val="007D20F8"/>
    <w:rsid w:val="007D31BE"/>
    <w:rsid w:val="007D4088"/>
    <w:rsid w:val="007D4717"/>
    <w:rsid w:val="007D6D95"/>
    <w:rsid w:val="007E08D0"/>
    <w:rsid w:val="007E47BA"/>
    <w:rsid w:val="007E7FE2"/>
    <w:rsid w:val="00804019"/>
    <w:rsid w:val="00806CA4"/>
    <w:rsid w:val="00807FBE"/>
    <w:rsid w:val="00810547"/>
    <w:rsid w:val="00811259"/>
    <w:rsid w:val="00812E24"/>
    <w:rsid w:val="0081405C"/>
    <w:rsid w:val="00814D52"/>
    <w:rsid w:val="00814E6A"/>
    <w:rsid w:val="00815BA0"/>
    <w:rsid w:val="00817A8C"/>
    <w:rsid w:val="00820C25"/>
    <w:rsid w:val="00822194"/>
    <w:rsid w:val="00824AAB"/>
    <w:rsid w:val="00830367"/>
    <w:rsid w:val="00831174"/>
    <w:rsid w:val="0083340E"/>
    <w:rsid w:val="008337CA"/>
    <w:rsid w:val="00833A8F"/>
    <w:rsid w:val="00834438"/>
    <w:rsid w:val="008351CC"/>
    <w:rsid w:val="00835437"/>
    <w:rsid w:val="008403C6"/>
    <w:rsid w:val="00840BBE"/>
    <w:rsid w:val="008423B5"/>
    <w:rsid w:val="00843907"/>
    <w:rsid w:val="00843E77"/>
    <w:rsid w:val="0084438E"/>
    <w:rsid w:val="00845279"/>
    <w:rsid w:val="00846C8A"/>
    <w:rsid w:val="00852EA3"/>
    <w:rsid w:val="00853B9E"/>
    <w:rsid w:val="00855869"/>
    <w:rsid w:val="00855CB8"/>
    <w:rsid w:val="00860BA4"/>
    <w:rsid w:val="008619D2"/>
    <w:rsid w:val="00864245"/>
    <w:rsid w:val="00866FEE"/>
    <w:rsid w:val="0086756A"/>
    <w:rsid w:val="008717B2"/>
    <w:rsid w:val="00873085"/>
    <w:rsid w:val="008739C0"/>
    <w:rsid w:val="00873B49"/>
    <w:rsid w:val="00882C8D"/>
    <w:rsid w:val="008856E8"/>
    <w:rsid w:val="008863A7"/>
    <w:rsid w:val="00886F09"/>
    <w:rsid w:val="00890DB8"/>
    <w:rsid w:val="00890EEB"/>
    <w:rsid w:val="008935FA"/>
    <w:rsid w:val="00894646"/>
    <w:rsid w:val="00894F75"/>
    <w:rsid w:val="008A0D8D"/>
    <w:rsid w:val="008A2265"/>
    <w:rsid w:val="008A3BD9"/>
    <w:rsid w:val="008A3D2B"/>
    <w:rsid w:val="008A4439"/>
    <w:rsid w:val="008A5DA8"/>
    <w:rsid w:val="008B02B4"/>
    <w:rsid w:val="008B0D39"/>
    <w:rsid w:val="008B43A4"/>
    <w:rsid w:val="008B56A5"/>
    <w:rsid w:val="008B5A94"/>
    <w:rsid w:val="008C36A7"/>
    <w:rsid w:val="008D05CF"/>
    <w:rsid w:val="008D095D"/>
    <w:rsid w:val="008D18AB"/>
    <w:rsid w:val="008D22F1"/>
    <w:rsid w:val="008D2D21"/>
    <w:rsid w:val="008D4415"/>
    <w:rsid w:val="008E2810"/>
    <w:rsid w:val="008E2D7D"/>
    <w:rsid w:val="008F051D"/>
    <w:rsid w:val="008F05E5"/>
    <w:rsid w:val="008F11CA"/>
    <w:rsid w:val="008F24CA"/>
    <w:rsid w:val="008F66C9"/>
    <w:rsid w:val="008F6991"/>
    <w:rsid w:val="008F7878"/>
    <w:rsid w:val="00902D28"/>
    <w:rsid w:val="00902D33"/>
    <w:rsid w:val="009067F1"/>
    <w:rsid w:val="009076B0"/>
    <w:rsid w:val="0091564B"/>
    <w:rsid w:val="00922CF9"/>
    <w:rsid w:val="00923103"/>
    <w:rsid w:val="00923D41"/>
    <w:rsid w:val="00924DC5"/>
    <w:rsid w:val="00927A2C"/>
    <w:rsid w:val="00936C07"/>
    <w:rsid w:val="00936E4C"/>
    <w:rsid w:val="009402ED"/>
    <w:rsid w:val="00942E94"/>
    <w:rsid w:val="00944883"/>
    <w:rsid w:val="00945BCA"/>
    <w:rsid w:val="00945D3F"/>
    <w:rsid w:val="00956084"/>
    <w:rsid w:val="009609AD"/>
    <w:rsid w:val="00965459"/>
    <w:rsid w:val="0096698F"/>
    <w:rsid w:val="00971DCC"/>
    <w:rsid w:val="00971E64"/>
    <w:rsid w:val="009727FD"/>
    <w:rsid w:val="0097531A"/>
    <w:rsid w:val="009758B1"/>
    <w:rsid w:val="00981C56"/>
    <w:rsid w:val="00982A37"/>
    <w:rsid w:val="00983547"/>
    <w:rsid w:val="00991250"/>
    <w:rsid w:val="009A3141"/>
    <w:rsid w:val="009A3B5C"/>
    <w:rsid w:val="009A3C99"/>
    <w:rsid w:val="009A411A"/>
    <w:rsid w:val="009A66AA"/>
    <w:rsid w:val="009A6AE8"/>
    <w:rsid w:val="009B21F4"/>
    <w:rsid w:val="009B38B7"/>
    <w:rsid w:val="009B3BDC"/>
    <w:rsid w:val="009B44C1"/>
    <w:rsid w:val="009B5100"/>
    <w:rsid w:val="009B5B99"/>
    <w:rsid w:val="009C2062"/>
    <w:rsid w:val="009C36BC"/>
    <w:rsid w:val="009C4A9E"/>
    <w:rsid w:val="009C64FA"/>
    <w:rsid w:val="009C6CC5"/>
    <w:rsid w:val="009D0D5F"/>
    <w:rsid w:val="009D74B6"/>
    <w:rsid w:val="009E1040"/>
    <w:rsid w:val="009E36B3"/>
    <w:rsid w:val="009E3A5E"/>
    <w:rsid w:val="009E442E"/>
    <w:rsid w:val="009E6B37"/>
    <w:rsid w:val="009E6B70"/>
    <w:rsid w:val="009E7CDA"/>
    <w:rsid w:val="009F3DE9"/>
    <w:rsid w:val="009F5131"/>
    <w:rsid w:val="009F6298"/>
    <w:rsid w:val="009F687E"/>
    <w:rsid w:val="009F7772"/>
    <w:rsid w:val="00A009ED"/>
    <w:rsid w:val="00A00FB0"/>
    <w:rsid w:val="00A05C3F"/>
    <w:rsid w:val="00A05C72"/>
    <w:rsid w:val="00A0704B"/>
    <w:rsid w:val="00A23102"/>
    <w:rsid w:val="00A242FE"/>
    <w:rsid w:val="00A24DD6"/>
    <w:rsid w:val="00A27C91"/>
    <w:rsid w:val="00A27E75"/>
    <w:rsid w:val="00A3086B"/>
    <w:rsid w:val="00A32EF2"/>
    <w:rsid w:val="00A34E03"/>
    <w:rsid w:val="00A41265"/>
    <w:rsid w:val="00A432F6"/>
    <w:rsid w:val="00A50B2D"/>
    <w:rsid w:val="00A5257D"/>
    <w:rsid w:val="00A52911"/>
    <w:rsid w:val="00A52DAF"/>
    <w:rsid w:val="00A5369B"/>
    <w:rsid w:val="00A5602D"/>
    <w:rsid w:val="00A60BD4"/>
    <w:rsid w:val="00A6279D"/>
    <w:rsid w:val="00A64038"/>
    <w:rsid w:val="00A644C8"/>
    <w:rsid w:val="00A65733"/>
    <w:rsid w:val="00A665B6"/>
    <w:rsid w:val="00A706D2"/>
    <w:rsid w:val="00A71631"/>
    <w:rsid w:val="00A72135"/>
    <w:rsid w:val="00A72D67"/>
    <w:rsid w:val="00A7320A"/>
    <w:rsid w:val="00A74FD7"/>
    <w:rsid w:val="00A76BC7"/>
    <w:rsid w:val="00A77A70"/>
    <w:rsid w:val="00A80A8B"/>
    <w:rsid w:val="00A83401"/>
    <w:rsid w:val="00A85F7E"/>
    <w:rsid w:val="00A91072"/>
    <w:rsid w:val="00A91D9B"/>
    <w:rsid w:val="00A94142"/>
    <w:rsid w:val="00AA5935"/>
    <w:rsid w:val="00AA5A02"/>
    <w:rsid w:val="00AA6E25"/>
    <w:rsid w:val="00AA76CA"/>
    <w:rsid w:val="00AB09F8"/>
    <w:rsid w:val="00AB4FD6"/>
    <w:rsid w:val="00AB51B7"/>
    <w:rsid w:val="00AB58EA"/>
    <w:rsid w:val="00AB6FEA"/>
    <w:rsid w:val="00AC16E0"/>
    <w:rsid w:val="00AC2887"/>
    <w:rsid w:val="00AC6E93"/>
    <w:rsid w:val="00AC7440"/>
    <w:rsid w:val="00AD22B6"/>
    <w:rsid w:val="00AD2A08"/>
    <w:rsid w:val="00AD3334"/>
    <w:rsid w:val="00AD502E"/>
    <w:rsid w:val="00AD5E99"/>
    <w:rsid w:val="00AD61FA"/>
    <w:rsid w:val="00AD72D4"/>
    <w:rsid w:val="00AE0F76"/>
    <w:rsid w:val="00AE1D9F"/>
    <w:rsid w:val="00AE33C6"/>
    <w:rsid w:val="00AE3CFC"/>
    <w:rsid w:val="00AF0656"/>
    <w:rsid w:val="00AF0FF6"/>
    <w:rsid w:val="00AF1F29"/>
    <w:rsid w:val="00AF202B"/>
    <w:rsid w:val="00AF2C52"/>
    <w:rsid w:val="00AF5742"/>
    <w:rsid w:val="00AF77E5"/>
    <w:rsid w:val="00B018C8"/>
    <w:rsid w:val="00B073EC"/>
    <w:rsid w:val="00B077CB"/>
    <w:rsid w:val="00B101EC"/>
    <w:rsid w:val="00B109C1"/>
    <w:rsid w:val="00B118F5"/>
    <w:rsid w:val="00B13888"/>
    <w:rsid w:val="00B15A60"/>
    <w:rsid w:val="00B176FC"/>
    <w:rsid w:val="00B17872"/>
    <w:rsid w:val="00B20CA4"/>
    <w:rsid w:val="00B22BF9"/>
    <w:rsid w:val="00B22E12"/>
    <w:rsid w:val="00B22EC5"/>
    <w:rsid w:val="00B24176"/>
    <w:rsid w:val="00B252AF"/>
    <w:rsid w:val="00B26786"/>
    <w:rsid w:val="00B27CE8"/>
    <w:rsid w:val="00B310A6"/>
    <w:rsid w:val="00B3146D"/>
    <w:rsid w:val="00B33C1C"/>
    <w:rsid w:val="00B341FC"/>
    <w:rsid w:val="00B35E32"/>
    <w:rsid w:val="00B36224"/>
    <w:rsid w:val="00B41BBB"/>
    <w:rsid w:val="00B4391B"/>
    <w:rsid w:val="00B455A6"/>
    <w:rsid w:val="00B46210"/>
    <w:rsid w:val="00B4781A"/>
    <w:rsid w:val="00B47EF2"/>
    <w:rsid w:val="00B50F71"/>
    <w:rsid w:val="00B52D90"/>
    <w:rsid w:val="00B53ECC"/>
    <w:rsid w:val="00B53EDA"/>
    <w:rsid w:val="00B5608B"/>
    <w:rsid w:val="00B602F1"/>
    <w:rsid w:val="00B61182"/>
    <w:rsid w:val="00B6576A"/>
    <w:rsid w:val="00B665A1"/>
    <w:rsid w:val="00B66C1A"/>
    <w:rsid w:val="00B67F57"/>
    <w:rsid w:val="00B7277C"/>
    <w:rsid w:val="00B72E49"/>
    <w:rsid w:val="00B74EE2"/>
    <w:rsid w:val="00B80E2A"/>
    <w:rsid w:val="00B8390E"/>
    <w:rsid w:val="00B9221A"/>
    <w:rsid w:val="00B9242C"/>
    <w:rsid w:val="00B926F1"/>
    <w:rsid w:val="00B972C6"/>
    <w:rsid w:val="00BA15C9"/>
    <w:rsid w:val="00BA1B54"/>
    <w:rsid w:val="00BA4580"/>
    <w:rsid w:val="00BA6DB6"/>
    <w:rsid w:val="00BA6F06"/>
    <w:rsid w:val="00BB35A6"/>
    <w:rsid w:val="00BB37CE"/>
    <w:rsid w:val="00BB5968"/>
    <w:rsid w:val="00BB59CE"/>
    <w:rsid w:val="00BB67CF"/>
    <w:rsid w:val="00BB7754"/>
    <w:rsid w:val="00BC056D"/>
    <w:rsid w:val="00BC159B"/>
    <w:rsid w:val="00BC1F25"/>
    <w:rsid w:val="00BC21BC"/>
    <w:rsid w:val="00BC5250"/>
    <w:rsid w:val="00BC5A52"/>
    <w:rsid w:val="00BC7BC1"/>
    <w:rsid w:val="00BD12A5"/>
    <w:rsid w:val="00BD357A"/>
    <w:rsid w:val="00BD4629"/>
    <w:rsid w:val="00BE23D6"/>
    <w:rsid w:val="00BE6058"/>
    <w:rsid w:val="00BE60C4"/>
    <w:rsid w:val="00BE69F8"/>
    <w:rsid w:val="00BF0F0C"/>
    <w:rsid w:val="00BF14DD"/>
    <w:rsid w:val="00C001B7"/>
    <w:rsid w:val="00C0043B"/>
    <w:rsid w:val="00C07C9A"/>
    <w:rsid w:val="00C1423A"/>
    <w:rsid w:val="00C164AD"/>
    <w:rsid w:val="00C208A2"/>
    <w:rsid w:val="00C242E4"/>
    <w:rsid w:val="00C2715D"/>
    <w:rsid w:val="00C273D3"/>
    <w:rsid w:val="00C35CC2"/>
    <w:rsid w:val="00C4373C"/>
    <w:rsid w:val="00C44F55"/>
    <w:rsid w:val="00C4530A"/>
    <w:rsid w:val="00C475BB"/>
    <w:rsid w:val="00C523C0"/>
    <w:rsid w:val="00C527F4"/>
    <w:rsid w:val="00C53F4B"/>
    <w:rsid w:val="00C607CE"/>
    <w:rsid w:val="00C6363F"/>
    <w:rsid w:val="00C64C67"/>
    <w:rsid w:val="00C656CE"/>
    <w:rsid w:val="00C66504"/>
    <w:rsid w:val="00C67BAC"/>
    <w:rsid w:val="00C71143"/>
    <w:rsid w:val="00C71ECB"/>
    <w:rsid w:val="00C72322"/>
    <w:rsid w:val="00C73185"/>
    <w:rsid w:val="00C734A7"/>
    <w:rsid w:val="00C805E5"/>
    <w:rsid w:val="00C80D9B"/>
    <w:rsid w:val="00C85450"/>
    <w:rsid w:val="00C879D5"/>
    <w:rsid w:val="00C97871"/>
    <w:rsid w:val="00C97D4C"/>
    <w:rsid w:val="00CA0C84"/>
    <w:rsid w:val="00CA5F92"/>
    <w:rsid w:val="00CB1877"/>
    <w:rsid w:val="00CB2E1E"/>
    <w:rsid w:val="00CB5ABE"/>
    <w:rsid w:val="00CC0FF3"/>
    <w:rsid w:val="00CC23CD"/>
    <w:rsid w:val="00CC5D82"/>
    <w:rsid w:val="00CD29A8"/>
    <w:rsid w:val="00CD658D"/>
    <w:rsid w:val="00CD65C1"/>
    <w:rsid w:val="00CE1067"/>
    <w:rsid w:val="00CE1C1D"/>
    <w:rsid w:val="00CE21E8"/>
    <w:rsid w:val="00CE50F1"/>
    <w:rsid w:val="00CF16AC"/>
    <w:rsid w:val="00CF25A5"/>
    <w:rsid w:val="00CF738E"/>
    <w:rsid w:val="00CF7D7A"/>
    <w:rsid w:val="00D0038C"/>
    <w:rsid w:val="00D0631A"/>
    <w:rsid w:val="00D10A7E"/>
    <w:rsid w:val="00D10EDD"/>
    <w:rsid w:val="00D11018"/>
    <w:rsid w:val="00D11BEE"/>
    <w:rsid w:val="00D132A3"/>
    <w:rsid w:val="00D20834"/>
    <w:rsid w:val="00D25B67"/>
    <w:rsid w:val="00D26133"/>
    <w:rsid w:val="00D30F52"/>
    <w:rsid w:val="00D3397B"/>
    <w:rsid w:val="00D35967"/>
    <w:rsid w:val="00D36D6E"/>
    <w:rsid w:val="00D44504"/>
    <w:rsid w:val="00D4783B"/>
    <w:rsid w:val="00D479F8"/>
    <w:rsid w:val="00D52287"/>
    <w:rsid w:val="00D547AB"/>
    <w:rsid w:val="00D571F5"/>
    <w:rsid w:val="00D60304"/>
    <w:rsid w:val="00D60EE3"/>
    <w:rsid w:val="00D62229"/>
    <w:rsid w:val="00D6566E"/>
    <w:rsid w:val="00D6758A"/>
    <w:rsid w:val="00D67799"/>
    <w:rsid w:val="00D75D9B"/>
    <w:rsid w:val="00D80D4B"/>
    <w:rsid w:val="00D80F2D"/>
    <w:rsid w:val="00D81FBB"/>
    <w:rsid w:val="00D83F77"/>
    <w:rsid w:val="00D85F65"/>
    <w:rsid w:val="00D90699"/>
    <w:rsid w:val="00D90CF8"/>
    <w:rsid w:val="00D91585"/>
    <w:rsid w:val="00D921EC"/>
    <w:rsid w:val="00DA1192"/>
    <w:rsid w:val="00DA428F"/>
    <w:rsid w:val="00DA590E"/>
    <w:rsid w:val="00DA5EC4"/>
    <w:rsid w:val="00DB0687"/>
    <w:rsid w:val="00DB1ACC"/>
    <w:rsid w:val="00DB2A4C"/>
    <w:rsid w:val="00DB322D"/>
    <w:rsid w:val="00DB4287"/>
    <w:rsid w:val="00DB637B"/>
    <w:rsid w:val="00DC07F1"/>
    <w:rsid w:val="00DC3C60"/>
    <w:rsid w:val="00DC42CA"/>
    <w:rsid w:val="00DC65FA"/>
    <w:rsid w:val="00DC67B5"/>
    <w:rsid w:val="00DD0350"/>
    <w:rsid w:val="00DD20E8"/>
    <w:rsid w:val="00DD64A7"/>
    <w:rsid w:val="00DE1C12"/>
    <w:rsid w:val="00DE72B9"/>
    <w:rsid w:val="00DF15B5"/>
    <w:rsid w:val="00DF273E"/>
    <w:rsid w:val="00DF40F2"/>
    <w:rsid w:val="00DF5268"/>
    <w:rsid w:val="00DF58B8"/>
    <w:rsid w:val="00DF5A00"/>
    <w:rsid w:val="00E01B8D"/>
    <w:rsid w:val="00E02F42"/>
    <w:rsid w:val="00E03948"/>
    <w:rsid w:val="00E04960"/>
    <w:rsid w:val="00E07E66"/>
    <w:rsid w:val="00E14483"/>
    <w:rsid w:val="00E157EA"/>
    <w:rsid w:val="00E15BDF"/>
    <w:rsid w:val="00E169CD"/>
    <w:rsid w:val="00E17787"/>
    <w:rsid w:val="00E34080"/>
    <w:rsid w:val="00E358F9"/>
    <w:rsid w:val="00E378DD"/>
    <w:rsid w:val="00E40060"/>
    <w:rsid w:val="00E401C6"/>
    <w:rsid w:val="00E41353"/>
    <w:rsid w:val="00E434EC"/>
    <w:rsid w:val="00E43CB5"/>
    <w:rsid w:val="00E448B2"/>
    <w:rsid w:val="00E454CD"/>
    <w:rsid w:val="00E47217"/>
    <w:rsid w:val="00E55456"/>
    <w:rsid w:val="00E56EEF"/>
    <w:rsid w:val="00E575E6"/>
    <w:rsid w:val="00E60540"/>
    <w:rsid w:val="00E61826"/>
    <w:rsid w:val="00E63EF6"/>
    <w:rsid w:val="00E6459D"/>
    <w:rsid w:val="00E67C58"/>
    <w:rsid w:val="00E705BF"/>
    <w:rsid w:val="00E765C5"/>
    <w:rsid w:val="00E7758C"/>
    <w:rsid w:val="00E77C92"/>
    <w:rsid w:val="00E80979"/>
    <w:rsid w:val="00E81D68"/>
    <w:rsid w:val="00E82C5E"/>
    <w:rsid w:val="00E84DEC"/>
    <w:rsid w:val="00E868E7"/>
    <w:rsid w:val="00E91AD3"/>
    <w:rsid w:val="00E929F6"/>
    <w:rsid w:val="00E948FD"/>
    <w:rsid w:val="00E96BB2"/>
    <w:rsid w:val="00E96C41"/>
    <w:rsid w:val="00EA4D9F"/>
    <w:rsid w:val="00EA7116"/>
    <w:rsid w:val="00EA7B0B"/>
    <w:rsid w:val="00EB4967"/>
    <w:rsid w:val="00EC319D"/>
    <w:rsid w:val="00ED178E"/>
    <w:rsid w:val="00ED48BE"/>
    <w:rsid w:val="00ED616A"/>
    <w:rsid w:val="00ED6AD9"/>
    <w:rsid w:val="00EE07CA"/>
    <w:rsid w:val="00EE0A4D"/>
    <w:rsid w:val="00EE32F5"/>
    <w:rsid w:val="00EE545C"/>
    <w:rsid w:val="00EE55B8"/>
    <w:rsid w:val="00EF4DEC"/>
    <w:rsid w:val="00EF57C2"/>
    <w:rsid w:val="00EF5B1C"/>
    <w:rsid w:val="00EF7A4E"/>
    <w:rsid w:val="00EF7C50"/>
    <w:rsid w:val="00F00ED5"/>
    <w:rsid w:val="00F079CB"/>
    <w:rsid w:val="00F1714F"/>
    <w:rsid w:val="00F174AD"/>
    <w:rsid w:val="00F20094"/>
    <w:rsid w:val="00F20181"/>
    <w:rsid w:val="00F205D6"/>
    <w:rsid w:val="00F212D7"/>
    <w:rsid w:val="00F21940"/>
    <w:rsid w:val="00F25348"/>
    <w:rsid w:val="00F273B8"/>
    <w:rsid w:val="00F31B62"/>
    <w:rsid w:val="00F324FB"/>
    <w:rsid w:val="00F33BE4"/>
    <w:rsid w:val="00F34C20"/>
    <w:rsid w:val="00F361F1"/>
    <w:rsid w:val="00F37DF3"/>
    <w:rsid w:val="00F4161C"/>
    <w:rsid w:val="00F43702"/>
    <w:rsid w:val="00F4417C"/>
    <w:rsid w:val="00F44744"/>
    <w:rsid w:val="00F44803"/>
    <w:rsid w:val="00F459CA"/>
    <w:rsid w:val="00F46B0F"/>
    <w:rsid w:val="00F47BCE"/>
    <w:rsid w:val="00F501BA"/>
    <w:rsid w:val="00F5408F"/>
    <w:rsid w:val="00F5532A"/>
    <w:rsid w:val="00F723EA"/>
    <w:rsid w:val="00F72575"/>
    <w:rsid w:val="00F7574E"/>
    <w:rsid w:val="00F75FD0"/>
    <w:rsid w:val="00F77E29"/>
    <w:rsid w:val="00F83D9E"/>
    <w:rsid w:val="00F84650"/>
    <w:rsid w:val="00F85D1B"/>
    <w:rsid w:val="00F874EA"/>
    <w:rsid w:val="00F87DA8"/>
    <w:rsid w:val="00F907C0"/>
    <w:rsid w:val="00F924AA"/>
    <w:rsid w:val="00F92535"/>
    <w:rsid w:val="00F92F02"/>
    <w:rsid w:val="00F96E36"/>
    <w:rsid w:val="00FA05A7"/>
    <w:rsid w:val="00FA53E5"/>
    <w:rsid w:val="00FB0841"/>
    <w:rsid w:val="00FB1514"/>
    <w:rsid w:val="00FB4A4D"/>
    <w:rsid w:val="00FC0E35"/>
    <w:rsid w:val="00FC4E99"/>
    <w:rsid w:val="00FC5BC9"/>
    <w:rsid w:val="00FD2D76"/>
    <w:rsid w:val="00FD67D5"/>
    <w:rsid w:val="00FE0B56"/>
    <w:rsid w:val="00FE173F"/>
    <w:rsid w:val="00FE2606"/>
    <w:rsid w:val="00FE6624"/>
    <w:rsid w:val="00FE68C3"/>
    <w:rsid w:val="00FF0D50"/>
    <w:rsid w:val="00FF3D82"/>
    <w:rsid w:val="00FF489D"/>
    <w:rsid w:val="00FF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ED5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432FE"/>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AF20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14C6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6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489D"/>
    <w:rPr>
      <w:color w:val="0000FF"/>
      <w:u w:val="single"/>
    </w:rPr>
  </w:style>
  <w:style w:type="paragraph" w:styleId="ListParagraph">
    <w:name w:val="List Paragraph"/>
    <w:basedOn w:val="Normal"/>
    <w:uiPriority w:val="34"/>
    <w:qFormat/>
    <w:rsid w:val="009E36B3"/>
    <w:pPr>
      <w:ind w:left="720"/>
      <w:contextualSpacing/>
    </w:pPr>
    <w:rPr>
      <w:rFonts w:asciiTheme="minorHAnsi" w:eastAsiaTheme="minorHAnsi" w:hAnsiTheme="minorHAnsi" w:cstheme="minorBidi"/>
      <w:lang w:val="en-US"/>
    </w:rPr>
  </w:style>
  <w:style w:type="paragraph" w:styleId="NormalWeb">
    <w:name w:val="Normal (Web)"/>
    <w:basedOn w:val="Normal"/>
    <w:uiPriority w:val="99"/>
    <w:unhideWhenUsed/>
    <w:rsid w:val="002016B7"/>
    <w:pPr>
      <w:spacing w:before="100" w:beforeAutospacing="1" w:after="100" w:afterAutospacing="1"/>
    </w:pPr>
  </w:style>
  <w:style w:type="paragraph" w:styleId="FootnoteText">
    <w:name w:val="footnote text"/>
    <w:basedOn w:val="Normal"/>
    <w:link w:val="FootnoteTextChar"/>
    <w:uiPriority w:val="99"/>
    <w:unhideWhenUsed/>
    <w:rsid w:val="00945D3F"/>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945D3F"/>
    <w:rPr>
      <w:sz w:val="20"/>
      <w:szCs w:val="20"/>
    </w:rPr>
  </w:style>
  <w:style w:type="character" w:styleId="FootnoteReference">
    <w:name w:val="footnote reference"/>
    <w:basedOn w:val="DefaultParagraphFont"/>
    <w:uiPriority w:val="99"/>
    <w:semiHidden/>
    <w:unhideWhenUsed/>
    <w:rsid w:val="00945D3F"/>
    <w:rPr>
      <w:vertAlign w:val="superscript"/>
    </w:rPr>
  </w:style>
  <w:style w:type="character" w:customStyle="1" w:styleId="apple-converted-space">
    <w:name w:val="apple-converted-space"/>
    <w:basedOn w:val="DefaultParagraphFont"/>
    <w:rsid w:val="00902D33"/>
  </w:style>
  <w:style w:type="character" w:customStyle="1" w:styleId="smallcaps">
    <w:name w:val="smallcaps"/>
    <w:basedOn w:val="DefaultParagraphFont"/>
    <w:rsid w:val="00902D33"/>
  </w:style>
  <w:style w:type="character" w:customStyle="1" w:styleId="facsimile-text">
    <w:name w:val="facsimile-text"/>
    <w:basedOn w:val="DefaultParagraphFont"/>
    <w:rsid w:val="00902D33"/>
  </w:style>
  <w:style w:type="character" w:customStyle="1" w:styleId="facsimile-image">
    <w:name w:val="facsimile-image"/>
    <w:basedOn w:val="DefaultParagraphFont"/>
    <w:rsid w:val="00902D33"/>
  </w:style>
  <w:style w:type="character" w:styleId="EndnoteReference">
    <w:name w:val="endnote reference"/>
    <w:basedOn w:val="DefaultParagraphFont"/>
    <w:semiHidden/>
    <w:unhideWhenUsed/>
    <w:rsid w:val="00B67F57"/>
    <w:rPr>
      <w:vertAlign w:val="superscript"/>
    </w:rPr>
  </w:style>
  <w:style w:type="character" w:styleId="UnresolvedMention">
    <w:name w:val="Unresolved Mention"/>
    <w:basedOn w:val="DefaultParagraphFont"/>
    <w:uiPriority w:val="99"/>
    <w:rsid w:val="004D0F0C"/>
    <w:rPr>
      <w:color w:val="605E5C"/>
      <w:shd w:val="clear" w:color="auto" w:fill="E1DFDD"/>
    </w:rPr>
  </w:style>
  <w:style w:type="paragraph" w:styleId="EndnoteText">
    <w:name w:val="endnote text"/>
    <w:basedOn w:val="Normal"/>
    <w:link w:val="EndnoteTextChar"/>
    <w:semiHidden/>
    <w:rsid w:val="00AF0FF6"/>
    <w:rPr>
      <w:sz w:val="20"/>
      <w:szCs w:val="20"/>
      <w:lang w:val="en-US"/>
    </w:rPr>
  </w:style>
  <w:style w:type="character" w:customStyle="1" w:styleId="EndnoteTextChar">
    <w:name w:val="Endnote Text Char"/>
    <w:basedOn w:val="DefaultParagraphFont"/>
    <w:link w:val="EndnoteText"/>
    <w:semiHidden/>
    <w:rsid w:val="00AF0FF6"/>
    <w:rPr>
      <w:rFonts w:ascii="Times New Roman" w:eastAsia="Times New Roman" w:hAnsi="Times New Roman" w:cs="Times New Roman"/>
      <w:sz w:val="20"/>
      <w:szCs w:val="20"/>
    </w:rPr>
  </w:style>
  <w:style w:type="character" w:styleId="Emphasis">
    <w:name w:val="Emphasis"/>
    <w:basedOn w:val="DefaultParagraphFont"/>
    <w:uiPriority w:val="20"/>
    <w:qFormat/>
    <w:rsid w:val="004322A3"/>
    <w:rPr>
      <w:i/>
      <w:iCs/>
    </w:rPr>
  </w:style>
  <w:style w:type="paragraph" w:customStyle="1" w:styleId="level0">
    <w:name w:val="level_0"/>
    <w:basedOn w:val="Normal"/>
    <w:rsid w:val="00DA428F"/>
    <w:pPr>
      <w:spacing w:before="100" w:beforeAutospacing="1" w:after="100" w:afterAutospacing="1"/>
    </w:pPr>
  </w:style>
  <w:style w:type="character" w:styleId="FollowedHyperlink">
    <w:name w:val="FollowedHyperlink"/>
    <w:basedOn w:val="DefaultParagraphFont"/>
    <w:uiPriority w:val="99"/>
    <w:semiHidden/>
    <w:unhideWhenUsed/>
    <w:rsid w:val="00297FB9"/>
    <w:rPr>
      <w:color w:val="954F72" w:themeColor="followedHyperlink"/>
      <w:u w:val="single"/>
    </w:rPr>
  </w:style>
  <w:style w:type="character" w:customStyle="1" w:styleId="Heading2Char">
    <w:name w:val="Heading 2 Char"/>
    <w:basedOn w:val="DefaultParagraphFont"/>
    <w:link w:val="Heading2"/>
    <w:uiPriority w:val="9"/>
    <w:rsid w:val="00414C6A"/>
    <w:rPr>
      <w:rFonts w:ascii="Times New Roman" w:eastAsia="Times New Roman" w:hAnsi="Times New Roman" w:cs="Times New Roman"/>
      <w:b/>
      <w:bCs/>
      <w:sz w:val="36"/>
      <w:szCs w:val="36"/>
      <w:lang w:val="en-GB"/>
    </w:rPr>
  </w:style>
  <w:style w:type="character" w:customStyle="1" w:styleId="Heading1Char">
    <w:name w:val="Heading 1 Char"/>
    <w:basedOn w:val="DefaultParagraphFont"/>
    <w:link w:val="Heading1"/>
    <w:uiPriority w:val="9"/>
    <w:rsid w:val="00AF202B"/>
    <w:rPr>
      <w:rFonts w:asciiTheme="majorHAnsi" w:eastAsiaTheme="majorEastAsia" w:hAnsiTheme="majorHAnsi" w:cstheme="majorBidi"/>
      <w:color w:val="2E74B5" w:themeColor="accent1" w:themeShade="BF"/>
      <w:sz w:val="32"/>
      <w:szCs w:val="32"/>
      <w:lang w:val="en-GB"/>
    </w:rPr>
  </w:style>
  <w:style w:type="character" w:customStyle="1" w:styleId="a-size-large">
    <w:name w:val="a-size-large"/>
    <w:basedOn w:val="DefaultParagraphFont"/>
    <w:rsid w:val="00AF202B"/>
  </w:style>
  <w:style w:type="character" w:customStyle="1" w:styleId="mw-headline">
    <w:name w:val="mw-headline"/>
    <w:basedOn w:val="DefaultParagraphFont"/>
    <w:rsid w:val="009C64FA"/>
  </w:style>
  <w:style w:type="character" w:customStyle="1" w:styleId="highlightedterm">
    <w:name w:val="highlightedterm"/>
    <w:basedOn w:val="DefaultParagraphFont"/>
    <w:rsid w:val="001C445C"/>
  </w:style>
  <w:style w:type="character" w:customStyle="1" w:styleId="sr-only">
    <w:name w:val="sr-only"/>
    <w:basedOn w:val="DefaultParagraphFont"/>
    <w:rsid w:val="001C445C"/>
  </w:style>
  <w:style w:type="paragraph" w:styleId="CommentText">
    <w:name w:val="annotation text"/>
    <w:basedOn w:val="Normal"/>
    <w:link w:val="CommentTextChar"/>
    <w:uiPriority w:val="99"/>
    <w:unhideWhenUsed/>
    <w:rsid w:val="00750855"/>
    <w:rPr>
      <w:sz w:val="20"/>
      <w:szCs w:val="20"/>
    </w:rPr>
  </w:style>
  <w:style w:type="character" w:customStyle="1" w:styleId="CommentTextChar">
    <w:name w:val="Comment Text Char"/>
    <w:basedOn w:val="DefaultParagraphFont"/>
    <w:link w:val="CommentText"/>
    <w:uiPriority w:val="99"/>
    <w:rsid w:val="00750855"/>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E56EEF"/>
    <w:rPr>
      <w:sz w:val="18"/>
      <w:szCs w:val="18"/>
    </w:rPr>
  </w:style>
  <w:style w:type="character" w:customStyle="1" w:styleId="BalloonTextChar">
    <w:name w:val="Balloon Text Char"/>
    <w:basedOn w:val="DefaultParagraphFont"/>
    <w:link w:val="BalloonText"/>
    <w:uiPriority w:val="99"/>
    <w:semiHidden/>
    <w:rsid w:val="00E56EEF"/>
    <w:rPr>
      <w:rFonts w:ascii="Times New Roman" w:eastAsia="Times New Roman" w:hAnsi="Times New Roman" w:cs="Times New Roman"/>
      <w:sz w:val="18"/>
      <w:szCs w:val="18"/>
      <w:lang w:val="en-GB"/>
    </w:rPr>
  </w:style>
  <w:style w:type="character" w:customStyle="1" w:styleId="al-author-name-more">
    <w:name w:val="al-author-name-more"/>
    <w:basedOn w:val="DefaultParagraphFont"/>
    <w:rsid w:val="008C3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4399">
      <w:bodyDiv w:val="1"/>
      <w:marLeft w:val="0"/>
      <w:marRight w:val="0"/>
      <w:marTop w:val="0"/>
      <w:marBottom w:val="0"/>
      <w:divBdr>
        <w:top w:val="none" w:sz="0" w:space="0" w:color="auto"/>
        <w:left w:val="none" w:sz="0" w:space="0" w:color="auto"/>
        <w:bottom w:val="none" w:sz="0" w:space="0" w:color="auto"/>
        <w:right w:val="none" w:sz="0" w:space="0" w:color="auto"/>
      </w:divBdr>
    </w:div>
    <w:div w:id="57364411">
      <w:bodyDiv w:val="1"/>
      <w:marLeft w:val="0"/>
      <w:marRight w:val="0"/>
      <w:marTop w:val="0"/>
      <w:marBottom w:val="0"/>
      <w:divBdr>
        <w:top w:val="none" w:sz="0" w:space="0" w:color="auto"/>
        <w:left w:val="none" w:sz="0" w:space="0" w:color="auto"/>
        <w:bottom w:val="none" w:sz="0" w:space="0" w:color="auto"/>
        <w:right w:val="none" w:sz="0" w:space="0" w:color="auto"/>
      </w:divBdr>
    </w:div>
    <w:div w:id="92088860">
      <w:bodyDiv w:val="1"/>
      <w:marLeft w:val="0"/>
      <w:marRight w:val="0"/>
      <w:marTop w:val="0"/>
      <w:marBottom w:val="0"/>
      <w:divBdr>
        <w:top w:val="none" w:sz="0" w:space="0" w:color="auto"/>
        <w:left w:val="none" w:sz="0" w:space="0" w:color="auto"/>
        <w:bottom w:val="none" w:sz="0" w:space="0" w:color="auto"/>
        <w:right w:val="none" w:sz="0" w:space="0" w:color="auto"/>
      </w:divBdr>
    </w:div>
    <w:div w:id="147021894">
      <w:bodyDiv w:val="1"/>
      <w:marLeft w:val="0"/>
      <w:marRight w:val="0"/>
      <w:marTop w:val="0"/>
      <w:marBottom w:val="0"/>
      <w:divBdr>
        <w:top w:val="none" w:sz="0" w:space="0" w:color="auto"/>
        <w:left w:val="none" w:sz="0" w:space="0" w:color="auto"/>
        <w:bottom w:val="none" w:sz="0" w:space="0" w:color="auto"/>
        <w:right w:val="none" w:sz="0" w:space="0" w:color="auto"/>
      </w:divBdr>
      <w:divsChild>
        <w:div w:id="1820152458">
          <w:marLeft w:val="0"/>
          <w:marRight w:val="0"/>
          <w:marTop w:val="0"/>
          <w:marBottom w:val="0"/>
          <w:divBdr>
            <w:top w:val="none" w:sz="0" w:space="0" w:color="auto"/>
            <w:left w:val="none" w:sz="0" w:space="0" w:color="auto"/>
            <w:bottom w:val="none" w:sz="0" w:space="0" w:color="auto"/>
            <w:right w:val="none" w:sz="0" w:space="0" w:color="auto"/>
          </w:divBdr>
          <w:divsChild>
            <w:div w:id="924998502">
              <w:marLeft w:val="0"/>
              <w:marRight w:val="0"/>
              <w:marTop w:val="0"/>
              <w:marBottom w:val="165"/>
              <w:divBdr>
                <w:top w:val="none" w:sz="0" w:space="0" w:color="auto"/>
                <w:left w:val="none" w:sz="0" w:space="0" w:color="auto"/>
                <w:bottom w:val="none" w:sz="0" w:space="0" w:color="auto"/>
                <w:right w:val="none" w:sz="0" w:space="0" w:color="auto"/>
              </w:divBdr>
            </w:div>
          </w:divsChild>
        </w:div>
        <w:div w:id="726490699">
          <w:marLeft w:val="0"/>
          <w:marRight w:val="0"/>
          <w:marTop w:val="165"/>
          <w:marBottom w:val="165"/>
          <w:divBdr>
            <w:top w:val="none" w:sz="0" w:space="0" w:color="auto"/>
            <w:left w:val="none" w:sz="0" w:space="0" w:color="auto"/>
            <w:bottom w:val="none" w:sz="0" w:space="0" w:color="auto"/>
            <w:right w:val="none" w:sz="0" w:space="0" w:color="auto"/>
          </w:divBdr>
          <w:divsChild>
            <w:div w:id="1700079827">
              <w:marLeft w:val="0"/>
              <w:marRight w:val="0"/>
              <w:marTop w:val="0"/>
              <w:marBottom w:val="0"/>
              <w:divBdr>
                <w:top w:val="none" w:sz="0" w:space="0" w:color="auto"/>
                <w:left w:val="none" w:sz="0" w:space="0" w:color="auto"/>
                <w:bottom w:val="none" w:sz="0" w:space="0" w:color="auto"/>
                <w:right w:val="none" w:sz="0" w:space="0" w:color="auto"/>
              </w:divBdr>
              <w:divsChild>
                <w:div w:id="123038059">
                  <w:marLeft w:val="0"/>
                  <w:marRight w:val="225"/>
                  <w:marTop w:val="0"/>
                  <w:marBottom w:val="0"/>
                  <w:divBdr>
                    <w:top w:val="none" w:sz="0" w:space="0" w:color="auto"/>
                    <w:left w:val="none" w:sz="0" w:space="0" w:color="auto"/>
                    <w:bottom w:val="none" w:sz="0" w:space="0" w:color="auto"/>
                    <w:right w:val="none" w:sz="0" w:space="0" w:color="auto"/>
                  </w:divBdr>
                </w:div>
              </w:divsChild>
            </w:div>
            <w:div w:id="1869563837">
              <w:marLeft w:val="0"/>
              <w:marRight w:val="0"/>
              <w:marTop w:val="0"/>
              <w:marBottom w:val="0"/>
              <w:divBdr>
                <w:top w:val="none" w:sz="0" w:space="0" w:color="auto"/>
                <w:left w:val="none" w:sz="0" w:space="0" w:color="auto"/>
                <w:bottom w:val="none" w:sz="0" w:space="0" w:color="auto"/>
                <w:right w:val="none" w:sz="0" w:space="0" w:color="auto"/>
              </w:divBdr>
              <w:divsChild>
                <w:div w:id="893153200">
                  <w:marLeft w:val="0"/>
                  <w:marRight w:val="300"/>
                  <w:marTop w:val="0"/>
                  <w:marBottom w:val="0"/>
                  <w:divBdr>
                    <w:top w:val="none" w:sz="0" w:space="0" w:color="auto"/>
                    <w:left w:val="none" w:sz="0" w:space="0" w:color="auto"/>
                    <w:bottom w:val="none" w:sz="0" w:space="0" w:color="auto"/>
                    <w:right w:val="none" w:sz="0" w:space="0" w:color="auto"/>
                  </w:divBdr>
                  <w:divsChild>
                    <w:div w:id="789515557">
                      <w:marLeft w:val="0"/>
                      <w:marRight w:val="75"/>
                      <w:marTop w:val="0"/>
                      <w:marBottom w:val="0"/>
                      <w:divBdr>
                        <w:top w:val="none" w:sz="0" w:space="0" w:color="auto"/>
                        <w:left w:val="none" w:sz="0" w:space="0" w:color="auto"/>
                        <w:bottom w:val="none" w:sz="0" w:space="0" w:color="auto"/>
                        <w:right w:val="none" w:sz="0" w:space="0" w:color="auto"/>
                      </w:divBdr>
                    </w:div>
                    <w:div w:id="13541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175465">
      <w:bodyDiv w:val="1"/>
      <w:marLeft w:val="0"/>
      <w:marRight w:val="0"/>
      <w:marTop w:val="0"/>
      <w:marBottom w:val="0"/>
      <w:divBdr>
        <w:top w:val="none" w:sz="0" w:space="0" w:color="auto"/>
        <w:left w:val="none" w:sz="0" w:space="0" w:color="auto"/>
        <w:bottom w:val="none" w:sz="0" w:space="0" w:color="auto"/>
        <w:right w:val="none" w:sz="0" w:space="0" w:color="auto"/>
      </w:divBdr>
    </w:div>
    <w:div w:id="233127993">
      <w:bodyDiv w:val="1"/>
      <w:marLeft w:val="0"/>
      <w:marRight w:val="0"/>
      <w:marTop w:val="0"/>
      <w:marBottom w:val="0"/>
      <w:divBdr>
        <w:top w:val="none" w:sz="0" w:space="0" w:color="auto"/>
        <w:left w:val="none" w:sz="0" w:space="0" w:color="auto"/>
        <w:bottom w:val="none" w:sz="0" w:space="0" w:color="auto"/>
        <w:right w:val="none" w:sz="0" w:space="0" w:color="auto"/>
      </w:divBdr>
    </w:div>
    <w:div w:id="256718135">
      <w:bodyDiv w:val="1"/>
      <w:marLeft w:val="0"/>
      <w:marRight w:val="0"/>
      <w:marTop w:val="0"/>
      <w:marBottom w:val="0"/>
      <w:divBdr>
        <w:top w:val="none" w:sz="0" w:space="0" w:color="auto"/>
        <w:left w:val="none" w:sz="0" w:space="0" w:color="auto"/>
        <w:bottom w:val="none" w:sz="0" w:space="0" w:color="auto"/>
        <w:right w:val="none" w:sz="0" w:space="0" w:color="auto"/>
      </w:divBdr>
    </w:div>
    <w:div w:id="284779561">
      <w:bodyDiv w:val="1"/>
      <w:marLeft w:val="0"/>
      <w:marRight w:val="0"/>
      <w:marTop w:val="0"/>
      <w:marBottom w:val="0"/>
      <w:divBdr>
        <w:top w:val="none" w:sz="0" w:space="0" w:color="auto"/>
        <w:left w:val="none" w:sz="0" w:space="0" w:color="auto"/>
        <w:bottom w:val="none" w:sz="0" w:space="0" w:color="auto"/>
        <w:right w:val="none" w:sz="0" w:space="0" w:color="auto"/>
      </w:divBdr>
    </w:div>
    <w:div w:id="288098672">
      <w:bodyDiv w:val="1"/>
      <w:marLeft w:val="0"/>
      <w:marRight w:val="0"/>
      <w:marTop w:val="0"/>
      <w:marBottom w:val="0"/>
      <w:divBdr>
        <w:top w:val="none" w:sz="0" w:space="0" w:color="auto"/>
        <w:left w:val="none" w:sz="0" w:space="0" w:color="auto"/>
        <w:bottom w:val="none" w:sz="0" w:space="0" w:color="auto"/>
        <w:right w:val="none" w:sz="0" w:space="0" w:color="auto"/>
      </w:divBdr>
    </w:div>
    <w:div w:id="341444270">
      <w:bodyDiv w:val="1"/>
      <w:marLeft w:val="0"/>
      <w:marRight w:val="0"/>
      <w:marTop w:val="0"/>
      <w:marBottom w:val="0"/>
      <w:divBdr>
        <w:top w:val="none" w:sz="0" w:space="0" w:color="auto"/>
        <w:left w:val="none" w:sz="0" w:space="0" w:color="auto"/>
        <w:bottom w:val="none" w:sz="0" w:space="0" w:color="auto"/>
        <w:right w:val="none" w:sz="0" w:space="0" w:color="auto"/>
      </w:divBdr>
    </w:div>
    <w:div w:id="379138594">
      <w:bodyDiv w:val="1"/>
      <w:marLeft w:val="0"/>
      <w:marRight w:val="0"/>
      <w:marTop w:val="0"/>
      <w:marBottom w:val="0"/>
      <w:divBdr>
        <w:top w:val="none" w:sz="0" w:space="0" w:color="auto"/>
        <w:left w:val="none" w:sz="0" w:space="0" w:color="auto"/>
        <w:bottom w:val="none" w:sz="0" w:space="0" w:color="auto"/>
        <w:right w:val="none" w:sz="0" w:space="0" w:color="auto"/>
      </w:divBdr>
      <w:divsChild>
        <w:div w:id="1516847800">
          <w:marLeft w:val="0"/>
          <w:marRight w:val="0"/>
          <w:marTop w:val="0"/>
          <w:marBottom w:val="0"/>
          <w:divBdr>
            <w:top w:val="single" w:sz="6" w:space="0" w:color="CCCCCC"/>
            <w:left w:val="none" w:sz="0" w:space="0" w:color="auto"/>
            <w:bottom w:val="none" w:sz="0" w:space="0" w:color="auto"/>
            <w:right w:val="none" w:sz="0" w:space="0" w:color="auto"/>
          </w:divBdr>
          <w:divsChild>
            <w:div w:id="936406606">
              <w:marLeft w:val="0"/>
              <w:marRight w:val="0"/>
              <w:marTop w:val="150"/>
              <w:marBottom w:val="150"/>
              <w:divBdr>
                <w:top w:val="single" w:sz="6" w:space="5" w:color="CCCCCC"/>
                <w:left w:val="single" w:sz="6" w:space="5" w:color="CCCCCC"/>
                <w:bottom w:val="single" w:sz="6" w:space="5" w:color="CCCCCC"/>
                <w:right w:val="single" w:sz="6" w:space="5" w:color="CCCCCC"/>
              </w:divBdr>
            </w:div>
          </w:divsChild>
        </w:div>
      </w:divsChild>
    </w:div>
    <w:div w:id="420377883">
      <w:bodyDiv w:val="1"/>
      <w:marLeft w:val="0"/>
      <w:marRight w:val="0"/>
      <w:marTop w:val="0"/>
      <w:marBottom w:val="0"/>
      <w:divBdr>
        <w:top w:val="none" w:sz="0" w:space="0" w:color="auto"/>
        <w:left w:val="none" w:sz="0" w:space="0" w:color="auto"/>
        <w:bottom w:val="none" w:sz="0" w:space="0" w:color="auto"/>
        <w:right w:val="none" w:sz="0" w:space="0" w:color="auto"/>
      </w:divBdr>
    </w:div>
    <w:div w:id="599415117">
      <w:bodyDiv w:val="1"/>
      <w:marLeft w:val="0"/>
      <w:marRight w:val="0"/>
      <w:marTop w:val="0"/>
      <w:marBottom w:val="0"/>
      <w:divBdr>
        <w:top w:val="none" w:sz="0" w:space="0" w:color="auto"/>
        <w:left w:val="none" w:sz="0" w:space="0" w:color="auto"/>
        <w:bottom w:val="none" w:sz="0" w:space="0" w:color="auto"/>
        <w:right w:val="none" w:sz="0" w:space="0" w:color="auto"/>
      </w:divBdr>
    </w:div>
    <w:div w:id="661586640">
      <w:bodyDiv w:val="1"/>
      <w:marLeft w:val="0"/>
      <w:marRight w:val="0"/>
      <w:marTop w:val="0"/>
      <w:marBottom w:val="0"/>
      <w:divBdr>
        <w:top w:val="none" w:sz="0" w:space="0" w:color="auto"/>
        <w:left w:val="none" w:sz="0" w:space="0" w:color="auto"/>
        <w:bottom w:val="none" w:sz="0" w:space="0" w:color="auto"/>
        <w:right w:val="none" w:sz="0" w:space="0" w:color="auto"/>
      </w:divBdr>
      <w:divsChild>
        <w:div w:id="1308780896">
          <w:marLeft w:val="0"/>
          <w:marRight w:val="0"/>
          <w:marTop w:val="0"/>
          <w:marBottom w:val="0"/>
          <w:divBdr>
            <w:top w:val="none" w:sz="0" w:space="0" w:color="auto"/>
            <w:left w:val="none" w:sz="0" w:space="0" w:color="auto"/>
            <w:bottom w:val="none" w:sz="0" w:space="0" w:color="auto"/>
            <w:right w:val="none" w:sz="0" w:space="0" w:color="auto"/>
          </w:divBdr>
          <w:divsChild>
            <w:div w:id="1093821875">
              <w:marLeft w:val="0"/>
              <w:marRight w:val="0"/>
              <w:marTop w:val="0"/>
              <w:marBottom w:val="0"/>
              <w:divBdr>
                <w:top w:val="none" w:sz="0" w:space="0" w:color="auto"/>
                <w:left w:val="none" w:sz="0" w:space="0" w:color="auto"/>
                <w:bottom w:val="none" w:sz="0" w:space="0" w:color="auto"/>
                <w:right w:val="none" w:sz="0" w:space="0" w:color="auto"/>
              </w:divBdr>
              <w:divsChild>
                <w:div w:id="26149266">
                  <w:marLeft w:val="0"/>
                  <w:marRight w:val="0"/>
                  <w:marTop w:val="0"/>
                  <w:marBottom w:val="0"/>
                  <w:divBdr>
                    <w:top w:val="none" w:sz="0" w:space="0" w:color="auto"/>
                    <w:left w:val="none" w:sz="0" w:space="0" w:color="auto"/>
                    <w:bottom w:val="none" w:sz="0" w:space="0" w:color="auto"/>
                    <w:right w:val="none" w:sz="0" w:space="0" w:color="auto"/>
                  </w:divBdr>
                </w:div>
              </w:divsChild>
            </w:div>
            <w:div w:id="1222868756">
              <w:marLeft w:val="0"/>
              <w:marRight w:val="0"/>
              <w:marTop w:val="0"/>
              <w:marBottom w:val="0"/>
              <w:divBdr>
                <w:top w:val="none" w:sz="0" w:space="0" w:color="auto"/>
                <w:left w:val="none" w:sz="0" w:space="0" w:color="auto"/>
                <w:bottom w:val="none" w:sz="0" w:space="0" w:color="auto"/>
                <w:right w:val="none" w:sz="0" w:space="0" w:color="auto"/>
              </w:divBdr>
              <w:divsChild>
                <w:div w:id="640306914">
                  <w:marLeft w:val="0"/>
                  <w:marRight w:val="0"/>
                  <w:marTop w:val="0"/>
                  <w:marBottom w:val="0"/>
                  <w:divBdr>
                    <w:top w:val="none" w:sz="0" w:space="0" w:color="auto"/>
                    <w:left w:val="none" w:sz="0" w:space="0" w:color="auto"/>
                    <w:bottom w:val="none" w:sz="0" w:space="0" w:color="auto"/>
                    <w:right w:val="none" w:sz="0" w:space="0" w:color="auto"/>
                  </w:divBdr>
                </w:div>
              </w:divsChild>
            </w:div>
            <w:div w:id="1591692521">
              <w:marLeft w:val="0"/>
              <w:marRight w:val="0"/>
              <w:marTop w:val="0"/>
              <w:marBottom w:val="0"/>
              <w:divBdr>
                <w:top w:val="none" w:sz="0" w:space="0" w:color="auto"/>
                <w:left w:val="none" w:sz="0" w:space="0" w:color="auto"/>
                <w:bottom w:val="none" w:sz="0" w:space="0" w:color="auto"/>
                <w:right w:val="none" w:sz="0" w:space="0" w:color="auto"/>
              </w:divBdr>
              <w:divsChild>
                <w:div w:id="1501385543">
                  <w:marLeft w:val="0"/>
                  <w:marRight w:val="0"/>
                  <w:marTop w:val="0"/>
                  <w:marBottom w:val="0"/>
                  <w:divBdr>
                    <w:top w:val="none" w:sz="0" w:space="0" w:color="auto"/>
                    <w:left w:val="none" w:sz="0" w:space="0" w:color="auto"/>
                    <w:bottom w:val="none" w:sz="0" w:space="0" w:color="auto"/>
                    <w:right w:val="none" w:sz="0" w:space="0" w:color="auto"/>
                  </w:divBdr>
                </w:div>
              </w:divsChild>
            </w:div>
            <w:div w:id="637226903">
              <w:marLeft w:val="0"/>
              <w:marRight w:val="0"/>
              <w:marTop w:val="0"/>
              <w:marBottom w:val="0"/>
              <w:divBdr>
                <w:top w:val="none" w:sz="0" w:space="0" w:color="auto"/>
                <w:left w:val="none" w:sz="0" w:space="0" w:color="auto"/>
                <w:bottom w:val="none" w:sz="0" w:space="0" w:color="auto"/>
                <w:right w:val="none" w:sz="0" w:space="0" w:color="auto"/>
              </w:divBdr>
              <w:divsChild>
                <w:div w:id="347567076">
                  <w:marLeft w:val="0"/>
                  <w:marRight w:val="0"/>
                  <w:marTop w:val="0"/>
                  <w:marBottom w:val="0"/>
                  <w:divBdr>
                    <w:top w:val="none" w:sz="0" w:space="0" w:color="auto"/>
                    <w:left w:val="none" w:sz="0" w:space="0" w:color="auto"/>
                    <w:bottom w:val="none" w:sz="0" w:space="0" w:color="auto"/>
                    <w:right w:val="none" w:sz="0" w:space="0" w:color="auto"/>
                  </w:divBdr>
                </w:div>
              </w:divsChild>
            </w:div>
            <w:div w:id="873926846">
              <w:marLeft w:val="0"/>
              <w:marRight w:val="0"/>
              <w:marTop w:val="0"/>
              <w:marBottom w:val="0"/>
              <w:divBdr>
                <w:top w:val="none" w:sz="0" w:space="0" w:color="auto"/>
                <w:left w:val="none" w:sz="0" w:space="0" w:color="auto"/>
                <w:bottom w:val="none" w:sz="0" w:space="0" w:color="auto"/>
                <w:right w:val="none" w:sz="0" w:space="0" w:color="auto"/>
              </w:divBdr>
              <w:divsChild>
                <w:div w:id="1710645683">
                  <w:marLeft w:val="0"/>
                  <w:marRight w:val="0"/>
                  <w:marTop w:val="0"/>
                  <w:marBottom w:val="0"/>
                  <w:divBdr>
                    <w:top w:val="none" w:sz="0" w:space="0" w:color="auto"/>
                    <w:left w:val="none" w:sz="0" w:space="0" w:color="auto"/>
                    <w:bottom w:val="none" w:sz="0" w:space="0" w:color="auto"/>
                    <w:right w:val="none" w:sz="0" w:space="0" w:color="auto"/>
                  </w:divBdr>
                </w:div>
              </w:divsChild>
            </w:div>
            <w:div w:id="1127817729">
              <w:marLeft w:val="0"/>
              <w:marRight w:val="0"/>
              <w:marTop w:val="0"/>
              <w:marBottom w:val="0"/>
              <w:divBdr>
                <w:top w:val="none" w:sz="0" w:space="0" w:color="auto"/>
                <w:left w:val="none" w:sz="0" w:space="0" w:color="auto"/>
                <w:bottom w:val="none" w:sz="0" w:space="0" w:color="auto"/>
                <w:right w:val="none" w:sz="0" w:space="0" w:color="auto"/>
              </w:divBdr>
              <w:divsChild>
                <w:div w:id="1490252369">
                  <w:marLeft w:val="0"/>
                  <w:marRight w:val="0"/>
                  <w:marTop w:val="0"/>
                  <w:marBottom w:val="0"/>
                  <w:divBdr>
                    <w:top w:val="none" w:sz="0" w:space="0" w:color="auto"/>
                    <w:left w:val="none" w:sz="0" w:space="0" w:color="auto"/>
                    <w:bottom w:val="none" w:sz="0" w:space="0" w:color="auto"/>
                    <w:right w:val="none" w:sz="0" w:space="0" w:color="auto"/>
                  </w:divBdr>
                </w:div>
              </w:divsChild>
            </w:div>
            <w:div w:id="440616235">
              <w:marLeft w:val="0"/>
              <w:marRight w:val="0"/>
              <w:marTop w:val="0"/>
              <w:marBottom w:val="0"/>
              <w:divBdr>
                <w:top w:val="none" w:sz="0" w:space="0" w:color="auto"/>
                <w:left w:val="none" w:sz="0" w:space="0" w:color="auto"/>
                <w:bottom w:val="none" w:sz="0" w:space="0" w:color="auto"/>
                <w:right w:val="none" w:sz="0" w:space="0" w:color="auto"/>
              </w:divBdr>
              <w:divsChild>
                <w:div w:id="409886120">
                  <w:marLeft w:val="0"/>
                  <w:marRight w:val="0"/>
                  <w:marTop w:val="0"/>
                  <w:marBottom w:val="0"/>
                  <w:divBdr>
                    <w:top w:val="none" w:sz="0" w:space="0" w:color="auto"/>
                    <w:left w:val="none" w:sz="0" w:space="0" w:color="auto"/>
                    <w:bottom w:val="none" w:sz="0" w:space="0" w:color="auto"/>
                    <w:right w:val="none" w:sz="0" w:space="0" w:color="auto"/>
                  </w:divBdr>
                </w:div>
              </w:divsChild>
            </w:div>
            <w:div w:id="420564138">
              <w:marLeft w:val="0"/>
              <w:marRight w:val="0"/>
              <w:marTop w:val="0"/>
              <w:marBottom w:val="0"/>
              <w:divBdr>
                <w:top w:val="none" w:sz="0" w:space="0" w:color="auto"/>
                <w:left w:val="none" w:sz="0" w:space="0" w:color="auto"/>
                <w:bottom w:val="none" w:sz="0" w:space="0" w:color="auto"/>
                <w:right w:val="none" w:sz="0" w:space="0" w:color="auto"/>
              </w:divBdr>
              <w:divsChild>
                <w:div w:id="394396309">
                  <w:marLeft w:val="0"/>
                  <w:marRight w:val="0"/>
                  <w:marTop w:val="0"/>
                  <w:marBottom w:val="0"/>
                  <w:divBdr>
                    <w:top w:val="none" w:sz="0" w:space="0" w:color="auto"/>
                    <w:left w:val="none" w:sz="0" w:space="0" w:color="auto"/>
                    <w:bottom w:val="none" w:sz="0" w:space="0" w:color="auto"/>
                    <w:right w:val="none" w:sz="0" w:space="0" w:color="auto"/>
                  </w:divBdr>
                </w:div>
              </w:divsChild>
            </w:div>
            <w:div w:id="710763272">
              <w:marLeft w:val="0"/>
              <w:marRight w:val="0"/>
              <w:marTop w:val="0"/>
              <w:marBottom w:val="0"/>
              <w:divBdr>
                <w:top w:val="none" w:sz="0" w:space="0" w:color="auto"/>
                <w:left w:val="none" w:sz="0" w:space="0" w:color="auto"/>
                <w:bottom w:val="none" w:sz="0" w:space="0" w:color="auto"/>
                <w:right w:val="none" w:sz="0" w:space="0" w:color="auto"/>
              </w:divBdr>
              <w:divsChild>
                <w:div w:id="1127119058">
                  <w:marLeft w:val="0"/>
                  <w:marRight w:val="0"/>
                  <w:marTop w:val="0"/>
                  <w:marBottom w:val="0"/>
                  <w:divBdr>
                    <w:top w:val="none" w:sz="0" w:space="0" w:color="auto"/>
                    <w:left w:val="none" w:sz="0" w:space="0" w:color="auto"/>
                    <w:bottom w:val="none" w:sz="0" w:space="0" w:color="auto"/>
                    <w:right w:val="none" w:sz="0" w:space="0" w:color="auto"/>
                  </w:divBdr>
                </w:div>
              </w:divsChild>
            </w:div>
            <w:div w:id="885065256">
              <w:marLeft w:val="0"/>
              <w:marRight w:val="0"/>
              <w:marTop w:val="0"/>
              <w:marBottom w:val="0"/>
              <w:divBdr>
                <w:top w:val="none" w:sz="0" w:space="0" w:color="auto"/>
                <w:left w:val="none" w:sz="0" w:space="0" w:color="auto"/>
                <w:bottom w:val="none" w:sz="0" w:space="0" w:color="auto"/>
                <w:right w:val="none" w:sz="0" w:space="0" w:color="auto"/>
              </w:divBdr>
              <w:divsChild>
                <w:div w:id="1229877127">
                  <w:marLeft w:val="0"/>
                  <w:marRight w:val="0"/>
                  <w:marTop w:val="0"/>
                  <w:marBottom w:val="0"/>
                  <w:divBdr>
                    <w:top w:val="none" w:sz="0" w:space="0" w:color="auto"/>
                    <w:left w:val="none" w:sz="0" w:space="0" w:color="auto"/>
                    <w:bottom w:val="none" w:sz="0" w:space="0" w:color="auto"/>
                    <w:right w:val="none" w:sz="0" w:space="0" w:color="auto"/>
                  </w:divBdr>
                </w:div>
              </w:divsChild>
            </w:div>
            <w:div w:id="1245073549">
              <w:marLeft w:val="0"/>
              <w:marRight w:val="0"/>
              <w:marTop w:val="0"/>
              <w:marBottom w:val="0"/>
              <w:divBdr>
                <w:top w:val="none" w:sz="0" w:space="0" w:color="auto"/>
                <w:left w:val="none" w:sz="0" w:space="0" w:color="auto"/>
                <w:bottom w:val="none" w:sz="0" w:space="0" w:color="auto"/>
                <w:right w:val="none" w:sz="0" w:space="0" w:color="auto"/>
              </w:divBdr>
              <w:divsChild>
                <w:div w:id="671638907">
                  <w:marLeft w:val="0"/>
                  <w:marRight w:val="0"/>
                  <w:marTop w:val="0"/>
                  <w:marBottom w:val="0"/>
                  <w:divBdr>
                    <w:top w:val="none" w:sz="0" w:space="0" w:color="auto"/>
                    <w:left w:val="none" w:sz="0" w:space="0" w:color="auto"/>
                    <w:bottom w:val="none" w:sz="0" w:space="0" w:color="auto"/>
                    <w:right w:val="none" w:sz="0" w:space="0" w:color="auto"/>
                  </w:divBdr>
                </w:div>
              </w:divsChild>
            </w:div>
            <w:div w:id="618487592">
              <w:marLeft w:val="0"/>
              <w:marRight w:val="0"/>
              <w:marTop w:val="0"/>
              <w:marBottom w:val="0"/>
              <w:divBdr>
                <w:top w:val="none" w:sz="0" w:space="0" w:color="auto"/>
                <w:left w:val="none" w:sz="0" w:space="0" w:color="auto"/>
                <w:bottom w:val="none" w:sz="0" w:space="0" w:color="auto"/>
                <w:right w:val="none" w:sz="0" w:space="0" w:color="auto"/>
              </w:divBdr>
              <w:divsChild>
                <w:div w:id="1215460931">
                  <w:marLeft w:val="0"/>
                  <w:marRight w:val="0"/>
                  <w:marTop w:val="0"/>
                  <w:marBottom w:val="0"/>
                  <w:divBdr>
                    <w:top w:val="none" w:sz="0" w:space="0" w:color="auto"/>
                    <w:left w:val="none" w:sz="0" w:space="0" w:color="auto"/>
                    <w:bottom w:val="none" w:sz="0" w:space="0" w:color="auto"/>
                    <w:right w:val="none" w:sz="0" w:space="0" w:color="auto"/>
                  </w:divBdr>
                </w:div>
              </w:divsChild>
            </w:div>
            <w:div w:id="1292053699">
              <w:marLeft w:val="0"/>
              <w:marRight w:val="0"/>
              <w:marTop w:val="0"/>
              <w:marBottom w:val="0"/>
              <w:divBdr>
                <w:top w:val="none" w:sz="0" w:space="0" w:color="auto"/>
                <w:left w:val="none" w:sz="0" w:space="0" w:color="auto"/>
                <w:bottom w:val="none" w:sz="0" w:space="0" w:color="auto"/>
                <w:right w:val="none" w:sz="0" w:space="0" w:color="auto"/>
              </w:divBdr>
              <w:divsChild>
                <w:div w:id="8864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32046">
          <w:marLeft w:val="0"/>
          <w:marRight w:val="0"/>
          <w:marTop w:val="0"/>
          <w:marBottom w:val="0"/>
          <w:divBdr>
            <w:top w:val="none" w:sz="0" w:space="0" w:color="auto"/>
            <w:left w:val="none" w:sz="0" w:space="0" w:color="auto"/>
            <w:bottom w:val="none" w:sz="0" w:space="0" w:color="auto"/>
            <w:right w:val="none" w:sz="0" w:space="0" w:color="auto"/>
          </w:divBdr>
          <w:divsChild>
            <w:div w:id="2136439889">
              <w:marLeft w:val="0"/>
              <w:marRight w:val="0"/>
              <w:marTop w:val="0"/>
              <w:marBottom w:val="0"/>
              <w:divBdr>
                <w:top w:val="none" w:sz="0" w:space="0" w:color="auto"/>
                <w:left w:val="none" w:sz="0" w:space="0" w:color="auto"/>
                <w:bottom w:val="none" w:sz="0" w:space="0" w:color="auto"/>
                <w:right w:val="none" w:sz="0" w:space="0" w:color="auto"/>
              </w:divBdr>
              <w:divsChild>
                <w:div w:id="104032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89992">
      <w:bodyDiv w:val="1"/>
      <w:marLeft w:val="0"/>
      <w:marRight w:val="0"/>
      <w:marTop w:val="0"/>
      <w:marBottom w:val="0"/>
      <w:divBdr>
        <w:top w:val="none" w:sz="0" w:space="0" w:color="auto"/>
        <w:left w:val="none" w:sz="0" w:space="0" w:color="auto"/>
        <w:bottom w:val="none" w:sz="0" w:space="0" w:color="auto"/>
        <w:right w:val="none" w:sz="0" w:space="0" w:color="auto"/>
      </w:divBdr>
    </w:div>
    <w:div w:id="745809936">
      <w:bodyDiv w:val="1"/>
      <w:marLeft w:val="0"/>
      <w:marRight w:val="0"/>
      <w:marTop w:val="0"/>
      <w:marBottom w:val="0"/>
      <w:divBdr>
        <w:top w:val="none" w:sz="0" w:space="0" w:color="auto"/>
        <w:left w:val="none" w:sz="0" w:space="0" w:color="auto"/>
        <w:bottom w:val="none" w:sz="0" w:space="0" w:color="auto"/>
        <w:right w:val="none" w:sz="0" w:space="0" w:color="auto"/>
      </w:divBdr>
    </w:div>
    <w:div w:id="792213340">
      <w:bodyDiv w:val="1"/>
      <w:marLeft w:val="0"/>
      <w:marRight w:val="0"/>
      <w:marTop w:val="0"/>
      <w:marBottom w:val="0"/>
      <w:divBdr>
        <w:top w:val="none" w:sz="0" w:space="0" w:color="auto"/>
        <w:left w:val="none" w:sz="0" w:space="0" w:color="auto"/>
        <w:bottom w:val="none" w:sz="0" w:space="0" w:color="auto"/>
        <w:right w:val="none" w:sz="0" w:space="0" w:color="auto"/>
      </w:divBdr>
    </w:div>
    <w:div w:id="829173837">
      <w:bodyDiv w:val="1"/>
      <w:marLeft w:val="0"/>
      <w:marRight w:val="0"/>
      <w:marTop w:val="0"/>
      <w:marBottom w:val="0"/>
      <w:divBdr>
        <w:top w:val="none" w:sz="0" w:space="0" w:color="auto"/>
        <w:left w:val="none" w:sz="0" w:space="0" w:color="auto"/>
        <w:bottom w:val="none" w:sz="0" w:space="0" w:color="auto"/>
        <w:right w:val="none" w:sz="0" w:space="0" w:color="auto"/>
      </w:divBdr>
    </w:div>
    <w:div w:id="839388778">
      <w:bodyDiv w:val="1"/>
      <w:marLeft w:val="0"/>
      <w:marRight w:val="0"/>
      <w:marTop w:val="0"/>
      <w:marBottom w:val="0"/>
      <w:divBdr>
        <w:top w:val="none" w:sz="0" w:space="0" w:color="auto"/>
        <w:left w:val="none" w:sz="0" w:space="0" w:color="auto"/>
        <w:bottom w:val="none" w:sz="0" w:space="0" w:color="auto"/>
        <w:right w:val="none" w:sz="0" w:space="0" w:color="auto"/>
      </w:divBdr>
    </w:div>
    <w:div w:id="839614097">
      <w:bodyDiv w:val="1"/>
      <w:marLeft w:val="0"/>
      <w:marRight w:val="0"/>
      <w:marTop w:val="0"/>
      <w:marBottom w:val="0"/>
      <w:divBdr>
        <w:top w:val="none" w:sz="0" w:space="0" w:color="auto"/>
        <w:left w:val="none" w:sz="0" w:space="0" w:color="auto"/>
        <w:bottom w:val="none" w:sz="0" w:space="0" w:color="auto"/>
        <w:right w:val="none" w:sz="0" w:space="0" w:color="auto"/>
      </w:divBdr>
      <w:divsChild>
        <w:div w:id="927883797">
          <w:marLeft w:val="0"/>
          <w:marRight w:val="0"/>
          <w:marTop w:val="0"/>
          <w:marBottom w:val="0"/>
          <w:divBdr>
            <w:top w:val="none" w:sz="0" w:space="0" w:color="auto"/>
            <w:left w:val="none" w:sz="0" w:space="0" w:color="auto"/>
            <w:bottom w:val="none" w:sz="0" w:space="0" w:color="auto"/>
            <w:right w:val="none" w:sz="0" w:space="0" w:color="auto"/>
          </w:divBdr>
          <w:divsChild>
            <w:div w:id="1658993873">
              <w:marLeft w:val="0"/>
              <w:marRight w:val="0"/>
              <w:marTop w:val="0"/>
              <w:marBottom w:val="0"/>
              <w:divBdr>
                <w:top w:val="none" w:sz="0" w:space="0" w:color="auto"/>
                <w:left w:val="none" w:sz="0" w:space="0" w:color="auto"/>
                <w:bottom w:val="none" w:sz="0" w:space="0" w:color="auto"/>
                <w:right w:val="none" w:sz="0" w:space="0" w:color="auto"/>
              </w:divBdr>
            </w:div>
          </w:divsChild>
        </w:div>
        <w:div w:id="1727289992">
          <w:marLeft w:val="0"/>
          <w:marRight w:val="0"/>
          <w:marTop w:val="0"/>
          <w:marBottom w:val="0"/>
          <w:divBdr>
            <w:top w:val="none" w:sz="0" w:space="0" w:color="auto"/>
            <w:left w:val="none" w:sz="0" w:space="0" w:color="auto"/>
            <w:bottom w:val="none" w:sz="0" w:space="0" w:color="auto"/>
            <w:right w:val="none" w:sz="0" w:space="0" w:color="auto"/>
          </w:divBdr>
          <w:divsChild>
            <w:div w:id="16614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17201">
      <w:bodyDiv w:val="1"/>
      <w:marLeft w:val="0"/>
      <w:marRight w:val="0"/>
      <w:marTop w:val="0"/>
      <w:marBottom w:val="0"/>
      <w:divBdr>
        <w:top w:val="none" w:sz="0" w:space="0" w:color="auto"/>
        <w:left w:val="none" w:sz="0" w:space="0" w:color="auto"/>
        <w:bottom w:val="none" w:sz="0" w:space="0" w:color="auto"/>
        <w:right w:val="none" w:sz="0" w:space="0" w:color="auto"/>
      </w:divBdr>
    </w:div>
    <w:div w:id="1065644422">
      <w:bodyDiv w:val="1"/>
      <w:marLeft w:val="0"/>
      <w:marRight w:val="0"/>
      <w:marTop w:val="0"/>
      <w:marBottom w:val="0"/>
      <w:divBdr>
        <w:top w:val="none" w:sz="0" w:space="0" w:color="auto"/>
        <w:left w:val="none" w:sz="0" w:space="0" w:color="auto"/>
        <w:bottom w:val="none" w:sz="0" w:space="0" w:color="auto"/>
        <w:right w:val="none" w:sz="0" w:space="0" w:color="auto"/>
      </w:divBdr>
    </w:div>
    <w:div w:id="1090615502">
      <w:bodyDiv w:val="1"/>
      <w:marLeft w:val="0"/>
      <w:marRight w:val="0"/>
      <w:marTop w:val="0"/>
      <w:marBottom w:val="0"/>
      <w:divBdr>
        <w:top w:val="none" w:sz="0" w:space="0" w:color="auto"/>
        <w:left w:val="none" w:sz="0" w:space="0" w:color="auto"/>
        <w:bottom w:val="none" w:sz="0" w:space="0" w:color="auto"/>
        <w:right w:val="none" w:sz="0" w:space="0" w:color="auto"/>
      </w:divBdr>
    </w:div>
    <w:div w:id="1110513327">
      <w:bodyDiv w:val="1"/>
      <w:marLeft w:val="0"/>
      <w:marRight w:val="0"/>
      <w:marTop w:val="0"/>
      <w:marBottom w:val="0"/>
      <w:divBdr>
        <w:top w:val="none" w:sz="0" w:space="0" w:color="auto"/>
        <w:left w:val="none" w:sz="0" w:space="0" w:color="auto"/>
        <w:bottom w:val="none" w:sz="0" w:space="0" w:color="auto"/>
        <w:right w:val="none" w:sz="0" w:space="0" w:color="auto"/>
      </w:divBdr>
      <w:divsChild>
        <w:div w:id="796290905">
          <w:marLeft w:val="0"/>
          <w:marRight w:val="0"/>
          <w:marTop w:val="0"/>
          <w:marBottom w:val="0"/>
          <w:divBdr>
            <w:top w:val="single" w:sz="6" w:space="0" w:color="CCCCCC"/>
            <w:left w:val="none" w:sz="0" w:space="0" w:color="auto"/>
            <w:bottom w:val="none" w:sz="0" w:space="0" w:color="auto"/>
            <w:right w:val="none" w:sz="0" w:space="0" w:color="auto"/>
          </w:divBdr>
          <w:divsChild>
            <w:div w:id="1856571394">
              <w:marLeft w:val="0"/>
              <w:marRight w:val="0"/>
              <w:marTop w:val="150"/>
              <w:marBottom w:val="150"/>
              <w:divBdr>
                <w:top w:val="single" w:sz="6" w:space="5" w:color="CCCCCC"/>
                <w:left w:val="single" w:sz="6" w:space="5" w:color="CCCCCC"/>
                <w:bottom w:val="single" w:sz="6" w:space="5" w:color="CCCCCC"/>
                <w:right w:val="single" w:sz="6" w:space="5" w:color="CCCCCC"/>
              </w:divBdr>
            </w:div>
          </w:divsChild>
        </w:div>
      </w:divsChild>
    </w:div>
    <w:div w:id="1116099270">
      <w:bodyDiv w:val="1"/>
      <w:marLeft w:val="0"/>
      <w:marRight w:val="0"/>
      <w:marTop w:val="0"/>
      <w:marBottom w:val="0"/>
      <w:divBdr>
        <w:top w:val="none" w:sz="0" w:space="0" w:color="auto"/>
        <w:left w:val="none" w:sz="0" w:space="0" w:color="auto"/>
        <w:bottom w:val="none" w:sz="0" w:space="0" w:color="auto"/>
        <w:right w:val="none" w:sz="0" w:space="0" w:color="auto"/>
      </w:divBdr>
    </w:div>
    <w:div w:id="1145313753">
      <w:bodyDiv w:val="1"/>
      <w:marLeft w:val="0"/>
      <w:marRight w:val="0"/>
      <w:marTop w:val="0"/>
      <w:marBottom w:val="0"/>
      <w:divBdr>
        <w:top w:val="none" w:sz="0" w:space="0" w:color="auto"/>
        <w:left w:val="none" w:sz="0" w:space="0" w:color="auto"/>
        <w:bottom w:val="none" w:sz="0" w:space="0" w:color="auto"/>
        <w:right w:val="none" w:sz="0" w:space="0" w:color="auto"/>
      </w:divBdr>
      <w:divsChild>
        <w:div w:id="1093740105">
          <w:marLeft w:val="0"/>
          <w:marRight w:val="0"/>
          <w:marTop w:val="0"/>
          <w:marBottom w:val="0"/>
          <w:divBdr>
            <w:top w:val="none" w:sz="0" w:space="0" w:color="auto"/>
            <w:left w:val="none" w:sz="0" w:space="0" w:color="auto"/>
            <w:bottom w:val="none" w:sz="0" w:space="0" w:color="auto"/>
            <w:right w:val="none" w:sz="0" w:space="0" w:color="auto"/>
          </w:divBdr>
        </w:div>
      </w:divsChild>
    </w:div>
    <w:div w:id="1190410776">
      <w:bodyDiv w:val="1"/>
      <w:marLeft w:val="0"/>
      <w:marRight w:val="0"/>
      <w:marTop w:val="0"/>
      <w:marBottom w:val="0"/>
      <w:divBdr>
        <w:top w:val="none" w:sz="0" w:space="0" w:color="auto"/>
        <w:left w:val="none" w:sz="0" w:space="0" w:color="auto"/>
        <w:bottom w:val="none" w:sz="0" w:space="0" w:color="auto"/>
        <w:right w:val="none" w:sz="0" w:space="0" w:color="auto"/>
      </w:divBdr>
    </w:div>
    <w:div w:id="1286235448">
      <w:bodyDiv w:val="1"/>
      <w:marLeft w:val="0"/>
      <w:marRight w:val="0"/>
      <w:marTop w:val="0"/>
      <w:marBottom w:val="0"/>
      <w:divBdr>
        <w:top w:val="none" w:sz="0" w:space="0" w:color="auto"/>
        <w:left w:val="none" w:sz="0" w:space="0" w:color="auto"/>
        <w:bottom w:val="none" w:sz="0" w:space="0" w:color="auto"/>
        <w:right w:val="none" w:sz="0" w:space="0" w:color="auto"/>
      </w:divBdr>
      <w:divsChild>
        <w:div w:id="1517231949">
          <w:marLeft w:val="0"/>
          <w:marRight w:val="0"/>
          <w:marTop w:val="0"/>
          <w:marBottom w:val="0"/>
          <w:divBdr>
            <w:top w:val="none" w:sz="0" w:space="0" w:color="auto"/>
            <w:left w:val="none" w:sz="0" w:space="0" w:color="auto"/>
            <w:bottom w:val="none" w:sz="0" w:space="0" w:color="auto"/>
            <w:right w:val="none" w:sz="0" w:space="0" w:color="auto"/>
          </w:divBdr>
          <w:divsChild>
            <w:div w:id="1267154210">
              <w:marLeft w:val="0"/>
              <w:marRight w:val="0"/>
              <w:marTop w:val="0"/>
              <w:marBottom w:val="0"/>
              <w:divBdr>
                <w:top w:val="none" w:sz="0" w:space="0" w:color="auto"/>
                <w:left w:val="none" w:sz="0" w:space="0" w:color="auto"/>
                <w:bottom w:val="none" w:sz="0" w:space="0" w:color="auto"/>
                <w:right w:val="none" w:sz="0" w:space="0" w:color="auto"/>
              </w:divBdr>
              <w:divsChild>
                <w:div w:id="1585726215">
                  <w:marLeft w:val="0"/>
                  <w:marRight w:val="0"/>
                  <w:marTop w:val="0"/>
                  <w:marBottom w:val="0"/>
                  <w:divBdr>
                    <w:top w:val="none" w:sz="0" w:space="0" w:color="auto"/>
                    <w:left w:val="none" w:sz="0" w:space="0" w:color="auto"/>
                    <w:bottom w:val="none" w:sz="0" w:space="0" w:color="auto"/>
                    <w:right w:val="none" w:sz="0" w:space="0" w:color="auto"/>
                  </w:divBdr>
                  <w:divsChild>
                    <w:div w:id="978726514">
                      <w:marLeft w:val="0"/>
                      <w:marRight w:val="0"/>
                      <w:marTop w:val="0"/>
                      <w:marBottom w:val="0"/>
                      <w:divBdr>
                        <w:top w:val="none" w:sz="0" w:space="0" w:color="auto"/>
                        <w:left w:val="none" w:sz="0" w:space="0" w:color="auto"/>
                        <w:bottom w:val="none" w:sz="0" w:space="0" w:color="auto"/>
                        <w:right w:val="none" w:sz="0" w:space="0" w:color="auto"/>
                      </w:divBdr>
                    </w:div>
                  </w:divsChild>
                </w:div>
                <w:div w:id="1051736316">
                  <w:marLeft w:val="0"/>
                  <w:marRight w:val="0"/>
                  <w:marTop w:val="0"/>
                  <w:marBottom w:val="0"/>
                  <w:divBdr>
                    <w:top w:val="none" w:sz="0" w:space="0" w:color="auto"/>
                    <w:left w:val="none" w:sz="0" w:space="0" w:color="auto"/>
                    <w:bottom w:val="none" w:sz="0" w:space="0" w:color="auto"/>
                    <w:right w:val="none" w:sz="0" w:space="0" w:color="auto"/>
                  </w:divBdr>
                  <w:divsChild>
                    <w:div w:id="1819959871">
                      <w:marLeft w:val="0"/>
                      <w:marRight w:val="0"/>
                      <w:marTop w:val="0"/>
                      <w:marBottom w:val="0"/>
                      <w:divBdr>
                        <w:top w:val="none" w:sz="0" w:space="0" w:color="auto"/>
                        <w:left w:val="none" w:sz="0" w:space="0" w:color="auto"/>
                        <w:bottom w:val="none" w:sz="0" w:space="0" w:color="auto"/>
                        <w:right w:val="none" w:sz="0" w:space="0" w:color="auto"/>
                      </w:divBdr>
                    </w:div>
                  </w:divsChild>
                </w:div>
                <w:div w:id="1250232027">
                  <w:marLeft w:val="0"/>
                  <w:marRight w:val="0"/>
                  <w:marTop w:val="0"/>
                  <w:marBottom w:val="0"/>
                  <w:divBdr>
                    <w:top w:val="none" w:sz="0" w:space="0" w:color="auto"/>
                    <w:left w:val="none" w:sz="0" w:space="0" w:color="auto"/>
                    <w:bottom w:val="none" w:sz="0" w:space="0" w:color="auto"/>
                    <w:right w:val="none" w:sz="0" w:space="0" w:color="auto"/>
                  </w:divBdr>
                  <w:divsChild>
                    <w:div w:id="714700330">
                      <w:marLeft w:val="0"/>
                      <w:marRight w:val="0"/>
                      <w:marTop w:val="0"/>
                      <w:marBottom w:val="0"/>
                      <w:divBdr>
                        <w:top w:val="none" w:sz="0" w:space="0" w:color="auto"/>
                        <w:left w:val="none" w:sz="0" w:space="0" w:color="auto"/>
                        <w:bottom w:val="none" w:sz="0" w:space="0" w:color="auto"/>
                        <w:right w:val="none" w:sz="0" w:space="0" w:color="auto"/>
                      </w:divBdr>
                    </w:div>
                  </w:divsChild>
                </w:div>
                <w:div w:id="755903788">
                  <w:marLeft w:val="0"/>
                  <w:marRight w:val="0"/>
                  <w:marTop w:val="0"/>
                  <w:marBottom w:val="0"/>
                  <w:divBdr>
                    <w:top w:val="none" w:sz="0" w:space="0" w:color="auto"/>
                    <w:left w:val="none" w:sz="0" w:space="0" w:color="auto"/>
                    <w:bottom w:val="none" w:sz="0" w:space="0" w:color="auto"/>
                    <w:right w:val="none" w:sz="0" w:space="0" w:color="auto"/>
                  </w:divBdr>
                  <w:divsChild>
                    <w:div w:id="474614856">
                      <w:marLeft w:val="0"/>
                      <w:marRight w:val="0"/>
                      <w:marTop w:val="0"/>
                      <w:marBottom w:val="0"/>
                      <w:divBdr>
                        <w:top w:val="none" w:sz="0" w:space="0" w:color="auto"/>
                        <w:left w:val="none" w:sz="0" w:space="0" w:color="auto"/>
                        <w:bottom w:val="none" w:sz="0" w:space="0" w:color="auto"/>
                        <w:right w:val="none" w:sz="0" w:space="0" w:color="auto"/>
                      </w:divBdr>
                    </w:div>
                  </w:divsChild>
                </w:div>
                <w:div w:id="1603535658">
                  <w:marLeft w:val="0"/>
                  <w:marRight w:val="0"/>
                  <w:marTop w:val="0"/>
                  <w:marBottom w:val="0"/>
                  <w:divBdr>
                    <w:top w:val="none" w:sz="0" w:space="0" w:color="auto"/>
                    <w:left w:val="none" w:sz="0" w:space="0" w:color="auto"/>
                    <w:bottom w:val="none" w:sz="0" w:space="0" w:color="auto"/>
                    <w:right w:val="none" w:sz="0" w:space="0" w:color="auto"/>
                  </w:divBdr>
                  <w:divsChild>
                    <w:div w:id="1999534738">
                      <w:marLeft w:val="0"/>
                      <w:marRight w:val="0"/>
                      <w:marTop w:val="0"/>
                      <w:marBottom w:val="0"/>
                      <w:divBdr>
                        <w:top w:val="none" w:sz="0" w:space="0" w:color="auto"/>
                        <w:left w:val="none" w:sz="0" w:space="0" w:color="auto"/>
                        <w:bottom w:val="none" w:sz="0" w:space="0" w:color="auto"/>
                        <w:right w:val="none" w:sz="0" w:space="0" w:color="auto"/>
                      </w:divBdr>
                    </w:div>
                  </w:divsChild>
                </w:div>
                <w:div w:id="1729765824">
                  <w:marLeft w:val="0"/>
                  <w:marRight w:val="0"/>
                  <w:marTop w:val="0"/>
                  <w:marBottom w:val="0"/>
                  <w:divBdr>
                    <w:top w:val="none" w:sz="0" w:space="0" w:color="auto"/>
                    <w:left w:val="none" w:sz="0" w:space="0" w:color="auto"/>
                    <w:bottom w:val="none" w:sz="0" w:space="0" w:color="auto"/>
                    <w:right w:val="none" w:sz="0" w:space="0" w:color="auto"/>
                  </w:divBdr>
                  <w:divsChild>
                    <w:div w:id="1517963091">
                      <w:marLeft w:val="0"/>
                      <w:marRight w:val="0"/>
                      <w:marTop w:val="0"/>
                      <w:marBottom w:val="0"/>
                      <w:divBdr>
                        <w:top w:val="none" w:sz="0" w:space="0" w:color="auto"/>
                        <w:left w:val="none" w:sz="0" w:space="0" w:color="auto"/>
                        <w:bottom w:val="none" w:sz="0" w:space="0" w:color="auto"/>
                        <w:right w:val="none" w:sz="0" w:space="0" w:color="auto"/>
                      </w:divBdr>
                    </w:div>
                  </w:divsChild>
                </w:div>
                <w:div w:id="1883249762">
                  <w:marLeft w:val="0"/>
                  <w:marRight w:val="0"/>
                  <w:marTop w:val="0"/>
                  <w:marBottom w:val="0"/>
                  <w:divBdr>
                    <w:top w:val="none" w:sz="0" w:space="0" w:color="auto"/>
                    <w:left w:val="none" w:sz="0" w:space="0" w:color="auto"/>
                    <w:bottom w:val="none" w:sz="0" w:space="0" w:color="auto"/>
                    <w:right w:val="none" w:sz="0" w:space="0" w:color="auto"/>
                  </w:divBdr>
                  <w:divsChild>
                    <w:div w:id="1101488498">
                      <w:marLeft w:val="0"/>
                      <w:marRight w:val="0"/>
                      <w:marTop w:val="0"/>
                      <w:marBottom w:val="0"/>
                      <w:divBdr>
                        <w:top w:val="none" w:sz="0" w:space="0" w:color="auto"/>
                        <w:left w:val="none" w:sz="0" w:space="0" w:color="auto"/>
                        <w:bottom w:val="none" w:sz="0" w:space="0" w:color="auto"/>
                        <w:right w:val="none" w:sz="0" w:space="0" w:color="auto"/>
                      </w:divBdr>
                    </w:div>
                  </w:divsChild>
                </w:div>
                <w:div w:id="1950701642">
                  <w:marLeft w:val="0"/>
                  <w:marRight w:val="0"/>
                  <w:marTop w:val="0"/>
                  <w:marBottom w:val="0"/>
                  <w:divBdr>
                    <w:top w:val="none" w:sz="0" w:space="0" w:color="auto"/>
                    <w:left w:val="none" w:sz="0" w:space="0" w:color="auto"/>
                    <w:bottom w:val="none" w:sz="0" w:space="0" w:color="auto"/>
                    <w:right w:val="none" w:sz="0" w:space="0" w:color="auto"/>
                  </w:divBdr>
                  <w:divsChild>
                    <w:div w:id="1742870296">
                      <w:marLeft w:val="0"/>
                      <w:marRight w:val="0"/>
                      <w:marTop w:val="0"/>
                      <w:marBottom w:val="0"/>
                      <w:divBdr>
                        <w:top w:val="none" w:sz="0" w:space="0" w:color="auto"/>
                        <w:left w:val="none" w:sz="0" w:space="0" w:color="auto"/>
                        <w:bottom w:val="none" w:sz="0" w:space="0" w:color="auto"/>
                        <w:right w:val="none" w:sz="0" w:space="0" w:color="auto"/>
                      </w:divBdr>
                    </w:div>
                  </w:divsChild>
                </w:div>
                <w:div w:id="142090420">
                  <w:marLeft w:val="0"/>
                  <w:marRight w:val="0"/>
                  <w:marTop w:val="0"/>
                  <w:marBottom w:val="0"/>
                  <w:divBdr>
                    <w:top w:val="none" w:sz="0" w:space="0" w:color="auto"/>
                    <w:left w:val="none" w:sz="0" w:space="0" w:color="auto"/>
                    <w:bottom w:val="none" w:sz="0" w:space="0" w:color="auto"/>
                    <w:right w:val="none" w:sz="0" w:space="0" w:color="auto"/>
                  </w:divBdr>
                  <w:divsChild>
                    <w:div w:id="1049720457">
                      <w:marLeft w:val="0"/>
                      <w:marRight w:val="0"/>
                      <w:marTop w:val="0"/>
                      <w:marBottom w:val="0"/>
                      <w:divBdr>
                        <w:top w:val="none" w:sz="0" w:space="0" w:color="auto"/>
                        <w:left w:val="none" w:sz="0" w:space="0" w:color="auto"/>
                        <w:bottom w:val="none" w:sz="0" w:space="0" w:color="auto"/>
                        <w:right w:val="none" w:sz="0" w:space="0" w:color="auto"/>
                      </w:divBdr>
                    </w:div>
                  </w:divsChild>
                </w:div>
                <w:div w:id="1518887625">
                  <w:marLeft w:val="0"/>
                  <w:marRight w:val="0"/>
                  <w:marTop w:val="0"/>
                  <w:marBottom w:val="0"/>
                  <w:divBdr>
                    <w:top w:val="none" w:sz="0" w:space="0" w:color="auto"/>
                    <w:left w:val="none" w:sz="0" w:space="0" w:color="auto"/>
                    <w:bottom w:val="none" w:sz="0" w:space="0" w:color="auto"/>
                    <w:right w:val="none" w:sz="0" w:space="0" w:color="auto"/>
                  </w:divBdr>
                  <w:divsChild>
                    <w:div w:id="771704199">
                      <w:marLeft w:val="0"/>
                      <w:marRight w:val="0"/>
                      <w:marTop w:val="0"/>
                      <w:marBottom w:val="0"/>
                      <w:divBdr>
                        <w:top w:val="none" w:sz="0" w:space="0" w:color="auto"/>
                        <w:left w:val="none" w:sz="0" w:space="0" w:color="auto"/>
                        <w:bottom w:val="none" w:sz="0" w:space="0" w:color="auto"/>
                        <w:right w:val="none" w:sz="0" w:space="0" w:color="auto"/>
                      </w:divBdr>
                    </w:div>
                  </w:divsChild>
                </w:div>
                <w:div w:id="408508111">
                  <w:marLeft w:val="0"/>
                  <w:marRight w:val="0"/>
                  <w:marTop w:val="0"/>
                  <w:marBottom w:val="0"/>
                  <w:divBdr>
                    <w:top w:val="none" w:sz="0" w:space="0" w:color="auto"/>
                    <w:left w:val="none" w:sz="0" w:space="0" w:color="auto"/>
                    <w:bottom w:val="none" w:sz="0" w:space="0" w:color="auto"/>
                    <w:right w:val="none" w:sz="0" w:space="0" w:color="auto"/>
                  </w:divBdr>
                  <w:divsChild>
                    <w:div w:id="1529176095">
                      <w:marLeft w:val="0"/>
                      <w:marRight w:val="0"/>
                      <w:marTop w:val="0"/>
                      <w:marBottom w:val="0"/>
                      <w:divBdr>
                        <w:top w:val="none" w:sz="0" w:space="0" w:color="auto"/>
                        <w:left w:val="none" w:sz="0" w:space="0" w:color="auto"/>
                        <w:bottom w:val="none" w:sz="0" w:space="0" w:color="auto"/>
                        <w:right w:val="none" w:sz="0" w:space="0" w:color="auto"/>
                      </w:divBdr>
                    </w:div>
                  </w:divsChild>
                </w:div>
                <w:div w:id="1690333103">
                  <w:marLeft w:val="0"/>
                  <w:marRight w:val="0"/>
                  <w:marTop w:val="0"/>
                  <w:marBottom w:val="0"/>
                  <w:divBdr>
                    <w:top w:val="none" w:sz="0" w:space="0" w:color="auto"/>
                    <w:left w:val="none" w:sz="0" w:space="0" w:color="auto"/>
                    <w:bottom w:val="none" w:sz="0" w:space="0" w:color="auto"/>
                    <w:right w:val="none" w:sz="0" w:space="0" w:color="auto"/>
                  </w:divBdr>
                  <w:divsChild>
                    <w:div w:id="1902053172">
                      <w:marLeft w:val="0"/>
                      <w:marRight w:val="0"/>
                      <w:marTop w:val="0"/>
                      <w:marBottom w:val="0"/>
                      <w:divBdr>
                        <w:top w:val="none" w:sz="0" w:space="0" w:color="auto"/>
                        <w:left w:val="none" w:sz="0" w:space="0" w:color="auto"/>
                        <w:bottom w:val="none" w:sz="0" w:space="0" w:color="auto"/>
                        <w:right w:val="none" w:sz="0" w:space="0" w:color="auto"/>
                      </w:divBdr>
                    </w:div>
                  </w:divsChild>
                </w:div>
                <w:div w:id="1840654151">
                  <w:marLeft w:val="0"/>
                  <w:marRight w:val="0"/>
                  <w:marTop w:val="0"/>
                  <w:marBottom w:val="0"/>
                  <w:divBdr>
                    <w:top w:val="none" w:sz="0" w:space="0" w:color="auto"/>
                    <w:left w:val="none" w:sz="0" w:space="0" w:color="auto"/>
                    <w:bottom w:val="none" w:sz="0" w:space="0" w:color="auto"/>
                    <w:right w:val="none" w:sz="0" w:space="0" w:color="auto"/>
                  </w:divBdr>
                  <w:divsChild>
                    <w:div w:id="1176385142">
                      <w:marLeft w:val="0"/>
                      <w:marRight w:val="0"/>
                      <w:marTop w:val="0"/>
                      <w:marBottom w:val="0"/>
                      <w:divBdr>
                        <w:top w:val="none" w:sz="0" w:space="0" w:color="auto"/>
                        <w:left w:val="none" w:sz="0" w:space="0" w:color="auto"/>
                        <w:bottom w:val="none" w:sz="0" w:space="0" w:color="auto"/>
                        <w:right w:val="none" w:sz="0" w:space="0" w:color="auto"/>
                      </w:divBdr>
                    </w:div>
                  </w:divsChild>
                </w:div>
                <w:div w:id="667564955">
                  <w:marLeft w:val="0"/>
                  <w:marRight w:val="0"/>
                  <w:marTop w:val="0"/>
                  <w:marBottom w:val="0"/>
                  <w:divBdr>
                    <w:top w:val="none" w:sz="0" w:space="0" w:color="auto"/>
                    <w:left w:val="none" w:sz="0" w:space="0" w:color="auto"/>
                    <w:bottom w:val="none" w:sz="0" w:space="0" w:color="auto"/>
                    <w:right w:val="none" w:sz="0" w:space="0" w:color="auto"/>
                  </w:divBdr>
                  <w:divsChild>
                    <w:div w:id="1651711236">
                      <w:marLeft w:val="0"/>
                      <w:marRight w:val="0"/>
                      <w:marTop w:val="0"/>
                      <w:marBottom w:val="0"/>
                      <w:divBdr>
                        <w:top w:val="none" w:sz="0" w:space="0" w:color="auto"/>
                        <w:left w:val="none" w:sz="0" w:space="0" w:color="auto"/>
                        <w:bottom w:val="none" w:sz="0" w:space="0" w:color="auto"/>
                        <w:right w:val="none" w:sz="0" w:space="0" w:color="auto"/>
                      </w:divBdr>
                    </w:div>
                  </w:divsChild>
                </w:div>
                <w:div w:id="1901285296">
                  <w:marLeft w:val="0"/>
                  <w:marRight w:val="0"/>
                  <w:marTop w:val="0"/>
                  <w:marBottom w:val="0"/>
                  <w:divBdr>
                    <w:top w:val="none" w:sz="0" w:space="0" w:color="auto"/>
                    <w:left w:val="none" w:sz="0" w:space="0" w:color="auto"/>
                    <w:bottom w:val="none" w:sz="0" w:space="0" w:color="auto"/>
                    <w:right w:val="none" w:sz="0" w:space="0" w:color="auto"/>
                  </w:divBdr>
                  <w:divsChild>
                    <w:div w:id="827333040">
                      <w:marLeft w:val="0"/>
                      <w:marRight w:val="0"/>
                      <w:marTop w:val="0"/>
                      <w:marBottom w:val="0"/>
                      <w:divBdr>
                        <w:top w:val="none" w:sz="0" w:space="0" w:color="auto"/>
                        <w:left w:val="none" w:sz="0" w:space="0" w:color="auto"/>
                        <w:bottom w:val="none" w:sz="0" w:space="0" w:color="auto"/>
                        <w:right w:val="none" w:sz="0" w:space="0" w:color="auto"/>
                      </w:divBdr>
                    </w:div>
                  </w:divsChild>
                </w:div>
                <w:div w:id="841356130">
                  <w:marLeft w:val="0"/>
                  <w:marRight w:val="0"/>
                  <w:marTop w:val="0"/>
                  <w:marBottom w:val="0"/>
                  <w:divBdr>
                    <w:top w:val="none" w:sz="0" w:space="0" w:color="auto"/>
                    <w:left w:val="none" w:sz="0" w:space="0" w:color="auto"/>
                    <w:bottom w:val="none" w:sz="0" w:space="0" w:color="auto"/>
                    <w:right w:val="none" w:sz="0" w:space="0" w:color="auto"/>
                  </w:divBdr>
                  <w:divsChild>
                    <w:div w:id="726343783">
                      <w:marLeft w:val="0"/>
                      <w:marRight w:val="0"/>
                      <w:marTop w:val="0"/>
                      <w:marBottom w:val="0"/>
                      <w:divBdr>
                        <w:top w:val="none" w:sz="0" w:space="0" w:color="auto"/>
                        <w:left w:val="none" w:sz="0" w:space="0" w:color="auto"/>
                        <w:bottom w:val="none" w:sz="0" w:space="0" w:color="auto"/>
                        <w:right w:val="none" w:sz="0" w:space="0" w:color="auto"/>
                      </w:divBdr>
                    </w:div>
                  </w:divsChild>
                </w:div>
                <w:div w:id="284652621">
                  <w:marLeft w:val="0"/>
                  <w:marRight w:val="0"/>
                  <w:marTop w:val="0"/>
                  <w:marBottom w:val="0"/>
                  <w:divBdr>
                    <w:top w:val="none" w:sz="0" w:space="0" w:color="auto"/>
                    <w:left w:val="none" w:sz="0" w:space="0" w:color="auto"/>
                    <w:bottom w:val="none" w:sz="0" w:space="0" w:color="auto"/>
                    <w:right w:val="none" w:sz="0" w:space="0" w:color="auto"/>
                  </w:divBdr>
                  <w:divsChild>
                    <w:div w:id="3649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9347">
          <w:marLeft w:val="0"/>
          <w:marRight w:val="0"/>
          <w:marTop w:val="0"/>
          <w:marBottom w:val="0"/>
          <w:divBdr>
            <w:top w:val="none" w:sz="0" w:space="0" w:color="auto"/>
            <w:left w:val="none" w:sz="0" w:space="0" w:color="auto"/>
            <w:bottom w:val="none" w:sz="0" w:space="0" w:color="auto"/>
            <w:right w:val="none" w:sz="0" w:space="0" w:color="auto"/>
          </w:divBdr>
          <w:divsChild>
            <w:div w:id="401752475">
              <w:marLeft w:val="0"/>
              <w:marRight w:val="0"/>
              <w:marTop w:val="0"/>
              <w:marBottom w:val="0"/>
              <w:divBdr>
                <w:top w:val="none" w:sz="0" w:space="0" w:color="auto"/>
                <w:left w:val="none" w:sz="0" w:space="0" w:color="auto"/>
                <w:bottom w:val="none" w:sz="0" w:space="0" w:color="auto"/>
                <w:right w:val="none" w:sz="0" w:space="0" w:color="auto"/>
              </w:divBdr>
              <w:divsChild>
                <w:div w:id="1007367705">
                  <w:marLeft w:val="0"/>
                  <w:marRight w:val="0"/>
                  <w:marTop w:val="0"/>
                  <w:marBottom w:val="0"/>
                  <w:divBdr>
                    <w:top w:val="none" w:sz="0" w:space="0" w:color="auto"/>
                    <w:left w:val="none" w:sz="0" w:space="0" w:color="auto"/>
                    <w:bottom w:val="none" w:sz="0" w:space="0" w:color="auto"/>
                    <w:right w:val="none" w:sz="0" w:space="0" w:color="auto"/>
                  </w:divBdr>
                  <w:divsChild>
                    <w:div w:id="1734425499">
                      <w:marLeft w:val="0"/>
                      <w:marRight w:val="0"/>
                      <w:marTop w:val="0"/>
                      <w:marBottom w:val="0"/>
                      <w:divBdr>
                        <w:top w:val="none" w:sz="0" w:space="0" w:color="auto"/>
                        <w:left w:val="none" w:sz="0" w:space="0" w:color="auto"/>
                        <w:bottom w:val="none" w:sz="0" w:space="0" w:color="auto"/>
                        <w:right w:val="none" w:sz="0" w:space="0" w:color="auto"/>
                      </w:divBdr>
                    </w:div>
                  </w:divsChild>
                </w:div>
                <w:div w:id="2135053294">
                  <w:marLeft w:val="0"/>
                  <w:marRight w:val="0"/>
                  <w:marTop w:val="0"/>
                  <w:marBottom w:val="0"/>
                  <w:divBdr>
                    <w:top w:val="none" w:sz="0" w:space="0" w:color="auto"/>
                    <w:left w:val="none" w:sz="0" w:space="0" w:color="auto"/>
                    <w:bottom w:val="none" w:sz="0" w:space="0" w:color="auto"/>
                    <w:right w:val="none" w:sz="0" w:space="0" w:color="auto"/>
                  </w:divBdr>
                  <w:divsChild>
                    <w:div w:id="1716196246">
                      <w:marLeft w:val="0"/>
                      <w:marRight w:val="0"/>
                      <w:marTop w:val="0"/>
                      <w:marBottom w:val="0"/>
                      <w:divBdr>
                        <w:top w:val="none" w:sz="0" w:space="0" w:color="auto"/>
                        <w:left w:val="none" w:sz="0" w:space="0" w:color="auto"/>
                        <w:bottom w:val="none" w:sz="0" w:space="0" w:color="auto"/>
                        <w:right w:val="none" w:sz="0" w:space="0" w:color="auto"/>
                      </w:divBdr>
                    </w:div>
                  </w:divsChild>
                </w:div>
                <w:div w:id="327290882">
                  <w:marLeft w:val="0"/>
                  <w:marRight w:val="0"/>
                  <w:marTop w:val="0"/>
                  <w:marBottom w:val="0"/>
                  <w:divBdr>
                    <w:top w:val="none" w:sz="0" w:space="0" w:color="auto"/>
                    <w:left w:val="none" w:sz="0" w:space="0" w:color="auto"/>
                    <w:bottom w:val="none" w:sz="0" w:space="0" w:color="auto"/>
                    <w:right w:val="none" w:sz="0" w:space="0" w:color="auto"/>
                  </w:divBdr>
                  <w:divsChild>
                    <w:div w:id="2094617523">
                      <w:marLeft w:val="0"/>
                      <w:marRight w:val="0"/>
                      <w:marTop w:val="0"/>
                      <w:marBottom w:val="0"/>
                      <w:divBdr>
                        <w:top w:val="none" w:sz="0" w:space="0" w:color="auto"/>
                        <w:left w:val="none" w:sz="0" w:space="0" w:color="auto"/>
                        <w:bottom w:val="none" w:sz="0" w:space="0" w:color="auto"/>
                        <w:right w:val="none" w:sz="0" w:space="0" w:color="auto"/>
                      </w:divBdr>
                    </w:div>
                  </w:divsChild>
                </w:div>
                <w:div w:id="1645894688">
                  <w:marLeft w:val="0"/>
                  <w:marRight w:val="0"/>
                  <w:marTop w:val="0"/>
                  <w:marBottom w:val="0"/>
                  <w:divBdr>
                    <w:top w:val="none" w:sz="0" w:space="0" w:color="auto"/>
                    <w:left w:val="none" w:sz="0" w:space="0" w:color="auto"/>
                    <w:bottom w:val="none" w:sz="0" w:space="0" w:color="auto"/>
                    <w:right w:val="none" w:sz="0" w:space="0" w:color="auto"/>
                  </w:divBdr>
                  <w:divsChild>
                    <w:div w:id="691418181">
                      <w:marLeft w:val="0"/>
                      <w:marRight w:val="0"/>
                      <w:marTop w:val="0"/>
                      <w:marBottom w:val="0"/>
                      <w:divBdr>
                        <w:top w:val="none" w:sz="0" w:space="0" w:color="auto"/>
                        <w:left w:val="none" w:sz="0" w:space="0" w:color="auto"/>
                        <w:bottom w:val="none" w:sz="0" w:space="0" w:color="auto"/>
                        <w:right w:val="none" w:sz="0" w:space="0" w:color="auto"/>
                      </w:divBdr>
                    </w:div>
                  </w:divsChild>
                </w:div>
                <w:div w:id="1647663938">
                  <w:marLeft w:val="0"/>
                  <w:marRight w:val="0"/>
                  <w:marTop w:val="0"/>
                  <w:marBottom w:val="0"/>
                  <w:divBdr>
                    <w:top w:val="none" w:sz="0" w:space="0" w:color="auto"/>
                    <w:left w:val="none" w:sz="0" w:space="0" w:color="auto"/>
                    <w:bottom w:val="none" w:sz="0" w:space="0" w:color="auto"/>
                    <w:right w:val="none" w:sz="0" w:space="0" w:color="auto"/>
                  </w:divBdr>
                  <w:divsChild>
                    <w:div w:id="12625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800592">
      <w:bodyDiv w:val="1"/>
      <w:marLeft w:val="0"/>
      <w:marRight w:val="0"/>
      <w:marTop w:val="0"/>
      <w:marBottom w:val="0"/>
      <w:divBdr>
        <w:top w:val="none" w:sz="0" w:space="0" w:color="auto"/>
        <w:left w:val="none" w:sz="0" w:space="0" w:color="auto"/>
        <w:bottom w:val="none" w:sz="0" w:space="0" w:color="auto"/>
        <w:right w:val="none" w:sz="0" w:space="0" w:color="auto"/>
      </w:divBdr>
    </w:div>
    <w:div w:id="1342469540">
      <w:bodyDiv w:val="1"/>
      <w:marLeft w:val="0"/>
      <w:marRight w:val="0"/>
      <w:marTop w:val="0"/>
      <w:marBottom w:val="0"/>
      <w:divBdr>
        <w:top w:val="none" w:sz="0" w:space="0" w:color="auto"/>
        <w:left w:val="none" w:sz="0" w:space="0" w:color="auto"/>
        <w:bottom w:val="none" w:sz="0" w:space="0" w:color="auto"/>
        <w:right w:val="none" w:sz="0" w:space="0" w:color="auto"/>
      </w:divBdr>
    </w:div>
    <w:div w:id="1356810934">
      <w:bodyDiv w:val="1"/>
      <w:marLeft w:val="0"/>
      <w:marRight w:val="0"/>
      <w:marTop w:val="0"/>
      <w:marBottom w:val="0"/>
      <w:divBdr>
        <w:top w:val="none" w:sz="0" w:space="0" w:color="auto"/>
        <w:left w:val="none" w:sz="0" w:space="0" w:color="auto"/>
        <w:bottom w:val="none" w:sz="0" w:space="0" w:color="auto"/>
        <w:right w:val="none" w:sz="0" w:space="0" w:color="auto"/>
      </w:divBdr>
    </w:div>
    <w:div w:id="1370106367">
      <w:bodyDiv w:val="1"/>
      <w:marLeft w:val="0"/>
      <w:marRight w:val="0"/>
      <w:marTop w:val="0"/>
      <w:marBottom w:val="0"/>
      <w:divBdr>
        <w:top w:val="none" w:sz="0" w:space="0" w:color="auto"/>
        <w:left w:val="none" w:sz="0" w:space="0" w:color="auto"/>
        <w:bottom w:val="none" w:sz="0" w:space="0" w:color="auto"/>
        <w:right w:val="none" w:sz="0" w:space="0" w:color="auto"/>
      </w:divBdr>
    </w:div>
    <w:div w:id="1421684772">
      <w:bodyDiv w:val="1"/>
      <w:marLeft w:val="0"/>
      <w:marRight w:val="0"/>
      <w:marTop w:val="0"/>
      <w:marBottom w:val="0"/>
      <w:divBdr>
        <w:top w:val="none" w:sz="0" w:space="0" w:color="auto"/>
        <w:left w:val="none" w:sz="0" w:space="0" w:color="auto"/>
        <w:bottom w:val="none" w:sz="0" w:space="0" w:color="auto"/>
        <w:right w:val="none" w:sz="0" w:space="0" w:color="auto"/>
      </w:divBdr>
    </w:div>
    <w:div w:id="1459255686">
      <w:bodyDiv w:val="1"/>
      <w:marLeft w:val="0"/>
      <w:marRight w:val="0"/>
      <w:marTop w:val="0"/>
      <w:marBottom w:val="0"/>
      <w:divBdr>
        <w:top w:val="none" w:sz="0" w:space="0" w:color="auto"/>
        <w:left w:val="none" w:sz="0" w:space="0" w:color="auto"/>
        <w:bottom w:val="none" w:sz="0" w:space="0" w:color="auto"/>
        <w:right w:val="none" w:sz="0" w:space="0" w:color="auto"/>
      </w:divBdr>
    </w:div>
    <w:div w:id="1510026737">
      <w:bodyDiv w:val="1"/>
      <w:marLeft w:val="0"/>
      <w:marRight w:val="0"/>
      <w:marTop w:val="0"/>
      <w:marBottom w:val="0"/>
      <w:divBdr>
        <w:top w:val="none" w:sz="0" w:space="0" w:color="auto"/>
        <w:left w:val="none" w:sz="0" w:space="0" w:color="auto"/>
        <w:bottom w:val="none" w:sz="0" w:space="0" w:color="auto"/>
        <w:right w:val="none" w:sz="0" w:space="0" w:color="auto"/>
      </w:divBdr>
    </w:div>
    <w:div w:id="1584024857">
      <w:bodyDiv w:val="1"/>
      <w:marLeft w:val="0"/>
      <w:marRight w:val="0"/>
      <w:marTop w:val="0"/>
      <w:marBottom w:val="0"/>
      <w:divBdr>
        <w:top w:val="none" w:sz="0" w:space="0" w:color="auto"/>
        <w:left w:val="none" w:sz="0" w:space="0" w:color="auto"/>
        <w:bottom w:val="none" w:sz="0" w:space="0" w:color="auto"/>
        <w:right w:val="none" w:sz="0" w:space="0" w:color="auto"/>
      </w:divBdr>
    </w:div>
    <w:div w:id="1702969570">
      <w:bodyDiv w:val="1"/>
      <w:marLeft w:val="0"/>
      <w:marRight w:val="0"/>
      <w:marTop w:val="0"/>
      <w:marBottom w:val="0"/>
      <w:divBdr>
        <w:top w:val="none" w:sz="0" w:space="0" w:color="auto"/>
        <w:left w:val="none" w:sz="0" w:space="0" w:color="auto"/>
        <w:bottom w:val="none" w:sz="0" w:space="0" w:color="auto"/>
        <w:right w:val="none" w:sz="0" w:space="0" w:color="auto"/>
      </w:divBdr>
    </w:div>
    <w:div w:id="1805853425">
      <w:bodyDiv w:val="1"/>
      <w:marLeft w:val="0"/>
      <w:marRight w:val="0"/>
      <w:marTop w:val="0"/>
      <w:marBottom w:val="0"/>
      <w:divBdr>
        <w:top w:val="none" w:sz="0" w:space="0" w:color="auto"/>
        <w:left w:val="none" w:sz="0" w:space="0" w:color="auto"/>
        <w:bottom w:val="none" w:sz="0" w:space="0" w:color="auto"/>
        <w:right w:val="none" w:sz="0" w:space="0" w:color="auto"/>
      </w:divBdr>
    </w:div>
    <w:div w:id="1964461759">
      <w:bodyDiv w:val="1"/>
      <w:marLeft w:val="0"/>
      <w:marRight w:val="0"/>
      <w:marTop w:val="0"/>
      <w:marBottom w:val="0"/>
      <w:divBdr>
        <w:top w:val="none" w:sz="0" w:space="0" w:color="auto"/>
        <w:left w:val="none" w:sz="0" w:space="0" w:color="auto"/>
        <w:bottom w:val="none" w:sz="0" w:space="0" w:color="auto"/>
        <w:right w:val="none" w:sz="0" w:space="0" w:color="auto"/>
      </w:divBdr>
    </w:div>
    <w:div w:id="2015301042">
      <w:bodyDiv w:val="1"/>
      <w:marLeft w:val="0"/>
      <w:marRight w:val="0"/>
      <w:marTop w:val="0"/>
      <w:marBottom w:val="0"/>
      <w:divBdr>
        <w:top w:val="none" w:sz="0" w:space="0" w:color="auto"/>
        <w:left w:val="none" w:sz="0" w:space="0" w:color="auto"/>
        <w:bottom w:val="none" w:sz="0" w:space="0" w:color="auto"/>
        <w:right w:val="none" w:sz="0" w:space="0" w:color="auto"/>
      </w:divBdr>
    </w:div>
    <w:div w:id="2039812277">
      <w:bodyDiv w:val="1"/>
      <w:marLeft w:val="0"/>
      <w:marRight w:val="0"/>
      <w:marTop w:val="0"/>
      <w:marBottom w:val="0"/>
      <w:divBdr>
        <w:top w:val="none" w:sz="0" w:space="0" w:color="auto"/>
        <w:left w:val="none" w:sz="0" w:space="0" w:color="auto"/>
        <w:bottom w:val="none" w:sz="0" w:space="0" w:color="auto"/>
        <w:right w:val="none" w:sz="0" w:space="0" w:color="auto"/>
      </w:divBdr>
      <w:divsChild>
        <w:div w:id="1616323334">
          <w:marLeft w:val="0"/>
          <w:marRight w:val="0"/>
          <w:marTop w:val="0"/>
          <w:marBottom w:val="0"/>
          <w:divBdr>
            <w:top w:val="none" w:sz="0" w:space="0" w:color="auto"/>
            <w:left w:val="none" w:sz="0" w:space="0" w:color="auto"/>
            <w:bottom w:val="none" w:sz="0" w:space="0" w:color="auto"/>
            <w:right w:val="none" w:sz="0" w:space="0" w:color="auto"/>
          </w:divBdr>
          <w:divsChild>
            <w:div w:id="1968661210">
              <w:marLeft w:val="0"/>
              <w:marRight w:val="0"/>
              <w:marTop w:val="0"/>
              <w:marBottom w:val="0"/>
              <w:divBdr>
                <w:top w:val="none" w:sz="0" w:space="0" w:color="auto"/>
                <w:left w:val="none" w:sz="0" w:space="0" w:color="auto"/>
                <w:bottom w:val="none" w:sz="0" w:space="0" w:color="auto"/>
                <w:right w:val="none" w:sz="0" w:space="0" w:color="auto"/>
              </w:divBdr>
            </w:div>
          </w:divsChild>
        </w:div>
        <w:div w:id="355540302">
          <w:marLeft w:val="0"/>
          <w:marRight w:val="0"/>
          <w:marTop w:val="0"/>
          <w:marBottom w:val="0"/>
          <w:divBdr>
            <w:top w:val="none" w:sz="0" w:space="0" w:color="auto"/>
            <w:left w:val="none" w:sz="0" w:space="0" w:color="auto"/>
            <w:bottom w:val="none" w:sz="0" w:space="0" w:color="auto"/>
            <w:right w:val="none" w:sz="0" w:space="0" w:color="auto"/>
          </w:divBdr>
          <w:divsChild>
            <w:div w:id="507527013">
              <w:marLeft w:val="0"/>
              <w:marRight w:val="0"/>
              <w:marTop w:val="0"/>
              <w:marBottom w:val="0"/>
              <w:divBdr>
                <w:top w:val="none" w:sz="0" w:space="0" w:color="auto"/>
                <w:left w:val="none" w:sz="0" w:space="0" w:color="auto"/>
                <w:bottom w:val="none" w:sz="0" w:space="0" w:color="auto"/>
                <w:right w:val="none" w:sz="0" w:space="0" w:color="auto"/>
              </w:divBdr>
            </w:div>
          </w:divsChild>
        </w:div>
        <w:div w:id="737704116">
          <w:marLeft w:val="0"/>
          <w:marRight w:val="0"/>
          <w:marTop w:val="0"/>
          <w:marBottom w:val="0"/>
          <w:divBdr>
            <w:top w:val="none" w:sz="0" w:space="0" w:color="auto"/>
            <w:left w:val="none" w:sz="0" w:space="0" w:color="auto"/>
            <w:bottom w:val="none" w:sz="0" w:space="0" w:color="auto"/>
            <w:right w:val="none" w:sz="0" w:space="0" w:color="auto"/>
          </w:divBdr>
          <w:divsChild>
            <w:div w:id="1387222156">
              <w:marLeft w:val="0"/>
              <w:marRight w:val="0"/>
              <w:marTop w:val="0"/>
              <w:marBottom w:val="0"/>
              <w:divBdr>
                <w:top w:val="none" w:sz="0" w:space="0" w:color="auto"/>
                <w:left w:val="none" w:sz="0" w:space="0" w:color="auto"/>
                <w:bottom w:val="none" w:sz="0" w:space="0" w:color="auto"/>
                <w:right w:val="none" w:sz="0" w:space="0" w:color="auto"/>
              </w:divBdr>
            </w:div>
          </w:divsChild>
        </w:div>
        <w:div w:id="2115593544">
          <w:marLeft w:val="0"/>
          <w:marRight w:val="0"/>
          <w:marTop w:val="0"/>
          <w:marBottom w:val="0"/>
          <w:divBdr>
            <w:top w:val="none" w:sz="0" w:space="0" w:color="auto"/>
            <w:left w:val="none" w:sz="0" w:space="0" w:color="auto"/>
            <w:bottom w:val="none" w:sz="0" w:space="0" w:color="auto"/>
            <w:right w:val="none" w:sz="0" w:space="0" w:color="auto"/>
          </w:divBdr>
          <w:divsChild>
            <w:div w:id="1332178298">
              <w:marLeft w:val="0"/>
              <w:marRight w:val="0"/>
              <w:marTop w:val="0"/>
              <w:marBottom w:val="0"/>
              <w:divBdr>
                <w:top w:val="none" w:sz="0" w:space="0" w:color="auto"/>
                <w:left w:val="none" w:sz="0" w:space="0" w:color="auto"/>
                <w:bottom w:val="none" w:sz="0" w:space="0" w:color="auto"/>
                <w:right w:val="none" w:sz="0" w:space="0" w:color="auto"/>
              </w:divBdr>
            </w:div>
          </w:divsChild>
        </w:div>
        <w:div w:id="1238370328">
          <w:marLeft w:val="0"/>
          <w:marRight w:val="0"/>
          <w:marTop w:val="0"/>
          <w:marBottom w:val="0"/>
          <w:divBdr>
            <w:top w:val="none" w:sz="0" w:space="0" w:color="auto"/>
            <w:left w:val="none" w:sz="0" w:space="0" w:color="auto"/>
            <w:bottom w:val="none" w:sz="0" w:space="0" w:color="auto"/>
            <w:right w:val="none" w:sz="0" w:space="0" w:color="auto"/>
          </w:divBdr>
          <w:divsChild>
            <w:div w:id="364137262">
              <w:marLeft w:val="0"/>
              <w:marRight w:val="0"/>
              <w:marTop w:val="0"/>
              <w:marBottom w:val="0"/>
              <w:divBdr>
                <w:top w:val="none" w:sz="0" w:space="0" w:color="auto"/>
                <w:left w:val="none" w:sz="0" w:space="0" w:color="auto"/>
                <w:bottom w:val="none" w:sz="0" w:space="0" w:color="auto"/>
                <w:right w:val="none" w:sz="0" w:space="0" w:color="auto"/>
              </w:divBdr>
            </w:div>
          </w:divsChild>
        </w:div>
        <w:div w:id="2041739290">
          <w:marLeft w:val="0"/>
          <w:marRight w:val="0"/>
          <w:marTop w:val="0"/>
          <w:marBottom w:val="0"/>
          <w:divBdr>
            <w:top w:val="none" w:sz="0" w:space="0" w:color="auto"/>
            <w:left w:val="none" w:sz="0" w:space="0" w:color="auto"/>
            <w:bottom w:val="none" w:sz="0" w:space="0" w:color="auto"/>
            <w:right w:val="none" w:sz="0" w:space="0" w:color="auto"/>
          </w:divBdr>
          <w:divsChild>
            <w:div w:id="337853023">
              <w:marLeft w:val="0"/>
              <w:marRight w:val="0"/>
              <w:marTop w:val="0"/>
              <w:marBottom w:val="0"/>
              <w:divBdr>
                <w:top w:val="none" w:sz="0" w:space="0" w:color="auto"/>
                <w:left w:val="none" w:sz="0" w:space="0" w:color="auto"/>
                <w:bottom w:val="none" w:sz="0" w:space="0" w:color="auto"/>
                <w:right w:val="none" w:sz="0" w:space="0" w:color="auto"/>
              </w:divBdr>
            </w:div>
          </w:divsChild>
        </w:div>
        <w:div w:id="465007323">
          <w:marLeft w:val="0"/>
          <w:marRight w:val="0"/>
          <w:marTop w:val="0"/>
          <w:marBottom w:val="0"/>
          <w:divBdr>
            <w:top w:val="none" w:sz="0" w:space="0" w:color="auto"/>
            <w:left w:val="none" w:sz="0" w:space="0" w:color="auto"/>
            <w:bottom w:val="none" w:sz="0" w:space="0" w:color="auto"/>
            <w:right w:val="none" w:sz="0" w:space="0" w:color="auto"/>
          </w:divBdr>
          <w:divsChild>
            <w:div w:id="945307576">
              <w:marLeft w:val="0"/>
              <w:marRight w:val="0"/>
              <w:marTop w:val="0"/>
              <w:marBottom w:val="0"/>
              <w:divBdr>
                <w:top w:val="none" w:sz="0" w:space="0" w:color="auto"/>
                <w:left w:val="none" w:sz="0" w:space="0" w:color="auto"/>
                <w:bottom w:val="none" w:sz="0" w:space="0" w:color="auto"/>
                <w:right w:val="none" w:sz="0" w:space="0" w:color="auto"/>
              </w:divBdr>
            </w:div>
          </w:divsChild>
        </w:div>
        <w:div w:id="1387945755">
          <w:marLeft w:val="0"/>
          <w:marRight w:val="0"/>
          <w:marTop w:val="0"/>
          <w:marBottom w:val="0"/>
          <w:divBdr>
            <w:top w:val="none" w:sz="0" w:space="0" w:color="auto"/>
            <w:left w:val="none" w:sz="0" w:space="0" w:color="auto"/>
            <w:bottom w:val="none" w:sz="0" w:space="0" w:color="auto"/>
            <w:right w:val="none" w:sz="0" w:space="0" w:color="auto"/>
          </w:divBdr>
          <w:divsChild>
            <w:div w:id="1746797524">
              <w:marLeft w:val="0"/>
              <w:marRight w:val="0"/>
              <w:marTop w:val="0"/>
              <w:marBottom w:val="0"/>
              <w:divBdr>
                <w:top w:val="none" w:sz="0" w:space="0" w:color="auto"/>
                <w:left w:val="none" w:sz="0" w:space="0" w:color="auto"/>
                <w:bottom w:val="none" w:sz="0" w:space="0" w:color="auto"/>
                <w:right w:val="none" w:sz="0" w:space="0" w:color="auto"/>
              </w:divBdr>
            </w:div>
          </w:divsChild>
        </w:div>
        <w:div w:id="511996342">
          <w:marLeft w:val="0"/>
          <w:marRight w:val="0"/>
          <w:marTop w:val="0"/>
          <w:marBottom w:val="0"/>
          <w:divBdr>
            <w:top w:val="none" w:sz="0" w:space="0" w:color="auto"/>
            <w:left w:val="none" w:sz="0" w:space="0" w:color="auto"/>
            <w:bottom w:val="none" w:sz="0" w:space="0" w:color="auto"/>
            <w:right w:val="none" w:sz="0" w:space="0" w:color="auto"/>
          </w:divBdr>
          <w:divsChild>
            <w:div w:id="689842940">
              <w:marLeft w:val="0"/>
              <w:marRight w:val="0"/>
              <w:marTop w:val="0"/>
              <w:marBottom w:val="0"/>
              <w:divBdr>
                <w:top w:val="none" w:sz="0" w:space="0" w:color="auto"/>
                <w:left w:val="none" w:sz="0" w:space="0" w:color="auto"/>
                <w:bottom w:val="none" w:sz="0" w:space="0" w:color="auto"/>
                <w:right w:val="none" w:sz="0" w:space="0" w:color="auto"/>
              </w:divBdr>
            </w:div>
          </w:divsChild>
        </w:div>
        <w:div w:id="2141459660">
          <w:marLeft w:val="0"/>
          <w:marRight w:val="0"/>
          <w:marTop w:val="0"/>
          <w:marBottom w:val="0"/>
          <w:divBdr>
            <w:top w:val="none" w:sz="0" w:space="0" w:color="auto"/>
            <w:left w:val="none" w:sz="0" w:space="0" w:color="auto"/>
            <w:bottom w:val="none" w:sz="0" w:space="0" w:color="auto"/>
            <w:right w:val="none" w:sz="0" w:space="0" w:color="auto"/>
          </w:divBdr>
          <w:divsChild>
            <w:div w:id="255483130">
              <w:marLeft w:val="0"/>
              <w:marRight w:val="0"/>
              <w:marTop w:val="0"/>
              <w:marBottom w:val="0"/>
              <w:divBdr>
                <w:top w:val="none" w:sz="0" w:space="0" w:color="auto"/>
                <w:left w:val="none" w:sz="0" w:space="0" w:color="auto"/>
                <w:bottom w:val="none" w:sz="0" w:space="0" w:color="auto"/>
                <w:right w:val="none" w:sz="0" w:space="0" w:color="auto"/>
              </w:divBdr>
            </w:div>
          </w:divsChild>
        </w:div>
        <w:div w:id="83769788">
          <w:marLeft w:val="0"/>
          <w:marRight w:val="0"/>
          <w:marTop w:val="0"/>
          <w:marBottom w:val="0"/>
          <w:divBdr>
            <w:top w:val="none" w:sz="0" w:space="0" w:color="auto"/>
            <w:left w:val="none" w:sz="0" w:space="0" w:color="auto"/>
            <w:bottom w:val="none" w:sz="0" w:space="0" w:color="auto"/>
            <w:right w:val="none" w:sz="0" w:space="0" w:color="auto"/>
          </w:divBdr>
          <w:divsChild>
            <w:div w:id="1473788765">
              <w:marLeft w:val="0"/>
              <w:marRight w:val="0"/>
              <w:marTop w:val="0"/>
              <w:marBottom w:val="0"/>
              <w:divBdr>
                <w:top w:val="none" w:sz="0" w:space="0" w:color="auto"/>
                <w:left w:val="none" w:sz="0" w:space="0" w:color="auto"/>
                <w:bottom w:val="none" w:sz="0" w:space="0" w:color="auto"/>
                <w:right w:val="none" w:sz="0" w:space="0" w:color="auto"/>
              </w:divBdr>
            </w:div>
          </w:divsChild>
        </w:div>
        <w:div w:id="1092895226">
          <w:marLeft w:val="0"/>
          <w:marRight w:val="0"/>
          <w:marTop w:val="0"/>
          <w:marBottom w:val="0"/>
          <w:divBdr>
            <w:top w:val="none" w:sz="0" w:space="0" w:color="auto"/>
            <w:left w:val="none" w:sz="0" w:space="0" w:color="auto"/>
            <w:bottom w:val="none" w:sz="0" w:space="0" w:color="auto"/>
            <w:right w:val="none" w:sz="0" w:space="0" w:color="auto"/>
          </w:divBdr>
          <w:divsChild>
            <w:div w:id="2074547797">
              <w:marLeft w:val="0"/>
              <w:marRight w:val="0"/>
              <w:marTop w:val="0"/>
              <w:marBottom w:val="0"/>
              <w:divBdr>
                <w:top w:val="none" w:sz="0" w:space="0" w:color="auto"/>
                <w:left w:val="none" w:sz="0" w:space="0" w:color="auto"/>
                <w:bottom w:val="none" w:sz="0" w:space="0" w:color="auto"/>
                <w:right w:val="none" w:sz="0" w:space="0" w:color="auto"/>
              </w:divBdr>
            </w:div>
          </w:divsChild>
        </w:div>
        <w:div w:id="281154816">
          <w:marLeft w:val="0"/>
          <w:marRight w:val="0"/>
          <w:marTop w:val="0"/>
          <w:marBottom w:val="0"/>
          <w:divBdr>
            <w:top w:val="none" w:sz="0" w:space="0" w:color="auto"/>
            <w:left w:val="none" w:sz="0" w:space="0" w:color="auto"/>
            <w:bottom w:val="none" w:sz="0" w:space="0" w:color="auto"/>
            <w:right w:val="none" w:sz="0" w:space="0" w:color="auto"/>
          </w:divBdr>
          <w:divsChild>
            <w:div w:id="916403728">
              <w:marLeft w:val="0"/>
              <w:marRight w:val="0"/>
              <w:marTop w:val="0"/>
              <w:marBottom w:val="0"/>
              <w:divBdr>
                <w:top w:val="none" w:sz="0" w:space="0" w:color="auto"/>
                <w:left w:val="none" w:sz="0" w:space="0" w:color="auto"/>
                <w:bottom w:val="none" w:sz="0" w:space="0" w:color="auto"/>
                <w:right w:val="none" w:sz="0" w:space="0" w:color="auto"/>
              </w:divBdr>
            </w:div>
          </w:divsChild>
        </w:div>
        <w:div w:id="1985549744">
          <w:marLeft w:val="0"/>
          <w:marRight w:val="0"/>
          <w:marTop w:val="0"/>
          <w:marBottom w:val="0"/>
          <w:divBdr>
            <w:top w:val="none" w:sz="0" w:space="0" w:color="auto"/>
            <w:left w:val="none" w:sz="0" w:space="0" w:color="auto"/>
            <w:bottom w:val="none" w:sz="0" w:space="0" w:color="auto"/>
            <w:right w:val="none" w:sz="0" w:space="0" w:color="auto"/>
          </w:divBdr>
          <w:divsChild>
            <w:div w:id="1088497289">
              <w:marLeft w:val="0"/>
              <w:marRight w:val="0"/>
              <w:marTop w:val="0"/>
              <w:marBottom w:val="0"/>
              <w:divBdr>
                <w:top w:val="none" w:sz="0" w:space="0" w:color="auto"/>
                <w:left w:val="none" w:sz="0" w:space="0" w:color="auto"/>
                <w:bottom w:val="none" w:sz="0" w:space="0" w:color="auto"/>
                <w:right w:val="none" w:sz="0" w:space="0" w:color="auto"/>
              </w:divBdr>
            </w:div>
          </w:divsChild>
        </w:div>
        <w:div w:id="2120758110">
          <w:marLeft w:val="0"/>
          <w:marRight w:val="0"/>
          <w:marTop w:val="0"/>
          <w:marBottom w:val="0"/>
          <w:divBdr>
            <w:top w:val="none" w:sz="0" w:space="0" w:color="auto"/>
            <w:left w:val="none" w:sz="0" w:space="0" w:color="auto"/>
            <w:bottom w:val="none" w:sz="0" w:space="0" w:color="auto"/>
            <w:right w:val="none" w:sz="0" w:space="0" w:color="auto"/>
          </w:divBdr>
          <w:divsChild>
            <w:div w:id="254871162">
              <w:marLeft w:val="0"/>
              <w:marRight w:val="0"/>
              <w:marTop w:val="0"/>
              <w:marBottom w:val="0"/>
              <w:divBdr>
                <w:top w:val="none" w:sz="0" w:space="0" w:color="auto"/>
                <w:left w:val="none" w:sz="0" w:space="0" w:color="auto"/>
                <w:bottom w:val="none" w:sz="0" w:space="0" w:color="auto"/>
                <w:right w:val="none" w:sz="0" w:space="0" w:color="auto"/>
              </w:divBdr>
            </w:div>
          </w:divsChild>
        </w:div>
        <w:div w:id="1344012324">
          <w:marLeft w:val="0"/>
          <w:marRight w:val="0"/>
          <w:marTop w:val="0"/>
          <w:marBottom w:val="0"/>
          <w:divBdr>
            <w:top w:val="none" w:sz="0" w:space="0" w:color="auto"/>
            <w:left w:val="none" w:sz="0" w:space="0" w:color="auto"/>
            <w:bottom w:val="none" w:sz="0" w:space="0" w:color="auto"/>
            <w:right w:val="none" w:sz="0" w:space="0" w:color="auto"/>
          </w:divBdr>
          <w:divsChild>
            <w:div w:id="1165895268">
              <w:marLeft w:val="0"/>
              <w:marRight w:val="0"/>
              <w:marTop w:val="0"/>
              <w:marBottom w:val="0"/>
              <w:divBdr>
                <w:top w:val="none" w:sz="0" w:space="0" w:color="auto"/>
                <w:left w:val="none" w:sz="0" w:space="0" w:color="auto"/>
                <w:bottom w:val="none" w:sz="0" w:space="0" w:color="auto"/>
                <w:right w:val="none" w:sz="0" w:space="0" w:color="auto"/>
              </w:divBdr>
            </w:div>
          </w:divsChild>
        </w:div>
        <w:div w:id="843933366">
          <w:marLeft w:val="0"/>
          <w:marRight w:val="0"/>
          <w:marTop w:val="0"/>
          <w:marBottom w:val="0"/>
          <w:divBdr>
            <w:top w:val="none" w:sz="0" w:space="0" w:color="auto"/>
            <w:left w:val="none" w:sz="0" w:space="0" w:color="auto"/>
            <w:bottom w:val="none" w:sz="0" w:space="0" w:color="auto"/>
            <w:right w:val="none" w:sz="0" w:space="0" w:color="auto"/>
          </w:divBdr>
          <w:divsChild>
            <w:div w:id="1722553447">
              <w:marLeft w:val="0"/>
              <w:marRight w:val="0"/>
              <w:marTop w:val="0"/>
              <w:marBottom w:val="0"/>
              <w:divBdr>
                <w:top w:val="none" w:sz="0" w:space="0" w:color="auto"/>
                <w:left w:val="none" w:sz="0" w:space="0" w:color="auto"/>
                <w:bottom w:val="none" w:sz="0" w:space="0" w:color="auto"/>
                <w:right w:val="none" w:sz="0" w:space="0" w:color="auto"/>
              </w:divBdr>
            </w:div>
          </w:divsChild>
        </w:div>
        <w:div w:id="1843280073">
          <w:marLeft w:val="0"/>
          <w:marRight w:val="0"/>
          <w:marTop w:val="0"/>
          <w:marBottom w:val="0"/>
          <w:divBdr>
            <w:top w:val="none" w:sz="0" w:space="0" w:color="auto"/>
            <w:left w:val="none" w:sz="0" w:space="0" w:color="auto"/>
            <w:bottom w:val="none" w:sz="0" w:space="0" w:color="auto"/>
            <w:right w:val="none" w:sz="0" w:space="0" w:color="auto"/>
          </w:divBdr>
          <w:divsChild>
            <w:div w:id="6760517">
              <w:marLeft w:val="0"/>
              <w:marRight w:val="0"/>
              <w:marTop w:val="0"/>
              <w:marBottom w:val="0"/>
              <w:divBdr>
                <w:top w:val="none" w:sz="0" w:space="0" w:color="auto"/>
                <w:left w:val="none" w:sz="0" w:space="0" w:color="auto"/>
                <w:bottom w:val="none" w:sz="0" w:space="0" w:color="auto"/>
                <w:right w:val="none" w:sz="0" w:space="0" w:color="auto"/>
              </w:divBdr>
            </w:div>
          </w:divsChild>
        </w:div>
        <w:div w:id="260533605">
          <w:marLeft w:val="0"/>
          <w:marRight w:val="0"/>
          <w:marTop w:val="0"/>
          <w:marBottom w:val="0"/>
          <w:divBdr>
            <w:top w:val="none" w:sz="0" w:space="0" w:color="auto"/>
            <w:left w:val="none" w:sz="0" w:space="0" w:color="auto"/>
            <w:bottom w:val="none" w:sz="0" w:space="0" w:color="auto"/>
            <w:right w:val="none" w:sz="0" w:space="0" w:color="auto"/>
          </w:divBdr>
          <w:divsChild>
            <w:div w:id="146896871">
              <w:marLeft w:val="0"/>
              <w:marRight w:val="0"/>
              <w:marTop w:val="0"/>
              <w:marBottom w:val="0"/>
              <w:divBdr>
                <w:top w:val="none" w:sz="0" w:space="0" w:color="auto"/>
                <w:left w:val="none" w:sz="0" w:space="0" w:color="auto"/>
                <w:bottom w:val="none" w:sz="0" w:space="0" w:color="auto"/>
                <w:right w:val="none" w:sz="0" w:space="0" w:color="auto"/>
              </w:divBdr>
            </w:div>
          </w:divsChild>
        </w:div>
        <w:div w:id="1345126969">
          <w:marLeft w:val="0"/>
          <w:marRight w:val="0"/>
          <w:marTop w:val="0"/>
          <w:marBottom w:val="0"/>
          <w:divBdr>
            <w:top w:val="none" w:sz="0" w:space="0" w:color="auto"/>
            <w:left w:val="none" w:sz="0" w:space="0" w:color="auto"/>
            <w:bottom w:val="none" w:sz="0" w:space="0" w:color="auto"/>
            <w:right w:val="none" w:sz="0" w:space="0" w:color="auto"/>
          </w:divBdr>
          <w:divsChild>
            <w:div w:id="1991253033">
              <w:marLeft w:val="0"/>
              <w:marRight w:val="0"/>
              <w:marTop w:val="0"/>
              <w:marBottom w:val="0"/>
              <w:divBdr>
                <w:top w:val="none" w:sz="0" w:space="0" w:color="auto"/>
                <w:left w:val="none" w:sz="0" w:space="0" w:color="auto"/>
                <w:bottom w:val="none" w:sz="0" w:space="0" w:color="auto"/>
                <w:right w:val="none" w:sz="0" w:space="0" w:color="auto"/>
              </w:divBdr>
            </w:div>
          </w:divsChild>
        </w:div>
        <w:div w:id="1229725436">
          <w:marLeft w:val="0"/>
          <w:marRight w:val="0"/>
          <w:marTop w:val="0"/>
          <w:marBottom w:val="0"/>
          <w:divBdr>
            <w:top w:val="none" w:sz="0" w:space="0" w:color="auto"/>
            <w:left w:val="none" w:sz="0" w:space="0" w:color="auto"/>
            <w:bottom w:val="none" w:sz="0" w:space="0" w:color="auto"/>
            <w:right w:val="none" w:sz="0" w:space="0" w:color="auto"/>
          </w:divBdr>
          <w:divsChild>
            <w:div w:id="1025248539">
              <w:marLeft w:val="0"/>
              <w:marRight w:val="0"/>
              <w:marTop w:val="0"/>
              <w:marBottom w:val="0"/>
              <w:divBdr>
                <w:top w:val="none" w:sz="0" w:space="0" w:color="auto"/>
                <w:left w:val="none" w:sz="0" w:space="0" w:color="auto"/>
                <w:bottom w:val="none" w:sz="0" w:space="0" w:color="auto"/>
                <w:right w:val="none" w:sz="0" w:space="0" w:color="auto"/>
              </w:divBdr>
            </w:div>
          </w:divsChild>
        </w:div>
        <w:div w:id="1429345504">
          <w:marLeft w:val="0"/>
          <w:marRight w:val="0"/>
          <w:marTop w:val="0"/>
          <w:marBottom w:val="0"/>
          <w:divBdr>
            <w:top w:val="none" w:sz="0" w:space="0" w:color="auto"/>
            <w:left w:val="none" w:sz="0" w:space="0" w:color="auto"/>
            <w:bottom w:val="none" w:sz="0" w:space="0" w:color="auto"/>
            <w:right w:val="none" w:sz="0" w:space="0" w:color="auto"/>
          </w:divBdr>
          <w:divsChild>
            <w:div w:id="737365977">
              <w:marLeft w:val="0"/>
              <w:marRight w:val="0"/>
              <w:marTop w:val="0"/>
              <w:marBottom w:val="0"/>
              <w:divBdr>
                <w:top w:val="none" w:sz="0" w:space="0" w:color="auto"/>
                <w:left w:val="none" w:sz="0" w:space="0" w:color="auto"/>
                <w:bottom w:val="none" w:sz="0" w:space="0" w:color="auto"/>
                <w:right w:val="none" w:sz="0" w:space="0" w:color="auto"/>
              </w:divBdr>
            </w:div>
          </w:divsChild>
        </w:div>
        <w:div w:id="2054956791">
          <w:marLeft w:val="0"/>
          <w:marRight w:val="0"/>
          <w:marTop w:val="0"/>
          <w:marBottom w:val="0"/>
          <w:divBdr>
            <w:top w:val="none" w:sz="0" w:space="0" w:color="auto"/>
            <w:left w:val="none" w:sz="0" w:space="0" w:color="auto"/>
            <w:bottom w:val="none" w:sz="0" w:space="0" w:color="auto"/>
            <w:right w:val="none" w:sz="0" w:space="0" w:color="auto"/>
          </w:divBdr>
          <w:divsChild>
            <w:div w:id="1724716640">
              <w:marLeft w:val="0"/>
              <w:marRight w:val="0"/>
              <w:marTop w:val="0"/>
              <w:marBottom w:val="0"/>
              <w:divBdr>
                <w:top w:val="none" w:sz="0" w:space="0" w:color="auto"/>
                <w:left w:val="none" w:sz="0" w:space="0" w:color="auto"/>
                <w:bottom w:val="none" w:sz="0" w:space="0" w:color="auto"/>
                <w:right w:val="none" w:sz="0" w:space="0" w:color="auto"/>
              </w:divBdr>
            </w:div>
          </w:divsChild>
        </w:div>
        <w:div w:id="624852372">
          <w:marLeft w:val="0"/>
          <w:marRight w:val="0"/>
          <w:marTop w:val="0"/>
          <w:marBottom w:val="0"/>
          <w:divBdr>
            <w:top w:val="none" w:sz="0" w:space="0" w:color="auto"/>
            <w:left w:val="none" w:sz="0" w:space="0" w:color="auto"/>
            <w:bottom w:val="none" w:sz="0" w:space="0" w:color="auto"/>
            <w:right w:val="none" w:sz="0" w:space="0" w:color="auto"/>
          </w:divBdr>
          <w:divsChild>
            <w:div w:id="1484856062">
              <w:marLeft w:val="0"/>
              <w:marRight w:val="0"/>
              <w:marTop w:val="0"/>
              <w:marBottom w:val="0"/>
              <w:divBdr>
                <w:top w:val="none" w:sz="0" w:space="0" w:color="auto"/>
                <w:left w:val="none" w:sz="0" w:space="0" w:color="auto"/>
                <w:bottom w:val="none" w:sz="0" w:space="0" w:color="auto"/>
                <w:right w:val="none" w:sz="0" w:space="0" w:color="auto"/>
              </w:divBdr>
            </w:div>
          </w:divsChild>
        </w:div>
        <w:div w:id="1207714904">
          <w:marLeft w:val="0"/>
          <w:marRight w:val="0"/>
          <w:marTop w:val="0"/>
          <w:marBottom w:val="0"/>
          <w:divBdr>
            <w:top w:val="none" w:sz="0" w:space="0" w:color="auto"/>
            <w:left w:val="none" w:sz="0" w:space="0" w:color="auto"/>
            <w:bottom w:val="none" w:sz="0" w:space="0" w:color="auto"/>
            <w:right w:val="none" w:sz="0" w:space="0" w:color="auto"/>
          </w:divBdr>
          <w:divsChild>
            <w:div w:id="1006633609">
              <w:marLeft w:val="0"/>
              <w:marRight w:val="0"/>
              <w:marTop w:val="0"/>
              <w:marBottom w:val="0"/>
              <w:divBdr>
                <w:top w:val="none" w:sz="0" w:space="0" w:color="auto"/>
                <w:left w:val="none" w:sz="0" w:space="0" w:color="auto"/>
                <w:bottom w:val="none" w:sz="0" w:space="0" w:color="auto"/>
                <w:right w:val="none" w:sz="0" w:space="0" w:color="auto"/>
              </w:divBdr>
            </w:div>
          </w:divsChild>
        </w:div>
        <w:div w:id="1422221744">
          <w:marLeft w:val="0"/>
          <w:marRight w:val="0"/>
          <w:marTop w:val="0"/>
          <w:marBottom w:val="0"/>
          <w:divBdr>
            <w:top w:val="none" w:sz="0" w:space="0" w:color="auto"/>
            <w:left w:val="none" w:sz="0" w:space="0" w:color="auto"/>
            <w:bottom w:val="none" w:sz="0" w:space="0" w:color="auto"/>
            <w:right w:val="none" w:sz="0" w:space="0" w:color="auto"/>
          </w:divBdr>
          <w:divsChild>
            <w:div w:id="1965961452">
              <w:marLeft w:val="0"/>
              <w:marRight w:val="0"/>
              <w:marTop w:val="0"/>
              <w:marBottom w:val="0"/>
              <w:divBdr>
                <w:top w:val="none" w:sz="0" w:space="0" w:color="auto"/>
                <w:left w:val="none" w:sz="0" w:space="0" w:color="auto"/>
                <w:bottom w:val="none" w:sz="0" w:space="0" w:color="auto"/>
                <w:right w:val="none" w:sz="0" w:space="0" w:color="auto"/>
              </w:divBdr>
            </w:div>
          </w:divsChild>
        </w:div>
        <w:div w:id="1497526221">
          <w:marLeft w:val="0"/>
          <w:marRight w:val="0"/>
          <w:marTop w:val="0"/>
          <w:marBottom w:val="0"/>
          <w:divBdr>
            <w:top w:val="none" w:sz="0" w:space="0" w:color="auto"/>
            <w:left w:val="none" w:sz="0" w:space="0" w:color="auto"/>
            <w:bottom w:val="none" w:sz="0" w:space="0" w:color="auto"/>
            <w:right w:val="none" w:sz="0" w:space="0" w:color="auto"/>
          </w:divBdr>
          <w:divsChild>
            <w:div w:id="852576076">
              <w:marLeft w:val="0"/>
              <w:marRight w:val="0"/>
              <w:marTop w:val="0"/>
              <w:marBottom w:val="0"/>
              <w:divBdr>
                <w:top w:val="none" w:sz="0" w:space="0" w:color="auto"/>
                <w:left w:val="none" w:sz="0" w:space="0" w:color="auto"/>
                <w:bottom w:val="none" w:sz="0" w:space="0" w:color="auto"/>
                <w:right w:val="none" w:sz="0" w:space="0" w:color="auto"/>
              </w:divBdr>
            </w:div>
          </w:divsChild>
        </w:div>
        <w:div w:id="1969697032">
          <w:marLeft w:val="0"/>
          <w:marRight w:val="0"/>
          <w:marTop w:val="0"/>
          <w:marBottom w:val="0"/>
          <w:divBdr>
            <w:top w:val="none" w:sz="0" w:space="0" w:color="auto"/>
            <w:left w:val="none" w:sz="0" w:space="0" w:color="auto"/>
            <w:bottom w:val="none" w:sz="0" w:space="0" w:color="auto"/>
            <w:right w:val="none" w:sz="0" w:space="0" w:color="auto"/>
          </w:divBdr>
          <w:divsChild>
            <w:div w:id="623122040">
              <w:marLeft w:val="0"/>
              <w:marRight w:val="0"/>
              <w:marTop w:val="0"/>
              <w:marBottom w:val="0"/>
              <w:divBdr>
                <w:top w:val="none" w:sz="0" w:space="0" w:color="auto"/>
                <w:left w:val="none" w:sz="0" w:space="0" w:color="auto"/>
                <w:bottom w:val="none" w:sz="0" w:space="0" w:color="auto"/>
                <w:right w:val="none" w:sz="0" w:space="0" w:color="auto"/>
              </w:divBdr>
            </w:div>
          </w:divsChild>
        </w:div>
        <w:div w:id="1534876603">
          <w:marLeft w:val="0"/>
          <w:marRight w:val="0"/>
          <w:marTop w:val="0"/>
          <w:marBottom w:val="0"/>
          <w:divBdr>
            <w:top w:val="none" w:sz="0" w:space="0" w:color="auto"/>
            <w:left w:val="none" w:sz="0" w:space="0" w:color="auto"/>
            <w:bottom w:val="none" w:sz="0" w:space="0" w:color="auto"/>
            <w:right w:val="none" w:sz="0" w:space="0" w:color="auto"/>
          </w:divBdr>
          <w:divsChild>
            <w:div w:id="329018671">
              <w:marLeft w:val="0"/>
              <w:marRight w:val="0"/>
              <w:marTop w:val="0"/>
              <w:marBottom w:val="0"/>
              <w:divBdr>
                <w:top w:val="none" w:sz="0" w:space="0" w:color="auto"/>
                <w:left w:val="none" w:sz="0" w:space="0" w:color="auto"/>
                <w:bottom w:val="none" w:sz="0" w:space="0" w:color="auto"/>
                <w:right w:val="none" w:sz="0" w:space="0" w:color="auto"/>
              </w:divBdr>
            </w:div>
          </w:divsChild>
        </w:div>
        <w:div w:id="1011682120">
          <w:marLeft w:val="0"/>
          <w:marRight w:val="0"/>
          <w:marTop w:val="0"/>
          <w:marBottom w:val="0"/>
          <w:divBdr>
            <w:top w:val="none" w:sz="0" w:space="0" w:color="auto"/>
            <w:left w:val="none" w:sz="0" w:space="0" w:color="auto"/>
            <w:bottom w:val="none" w:sz="0" w:space="0" w:color="auto"/>
            <w:right w:val="none" w:sz="0" w:space="0" w:color="auto"/>
          </w:divBdr>
          <w:divsChild>
            <w:div w:id="1029600673">
              <w:marLeft w:val="0"/>
              <w:marRight w:val="0"/>
              <w:marTop w:val="0"/>
              <w:marBottom w:val="0"/>
              <w:divBdr>
                <w:top w:val="none" w:sz="0" w:space="0" w:color="auto"/>
                <w:left w:val="none" w:sz="0" w:space="0" w:color="auto"/>
                <w:bottom w:val="none" w:sz="0" w:space="0" w:color="auto"/>
                <w:right w:val="none" w:sz="0" w:space="0" w:color="auto"/>
              </w:divBdr>
            </w:div>
          </w:divsChild>
        </w:div>
        <w:div w:id="1758555821">
          <w:marLeft w:val="0"/>
          <w:marRight w:val="0"/>
          <w:marTop w:val="0"/>
          <w:marBottom w:val="0"/>
          <w:divBdr>
            <w:top w:val="none" w:sz="0" w:space="0" w:color="auto"/>
            <w:left w:val="none" w:sz="0" w:space="0" w:color="auto"/>
            <w:bottom w:val="none" w:sz="0" w:space="0" w:color="auto"/>
            <w:right w:val="none" w:sz="0" w:space="0" w:color="auto"/>
          </w:divBdr>
          <w:divsChild>
            <w:div w:id="1258249762">
              <w:marLeft w:val="0"/>
              <w:marRight w:val="0"/>
              <w:marTop w:val="0"/>
              <w:marBottom w:val="0"/>
              <w:divBdr>
                <w:top w:val="none" w:sz="0" w:space="0" w:color="auto"/>
                <w:left w:val="none" w:sz="0" w:space="0" w:color="auto"/>
                <w:bottom w:val="none" w:sz="0" w:space="0" w:color="auto"/>
                <w:right w:val="none" w:sz="0" w:space="0" w:color="auto"/>
              </w:divBdr>
            </w:div>
          </w:divsChild>
        </w:div>
        <w:div w:id="263535035">
          <w:marLeft w:val="0"/>
          <w:marRight w:val="0"/>
          <w:marTop w:val="0"/>
          <w:marBottom w:val="0"/>
          <w:divBdr>
            <w:top w:val="none" w:sz="0" w:space="0" w:color="auto"/>
            <w:left w:val="none" w:sz="0" w:space="0" w:color="auto"/>
            <w:bottom w:val="none" w:sz="0" w:space="0" w:color="auto"/>
            <w:right w:val="none" w:sz="0" w:space="0" w:color="auto"/>
          </w:divBdr>
          <w:divsChild>
            <w:div w:id="38363623">
              <w:marLeft w:val="0"/>
              <w:marRight w:val="0"/>
              <w:marTop w:val="0"/>
              <w:marBottom w:val="0"/>
              <w:divBdr>
                <w:top w:val="none" w:sz="0" w:space="0" w:color="auto"/>
                <w:left w:val="none" w:sz="0" w:space="0" w:color="auto"/>
                <w:bottom w:val="none" w:sz="0" w:space="0" w:color="auto"/>
                <w:right w:val="none" w:sz="0" w:space="0" w:color="auto"/>
              </w:divBdr>
            </w:div>
          </w:divsChild>
        </w:div>
        <w:div w:id="3290399">
          <w:marLeft w:val="0"/>
          <w:marRight w:val="0"/>
          <w:marTop w:val="0"/>
          <w:marBottom w:val="0"/>
          <w:divBdr>
            <w:top w:val="none" w:sz="0" w:space="0" w:color="auto"/>
            <w:left w:val="none" w:sz="0" w:space="0" w:color="auto"/>
            <w:bottom w:val="none" w:sz="0" w:space="0" w:color="auto"/>
            <w:right w:val="none" w:sz="0" w:space="0" w:color="auto"/>
          </w:divBdr>
          <w:divsChild>
            <w:div w:id="1254633555">
              <w:marLeft w:val="0"/>
              <w:marRight w:val="0"/>
              <w:marTop w:val="0"/>
              <w:marBottom w:val="0"/>
              <w:divBdr>
                <w:top w:val="none" w:sz="0" w:space="0" w:color="auto"/>
                <w:left w:val="none" w:sz="0" w:space="0" w:color="auto"/>
                <w:bottom w:val="none" w:sz="0" w:space="0" w:color="auto"/>
                <w:right w:val="none" w:sz="0" w:space="0" w:color="auto"/>
              </w:divBdr>
            </w:div>
          </w:divsChild>
        </w:div>
        <w:div w:id="119955931">
          <w:marLeft w:val="0"/>
          <w:marRight w:val="0"/>
          <w:marTop w:val="0"/>
          <w:marBottom w:val="0"/>
          <w:divBdr>
            <w:top w:val="none" w:sz="0" w:space="0" w:color="auto"/>
            <w:left w:val="none" w:sz="0" w:space="0" w:color="auto"/>
            <w:bottom w:val="none" w:sz="0" w:space="0" w:color="auto"/>
            <w:right w:val="none" w:sz="0" w:space="0" w:color="auto"/>
          </w:divBdr>
          <w:divsChild>
            <w:div w:id="205609587">
              <w:marLeft w:val="0"/>
              <w:marRight w:val="0"/>
              <w:marTop w:val="0"/>
              <w:marBottom w:val="0"/>
              <w:divBdr>
                <w:top w:val="none" w:sz="0" w:space="0" w:color="auto"/>
                <w:left w:val="none" w:sz="0" w:space="0" w:color="auto"/>
                <w:bottom w:val="none" w:sz="0" w:space="0" w:color="auto"/>
                <w:right w:val="none" w:sz="0" w:space="0" w:color="auto"/>
              </w:divBdr>
            </w:div>
          </w:divsChild>
        </w:div>
        <w:div w:id="346830926">
          <w:marLeft w:val="0"/>
          <w:marRight w:val="0"/>
          <w:marTop w:val="0"/>
          <w:marBottom w:val="0"/>
          <w:divBdr>
            <w:top w:val="none" w:sz="0" w:space="0" w:color="auto"/>
            <w:left w:val="none" w:sz="0" w:space="0" w:color="auto"/>
            <w:bottom w:val="none" w:sz="0" w:space="0" w:color="auto"/>
            <w:right w:val="none" w:sz="0" w:space="0" w:color="auto"/>
          </w:divBdr>
          <w:divsChild>
            <w:div w:id="1078361030">
              <w:marLeft w:val="0"/>
              <w:marRight w:val="0"/>
              <w:marTop w:val="0"/>
              <w:marBottom w:val="0"/>
              <w:divBdr>
                <w:top w:val="none" w:sz="0" w:space="0" w:color="auto"/>
                <w:left w:val="none" w:sz="0" w:space="0" w:color="auto"/>
                <w:bottom w:val="none" w:sz="0" w:space="0" w:color="auto"/>
                <w:right w:val="none" w:sz="0" w:space="0" w:color="auto"/>
              </w:divBdr>
            </w:div>
          </w:divsChild>
        </w:div>
        <w:div w:id="205456542">
          <w:marLeft w:val="0"/>
          <w:marRight w:val="0"/>
          <w:marTop w:val="0"/>
          <w:marBottom w:val="0"/>
          <w:divBdr>
            <w:top w:val="none" w:sz="0" w:space="0" w:color="auto"/>
            <w:left w:val="none" w:sz="0" w:space="0" w:color="auto"/>
            <w:bottom w:val="none" w:sz="0" w:space="0" w:color="auto"/>
            <w:right w:val="none" w:sz="0" w:space="0" w:color="auto"/>
          </w:divBdr>
          <w:divsChild>
            <w:div w:id="834030918">
              <w:marLeft w:val="0"/>
              <w:marRight w:val="0"/>
              <w:marTop w:val="0"/>
              <w:marBottom w:val="0"/>
              <w:divBdr>
                <w:top w:val="none" w:sz="0" w:space="0" w:color="auto"/>
                <w:left w:val="none" w:sz="0" w:space="0" w:color="auto"/>
                <w:bottom w:val="none" w:sz="0" w:space="0" w:color="auto"/>
                <w:right w:val="none" w:sz="0" w:space="0" w:color="auto"/>
              </w:divBdr>
            </w:div>
          </w:divsChild>
        </w:div>
        <w:div w:id="943536299">
          <w:marLeft w:val="0"/>
          <w:marRight w:val="0"/>
          <w:marTop w:val="0"/>
          <w:marBottom w:val="0"/>
          <w:divBdr>
            <w:top w:val="none" w:sz="0" w:space="0" w:color="auto"/>
            <w:left w:val="none" w:sz="0" w:space="0" w:color="auto"/>
            <w:bottom w:val="none" w:sz="0" w:space="0" w:color="auto"/>
            <w:right w:val="none" w:sz="0" w:space="0" w:color="auto"/>
          </w:divBdr>
          <w:divsChild>
            <w:div w:id="873419012">
              <w:marLeft w:val="0"/>
              <w:marRight w:val="0"/>
              <w:marTop w:val="0"/>
              <w:marBottom w:val="0"/>
              <w:divBdr>
                <w:top w:val="none" w:sz="0" w:space="0" w:color="auto"/>
                <w:left w:val="none" w:sz="0" w:space="0" w:color="auto"/>
                <w:bottom w:val="none" w:sz="0" w:space="0" w:color="auto"/>
                <w:right w:val="none" w:sz="0" w:space="0" w:color="auto"/>
              </w:divBdr>
            </w:div>
          </w:divsChild>
        </w:div>
        <w:div w:id="1217935049">
          <w:marLeft w:val="0"/>
          <w:marRight w:val="0"/>
          <w:marTop w:val="0"/>
          <w:marBottom w:val="0"/>
          <w:divBdr>
            <w:top w:val="none" w:sz="0" w:space="0" w:color="auto"/>
            <w:left w:val="none" w:sz="0" w:space="0" w:color="auto"/>
            <w:bottom w:val="none" w:sz="0" w:space="0" w:color="auto"/>
            <w:right w:val="none" w:sz="0" w:space="0" w:color="auto"/>
          </w:divBdr>
          <w:divsChild>
            <w:div w:id="282929323">
              <w:marLeft w:val="0"/>
              <w:marRight w:val="0"/>
              <w:marTop w:val="0"/>
              <w:marBottom w:val="0"/>
              <w:divBdr>
                <w:top w:val="none" w:sz="0" w:space="0" w:color="auto"/>
                <w:left w:val="none" w:sz="0" w:space="0" w:color="auto"/>
                <w:bottom w:val="none" w:sz="0" w:space="0" w:color="auto"/>
                <w:right w:val="none" w:sz="0" w:space="0" w:color="auto"/>
              </w:divBdr>
            </w:div>
          </w:divsChild>
        </w:div>
        <w:div w:id="604189516">
          <w:marLeft w:val="0"/>
          <w:marRight w:val="0"/>
          <w:marTop w:val="0"/>
          <w:marBottom w:val="0"/>
          <w:divBdr>
            <w:top w:val="none" w:sz="0" w:space="0" w:color="auto"/>
            <w:left w:val="none" w:sz="0" w:space="0" w:color="auto"/>
            <w:bottom w:val="none" w:sz="0" w:space="0" w:color="auto"/>
            <w:right w:val="none" w:sz="0" w:space="0" w:color="auto"/>
          </w:divBdr>
          <w:divsChild>
            <w:div w:id="1190291317">
              <w:marLeft w:val="0"/>
              <w:marRight w:val="0"/>
              <w:marTop w:val="0"/>
              <w:marBottom w:val="0"/>
              <w:divBdr>
                <w:top w:val="none" w:sz="0" w:space="0" w:color="auto"/>
                <w:left w:val="none" w:sz="0" w:space="0" w:color="auto"/>
                <w:bottom w:val="none" w:sz="0" w:space="0" w:color="auto"/>
                <w:right w:val="none" w:sz="0" w:space="0" w:color="auto"/>
              </w:divBdr>
            </w:div>
          </w:divsChild>
        </w:div>
        <w:div w:id="2011981231">
          <w:marLeft w:val="0"/>
          <w:marRight w:val="0"/>
          <w:marTop w:val="0"/>
          <w:marBottom w:val="0"/>
          <w:divBdr>
            <w:top w:val="none" w:sz="0" w:space="0" w:color="auto"/>
            <w:left w:val="none" w:sz="0" w:space="0" w:color="auto"/>
            <w:bottom w:val="none" w:sz="0" w:space="0" w:color="auto"/>
            <w:right w:val="none" w:sz="0" w:space="0" w:color="auto"/>
          </w:divBdr>
          <w:divsChild>
            <w:div w:id="142427331">
              <w:marLeft w:val="0"/>
              <w:marRight w:val="0"/>
              <w:marTop w:val="0"/>
              <w:marBottom w:val="0"/>
              <w:divBdr>
                <w:top w:val="none" w:sz="0" w:space="0" w:color="auto"/>
                <w:left w:val="none" w:sz="0" w:space="0" w:color="auto"/>
                <w:bottom w:val="none" w:sz="0" w:space="0" w:color="auto"/>
                <w:right w:val="none" w:sz="0" w:space="0" w:color="auto"/>
              </w:divBdr>
            </w:div>
          </w:divsChild>
        </w:div>
        <w:div w:id="591478740">
          <w:marLeft w:val="0"/>
          <w:marRight w:val="0"/>
          <w:marTop w:val="0"/>
          <w:marBottom w:val="0"/>
          <w:divBdr>
            <w:top w:val="none" w:sz="0" w:space="0" w:color="auto"/>
            <w:left w:val="none" w:sz="0" w:space="0" w:color="auto"/>
            <w:bottom w:val="none" w:sz="0" w:space="0" w:color="auto"/>
            <w:right w:val="none" w:sz="0" w:space="0" w:color="auto"/>
          </w:divBdr>
          <w:divsChild>
            <w:div w:id="5374243">
              <w:marLeft w:val="0"/>
              <w:marRight w:val="0"/>
              <w:marTop w:val="0"/>
              <w:marBottom w:val="0"/>
              <w:divBdr>
                <w:top w:val="none" w:sz="0" w:space="0" w:color="auto"/>
                <w:left w:val="none" w:sz="0" w:space="0" w:color="auto"/>
                <w:bottom w:val="none" w:sz="0" w:space="0" w:color="auto"/>
                <w:right w:val="none" w:sz="0" w:space="0" w:color="auto"/>
              </w:divBdr>
            </w:div>
          </w:divsChild>
        </w:div>
        <w:div w:id="649944405">
          <w:marLeft w:val="0"/>
          <w:marRight w:val="0"/>
          <w:marTop w:val="0"/>
          <w:marBottom w:val="0"/>
          <w:divBdr>
            <w:top w:val="none" w:sz="0" w:space="0" w:color="auto"/>
            <w:left w:val="none" w:sz="0" w:space="0" w:color="auto"/>
            <w:bottom w:val="none" w:sz="0" w:space="0" w:color="auto"/>
            <w:right w:val="none" w:sz="0" w:space="0" w:color="auto"/>
          </w:divBdr>
          <w:divsChild>
            <w:div w:id="1027825895">
              <w:marLeft w:val="0"/>
              <w:marRight w:val="0"/>
              <w:marTop w:val="0"/>
              <w:marBottom w:val="0"/>
              <w:divBdr>
                <w:top w:val="none" w:sz="0" w:space="0" w:color="auto"/>
                <w:left w:val="none" w:sz="0" w:space="0" w:color="auto"/>
                <w:bottom w:val="none" w:sz="0" w:space="0" w:color="auto"/>
                <w:right w:val="none" w:sz="0" w:space="0" w:color="auto"/>
              </w:divBdr>
            </w:div>
          </w:divsChild>
        </w:div>
        <w:div w:id="1660158309">
          <w:marLeft w:val="0"/>
          <w:marRight w:val="0"/>
          <w:marTop w:val="0"/>
          <w:marBottom w:val="0"/>
          <w:divBdr>
            <w:top w:val="none" w:sz="0" w:space="0" w:color="auto"/>
            <w:left w:val="none" w:sz="0" w:space="0" w:color="auto"/>
            <w:bottom w:val="none" w:sz="0" w:space="0" w:color="auto"/>
            <w:right w:val="none" w:sz="0" w:space="0" w:color="auto"/>
          </w:divBdr>
          <w:divsChild>
            <w:div w:id="852769685">
              <w:marLeft w:val="0"/>
              <w:marRight w:val="0"/>
              <w:marTop w:val="0"/>
              <w:marBottom w:val="0"/>
              <w:divBdr>
                <w:top w:val="none" w:sz="0" w:space="0" w:color="auto"/>
                <w:left w:val="none" w:sz="0" w:space="0" w:color="auto"/>
                <w:bottom w:val="none" w:sz="0" w:space="0" w:color="auto"/>
                <w:right w:val="none" w:sz="0" w:space="0" w:color="auto"/>
              </w:divBdr>
            </w:div>
          </w:divsChild>
        </w:div>
        <w:div w:id="1583560475">
          <w:marLeft w:val="0"/>
          <w:marRight w:val="0"/>
          <w:marTop w:val="0"/>
          <w:marBottom w:val="0"/>
          <w:divBdr>
            <w:top w:val="none" w:sz="0" w:space="0" w:color="auto"/>
            <w:left w:val="none" w:sz="0" w:space="0" w:color="auto"/>
            <w:bottom w:val="none" w:sz="0" w:space="0" w:color="auto"/>
            <w:right w:val="none" w:sz="0" w:space="0" w:color="auto"/>
          </w:divBdr>
          <w:divsChild>
            <w:div w:id="294528078">
              <w:marLeft w:val="0"/>
              <w:marRight w:val="0"/>
              <w:marTop w:val="0"/>
              <w:marBottom w:val="0"/>
              <w:divBdr>
                <w:top w:val="none" w:sz="0" w:space="0" w:color="auto"/>
                <w:left w:val="none" w:sz="0" w:space="0" w:color="auto"/>
                <w:bottom w:val="none" w:sz="0" w:space="0" w:color="auto"/>
                <w:right w:val="none" w:sz="0" w:space="0" w:color="auto"/>
              </w:divBdr>
            </w:div>
          </w:divsChild>
        </w:div>
        <w:div w:id="1460956213">
          <w:marLeft w:val="0"/>
          <w:marRight w:val="0"/>
          <w:marTop w:val="0"/>
          <w:marBottom w:val="0"/>
          <w:divBdr>
            <w:top w:val="none" w:sz="0" w:space="0" w:color="auto"/>
            <w:left w:val="none" w:sz="0" w:space="0" w:color="auto"/>
            <w:bottom w:val="none" w:sz="0" w:space="0" w:color="auto"/>
            <w:right w:val="none" w:sz="0" w:space="0" w:color="auto"/>
          </w:divBdr>
          <w:divsChild>
            <w:div w:id="462775739">
              <w:marLeft w:val="0"/>
              <w:marRight w:val="0"/>
              <w:marTop w:val="0"/>
              <w:marBottom w:val="0"/>
              <w:divBdr>
                <w:top w:val="none" w:sz="0" w:space="0" w:color="auto"/>
                <w:left w:val="none" w:sz="0" w:space="0" w:color="auto"/>
                <w:bottom w:val="none" w:sz="0" w:space="0" w:color="auto"/>
                <w:right w:val="none" w:sz="0" w:space="0" w:color="auto"/>
              </w:divBdr>
            </w:div>
          </w:divsChild>
        </w:div>
        <w:div w:id="301888855">
          <w:marLeft w:val="0"/>
          <w:marRight w:val="0"/>
          <w:marTop w:val="0"/>
          <w:marBottom w:val="0"/>
          <w:divBdr>
            <w:top w:val="none" w:sz="0" w:space="0" w:color="auto"/>
            <w:left w:val="none" w:sz="0" w:space="0" w:color="auto"/>
            <w:bottom w:val="none" w:sz="0" w:space="0" w:color="auto"/>
            <w:right w:val="none" w:sz="0" w:space="0" w:color="auto"/>
          </w:divBdr>
          <w:divsChild>
            <w:div w:id="1740976742">
              <w:marLeft w:val="0"/>
              <w:marRight w:val="0"/>
              <w:marTop w:val="0"/>
              <w:marBottom w:val="0"/>
              <w:divBdr>
                <w:top w:val="none" w:sz="0" w:space="0" w:color="auto"/>
                <w:left w:val="none" w:sz="0" w:space="0" w:color="auto"/>
                <w:bottom w:val="none" w:sz="0" w:space="0" w:color="auto"/>
                <w:right w:val="none" w:sz="0" w:space="0" w:color="auto"/>
              </w:divBdr>
            </w:div>
          </w:divsChild>
        </w:div>
        <w:div w:id="1208681706">
          <w:marLeft w:val="0"/>
          <w:marRight w:val="0"/>
          <w:marTop w:val="0"/>
          <w:marBottom w:val="0"/>
          <w:divBdr>
            <w:top w:val="none" w:sz="0" w:space="0" w:color="auto"/>
            <w:left w:val="none" w:sz="0" w:space="0" w:color="auto"/>
            <w:bottom w:val="none" w:sz="0" w:space="0" w:color="auto"/>
            <w:right w:val="none" w:sz="0" w:space="0" w:color="auto"/>
          </w:divBdr>
          <w:divsChild>
            <w:div w:id="996686423">
              <w:marLeft w:val="0"/>
              <w:marRight w:val="0"/>
              <w:marTop w:val="0"/>
              <w:marBottom w:val="0"/>
              <w:divBdr>
                <w:top w:val="none" w:sz="0" w:space="0" w:color="auto"/>
                <w:left w:val="none" w:sz="0" w:space="0" w:color="auto"/>
                <w:bottom w:val="none" w:sz="0" w:space="0" w:color="auto"/>
                <w:right w:val="none" w:sz="0" w:space="0" w:color="auto"/>
              </w:divBdr>
            </w:div>
          </w:divsChild>
        </w:div>
        <w:div w:id="970406850">
          <w:marLeft w:val="0"/>
          <w:marRight w:val="0"/>
          <w:marTop w:val="0"/>
          <w:marBottom w:val="0"/>
          <w:divBdr>
            <w:top w:val="none" w:sz="0" w:space="0" w:color="auto"/>
            <w:left w:val="none" w:sz="0" w:space="0" w:color="auto"/>
            <w:bottom w:val="none" w:sz="0" w:space="0" w:color="auto"/>
            <w:right w:val="none" w:sz="0" w:space="0" w:color="auto"/>
          </w:divBdr>
          <w:divsChild>
            <w:div w:id="2092577977">
              <w:marLeft w:val="0"/>
              <w:marRight w:val="0"/>
              <w:marTop w:val="0"/>
              <w:marBottom w:val="0"/>
              <w:divBdr>
                <w:top w:val="none" w:sz="0" w:space="0" w:color="auto"/>
                <w:left w:val="none" w:sz="0" w:space="0" w:color="auto"/>
                <w:bottom w:val="none" w:sz="0" w:space="0" w:color="auto"/>
                <w:right w:val="none" w:sz="0" w:space="0" w:color="auto"/>
              </w:divBdr>
            </w:div>
          </w:divsChild>
        </w:div>
        <w:div w:id="145518709">
          <w:marLeft w:val="0"/>
          <w:marRight w:val="0"/>
          <w:marTop w:val="0"/>
          <w:marBottom w:val="0"/>
          <w:divBdr>
            <w:top w:val="none" w:sz="0" w:space="0" w:color="auto"/>
            <w:left w:val="none" w:sz="0" w:space="0" w:color="auto"/>
            <w:bottom w:val="none" w:sz="0" w:space="0" w:color="auto"/>
            <w:right w:val="none" w:sz="0" w:space="0" w:color="auto"/>
          </w:divBdr>
          <w:divsChild>
            <w:div w:id="326176209">
              <w:marLeft w:val="0"/>
              <w:marRight w:val="0"/>
              <w:marTop w:val="0"/>
              <w:marBottom w:val="0"/>
              <w:divBdr>
                <w:top w:val="none" w:sz="0" w:space="0" w:color="auto"/>
                <w:left w:val="none" w:sz="0" w:space="0" w:color="auto"/>
                <w:bottom w:val="none" w:sz="0" w:space="0" w:color="auto"/>
                <w:right w:val="none" w:sz="0" w:space="0" w:color="auto"/>
              </w:divBdr>
            </w:div>
          </w:divsChild>
        </w:div>
        <w:div w:id="1877544587">
          <w:marLeft w:val="0"/>
          <w:marRight w:val="0"/>
          <w:marTop w:val="0"/>
          <w:marBottom w:val="0"/>
          <w:divBdr>
            <w:top w:val="none" w:sz="0" w:space="0" w:color="auto"/>
            <w:left w:val="none" w:sz="0" w:space="0" w:color="auto"/>
            <w:bottom w:val="none" w:sz="0" w:space="0" w:color="auto"/>
            <w:right w:val="none" w:sz="0" w:space="0" w:color="auto"/>
          </w:divBdr>
          <w:divsChild>
            <w:div w:id="1581058372">
              <w:marLeft w:val="0"/>
              <w:marRight w:val="0"/>
              <w:marTop w:val="0"/>
              <w:marBottom w:val="0"/>
              <w:divBdr>
                <w:top w:val="none" w:sz="0" w:space="0" w:color="auto"/>
                <w:left w:val="none" w:sz="0" w:space="0" w:color="auto"/>
                <w:bottom w:val="none" w:sz="0" w:space="0" w:color="auto"/>
                <w:right w:val="none" w:sz="0" w:space="0" w:color="auto"/>
              </w:divBdr>
            </w:div>
          </w:divsChild>
        </w:div>
        <w:div w:id="774793505">
          <w:marLeft w:val="0"/>
          <w:marRight w:val="0"/>
          <w:marTop w:val="0"/>
          <w:marBottom w:val="0"/>
          <w:divBdr>
            <w:top w:val="none" w:sz="0" w:space="0" w:color="auto"/>
            <w:left w:val="none" w:sz="0" w:space="0" w:color="auto"/>
            <w:bottom w:val="none" w:sz="0" w:space="0" w:color="auto"/>
            <w:right w:val="none" w:sz="0" w:space="0" w:color="auto"/>
          </w:divBdr>
          <w:divsChild>
            <w:div w:id="1747454821">
              <w:marLeft w:val="0"/>
              <w:marRight w:val="0"/>
              <w:marTop w:val="0"/>
              <w:marBottom w:val="0"/>
              <w:divBdr>
                <w:top w:val="none" w:sz="0" w:space="0" w:color="auto"/>
                <w:left w:val="none" w:sz="0" w:space="0" w:color="auto"/>
                <w:bottom w:val="none" w:sz="0" w:space="0" w:color="auto"/>
                <w:right w:val="none" w:sz="0" w:space="0" w:color="auto"/>
              </w:divBdr>
            </w:div>
          </w:divsChild>
        </w:div>
        <w:div w:id="776751856">
          <w:marLeft w:val="0"/>
          <w:marRight w:val="0"/>
          <w:marTop w:val="0"/>
          <w:marBottom w:val="0"/>
          <w:divBdr>
            <w:top w:val="none" w:sz="0" w:space="0" w:color="auto"/>
            <w:left w:val="none" w:sz="0" w:space="0" w:color="auto"/>
            <w:bottom w:val="none" w:sz="0" w:space="0" w:color="auto"/>
            <w:right w:val="none" w:sz="0" w:space="0" w:color="auto"/>
          </w:divBdr>
          <w:divsChild>
            <w:div w:id="879628237">
              <w:marLeft w:val="0"/>
              <w:marRight w:val="0"/>
              <w:marTop w:val="0"/>
              <w:marBottom w:val="0"/>
              <w:divBdr>
                <w:top w:val="none" w:sz="0" w:space="0" w:color="auto"/>
                <w:left w:val="none" w:sz="0" w:space="0" w:color="auto"/>
                <w:bottom w:val="none" w:sz="0" w:space="0" w:color="auto"/>
                <w:right w:val="none" w:sz="0" w:space="0" w:color="auto"/>
              </w:divBdr>
            </w:div>
          </w:divsChild>
        </w:div>
        <w:div w:id="919561315">
          <w:marLeft w:val="0"/>
          <w:marRight w:val="0"/>
          <w:marTop w:val="0"/>
          <w:marBottom w:val="0"/>
          <w:divBdr>
            <w:top w:val="none" w:sz="0" w:space="0" w:color="auto"/>
            <w:left w:val="none" w:sz="0" w:space="0" w:color="auto"/>
            <w:bottom w:val="none" w:sz="0" w:space="0" w:color="auto"/>
            <w:right w:val="none" w:sz="0" w:space="0" w:color="auto"/>
          </w:divBdr>
          <w:divsChild>
            <w:div w:id="1939486175">
              <w:marLeft w:val="0"/>
              <w:marRight w:val="0"/>
              <w:marTop w:val="0"/>
              <w:marBottom w:val="0"/>
              <w:divBdr>
                <w:top w:val="none" w:sz="0" w:space="0" w:color="auto"/>
                <w:left w:val="none" w:sz="0" w:space="0" w:color="auto"/>
                <w:bottom w:val="none" w:sz="0" w:space="0" w:color="auto"/>
                <w:right w:val="none" w:sz="0" w:space="0" w:color="auto"/>
              </w:divBdr>
            </w:div>
          </w:divsChild>
        </w:div>
        <w:div w:id="703864911">
          <w:marLeft w:val="0"/>
          <w:marRight w:val="0"/>
          <w:marTop w:val="0"/>
          <w:marBottom w:val="0"/>
          <w:divBdr>
            <w:top w:val="none" w:sz="0" w:space="0" w:color="auto"/>
            <w:left w:val="none" w:sz="0" w:space="0" w:color="auto"/>
            <w:bottom w:val="none" w:sz="0" w:space="0" w:color="auto"/>
            <w:right w:val="none" w:sz="0" w:space="0" w:color="auto"/>
          </w:divBdr>
          <w:divsChild>
            <w:div w:id="1649239669">
              <w:marLeft w:val="0"/>
              <w:marRight w:val="0"/>
              <w:marTop w:val="0"/>
              <w:marBottom w:val="0"/>
              <w:divBdr>
                <w:top w:val="none" w:sz="0" w:space="0" w:color="auto"/>
                <w:left w:val="none" w:sz="0" w:space="0" w:color="auto"/>
                <w:bottom w:val="none" w:sz="0" w:space="0" w:color="auto"/>
                <w:right w:val="none" w:sz="0" w:space="0" w:color="auto"/>
              </w:divBdr>
            </w:div>
          </w:divsChild>
        </w:div>
        <w:div w:id="511074054">
          <w:marLeft w:val="0"/>
          <w:marRight w:val="0"/>
          <w:marTop w:val="0"/>
          <w:marBottom w:val="0"/>
          <w:divBdr>
            <w:top w:val="none" w:sz="0" w:space="0" w:color="auto"/>
            <w:left w:val="none" w:sz="0" w:space="0" w:color="auto"/>
            <w:bottom w:val="none" w:sz="0" w:space="0" w:color="auto"/>
            <w:right w:val="none" w:sz="0" w:space="0" w:color="auto"/>
          </w:divBdr>
          <w:divsChild>
            <w:div w:id="424618001">
              <w:marLeft w:val="0"/>
              <w:marRight w:val="0"/>
              <w:marTop w:val="0"/>
              <w:marBottom w:val="0"/>
              <w:divBdr>
                <w:top w:val="none" w:sz="0" w:space="0" w:color="auto"/>
                <w:left w:val="none" w:sz="0" w:space="0" w:color="auto"/>
                <w:bottom w:val="none" w:sz="0" w:space="0" w:color="auto"/>
                <w:right w:val="none" w:sz="0" w:space="0" w:color="auto"/>
              </w:divBdr>
            </w:div>
          </w:divsChild>
        </w:div>
        <w:div w:id="1258488515">
          <w:marLeft w:val="0"/>
          <w:marRight w:val="0"/>
          <w:marTop w:val="0"/>
          <w:marBottom w:val="0"/>
          <w:divBdr>
            <w:top w:val="none" w:sz="0" w:space="0" w:color="auto"/>
            <w:left w:val="none" w:sz="0" w:space="0" w:color="auto"/>
            <w:bottom w:val="none" w:sz="0" w:space="0" w:color="auto"/>
            <w:right w:val="none" w:sz="0" w:space="0" w:color="auto"/>
          </w:divBdr>
          <w:divsChild>
            <w:div w:id="370497507">
              <w:marLeft w:val="0"/>
              <w:marRight w:val="0"/>
              <w:marTop w:val="0"/>
              <w:marBottom w:val="0"/>
              <w:divBdr>
                <w:top w:val="none" w:sz="0" w:space="0" w:color="auto"/>
                <w:left w:val="none" w:sz="0" w:space="0" w:color="auto"/>
                <w:bottom w:val="none" w:sz="0" w:space="0" w:color="auto"/>
                <w:right w:val="none" w:sz="0" w:space="0" w:color="auto"/>
              </w:divBdr>
            </w:div>
          </w:divsChild>
        </w:div>
        <w:div w:id="36248093">
          <w:marLeft w:val="0"/>
          <w:marRight w:val="0"/>
          <w:marTop w:val="0"/>
          <w:marBottom w:val="0"/>
          <w:divBdr>
            <w:top w:val="none" w:sz="0" w:space="0" w:color="auto"/>
            <w:left w:val="none" w:sz="0" w:space="0" w:color="auto"/>
            <w:bottom w:val="none" w:sz="0" w:space="0" w:color="auto"/>
            <w:right w:val="none" w:sz="0" w:space="0" w:color="auto"/>
          </w:divBdr>
          <w:divsChild>
            <w:div w:id="118645854">
              <w:marLeft w:val="0"/>
              <w:marRight w:val="0"/>
              <w:marTop w:val="0"/>
              <w:marBottom w:val="0"/>
              <w:divBdr>
                <w:top w:val="none" w:sz="0" w:space="0" w:color="auto"/>
                <w:left w:val="none" w:sz="0" w:space="0" w:color="auto"/>
                <w:bottom w:val="none" w:sz="0" w:space="0" w:color="auto"/>
                <w:right w:val="none" w:sz="0" w:space="0" w:color="auto"/>
              </w:divBdr>
            </w:div>
          </w:divsChild>
        </w:div>
        <w:div w:id="1961643220">
          <w:marLeft w:val="0"/>
          <w:marRight w:val="0"/>
          <w:marTop w:val="0"/>
          <w:marBottom w:val="0"/>
          <w:divBdr>
            <w:top w:val="none" w:sz="0" w:space="0" w:color="auto"/>
            <w:left w:val="none" w:sz="0" w:space="0" w:color="auto"/>
            <w:bottom w:val="none" w:sz="0" w:space="0" w:color="auto"/>
            <w:right w:val="none" w:sz="0" w:space="0" w:color="auto"/>
          </w:divBdr>
          <w:divsChild>
            <w:div w:id="1225212595">
              <w:marLeft w:val="0"/>
              <w:marRight w:val="0"/>
              <w:marTop w:val="0"/>
              <w:marBottom w:val="0"/>
              <w:divBdr>
                <w:top w:val="none" w:sz="0" w:space="0" w:color="auto"/>
                <w:left w:val="none" w:sz="0" w:space="0" w:color="auto"/>
                <w:bottom w:val="none" w:sz="0" w:space="0" w:color="auto"/>
                <w:right w:val="none" w:sz="0" w:space="0" w:color="auto"/>
              </w:divBdr>
            </w:div>
          </w:divsChild>
        </w:div>
        <w:div w:id="248004650">
          <w:marLeft w:val="0"/>
          <w:marRight w:val="0"/>
          <w:marTop w:val="0"/>
          <w:marBottom w:val="0"/>
          <w:divBdr>
            <w:top w:val="none" w:sz="0" w:space="0" w:color="auto"/>
            <w:left w:val="none" w:sz="0" w:space="0" w:color="auto"/>
            <w:bottom w:val="none" w:sz="0" w:space="0" w:color="auto"/>
            <w:right w:val="none" w:sz="0" w:space="0" w:color="auto"/>
          </w:divBdr>
          <w:divsChild>
            <w:div w:id="16857896">
              <w:marLeft w:val="0"/>
              <w:marRight w:val="0"/>
              <w:marTop w:val="0"/>
              <w:marBottom w:val="0"/>
              <w:divBdr>
                <w:top w:val="none" w:sz="0" w:space="0" w:color="auto"/>
                <w:left w:val="none" w:sz="0" w:space="0" w:color="auto"/>
                <w:bottom w:val="none" w:sz="0" w:space="0" w:color="auto"/>
                <w:right w:val="none" w:sz="0" w:space="0" w:color="auto"/>
              </w:divBdr>
            </w:div>
          </w:divsChild>
        </w:div>
        <w:div w:id="203175953">
          <w:marLeft w:val="0"/>
          <w:marRight w:val="0"/>
          <w:marTop w:val="0"/>
          <w:marBottom w:val="0"/>
          <w:divBdr>
            <w:top w:val="none" w:sz="0" w:space="0" w:color="auto"/>
            <w:left w:val="none" w:sz="0" w:space="0" w:color="auto"/>
            <w:bottom w:val="none" w:sz="0" w:space="0" w:color="auto"/>
            <w:right w:val="none" w:sz="0" w:space="0" w:color="auto"/>
          </w:divBdr>
          <w:divsChild>
            <w:div w:id="477116517">
              <w:marLeft w:val="0"/>
              <w:marRight w:val="0"/>
              <w:marTop w:val="0"/>
              <w:marBottom w:val="0"/>
              <w:divBdr>
                <w:top w:val="none" w:sz="0" w:space="0" w:color="auto"/>
                <w:left w:val="none" w:sz="0" w:space="0" w:color="auto"/>
                <w:bottom w:val="none" w:sz="0" w:space="0" w:color="auto"/>
                <w:right w:val="none" w:sz="0" w:space="0" w:color="auto"/>
              </w:divBdr>
            </w:div>
          </w:divsChild>
        </w:div>
        <w:div w:id="1456365902">
          <w:marLeft w:val="0"/>
          <w:marRight w:val="0"/>
          <w:marTop w:val="0"/>
          <w:marBottom w:val="0"/>
          <w:divBdr>
            <w:top w:val="none" w:sz="0" w:space="0" w:color="auto"/>
            <w:left w:val="none" w:sz="0" w:space="0" w:color="auto"/>
            <w:bottom w:val="none" w:sz="0" w:space="0" w:color="auto"/>
            <w:right w:val="none" w:sz="0" w:space="0" w:color="auto"/>
          </w:divBdr>
          <w:divsChild>
            <w:div w:id="228001171">
              <w:marLeft w:val="0"/>
              <w:marRight w:val="0"/>
              <w:marTop w:val="0"/>
              <w:marBottom w:val="0"/>
              <w:divBdr>
                <w:top w:val="none" w:sz="0" w:space="0" w:color="auto"/>
                <w:left w:val="none" w:sz="0" w:space="0" w:color="auto"/>
                <w:bottom w:val="none" w:sz="0" w:space="0" w:color="auto"/>
                <w:right w:val="none" w:sz="0" w:space="0" w:color="auto"/>
              </w:divBdr>
            </w:div>
          </w:divsChild>
        </w:div>
        <w:div w:id="426002336">
          <w:marLeft w:val="0"/>
          <w:marRight w:val="0"/>
          <w:marTop w:val="0"/>
          <w:marBottom w:val="0"/>
          <w:divBdr>
            <w:top w:val="none" w:sz="0" w:space="0" w:color="auto"/>
            <w:left w:val="none" w:sz="0" w:space="0" w:color="auto"/>
            <w:bottom w:val="none" w:sz="0" w:space="0" w:color="auto"/>
            <w:right w:val="none" w:sz="0" w:space="0" w:color="auto"/>
          </w:divBdr>
          <w:divsChild>
            <w:div w:id="27461953">
              <w:marLeft w:val="0"/>
              <w:marRight w:val="0"/>
              <w:marTop w:val="0"/>
              <w:marBottom w:val="0"/>
              <w:divBdr>
                <w:top w:val="none" w:sz="0" w:space="0" w:color="auto"/>
                <w:left w:val="none" w:sz="0" w:space="0" w:color="auto"/>
                <w:bottom w:val="none" w:sz="0" w:space="0" w:color="auto"/>
                <w:right w:val="none" w:sz="0" w:space="0" w:color="auto"/>
              </w:divBdr>
            </w:div>
          </w:divsChild>
        </w:div>
        <w:div w:id="369110466">
          <w:marLeft w:val="0"/>
          <w:marRight w:val="0"/>
          <w:marTop w:val="0"/>
          <w:marBottom w:val="0"/>
          <w:divBdr>
            <w:top w:val="none" w:sz="0" w:space="0" w:color="auto"/>
            <w:left w:val="none" w:sz="0" w:space="0" w:color="auto"/>
            <w:bottom w:val="none" w:sz="0" w:space="0" w:color="auto"/>
            <w:right w:val="none" w:sz="0" w:space="0" w:color="auto"/>
          </w:divBdr>
          <w:divsChild>
            <w:div w:id="1482186309">
              <w:marLeft w:val="0"/>
              <w:marRight w:val="0"/>
              <w:marTop w:val="0"/>
              <w:marBottom w:val="0"/>
              <w:divBdr>
                <w:top w:val="none" w:sz="0" w:space="0" w:color="auto"/>
                <w:left w:val="none" w:sz="0" w:space="0" w:color="auto"/>
                <w:bottom w:val="none" w:sz="0" w:space="0" w:color="auto"/>
                <w:right w:val="none" w:sz="0" w:space="0" w:color="auto"/>
              </w:divBdr>
            </w:div>
          </w:divsChild>
        </w:div>
        <w:div w:id="1299336228">
          <w:marLeft w:val="0"/>
          <w:marRight w:val="0"/>
          <w:marTop w:val="0"/>
          <w:marBottom w:val="0"/>
          <w:divBdr>
            <w:top w:val="none" w:sz="0" w:space="0" w:color="auto"/>
            <w:left w:val="none" w:sz="0" w:space="0" w:color="auto"/>
            <w:bottom w:val="none" w:sz="0" w:space="0" w:color="auto"/>
            <w:right w:val="none" w:sz="0" w:space="0" w:color="auto"/>
          </w:divBdr>
          <w:divsChild>
            <w:div w:id="2044985376">
              <w:marLeft w:val="0"/>
              <w:marRight w:val="0"/>
              <w:marTop w:val="0"/>
              <w:marBottom w:val="0"/>
              <w:divBdr>
                <w:top w:val="none" w:sz="0" w:space="0" w:color="auto"/>
                <w:left w:val="none" w:sz="0" w:space="0" w:color="auto"/>
                <w:bottom w:val="none" w:sz="0" w:space="0" w:color="auto"/>
                <w:right w:val="none" w:sz="0" w:space="0" w:color="auto"/>
              </w:divBdr>
            </w:div>
          </w:divsChild>
        </w:div>
        <w:div w:id="1229344732">
          <w:marLeft w:val="0"/>
          <w:marRight w:val="0"/>
          <w:marTop w:val="0"/>
          <w:marBottom w:val="0"/>
          <w:divBdr>
            <w:top w:val="none" w:sz="0" w:space="0" w:color="auto"/>
            <w:left w:val="none" w:sz="0" w:space="0" w:color="auto"/>
            <w:bottom w:val="none" w:sz="0" w:space="0" w:color="auto"/>
            <w:right w:val="none" w:sz="0" w:space="0" w:color="auto"/>
          </w:divBdr>
          <w:divsChild>
            <w:div w:id="636960120">
              <w:marLeft w:val="0"/>
              <w:marRight w:val="0"/>
              <w:marTop w:val="0"/>
              <w:marBottom w:val="0"/>
              <w:divBdr>
                <w:top w:val="none" w:sz="0" w:space="0" w:color="auto"/>
                <w:left w:val="none" w:sz="0" w:space="0" w:color="auto"/>
                <w:bottom w:val="none" w:sz="0" w:space="0" w:color="auto"/>
                <w:right w:val="none" w:sz="0" w:space="0" w:color="auto"/>
              </w:divBdr>
            </w:div>
          </w:divsChild>
        </w:div>
        <w:div w:id="1133402767">
          <w:marLeft w:val="0"/>
          <w:marRight w:val="0"/>
          <w:marTop w:val="0"/>
          <w:marBottom w:val="0"/>
          <w:divBdr>
            <w:top w:val="none" w:sz="0" w:space="0" w:color="auto"/>
            <w:left w:val="none" w:sz="0" w:space="0" w:color="auto"/>
            <w:bottom w:val="none" w:sz="0" w:space="0" w:color="auto"/>
            <w:right w:val="none" w:sz="0" w:space="0" w:color="auto"/>
          </w:divBdr>
          <w:divsChild>
            <w:div w:id="1346248785">
              <w:marLeft w:val="0"/>
              <w:marRight w:val="0"/>
              <w:marTop w:val="0"/>
              <w:marBottom w:val="0"/>
              <w:divBdr>
                <w:top w:val="none" w:sz="0" w:space="0" w:color="auto"/>
                <w:left w:val="none" w:sz="0" w:space="0" w:color="auto"/>
                <w:bottom w:val="none" w:sz="0" w:space="0" w:color="auto"/>
                <w:right w:val="none" w:sz="0" w:space="0" w:color="auto"/>
              </w:divBdr>
            </w:div>
          </w:divsChild>
        </w:div>
        <w:div w:id="1688560413">
          <w:marLeft w:val="0"/>
          <w:marRight w:val="0"/>
          <w:marTop w:val="0"/>
          <w:marBottom w:val="0"/>
          <w:divBdr>
            <w:top w:val="none" w:sz="0" w:space="0" w:color="auto"/>
            <w:left w:val="none" w:sz="0" w:space="0" w:color="auto"/>
            <w:bottom w:val="none" w:sz="0" w:space="0" w:color="auto"/>
            <w:right w:val="none" w:sz="0" w:space="0" w:color="auto"/>
          </w:divBdr>
          <w:divsChild>
            <w:div w:id="1434744840">
              <w:marLeft w:val="0"/>
              <w:marRight w:val="0"/>
              <w:marTop w:val="0"/>
              <w:marBottom w:val="0"/>
              <w:divBdr>
                <w:top w:val="none" w:sz="0" w:space="0" w:color="auto"/>
                <w:left w:val="none" w:sz="0" w:space="0" w:color="auto"/>
                <w:bottom w:val="none" w:sz="0" w:space="0" w:color="auto"/>
                <w:right w:val="none" w:sz="0" w:space="0" w:color="auto"/>
              </w:divBdr>
            </w:div>
          </w:divsChild>
        </w:div>
        <w:div w:id="1143616676">
          <w:marLeft w:val="0"/>
          <w:marRight w:val="0"/>
          <w:marTop w:val="0"/>
          <w:marBottom w:val="0"/>
          <w:divBdr>
            <w:top w:val="none" w:sz="0" w:space="0" w:color="auto"/>
            <w:left w:val="none" w:sz="0" w:space="0" w:color="auto"/>
            <w:bottom w:val="none" w:sz="0" w:space="0" w:color="auto"/>
            <w:right w:val="none" w:sz="0" w:space="0" w:color="auto"/>
          </w:divBdr>
          <w:divsChild>
            <w:div w:id="2066566338">
              <w:marLeft w:val="0"/>
              <w:marRight w:val="0"/>
              <w:marTop w:val="0"/>
              <w:marBottom w:val="0"/>
              <w:divBdr>
                <w:top w:val="none" w:sz="0" w:space="0" w:color="auto"/>
                <w:left w:val="none" w:sz="0" w:space="0" w:color="auto"/>
                <w:bottom w:val="none" w:sz="0" w:space="0" w:color="auto"/>
                <w:right w:val="none" w:sz="0" w:space="0" w:color="auto"/>
              </w:divBdr>
            </w:div>
          </w:divsChild>
        </w:div>
        <w:div w:id="649331245">
          <w:marLeft w:val="0"/>
          <w:marRight w:val="0"/>
          <w:marTop w:val="0"/>
          <w:marBottom w:val="0"/>
          <w:divBdr>
            <w:top w:val="none" w:sz="0" w:space="0" w:color="auto"/>
            <w:left w:val="none" w:sz="0" w:space="0" w:color="auto"/>
            <w:bottom w:val="none" w:sz="0" w:space="0" w:color="auto"/>
            <w:right w:val="none" w:sz="0" w:space="0" w:color="auto"/>
          </w:divBdr>
          <w:divsChild>
            <w:div w:id="2118715880">
              <w:marLeft w:val="0"/>
              <w:marRight w:val="0"/>
              <w:marTop w:val="0"/>
              <w:marBottom w:val="0"/>
              <w:divBdr>
                <w:top w:val="none" w:sz="0" w:space="0" w:color="auto"/>
                <w:left w:val="none" w:sz="0" w:space="0" w:color="auto"/>
                <w:bottom w:val="none" w:sz="0" w:space="0" w:color="auto"/>
                <w:right w:val="none" w:sz="0" w:space="0" w:color="auto"/>
              </w:divBdr>
            </w:div>
          </w:divsChild>
        </w:div>
        <w:div w:id="1600526918">
          <w:marLeft w:val="0"/>
          <w:marRight w:val="0"/>
          <w:marTop w:val="0"/>
          <w:marBottom w:val="0"/>
          <w:divBdr>
            <w:top w:val="none" w:sz="0" w:space="0" w:color="auto"/>
            <w:left w:val="none" w:sz="0" w:space="0" w:color="auto"/>
            <w:bottom w:val="none" w:sz="0" w:space="0" w:color="auto"/>
            <w:right w:val="none" w:sz="0" w:space="0" w:color="auto"/>
          </w:divBdr>
          <w:divsChild>
            <w:div w:id="329259169">
              <w:marLeft w:val="0"/>
              <w:marRight w:val="0"/>
              <w:marTop w:val="0"/>
              <w:marBottom w:val="0"/>
              <w:divBdr>
                <w:top w:val="none" w:sz="0" w:space="0" w:color="auto"/>
                <w:left w:val="none" w:sz="0" w:space="0" w:color="auto"/>
                <w:bottom w:val="none" w:sz="0" w:space="0" w:color="auto"/>
                <w:right w:val="none" w:sz="0" w:space="0" w:color="auto"/>
              </w:divBdr>
            </w:div>
          </w:divsChild>
        </w:div>
        <w:div w:id="746733303">
          <w:marLeft w:val="0"/>
          <w:marRight w:val="0"/>
          <w:marTop w:val="0"/>
          <w:marBottom w:val="0"/>
          <w:divBdr>
            <w:top w:val="none" w:sz="0" w:space="0" w:color="auto"/>
            <w:left w:val="none" w:sz="0" w:space="0" w:color="auto"/>
            <w:bottom w:val="none" w:sz="0" w:space="0" w:color="auto"/>
            <w:right w:val="none" w:sz="0" w:space="0" w:color="auto"/>
          </w:divBdr>
          <w:divsChild>
            <w:div w:id="283729844">
              <w:marLeft w:val="0"/>
              <w:marRight w:val="0"/>
              <w:marTop w:val="0"/>
              <w:marBottom w:val="0"/>
              <w:divBdr>
                <w:top w:val="none" w:sz="0" w:space="0" w:color="auto"/>
                <w:left w:val="none" w:sz="0" w:space="0" w:color="auto"/>
                <w:bottom w:val="none" w:sz="0" w:space="0" w:color="auto"/>
                <w:right w:val="none" w:sz="0" w:space="0" w:color="auto"/>
              </w:divBdr>
            </w:div>
          </w:divsChild>
        </w:div>
        <w:div w:id="1585727577">
          <w:marLeft w:val="0"/>
          <w:marRight w:val="0"/>
          <w:marTop w:val="0"/>
          <w:marBottom w:val="0"/>
          <w:divBdr>
            <w:top w:val="none" w:sz="0" w:space="0" w:color="auto"/>
            <w:left w:val="none" w:sz="0" w:space="0" w:color="auto"/>
            <w:bottom w:val="none" w:sz="0" w:space="0" w:color="auto"/>
            <w:right w:val="none" w:sz="0" w:space="0" w:color="auto"/>
          </w:divBdr>
          <w:divsChild>
            <w:div w:id="896742323">
              <w:marLeft w:val="0"/>
              <w:marRight w:val="0"/>
              <w:marTop w:val="0"/>
              <w:marBottom w:val="0"/>
              <w:divBdr>
                <w:top w:val="none" w:sz="0" w:space="0" w:color="auto"/>
                <w:left w:val="none" w:sz="0" w:space="0" w:color="auto"/>
                <w:bottom w:val="none" w:sz="0" w:space="0" w:color="auto"/>
                <w:right w:val="none" w:sz="0" w:space="0" w:color="auto"/>
              </w:divBdr>
            </w:div>
          </w:divsChild>
        </w:div>
        <w:div w:id="1064639278">
          <w:marLeft w:val="0"/>
          <w:marRight w:val="0"/>
          <w:marTop w:val="0"/>
          <w:marBottom w:val="0"/>
          <w:divBdr>
            <w:top w:val="none" w:sz="0" w:space="0" w:color="auto"/>
            <w:left w:val="none" w:sz="0" w:space="0" w:color="auto"/>
            <w:bottom w:val="none" w:sz="0" w:space="0" w:color="auto"/>
            <w:right w:val="none" w:sz="0" w:space="0" w:color="auto"/>
          </w:divBdr>
          <w:divsChild>
            <w:div w:id="256527934">
              <w:marLeft w:val="0"/>
              <w:marRight w:val="0"/>
              <w:marTop w:val="0"/>
              <w:marBottom w:val="0"/>
              <w:divBdr>
                <w:top w:val="none" w:sz="0" w:space="0" w:color="auto"/>
                <w:left w:val="none" w:sz="0" w:space="0" w:color="auto"/>
                <w:bottom w:val="none" w:sz="0" w:space="0" w:color="auto"/>
                <w:right w:val="none" w:sz="0" w:space="0" w:color="auto"/>
              </w:divBdr>
            </w:div>
          </w:divsChild>
        </w:div>
        <w:div w:id="1590893993">
          <w:marLeft w:val="0"/>
          <w:marRight w:val="0"/>
          <w:marTop w:val="0"/>
          <w:marBottom w:val="0"/>
          <w:divBdr>
            <w:top w:val="none" w:sz="0" w:space="0" w:color="auto"/>
            <w:left w:val="none" w:sz="0" w:space="0" w:color="auto"/>
            <w:bottom w:val="none" w:sz="0" w:space="0" w:color="auto"/>
            <w:right w:val="none" w:sz="0" w:space="0" w:color="auto"/>
          </w:divBdr>
          <w:divsChild>
            <w:div w:id="1431124071">
              <w:marLeft w:val="0"/>
              <w:marRight w:val="0"/>
              <w:marTop w:val="0"/>
              <w:marBottom w:val="0"/>
              <w:divBdr>
                <w:top w:val="none" w:sz="0" w:space="0" w:color="auto"/>
                <w:left w:val="none" w:sz="0" w:space="0" w:color="auto"/>
                <w:bottom w:val="none" w:sz="0" w:space="0" w:color="auto"/>
                <w:right w:val="none" w:sz="0" w:space="0" w:color="auto"/>
              </w:divBdr>
            </w:div>
          </w:divsChild>
        </w:div>
        <w:div w:id="1262840879">
          <w:marLeft w:val="0"/>
          <w:marRight w:val="0"/>
          <w:marTop w:val="0"/>
          <w:marBottom w:val="0"/>
          <w:divBdr>
            <w:top w:val="none" w:sz="0" w:space="0" w:color="auto"/>
            <w:left w:val="none" w:sz="0" w:space="0" w:color="auto"/>
            <w:bottom w:val="none" w:sz="0" w:space="0" w:color="auto"/>
            <w:right w:val="none" w:sz="0" w:space="0" w:color="auto"/>
          </w:divBdr>
          <w:divsChild>
            <w:div w:id="1877740697">
              <w:marLeft w:val="0"/>
              <w:marRight w:val="0"/>
              <w:marTop w:val="0"/>
              <w:marBottom w:val="0"/>
              <w:divBdr>
                <w:top w:val="none" w:sz="0" w:space="0" w:color="auto"/>
                <w:left w:val="none" w:sz="0" w:space="0" w:color="auto"/>
                <w:bottom w:val="none" w:sz="0" w:space="0" w:color="auto"/>
                <w:right w:val="none" w:sz="0" w:space="0" w:color="auto"/>
              </w:divBdr>
            </w:div>
          </w:divsChild>
        </w:div>
        <w:div w:id="149106088">
          <w:marLeft w:val="0"/>
          <w:marRight w:val="0"/>
          <w:marTop w:val="0"/>
          <w:marBottom w:val="0"/>
          <w:divBdr>
            <w:top w:val="none" w:sz="0" w:space="0" w:color="auto"/>
            <w:left w:val="none" w:sz="0" w:space="0" w:color="auto"/>
            <w:bottom w:val="none" w:sz="0" w:space="0" w:color="auto"/>
            <w:right w:val="none" w:sz="0" w:space="0" w:color="auto"/>
          </w:divBdr>
          <w:divsChild>
            <w:div w:id="41223225">
              <w:marLeft w:val="0"/>
              <w:marRight w:val="0"/>
              <w:marTop w:val="0"/>
              <w:marBottom w:val="0"/>
              <w:divBdr>
                <w:top w:val="none" w:sz="0" w:space="0" w:color="auto"/>
                <w:left w:val="none" w:sz="0" w:space="0" w:color="auto"/>
                <w:bottom w:val="none" w:sz="0" w:space="0" w:color="auto"/>
                <w:right w:val="none" w:sz="0" w:space="0" w:color="auto"/>
              </w:divBdr>
            </w:div>
          </w:divsChild>
        </w:div>
        <w:div w:id="2046786073">
          <w:marLeft w:val="0"/>
          <w:marRight w:val="0"/>
          <w:marTop w:val="0"/>
          <w:marBottom w:val="0"/>
          <w:divBdr>
            <w:top w:val="none" w:sz="0" w:space="0" w:color="auto"/>
            <w:left w:val="none" w:sz="0" w:space="0" w:color="auto"/>
            <w:bottom w:val="none" w:sz="0" w:space="0" w:color="auto"/>
            <w:right w:val="none" w:sz="0" w:space="0" w:color="auto"/>
          </w:divBdr>
          <w:divsChild>
            <w:div w:id="191766273">
              <w:marLeft w:val="0"/>
              <w:marRight w:val="0"/>
              <w:marTop w:val="0"/>
              <w:marBottom w:val="0"/>
              <w:divBdr>
                <w:top w:val="none" w:sz="0" w:space="0" w:color="auto"/>
                <w:left w:val="none" w:sz="0" w:space="0" w:color="auto"/>
                <w:bottom w:val="none" w:sz="0" w:space="0" w:color="auto"/>
                <w:right w:val="none" w:sz="0" w:space="0" w:color="auto"/>
              </w:divBdr>
            </w:div>
          </w:divsChild>
        </w:div>
        <w:div w:id="1449810503">
          <w:marLeft w:val="0"/>
          <w:marRight w:val="0"/>
          <w:marTop w:val="0"/>
          <w:marBottom w:val="0"/>
          <w:divBdr>
            <w:top w:val="none" w:sz="0" w:space="0" w:color="auto"/>
            <w:left w:val="none" w:sz="0" w:space="0" w:color="auto"/>
            <w:bottom w:val="none" w:sz="0" w:space="0" w:color="auto"/>
            <w:right w:val="none" w:sz="0" w:space="0" w:color="auto"/>
          </w:divBdr>
          <w:divsChild>
            <w:div w:id="1161504352">
              <w:marLeft w:val="0"/>
              <w:marRight w:val="0"/>
              <w:marTop w:val="0"/>
              <w:marBottom w:val="0"/>
              <w:divBdr>
                <w:top w:val="none" w:sz="0" w:space="0" w:color="auto"/>
                <w:left w:val="none" w:sz="0" w:space="0" w:color="auto"/>
                <w:bottom w:val="none" w:sz="0" w:space="0" w:color="auto"/>
                <w:right w:val="none" w:sz="0" w:space="0" w:color="auto"/>
              </w:divBdr>
            </w:div>
          </w:divsChild>
        </w:div>
        <w:div w:id="14115707">
          <w:marLeft w:val="0"/>
          <w:marRight w:val="0"/>
          <w:marTop w:val="0"/>
          <w:marBottom w:val="0"/>
          <w:divBdr>
            <w:top w:val="none" w:sz="0" w:space="0" w:color="auto"/>
            <w:left w:val="none" w:sz="0" w:space="0" w:color="auto"/>
            <w:bottom w:val="none" w:sz="0" w:space="0" w:color="auto"/>
            <w:right w:val="none" w:sz="0" w:space="0" w:color="auto"/>
          </w:divBdr>
          <w:divsChild>
            <w:div w:id="1769815374">
              <w:marLeft w:val="0"/>
              <w:marRight w:val="0"/>
              <w:marTop w:val="0"/>
              <w:marBottom w:val="0"/>
              <w:divBdr>
                <w:top w:val="none" w:sz="0" w:space="0" w:color="auto"/>
                <w:left w:val="none" w:sz="0" w:space="0" w:color="auto"/>
                <w:bottom w:val="none" w:sz="0" w:space="0" w:color="auto"/>
                <w:right w:val="none" w:sz="0" w:space="0" w:color="auto"/>
              </w:divBdr>
            </w:div>
          </w:divsChild>
        </w:div>
        <w:div w:id="348987898">
          <w:marLeft w:val="0"/>
          <w:marRight w:val="0"/>
          <w:marTop w:val="0"/>
          <w:marBottom w:val="0"/>
          <w:divBdr>
            <w:top w:val="none" w:sz="0" w:space="0" w:color="auto"/>
            <w:left w:val="none" w:sz="0" w:space="0" w:color="auto"/>
            <w:bottom w:val="none" w:sz="0" w:space="0" w:color="auto"/>
            <w:right w:val="none" w:sz="0" w:space="0" w:color="auto"/>
          </w:divBdr>
          <w:divsChild>
            <w:div w:id="2018385699">
              <w:marLeft w:val="0"/>
              <w:marRight w:val="0"/>
              <w:marTop w:val="0"/>
              <w:marBottom w:val="0"/>
              <w:divBdr>
                <w:top w:val="none" w:sz="0" w:space="0" w:color="auto"/>
                <w:left w:val="none" w:sz="0" w:space="0" w:color="auto"/>
                <w:bottom w:val="none" w:sz="0" w:space="0" w:color="auto"/>
                <w:right w:val="none" w:sz="0" w:space="0" w:color="auto"/>
              </w:divBdr>
            </w:div>
          </w:divsChild>
        </w:div>
        <w:div w:id="72901313">
          <w:marLeft w:val="0"/>
          <w:marRight w:val="0"/>
          <w:marTop w:val="0"/>
          <w:marBottom w:val="0"/>
          <w:divBdr>
            <w:top w:val="none" w:sz="0" w:space="0" w:color="auto"/>
            <w:left w:val="none" w:sz="0" w:space="0" w:color="auto"/>
            <w:bottom w:val="none" w:sz="0" w:space="0" w:color="auto"/>
            <w:right w:val="none" w:sz="0" w:space="0" w:color="auto"/>
          </w:divBdr>
          <w:divsChild>
            <w:div w:id="2041082851">
              <w:marLeft w:val="0"/>
              <w:marRight w:val="0"/>
              <w:marTop w:val="0"/>
              <w:marBottom w:val="0"/>
              <w:divBdr>
                <w:top w:val="none" w:sz="0" w:space="0" w:color="auto"/>
                <w:left w:val="none" w:sz="0" w:space="0" w:color="auto"/>
                <w:bottom w:val="none" w:sz="0" w:space="0" w:color="auto"/>
                <w:right w:val="none" w:sz="0" w:space="0" w:color="auto"/>
              </w:divBdr>
            </w:div>
          </w:divsChild>
        </w:div>
        <w:div w:id="485705822">
          <w:marLeft w:val="0"/>
          <w:marRight w:val="0"/>
          <w:marTop w:val="0"/>
          <w:marBottom w:val="0"/>
          <w:divBdr>
            <w:top w:val="none" w:sz="0" w:space="0" w:color="auto"/>
            <w:left w:val="none" w:sz="0" w:space="0" w:color="auto"/>
            <w:bottom w:val="none" w:sz="0" w:space="0" w:color="auto"/>
            <w:right w:val="none" w:sz="0" w:space="0" w:color="auto"/>
          </w:divBdr>
          <w:divsChild>
            <w:div w:id="431049527">
              <w:marLeft w:val="0"/>
              <w:marRight w:val="0"/>
              <w:marTop w:val="0"/>
              <w:marBottom w:val="0"/>
              <w:divBdr>
                <w:top w:val="none" w:sz="0" w:space="0" w:color="auto"/>
                <w:left w:val="none" w:sz="0" w:space="0" w:color="auto"/>
                <w:bottom w:val="none" w:sz="0" w:space="0" w:color="auto"/>
                <w:right w:val="none" w:sz="0" w:space="0" w:color="auto"/>
              </w:divBdr>
            </w:div>
          </w:divsChild>
        </w:div>
        <w:div w:id="1513106715">
          <w:marLeft w:val="0"/>
          <w:marRight w:val="0"/>
          <w:marTop w:val="0"/>
          <w:marBottom w:val="0"/>
          <w:divBdr>
            <w:top w:val="none" w:sz="0" w:space="0" w:color="auto"/>
            <w:left w:val="none" w:sz="0" w:space="0" w:color="auto"/>
            <w:bottom w:val="none" w:sz="0" w:space="0" w:color="auto"/>
            <w:right w:val="none" w:sz="0" w:space="0" w:color="auto"/>
          </w:divBdr>
          <w:divsChild>
            <w:div w:id="1447043874">
              <w:marLeft w:val="0"/>
              <w:marRight w:val="0"/>
              <w:marTop w:val="0"/>
              <w:marBottom w:val="0"/>
              <w:divBdr>
                <w:top w:val="none" w:sz="0" w:space="0" w:color="auto"/>
                <w:left w:val="none" w:sz="0" w:space="0" w:color="auto"/>
                <w:bottom w:val="none" w:sz="0" w:space="0" w:color="auto"/>
                <w:right w:val="none" w:sz="0" w:space="0" w:color="auto"/>
              </w:divBdr>
            </w:div>
          </w:divsChild>
        </w:div>
        <w:div w:id="794640730">
          <w:marLeft w:val="0"/>
          <w:marRight w:val="0"/>
          <w:marTop w:val="0"/>
          <w:marBottom w:val="0"/>
          <w:divBdr>
            <w:top w:val="none" w:sz="0" w:space="0" w:color="auto"/>
            <w:left w:val="none" w:sz="0" w:space="0" w:color="auto"/>
            <w:bottom w:val="none" w:sz="0" w:space="0" w:color="auto"/>
            <w:right w:val="none" w:sz="0" w:space="0" w:color="auto"/>
          </w:divBdr>
          <w:divsChild>
            <w:div w:id="2143187984">
              <w:marLeft w:val="0"/>
              <w:marRight w:val="0"/>
              <w:marTop w:val="0"/>
              <w:marBottom w:val="0"/>
              <w:divBdr>
                <w:top w:val="none" w:sz="0" w:space="0" w:color="auto"/>
                <w:left w:val="none" w:sz="0" w:space="0" w:color="auto"/>
                <w:bottom w:val="none" w:sz="0" w:space="0" w:color="auto"/>
                <w:right w:val="none" w:sz="0" w:space="0" w:color="auto"/>
              </w:divBdr>
            </w:div>
          </w:divsChild>
        </w:div>
        <w:div w:id="575213904">
          <w:marLeft w:val="0"/>
          <w:marRight w:val="0"/>
          <w:marTop w:val="0"/>
          <w:marBottom w:val="0"/>
          <w:divBdr>
            <w:top w:val="none" w:sz="0" w:space="0" w:color="auto"/>
            <w:left w:val="none" w:sz="0" w:space="0" w:color="auto"/>
            <w:bottom w:val="none" w:sz="0" w:space="0" w:color="auto"/>
            <w:right w:val="none" w:sz="0" w:space="0" w:color="auto"/>
          </w:divBdr>
          <w:divsChild>
            <w:div w:id="749696529">
              <w:marLeft w:val="0"/>
              <w:marRight w:val="0"/>
              <w:marTop w:val="0"/>
              <w:marBottom w:val="0"/>
              <w:divBdr>
                <w:top w:val="none" w:sz="0" w:space="0" w:color="auto"/>
                <w:left w:val="none" w:sz="0" w:space="0" w:color="auto"/>
                <w:bottom w:val="none" w:sz="0" w:space="0" w:color="auto"/>
                <w:right w:val="none" w:sz="0" w:space="0" w:color="auto"/>
              </w:divBdr>
            </w:div>
          </w:divsChild>
        </w:div>
        <w:div w:id="1848203988">
          <w:marLeft w:val="0"/>
          <w:marRight w:val="0"/>
          <w:marTop w:val="0"/>
          <w:marBottom w:val="0"/>
          <w:divBdr>
            <w:top w:val="none" w:sz="0" w:space="0" w:color="auto"/>
            <w:left w:val="none" w:sz="0" w:space="0" w:color="auto"/>
            <w:bottom w:val="none" w:sz="0" w:space="0" w:color="auto"/>
            <w:right w:val="none" w:sz="0" w:space="0" w:color="auto"/>
          </w:divBdr>
          <w:divsChild>
            <w:div w:id="1218275131">
              <w:marLeft w:val="0"/>
              <w:marRight w:val="0"/>
              <w:marTop w:val="0"/>
              <w:marBottom w:val="0"/>
              <w:divBdr>
                <w:top w:val="none" w:sz="0" w:space="0" w:color="auto"/>
                <w:left w:val="none" w:sz="0" w:space="0" w:color="auto"/>
                <w:bottom w:val="none" w:sz="0" w:space="0" w:color="auto"/>
                <w:right w:val="none" w:sz="0" w:space="0" w:color="auto"/>
              </w:divBdr>
            </w:div>
          </w:divsChild>
        </w:div>
        <w:div w:id="1780222579">
          <w:marLeft w:val="0"/>
          <w:marRight w:val="0"/>
          <w:marTop w:val="0"/>
          <w:marBottom w:val="0"/>
          <w:divBdr>
            <w:top w:val="none" w:sz="0" w:space="0" w:color="auto"/>
            <w:left w:val="none" w:sz="0" w:space="0" w:color="auto"/>
            <w:bottom w:val="none" w:sz="0" w:space="0" w:color="auto"/>
            <w:right w:val="none" w:sz="0" w:space="0" w:color="auto"/>
          </w:divBdr>
          <w:divsChild>
            <w:div w:id="338191400">
              <w:marLeft w:val="0"/>
              <w:marRight w:val="0"/>
              <w:marTop w:val="0"/>
              <w:marBottom w:val="0"/>
              <w:divBdr>
                <w:top w:val="none" w:sz="0" w:space="0" w:color="auto"/>
                <w:left w:val="none" w:sz="0" w:space="0" w:color="auto"/>
                <w:bottom w:val="none" w:sz="0" w:space="0" w:color="auto"/>
                <w:right w:val="none" w:sz="0" w:space="0" w:color="auto"/>
              </w:divBdr>
            </w:div>
          </w:divsChild>
        </w:div>
        <w:div w:id="210578314">
          <w:marLeft w:val="0"/>
          <w:marRight w:val="0"/>
          <w:marTop w:val="0"/>
          <w:marBottom w:val="0"/>
          <w:divBdr>
            <w:top w:val="none" w:sz="0" w:space="0" w:color="auto"/>
            <w:left w:val="none" w:sz="0" w:space="0" w:color="auto"/>
            <w:bottom w:val="none" w:sz="0" w:space="0" w:color="auto"/>
            <w:right w:val="none" w:sz="0" w:space="0" w:color="auto"/>
          </w:divBdr>
          <w:divsChild>
            <w:div w:id="1453131243">
              <w:marLeft w:val="0"/>
              <w:marRight w:val="0"/>
              <w:marTop w:val="0"/>
              <w:marBottom w:val="0"/>
              <w:divBdr>
                <w:top w:val="none" w:sz="0" w:space="0" w:color="auto"/>
                <w:left w:val="none" w:sz="0" w:space="0" w:color="auto"/>
                <w:bottom w:val="none" w:sz="0" w:space="0" w:color="auto"/>
                <w:right w:val="none" w:sz="0" w:space="0" w:color="auto"/>
              </w:divBdr>
            </w:div>
          </w:divsChild>
        </w:div>
        <w:div w:id="1598369832">
          <w:marLeft w:val="0"/>
          <w:marRight w:val="0"/>
          <w:marTop w:val="0"/>
          <w:marBottom w:val="0"/>
          <w:divBdr>
            <w:top w:val="none" w:sz="0" w:space="0" w:color="auto"/>
            <w:left w:val="none" w:sz="0" w:space="0" w:color="auto"/>
            <w:bottom w:val="none" w:sz="0" w:space="0" w:color="auto"/>
            <w:right w:val="none" w:sz="0" w:space="0" w:color="auto"/>
          </w:divBdr>
          <w:divsChild>
            <w:div w:id="1553928316">
              <w:marLeft w:val="0"/>
              <w:marRight w:val="0"/>
              <w:marTop w:val="0"/>
              <w:marBottom w:val="0"/>
              <w:divBdr>
                <w:top w:val="none" w:sz="0" w:space="0" w:color="auto"/>
                <w:left w:val="none" w:sz="0" w:space="0" w:color="auto"/>
                <w:bottom w:val="none" w:sz="0" w:space="0" w:color="auto"/>
                <w:right w:val="none" w:sz="0" w:space="0" w:color="auto"/>
              </w:divBdr>
            </w:div>
          </w:divsChild>
        </w:div>
        <w:div w:id="1640918591">
          <w:marLeft w:val="0"/>
          <w:marRight w:val="0"/>
          <w:marTop w:val="0"/>
          <w:marBottom w:val="0"/>
          <w:divBdr>
            <w:top w:val="none" w:sz="0" w:space="0" w:color="auto"/>
            <w:left w:val="none" w:sz="0" w:space="0" w:color="auto"/>
            <w:bottom w:val="none" w:sz="0" w:space="0" w:color="auto"/>
            <w:right w:val="none" w:sz="0" w:space="0" w:color="auto"/>
          </w:divBdr>
          <w:divsChild>
            <w:div w:id="142311152">
              <w:marLeft w:val="0"/>
              <w:marRight w:val="0"/>
              <w:marTop w:val="0"/>
              <w:marBottom w:val="0"/>
              <w:divBdr>
                <w:top w:val="none" w:sz="0" w:space="0" w:color="auto"/>
                <w:left w:val="none" w:sz="0" w:space="0" w:color="auto"/>
                <w:bottom w:val="none" w:sz="0" w:space="0" w:color="auto"/>
                <w:right w:val="none" w:sz="0" w:space="0" w:color="auto"/>
              </w:divBdr>
            </w:div>
          </w:divsChild>
        </w:div>
        <w:div w:id="469908089">
          <w:marLeft w:val="0"/>
          <w:marRight w:val="0"/>
          <w:marTop w:val="0"/>
          <w:marBottom w:val="0"/>
          <w:divBdr>
            <w:top w:val="none" w:sz="0" w:space="0" w:color="auto"/>
            <w:left w:val="none" w:sz="0" w:space="0" w:color="auto"/>
            <w:bottom w:val="none" w:sz="0" w:space="0" w:color="auto"/>
            <w:right w:val="none" w:sz="0" w:space="0" w:color="auto"/>
          </w:divBdr>
          <w:divsChild>
            <w:div w:id="296303627">
              <w:marLeft w:val="0"/>
              <w:marRight w:val="0"/>
              <w:marTop w:val="0"/>
              <w:marBottom w:val="0"/>
              <w:divBdr>
                <w:top w:val="none" w:sz="0" w:space="0" w:color="auto"/>
                <w:left w:val="none" w:sz="0" w:space="0" w:color="auto"/>
                <w:bottom w:val="none" w:sz="0" w:space="0" w:color="auto"/>
                <w:right w:val="none" w:sz="0" w:space="0" w:color="auto"/>
              </w:divBdr>
            </w:div>
          </w:divsChild>
        </w:div>
        <w:div w:id="992295244">
          <w:marLeft w:val="0"/>
          <w:marRight w:val="0"/>
          <w:marTop w:val="0"/>
          <w:marBottom w:val="0"/>
          <w:divBdr>
            <w:top w:val="none" w:sz="0" w:space="0" w:color="auto"/>
            <w:left w:val="none" w:sz="0" w:space="0" w:color="auto"/>
            <w:bottom w:val="none" w:sz="0" w:space="0" w:color="auto"/>
            <w:right w:val="none" w:sz="0" w:space="0" w:color="auto"/>
          </w:divBdr>
          <w:divsChild>
            <w:div w:id="1605307761">
              <w:marLeft w:val="0"/>
              <w:marRight w:val="0"/>
              <w:marTop w:val="0"/>
              <w:marBottom w:val="0"/>
              <w:divBdr>
                <w:top w:val="none" w:sz="0" w:space="0" w:color="auto"/>
                <w:left w:val="none" w:sz="0" w:space="0" w:color="auto"/>
                <w:bottom w:val="none" w:sz="0" w:space="0" w:color="auto"/>
                <w:right w:val="none" w:sz="0" w:space="0" w:color="auto"/>
              </w:divBdr>
            </w:div>
          </w:divsChild>
        </w:div>
        <w:div w:id="1280184281">
          <w:marLeft w:val="0"/>
          <w:marRight w:val="0"/>
          <w:marTop w:val="0"/>
          <w:marBottom w:val="0"/>
          <w:divBdr>
            <w:top w:val="none" w:sz="0" w:space="0" w:color="auto"/>
            <w:left w:val="none" w:sz="0" w:space="0" w:color="auto"/>
            <w:bottom w:val="none" w:sz="0" w:space="0" w:color="auto"/>
            <w:right w:val="none" w:sz="0" w:space="0" w:color="auto"/>
          </w:divBdr>
          <w:divsChild>
            <w:div w:id="531694230">
              <w:marLeft w:val="0"/>
              <w:marRight w:val="0"/>
              <w:marTop w:val="0"/>
              <w:marBottom w:val="0"/>
              <w:divBdr>
                <w:top w:val="none" w:sz="0" w:space="0" w:color="auto"/>
                <w:left w:val="none" w:sz="0" w:space="0" w:color="auto"/>
                <w:bottom w:val="none" w:sz="0" w:space="0" w:color="auto"/>
                <w:right w:val="none" w:sz="0" w:space="0" w:color="auto"/>
              </w:divBdr>
            </w:div>
          </w:divsChild>
        </w:div>
        <w:div w:id="790783149">
          <w:marLeft w:val="0"/>
          <w:marRight w:val="0"/>
          <w:marTop w:val="0"/>
          <w:marBottom w:val="0"/>
          <w:divBdr>
            <w:top w:val="none" w:sz="0" w:space="0" w:color="auto"/>
            <w:left w:val="none" w:sz="0" w:space="0" w:color="auto"/>
            <w:bottom w:val="none" w:sz="0" w:space="0" w:color="auto"/>
            <w:right w:val="none" w:sz="0" w:space="0" w:color="auto"/>
          </w:divBdr>
          <w:divsChild>
            <w:div w:id="167255323">
              <w:marLeft w:val="0"/>
              <w:marRight w:val="0"/>
              <w:marTop w:val="0"/>
              <w:marBottom w:val="0"/>
              <w:divBdr>
                <w:top w:val="none" w:sz="0" w:space="0" w:color="auto"/>
                <w:left w:val="none" w:sz="0" w:space="0" w:color="auto"/>
                <w:bottom w:val="none" w:sz="0" w:space="0" w:color="auto"/>
                <w:right w:val="none" w:sz="0" w:space="0" w:color="auto"/>
              </w:divBdr>
            </w:div>
          </w:divsChild>
        </w:div>
        <w:div w:id="331177129">
          <w:marLeft w:val="0"/>
          <w:marRight w:val="0"/>
          <w:marTop w:val="0"/>
          <w:marBottom w:val="0"/>
          <w:divBdr>
            <w:top w:val="none" w:sz="0" w:space="0" w:color="auto"/>
            <w:left w:val="none" w:sz="0" w:space="0" w:color="auto"/>
            <w:bottom w:val="none" w:sz="0" w:space="0" w:color="auto"/>
            <w:right w:val="none" w:sz="0" w:space="0" w:color="auto"/>
          </w:divBdr>
          <w:divsChild>
            <w:div w:id="1886672732">
              <w:marLeft w:val="0"/>
              <w:marRight w:val="0"/>
              <w:marTop w:val="0"/>
              <w:marBottom w:val="0"/>
              <w:divBdr>
                <w:top w:val="none" w:sz="0" w:space="0" w:color="auto"/>
                <w:left w:val="none" w:sz="0" w:space="0" w:color="auto"/>
                <w:bottom w:val="none" w:sz="0" w:space="0" w:color="auto"/>
                <w:right w:val="none" w:sz="0" w:space="0" w:color="auto"/>
              </w:divBdr>
            </w:div>
          </w:divsChild>
        </w:div>
        <w:div w:id="632708827">
          <w:marLeft w:val="0"/>
          <w:marRight w:val="0"/>
          <w:marTop w:val="0"/>
          <w:marBottom w:val="0"/>
          <w:divBdr>
            <w:top w:val="none" w:sz="0" w:space="0" w:color="auto"/>
            <w:left w:val="none" w:sz="0" w:space="0" w:color="auto"/>
            <w:bottom w:val="none" w:sz="0" w:space="0" w:color="auto"/>
            <w:right w:val="none" w:sz="0" w:space="0" w:color="auto"/>
          </w:divBdr>
          <w:divsChild>
            <w:div w:id="1705010734">
              <w:marLeft w:val="0"/>
              <w:marRight w:val="0"/>
              <w:marTop w:val="0"/>
              <w:marBottom w:val="0"/>
              <w:divBdr>
                <w:top w:val="none" w:sz="0" w:space="0" w:color="auto"/>
                <w:left w:val="none" w:sz="0" w:space="0" w:color="auto"/>
                <w:bottom w:val="none" w:sz="0" w:space="0" w:color="auto"/>
                <w:right w:val="none" w:sz="0" w:space="0" w:color="auto"/>
              </w:divBdr>
            </w:div>
          </w:divsChild>
        </w:div>
        <w:div w:id="1843662494">
          <w:marLeft w:val="0"/>
          <w:marRight w:val="0"/>
          <w:marTop w:val="0"/>
          <w:marBottom w:val="0"/>
          <w:divBdr>
            <w:top w:val="none" w:sz="0" w:space="0" w:color="auto"/>
            <w:left w:val="none" w:sz="0" w:space="0" w:color="auto"/>
            <w:bottom w:val="none" w:sz="0" w:space="0" w:color="auto"/>
            <w:right w:val="none" w:sz="0" w:space="0" w:color="auto"/>
          </w:divBdr>
          <w:divsChild>
            <w:div w:id="289551930">
              <w:marLeft w:val="0"/>
              <w:marRight w:val="0"/>
              <w:marTop w:val="0"/>
              <w:marBottom w:val="0"/>
              <w:divBdr>
                <w:top w:val="none" w:sz="0" w:space="0" w:color="auto"/>
                <w:left w:val="none" w:sz="0" w:space="0" w:color="auto"/>
                <w:bottom w:val="none" w:sz="0" w:space="0" w:color="auto"/>
                <w:right w:val="none" w:sz="0" w:space="0" w:color="auto"/>
              </w:divBdr>
            </w:div>
          </w:divsChild>
        </w:div>
        <w:div w:id="790633835">
          <w:marLeft w:val="0"/>
          <w:marRight w:val="0"/>
          <w:marTop w:val="0"/>
          <w:marBottom w:val="0"/>
          <w:divBdr>
            <w:top w:val="none" w:sz="0" w:space="0" w:color="auto"/>
            <w:left w:val="none" w:sz="0" w:space="0" w:color="auto"/>
            <w:bottom w:val="none" w:sz="0" w:space="0" w:color="auto"/>
            <w:right w:val="none" w:sz="0" w:space="0" w:color="auto"/>
          </w:divBdr>
          <w:divsChild>
            <w:div w:id="1185292248">
              <w:marLeft w:val="0"/>
              <w:marRight w:val="0"/>
              <w:marTop w:val="0"/>
              <w:marBottom w:val="0"/>
              <w:divBdr>
                <w:top w:val="none" w:sz="0" w:space="0" w:color="auto"/>
                <w:left w:val="none" w:sz="0" w:space="0" w:color="auto"/>
                <w:bottom w:val="none" w:sz="0" w:space="0" w:color="auto"/>
                <w:right w:val="none" w:sz="0" w:space="0" w:color="auto"/>
              </w:divBdr>
            </w:div>
          </w:divsChild>
        </w:div>
        <w:div w:id="416446068">
          <w:marLeft w:val="0"/>
          <w:marRight w:val="0"/>
          <w:marTop w:val="0"/>
          <w:marBottom w:val="0"/>
          <w:divBdr>
            <w:top w:val="none" w:sz="0" w:space="0" w:color="auto"/>
            <w:left w:val="none" w:sz="0" w:space="0" w:color="auto"/>
            <w:bottom w:val="none" w:sz="0" w:space="0" w:color="auto"/>
            <w:right w:val="none" w:sz="0" w:space="0" w:color="auto"/>
          </w:divBdr>
          <w:divsChild>
            <w:div w:id="877664955">
              <w:marLeft w:val="0"/>
              <w:marRight w:val="0"/>
              <w:marTop w:val="0"/>
              <w:marBottom w:val="0"/>
              <w:divBdr>
                <w:top w:val="none" w:sz="0" w:space="0" w:color="auto"/>
                <w:left w:val="none" w:sz="0" w:space="0" w:color="auto"/>
                <w:bottom w:val="none" w:sz="0" w:space="0" w:color="auto"/>
                <w:right w:val="none" w:sz="0" w:space="0" w:color="auto"/>
              </w:divBdr>
            </w:div>
          </w:divsChild>
        </w:div>
        <w:div w:id="880019216">
          <w:marLeft w:val="0"/>
          <w:marRight w:val="0"/>
          <w:marTop w:val="0"/>
          <w:marBottom w:val="0"/>
          <w:divBdr>
            <w:top w:val="none" w:sz="0" w:space="0" w:color="auto"/>
            <w:left w:val="none" w:sz="0" w:space="0" w:color="auto"/>
            <w:bottom w:val="none" w:sz="0" w:space="0" w:color="auto"/>
            <w:right w:val="none" w:sz="0" w:space="0" w:color="auto"/>
          </w:divBdr>
          <w:divsChild>
            <w:div w:id="1714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6892">
      <w:bodyDiv w:val="1"/>
      <w:marLeft w:val="0"/>
      <w:marRight w:val="0"/>
      <w:marTop w:val="0"/>
      <w:marBottom w:val="0"/>
      <w:divBdr>
        <w:top w:val="none" w:sz="0" w:space="0" w:color="auto"/>
        <w:left w:val="none" w:sz="0" w:space="0" w:color="auto"/>
        <w:bottom w:val="none" w:sz="0" w:space="0" w:color="auto"/>
        <w:right w:val="none" w:sz="0" w:space="0" w:color="auto"/>
      </w:divBdr>
    </w:div>
    <w:div w:id="2053727619">
      <w:bodyDiv w:val="1"/>
      <w:marLeft w:val="0"/>
      <w:marRight w:val="0"/>
      <w:marTop w:val="0"/>
      <w:marBottom w:val="0"/>
      <w:divBdr>
        <w:top w:val="none" w:sz="0" w:space="0" w:color="auto"/>
        <w:left w:val="none" w:sz="0" w:space="0" w:color="auto"/>
        <w:bottom w:val="none" w:sz="0" w:space="0" w:color="auto"/>
        <w:right w:val="none" w:sz="0" w:space="0" w:color="auto"/>
      </w:divBdr>
      <w:divsChild>
        <w:div w:id="215973081">
          <w:marLeft w:val="0"/>
          <w:marRight w:val="0"/>
          <w:marTop w:val="0"/>
          <w:marBottom w:val="0"/>
          <w:divBdr>
            <w:top w:val="none" w:sz="0" w:space="0" w:color="auto"/>
            <w:left w:val="none" w:sz="0" w:space="0" w:color="auto"/>
            <w:bottom w:val="none" w:sz="0" w:space="0" w:color="auto"/>
            <w:right w:val="none" w:sz="0" w:space="0" w:color="auto"/>
          </w:divBdr>
        </w:div>
        <w:div w:id="994456428">
          <w:marLeft w:val="0"/>
          <w:marRight w:val="0"/>
          <w:marTop w:val="0"/>
          <w:marBottom w:val="0"/>
          <w:divBdr>
            <w:top w:val="none" w:sz="0" w:space="0" w:color="auto"/>
            <w:left w:val="none" w:sz="0" w:space="0" w:color="auto"/>
            <w:bottom w:val="none" w:sz="0" w:space="0" w:color="auto"/>
            <w:right w:val="none" w:sz="0" w:space="0" w:color="auto"/>
          </w:divBdr>
        </w:div>
        <w:div w:id="1180049763">
          <w:marLeft w:val="0"/>
          <w:marRight w:val="0"/>
          <w:marTop w:val="0"/>
          <w:marBottom w:val="0"/>
          <w:divBdr>
            <w:top w:val="none" w:sz="0" w:space="0" w:color="auto"/>
            <w:left w:val="none" w:sz="0" w:space="0" w:color="auto"/>
            <w:bottom w:val="none" w:sz="0" w:space="0" w:color="auto"/>
            <w:right w:val="none" w:sz="0" w:space="0" w:color="auto"/>
          </w:divBdr>
        </w:div>
        <w:div w:id="1726023026">
          <w:marLeft w:val="0"/>
          <w:marRight w:val="0"/>
          <w:marTop w:val="0"/>
          <w:marBottom w:val="0"/>
          <w:divBdr>
            <w:top w:val="none" w:sz="0" w:space="0" w:color="auto"/>
            <w:left w:val="none" w:sz="0" w:space="0" w:color="auto"/>
            <w:bottom w:val="none" w:sz="0" w:space="0" w:color="auto"/>
            <w:right w:val="none" w:sz="0" w:space="0" w:color="auto"/>
          </w:divBdr>
        </w:div>
        <w:div w:id="1999579015">
          <w:marLeft w:val="0"/>
          <w:marRight w:val="0"/>
          <w:marTop w:val="0"/>
          <w:marBottom w:val="0"/>
          <w:divBdr>
            <w:top w:val="none" w:sz="0" w:space="0" w:color="auto"/>
            <w:left w:val="none" w:sz="0" w:space="0" w:color="auto"/>
            <w:bottom w:val="none" w:sz="0" w:space="0" w:color="auto"/>
            <w:right w:val="none" w:sz="0" w:space="0" w:color="auto"/>
          </w:divBdr>
        </w:div>
        <w:div w:id="1773280939">
          <w:marLeft w:val="0"/>
          <w:marRight w:val="0"/>
          <w:marTop w:val="0"/>
          <w:marBottom w:val="0"/>
          <w:divBdr>
            <w:top w:val="none" w:sz="0" w:space="0" w:color="auto"/>
            <w:left w:val="none" w:sz="0" w:space="0" w:color="auto"/>
            <w:bottom w:val="none" w:sz="0" w:space="0" w:color="auto"/>
            <w:right w:val="none" w:sz="0" w:space="0" w:color="auto"/>
          </w:divBdr>
        </w:div>
        <w:div w:id="445462568">
          <w:marLeft w:val="0"/>
          <w:marRight w:val="0"/>
          <w:marTop w:val="0"/>
          <w:marBottom w:val="0"/>
          <w:divBdr>
            <w:top w:val="none" w:sz="0" w:space="0" w:color="auto"/>
            <w:left w:val="none" w:sz="0" w:space="0" w:color="auto"/>
            <w:bottom w:val="none" w:sz="0" w:space="0" w:color="auto"/>
            <w:right w:val="none" w:sz="0" w:space="0" w:color="auto"/>
          </w:divBdr>
        </w:div>
      </w:divsChild>
    </w:div>
    <w:div w:id="2063401340">
      <w:bodyDiv w:val="1"/>
      <w:marLeft w:val="0"/>
      <w:marRight w:val="0"/>
      <w:marTop w:val="0"/>
      <w:marBottom w:val="0"/>
      <w:divBdr>
        <w:top w:val="none" w:sz="0" w:space="0" w:color="auto"/>
        <w:left w:val="none" w:sz="0" w:space="0" w:color="auto"/>
        <w:bottom w:val="none" w:sz="0" w:space="0" w:color="auto"/>
        <w:right w:val="none" w:sz="0" w:space="0" w:color="auto"/>
      </w:divBdr>
    </w:div>
    <w:div w:id="2076312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bjc/azz0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2.le.ac.uk/departments/history/research/grants/CArchipelago"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barrygodfrey\Documents\RESEARCH\PUBLICATIONS\ARTICLES\in%20progress\Prison%20VS%20WA\DATA\For%20this%20article\Copy%20of%20Prison_numbers%20MARCH%202018.xlsm"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Barry\New%20Folder\RESEARCH%20PROJECTS\CURRENT\ESRC%20Licenses\DATA\English%20data\Statistics%20for%20use%20in%20project\39%20%20%20%20%20Detailed%20information%20on%20recidivists%20in%20prisons%201860-1947.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Users\barrygodfrey\Documents\RESEARCH\PUBLICATIONS\ARTICLES\in%20progress\Prison%20VS%20WA\DATA\For%20this%20article\stats%20data%20tables.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Users\barrygodfrey\Documents\RESEARCH\PUBLICATIONS\ARTICLES\in%20progress\Prison%20VS%20WA\DATA\For%20this%20article\stats%20data%20table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working!$B$4</c:f>
              <c:strCache>
                <c:ptCount val="1"/>
                <c:pt idx="0">
                  <c:v>Annual intake </c:v>
                </c:pt>
              </c:strCache>
            </c:strRef>
          </c:tx>
          <c:spPr>
            <a:ln w="28575" cap="rnd">
              <a:solidFill>
                <a:schemeClr val="bg2">
                  <a:lumMod val="50000"/>
                </a:schemeClr>
              </a:solidFill>
              <a:round/>
            </a:ln>
            <a:effectLst/>
          </c:spPr>
          <c:marker>
            <c:symbol val="none"/>
          </c:marker>
          <c:cat>
            <c:numRef>
              <c:f>working!$A$5:$A$63</c:f>
              <c:numCache>
                <c:formatCode>General</c:formatCode>
                <c:ptCount val="59"/>
                <c:pt idx="0">
                  <c:v>1856</c:v>
                </c:pt>
                <c:pt idx="1">
                  <c:v>1857</c:v>
                </c:pt>
                <c:pt idx="2">
                  <c:v>1858</c:v>
                </c:pt>
                <c:pt idx="3">
                  <c:v>1859</c:v>
                </c:pt>
                <c:pt idx="4">
                  <c:v>1860</c:v>
                </c:pt>
                <c:pt idx="5">
                  <c:v>1861</c:v>
                </c:pt>
                <c:pt idx="6">
                  <c:v>1862</c:v>
                </c:pt>
                <c:pt idx="7">
                  <c:v>1863</c:v>
                </c:pt>
                <c:pt idx="8">
                  <c:v>1864</c:v>
                </c:pt>
                <c:pt idx="9">
                  <c:v>1865</c:v>
                </c:pt>
                <c:pt idx="10">
                  <c:v>1866</c:v>
                </c:pt>
                <c:pt idx="11">
                  <c:v>1867</c:v>
                </c:pt>
                <c:pt idx="12">
                  <c:v>1868</c:v>
                </c:pt>
                <c:pt idx="13">
                  <c:v>1869</c:v>
                </c:pt>
                <c:pt idx="14">
                  <c:v>1870</c:v>
                </c:pt>
                <c:pt idx="15">
                  <c:v>1871</c:v>
                </c:pt>
                <c:pt idx="16">
                  <c:v>1872</c:v>
                </c:pt>
                <c:pt idx="17">
                  <c:v>1873</c:v>
                </c:pt>
                <c:pt idx="18">
                  <c:v>1874</c:v>
                </c:pt>
                <c:pt idx="19">
                  <c:v>1875</c:v>
                </c:pt>
                <c:pt idx="20">
                  <c:v>1876</c:v>
                </c:pt>
                <c:pt idx="21">
                  <c:v>1877</c:v>
                </c:pt>
                <c:pt idx="22">
                  <c:v>1878</c:v>
                </c:pt>
                <c:pt idx="23">
                  <c:v>1879</c:v>
                </c:pt>
                <c:pt idx="24">
                  <c:v>1880</c:v>
                </c:pt>
                <c:pt idx="25">
                  <c:v>1881</c:v>
                </c:pt>
                <c:pt idx="26">
                  <c:v>1882</c:v>
                </c:pt>
                <c:pt idx="27">
                  <c:v>1883</c:v>
                </c:pt>
                <c:pt idx="28">
                  <c:v>1884</c:v>
                </c:pt>
                <c:pt idx="29">
                  <c:v>1885</c:v>
                </c:pt>
                <c:pt idx="30">
                  <c:v>1886</c:v>
                </c:pt>
                <c:pt idx="31">
                  <c:v>1887</c:v>
                </c:pt>
                <c:pt idx="32">
                  <c:v>1888</c:v>
                </c:pt>
                <c:pt idx="33">
                  <c:v>1889</c:v>
                </c:pt>
                <c:pt idx="34">
                  <c:v>1890</c:v>
                </c:pt>
                <c:pt idx="35">
                  <c:v>1891</c:v>
                </c:pt>
                <c:pt idx="36">
                  <c:v>1892</c:v>
                </c:pt>
                <c:pt idx="37">
                  <c:v>1893</c:v>
                </c:pt>
                <c:pt idx="38">
                  <c:v>1894</c:v>
                </c:pt>
                <c:pt idx="39">
                  <c:v>1895</c:v>
                </c:pt>
                <c:pt idx="40">
                  <c:v>1896</c:v>
                </c:pt>
                <c:pt idx="41">
                  <c:v>1897</c:v>
                </c:pt>
                <c:pt idx="42">
                  <c:v>1898</c:v>
                </c:pt>
                <c:pt idx="43">
                  <c:v>1899</c:v>
                </c:pt>
                <c:pt idx="44">
                  <c:v>1900</c:v>
                </c:pt>
                <c:pt idx="45">
                  <c:v>1901</c:v>
                </c:pt>
                <c:pt idx="46">
                  <c:v>1902</c:v>
                </c:pt>
                <c:pt idx="47">
                  <c:v>1903</c:v>
                </c:pt>
                <c:pt idx="48">
                  <c:v>1904</c:v>
                </c:pt>
                <c:pt idx="49">
                  <c:v>1905</c:v>
                </c:pt>
                <c:pt idx="50">
                  <c:v>1906</c:v>
                </c:pt>
                <c:pt idx="51">
                  <c:v>1907</c:v>
                </c:pt>
                <c:pt idx="52">
                  <c:v>1908</c:v>
                </c:pt>
                <c:pt idx="53">
                  <c:v>1909</c:v>
                </c:pt>
                <c:pt idx="54">
                  <c:v>1910</c:v>
                </c:pt>
                <c:pt idx="55">
                  <c:v>1911</c:v>
                </c:pt>
                <c:pt idx="56">
                  <c:v>1912</c:v>
                </c:pt>
                <c:pt idx="57">
                  <c:v>1913</c:v>
                </c:pt>
                <c:pt idx="58">
                  <c:v>1914</c:v>
                </c:pt>
              </c:numCache>
            </c:numRef>
          </c:cat>
          <c:val>
            <c:numRef>
              <c:f>working!$B$5:$B$63</c:f>
              <c:numCache>
                <c:formatCode>General</c:formatCode>
                <c:ptCount val="59"/>
                <c:pt idx="0">
                  <c:v>6770</c:v>
                </c:pt>
                <c:pt idx="1">
                  <c:v>6171</c:v>
                </c:pt>
                <c:pt idx="2">
                  <c:v>6795</c:v>
                </c:pt>
                <c:pt idx="3">
                  <c:v>6556</c:v>
                </c:pt>
                <c:pt idx="4">
                  <c:v>6650</c:v>
                </c:pt>
                <c:pt idx="5">
                  <c:v>6474</c:v>
                </c:pt>
                <c:pt idx="6">
                  <c:v>6372</c:v>
                </c:pt>
                <c:pt idx="7">
                  <c:v>6558</c:v>
                </c:pt>
                <c:pt idx="8">
                  <c:v>6142</c:v>
                </c:pt>
                <c:pt idx="9">
                  <c:v>5967</c:v>
                </c:pt>
                <c:pt idx="10">
                  <c:v>5724</c:v>
                </c:pt>
                <c:pt idx="11">
                  <c:v>6031</c:v>
                </c:pt>
                <c:pt idx="12">
                  <c:v>6529</c:v>
                </c:pt>
                <c:pt idx="13">
                  <c:v>6952</c:v>
                </c:pt>
                <c:pt idx="14">
                  <c:v>7687</c:v>
                </c:pt>
                <c:pt idx="15">
                  <c:v>8313</c:v>
                </c:pt>
                <c:pt idx="16">
                  <c:v>8467</c:v>
                </c:pt>
                <c:pt idx="17">
                  <c:v>8495</c:v>
                </c:pt>
                <c:pt idx="18">
                  <c:v>8425</c:v>
                </c:pt>
                <c:pt idx="19">
                  <c:v>8492</c:v>
                </c:pt>
                <c:pt idx="20">
                  <c:v>8642</c:v>
                </c:pt>
                <c:pt idx="21">
                  <c:v>8843</c:v>
                </c:pt>
                <c:pt idx="22">
                  <c:v>8992</c:v>
                </c:pt>
                <c:pt idx="23">
                  <c:v>9156</c:v>
                </c:pt>
                <c:pt idx="24">
                  <c:v>9239</c:v>
                </c:pt>
                <c:pt idx="25">
                  <c:v>9174</c:v>
                </c:pt>
                <c:pt idx="26">
                  <c:v>9167</c:v>
                </c:pt>
                <c:pt idx="27">
                  <c:v>9241</c:v>
                </c:pt>
                <c:pt idx="28">
                  <c:v>8794</c:v>
                </c:pt>
                <c:pt idx="29">
                  <c:v>8078</c:v>
                </c:pt>
                <c:pt idx="30">
                  <c:v>7333</c:v>
                </c:pt>
                <c:pt idx="31">
                  <c:v>6682</c:v>
                </c:pt>
                <c:pt idx="32">
                  <c:v>5938</c:v>
                </c:pt>
                <c:pt idx="33">
                  <c:v>5225</c:v>
                </c:pt>
                <c:pt idx="34">
                  <c:v>4829</c:v>
                </c:pt>
                <c:pt idx="35">
                  <c:v>4191</c:v>
                </c:pt>
                <c:pt idx="36">
                  <c:v>3774</c:v>
                </c:pt>
                <c:pt idx="37">
                  <c:v>3466</c:v>
                </c:pt>
                <c:pt idx="38">
                  <c:v>3303</c:v>
                </c:pt>
                <c:pt idx="39">
                  <c:v>3108</c:v>
                </c:pt>
                <c:pt idx="40">
                  <c:v>2961</c:v>
                </c:pt>
                <c:pt idx="41">
                  <c:v>2771</c:v>
                </c:pt>
                <c:pt idx="42">
                  <c:v>2527</c:v>
                </c:pt>
                <c:pt idx="43">
                  <c:v>2595</c:v>
                </c:pt>
                <c:pt idx="44">
                  <c:v>2542</c:v>
                </c:pt>
                <c:pt idx="45">
                  <c:v>2560</c:v>
                </c:pt>
                <c:pt idx="46">
                  <c:v>2562</c:v>
                </c:pt>
                <c:pt idx="47">
                  <c:v>2761</c:v>
                </c:pt>
                <c:pt idx="48">
                  <c:v>2961</c:v>
                </c:pt>
                <c:pt idx="49">
                  <c:v>3044</c:v>
                </c:pt>
                <c:pt idx="50">
                  <c:v>2912</c:v>
                </c:pt>
                <c:pt idx="51">
                  <c:v>2914</c:v>
                </c:pt>
                <c:pt idx="52">
                  <c:v>2897</c:v>
                </c:pt>
                <c:pt idx="53">
                  <c:v>3066</c:v>
                </c:pt>
                <c:pt idx="54">
                  <c:v>3046</c:v>
                </c:pt>
                <c:pt idx="55">
                  <c:v>3206</c:v>
                </c:pt>
                <c:pt idx="56">
                  <c:v>2759</c:v>
                </c:pt>
                <c:pt idx="57">
                  <c:v>2681</c:v>
                </c:pt>
                <c:pt idx="58">
                  <c:v>2568</c:v>
                </c:pt>
              </c:numCache>
            </c:numRef>
          </c:val>
          <c:smooth val="0"/>
          <c:extLst>
            <c:ext xmlns:c16="http://schemas.microsoft.com/office/drawing/2014/chart" uri="{C3380CC4-5D6E-409C-BE32-E72D297353CC}">
              <c16:uniqueId val="{00000000-E155-3A47-A15A-A750E349036B}"/>
            </c:ext>
          </c:extLst>
        </c:ser>
        <c:dLbls>
          <c:showLegendKey val="0"/>
          <c:showVal val="0"/>
          <c:showCatName val="0"/>
          <c:showSerName val="0"/>
          <c:showPercent val="0"/>
          <c:showBubbleSize val="0"/>
        </c:dLbls>
        <c:smooth val="0"/>
        <c:axId val="1970739232"/>
        <c:axId val="1971187248"/>
      </c:lineChart>
      <c:catAx>
        <c:axId val="1970739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1971187248"/>
        <c:crosses val="autoZero"/>
        <c:auto val="1"/>
        <c:lblAlgn val="ctr"/>
        <c:lblOffset val="100"/>
        <c:noMultiLvlLbl val="0"/>
      </c:catAx>
      <c:valAx>
        <c:axId val="1971187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mn-cs"/>
              </a:defRPr>
            </a:pPr>
            <a:endParaRPr lang="en-US"/>
          </a:p>
        </c:txPr>
        <c:crossAx val="19707392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no prev</c:v>
          </c:tx>
          <c:spPr>
            <a:ln>
              <a:solidFill>
                <a:schemeClr val="tx1"/>
              </a:solidFill>
            </a:ln>
          </c:spPr>
          <c:marker>
            <c:symbol val="none"/>
          </c:marker>
          <c:cat>
            <c:numRef>
              <c:f>graphs!$A$11:$A$100</c:f>
              <c:numCache>
                <c:formatCode>General</c:formatCode>
                <c:ptCount val="90"/>
                <c:pt idx="0">
                  <c:v>1856</c:v>
                </c:pt>
                <c:pt idx="1">
                  <c:v>1857</c:v>
                </c:pt>
                <c:pt idx="2">
                  <c:v>1858</c:v>
                </c:pt>
                <c:pt idx="3">
                  <c:v>1859</c:v>
                </c:pt>
                <c:pt idx="4">
                  <c:v>1860</c:v>
                </c:pt>
                <c:pt idx="5">
                  <c:v>1861</c:v>
                </c:pt>
                <c:pt idx="6">
                  <c:v>1862</c:v>
                </c:pt>
                <c:pt idx="7">
                  <c:v>1863</c:v>
                </c:pt>
                <c:pt idx="8">
                  <c:v>1864</c:v>
                </c:pt>
                <c:pt idx="9">
                  <c:v>1865</c:v>
                </c:pt>
                <c:pt idx="10">
                  <c:v>1866</c:v>
                </c:pt>
                <c:pt idx="11">
                  <c:v>1867</c:v>
                </c:pt>
                <c:pt idx="12">
                  <c:v>1868</c:v>
                </c:pt>
                <c:pt idx="13">
                  <c:v>1869</c:v>
                </c:pt>
                <c:pt idx="14">
                  <c:v>1870</c:v>
                </c:pt>
                <c:pt idx="15">
                  <c:v>1871</c:v>
                </c:pt>
                <c:pt idx="16">
                  <c:v>1872</c:v>
                </c:pt>
                <c:pt idx="17">
                  <c:v>1873</c:v>
                </c:pt>
                <c:pt idx="18">
                  <c:v>1874</c:v>
                </c:pt>
                <c:pt idx="19">
                  <c:v>1875</c:v>
                </c:pt>
                <c:pt idx="20">
                  <c:v>1876</c:v>
                </c:pt>
                <c:pt idx="21">
                  <c:v>1877</c:v>
                </c:pt>
                <c:pt idx="22">
                  <c:v>1878</c:v>
                </c:pt>
                <c:pt idx="23">
                  <c:v>1879</c:v>
                </c:pt>
                <c:pt idx="24">
                  <c:v>1880</c:v>
                </c:pt>
                <c:pt idx="25">
                  <c:v>1881</c:v>
                </c:pt>
                <c:pt idx="26">
                  <c:v>1882</c:v>
                </c:pt>
                <c:pt idx="27">
                  <c:v>1883</c:v>
                </c:pt>
                <c:pt idx="28">
                  <c:v>1884</c:v>
                </c:pt>
                <c:pt idx="29">
                  <c:v>1885</c:v>
                </c:pt>
                <c:pt idx="30">
                  <c:v>1886</c:v>
                </c:pt>
                <c:pt idx="31">
                  <c:v>1887</c:v>
                </c:pt>
                <c:pt idx="32">
                  <c:v>1888</c:v>
                </c:pt>
                <c:pt idx="33">
                  <c:v>1889</c:v>
                </c:pt>
                <c:pt idx="34">
                  <c:v>1890</c:v>
                </c:pt>
                <c:pt idx="35">
                  <c:v>1891</c:v>
                </c:pt>
                <c:pt idx="36">
                  <c:v>1892</c:v>
                </c:pt>
                <c:pt idx="37">
                  <c:v>1893</c:v>
                </c:pt>
                <c:pt idx="38">
                  <c:v>1894</c:v>
                </c:pt>
                <c:pt idx="39">
                  <c:v>1895</c:v>
                </c:pt>
                <c:pt idx="40">
                  <c:v>1896</c:v>
                </c:pt>
                <c:pt idx="41">
                  <c:v>1897</c:v>
                </c:pt>
                <c:pt idx="42">
                  <c:v>1898</c:v>
                </c:pt>
                <c:pt idx="43">
                  <c:v>1899</c:v>
                </c:pt>
                <c:pt idx="44">
                  <c:v>1900</c:v>
                </c:pt>
                <c:pt idx="45">
                  <c:v>1901</c:v>
                </c:pt>
                <c:pt idx="46">
                  <c:v>1902</c:v>
                </c:pt>
                <c:pt idx="47">
                  <c:v>1903</c:v>
                </c:pt>
                <c:pt idx="48">
                  <c:v>1904</c:v>
                </c:pt>
                <c:pt idx="49">
                  <c:v>1905</c:v>
                </c:pt>
                <c:pt idx="50">
                  <c:v>1906</c:v>
                </c:pt>
                <c:pt idx="51">
                  <c:v>1907</c:v>
                </c:pt>
                <c:pt idx="52">
                  <c:v>1908</c:v>
                </c:pt>
                <c:pt idx="53">
                  <c:v>1909</c:v>
                </c:pt>
                <c:pt idx="54">
                  <c:v>1910</c:v>
                </c:pt>
                <c:pt idx="55">
                  <c:v>1911</c:v>
                </c:pt>
                <c:pt idx="56">
                  <c:v>1912</c:v>
                </c:pt>
                <c:pt idx="57">
                  <c:v>1913</c:v>
                </c:pt>
                <c:pt idx="58">
                  <c:v>1914</c:v>
                </c:pt>
                <c:pt idx="59">
                  <c:v>1915</c:v>
                </c:pt>
                <c:pt idx="60">
                  <c:v>1916</c:v>
                </c:pt>
                <c:pt idx="61">
                  <c:v>1917</c:v>
                </c:pt>
                <c:pt idx="62">
                  <c:v>1918</c:v>
                </c:pt>
                <c:pt idx="63">
                  <c:v>1919</c:v>
                </c:pt>
                <c:pt idx="64">
                  <c:v>1920</c:v>
                </c:pt>
                <c:pt idx="65">
                  <c:v>1921</c:v>
                </c:pt>
                <c:pt idx="66">
                  <c:v>1922</c:v>
                </c:pt>
                <c:pt idx="67">
                  <c:v>1923</c:v>
                </c:pt>
                <c:pt idx="68">
                  <c:v>1924</c:v>
                </c:pt>
                <c:pt idx="69">
                  <c:v>1925</c:v>
                </c:pt>
                <c:pt idx="70">
                  <c:v>1926</c:v>
                </c:pt>
                <c:pt idx="71">
                  <c:v>1927</c:v>
                </c:pt>
                <c:pt idx="72">
                  <c:v>1928</c:v>
                </c:pt>
                <c:pt idx="73">
                  <c:v>1929</c:v>
                </c:pt>
                <c:pt idx="74">
                  <c:v>1930</c:v>
                </c:pt>
                <c:pt idx="75">
                  <c:v>1931</c:v>
                </c:pt>
                <c:pt idx="76">
                  <c:v>1932</c:v>
                </c:pt>
                <c:pt idx="77">
                  <c:v>1933</c:v>
                </c:pt>
                <c:pt idx="78">
                  <c:v>1934</c:v>
                </c:pt>
                <c:pt idx="79">
                  <c:v>1935</c:v>
                </c:pt>
                <c:pt idx="80">
                  <c:v>1936</c:v>
                </c:pt>
                <c:pt idx="81">
                  <c:v>1937</c:v>
                </c:pt>
                <c:pt idx="82">
                  <c:v>1938</c:v>
                </c:pt>
                <c:pt idx="83">
                  <c:v>1939</c:v>
                </c:pt>
                <c:pt idx="84">
                  <c:v>1940</c:v>
                </c:pt>
                <c:pt idx="85">
                  <c:v>1941</c:v>
                </c:pt>
                <c:pt idx="86">
                  <c:v>1942</c:v>
                </c:pt>
                <c:pt idx="87">
                  <c:v>1943</c:v>
                </c:pt>
                <c:pt idx="88">
                  <c:v>1944</c:v>
                </c:pt>
                <c:pt idx="89">
                  <c:v>1945</c:v>
                </c:pt>
              </c:numCache>
            </c:numRef>
          </c:cat>
          <c:val>
            <c:numRef>
              <c:f>graphs!$B$11:$B$68</c:f>
              <c:numCache>
                <c:formatCode>General</c:formatCode>
                <c:ptCount val="58"/>
                <c:pt idx="0">
                  <c:v>30329</c:v>
                </c:pt>
                <c:pt idx="1">
                  <c:v>33768</c:v>
                </c:pt>
                <c:pt idx="2">
                  <c:v>30998</c:v>
                </c:pt>
                <c:pt idx="3">
                  <c:v>26523</c:v>
                </c:pt>
                <c:pt idx="4">
                  <c:v>25708</c:v>
                </c:pt>
                <c:pt idx="5">
                  <c:v>30970</c:v>
                </c:pt>
                <c:pt idx="6">
                  <c:v>37549</c:v>
                </c:pt>
                <c:pt idx="7">
                  <c:v>38745</c:v>
                </c:pt>
                <c:pt idx="8">
                  <c:v>37709</c:v>
                </c:pt>
                <c:pt idx="9">
                  <c:v>39129</c:v>
                </c:pt>
                <c:pt idx="10">
                  <c:v>37642</c:v>
                </c:pt>
                <c:pt idx="11">
                  <c:v>40704</c:v>
                </c:pt>
                <c:pt idx="12">
                  <c:v>46071</c:v>
                </c:pt>
                <c:pt idx="13">
                  <c:v>52607</c:v>
                </c:pt>
                <c:pt idx="14">
                  <c:v>51874</c:v>
                </c:pt>
                <c:pt idx="15">
                  <c:v>47893</c:v>
                </c:pt>
                <c:pt idx="16">
                  <c:v>46273</c:v>
                </c:pt>
                <c:pt idx="17">
                  <c:v>49582</c:v>
                </c:pt>
                <c:pt idx="18">
                  <c:v>50596</c:v>
                </c:pt>
                <c:pt idx="19">
                  <c:v>51223</c:v>
                </c:pt>
                <c:pt idx="20">
                  <c:v>56080</c:v>
                </c:pt>
                <c:pt idx="21">
                  <c:v>55879</c:v>
                </c:pt>
                <c:pt idx="22">
                  <c:v>58689</c:v>
                </c:pt>
                <c:pt idx="23">
                  <c:v>63466</c:v>
                </c:pt>
                <c:pt idx="24">
                  <c:v>55506</c:v>
                </c:pt>
                <c:pt idx="25">
                  <c:v>60977</c:v>
                </c:pt>
                <c:pt idx="26">
                  <c:v>59642</c:v>
                </c:pt>
                <c:pt idx="27">
                  <c:v>56680</c:v>
                </c:pt>
                <c:pt idx="28">
                  <c:v>56563</c:v>
                </c:pt>
                <c:pt idx="29">
                  <c:v>49952</c:v>
                </c:pt>
                <c:pt idx="30">
                  <c:v>54504</c:v>
                </c:pt>
                <c:pt idx="31">
                  <c:v>52970</c:v>
                </c:pt>
                <c:pt idx="32">
                  <c:v>52122</c:v>
                </c:pt>
                <c:pt idx="33">
                  <c:v>47208</c:v>
                </c:pt>
                <c:pt idx="34">
                  <c:v>40675</c:v>
                </c:pt>
                <c:pt idx="35">
                  <c:v>46656</c:v>
                </c:pt>
                <c:pt idx="36">
                  <c:v>49719</c:v>
                </c:pt>
                <c:pt idx="37">
                  <c:v>50946</c:v>
                </c:pt>
                <c:pt idx="38">
                  <c:v>45342</c:v>
                </c:pt>
                <c:pt idx="39">
                  <c:v>56104</c:v>
                </c:pt>
                <c:pt idx="40">
                  <c:v>52165</c:v>
                </c:pt>
                <c:pt idx="41">
                  <c:v>52800</c:v>
                </c:pt>
                <c:pt idx="42">
                  <c:v>53546</c:v>
                </c:pt>
                <c:pt idx="43">
                  <c:v>48699</c:v>
                </c:pt>
                <c:pt idx="44">
                  <c:v>48233</c:v>
                </c:pt>
                <c:pt idx="45">
                  <c:v>56654</c:v>
                </c:pt>
                <c:pt idx="46">
                  <c:v>61557</c:v>
                </c:pt>
                <c:pt idx="47">
                  <c:v>68633</c:v>
                </c:pt>
                <c:pt idx="48">
                  <c:v>72772</c:v>
                </c:pt>
                <c:pt idx="49">
                  <c:v>70099</c:v>
                </c:pt>
                <c:pt idx="50">
                  <c:v>60422</c:v>
                </c:pt>
                <c:pt idx="51">
                  <c:v>60976</c:v>
                </c:pt>
                <c:pt idx="52">
                  <c:v>62098</c:v>
                </c:pt>
                <c:pt idx="53">
                  <c:v>60392</c:v>
                </c:pt>
                <c:pt idx="54">
                  <c:v>54212</c:v>
                </c:pt>
                <c:pt idx="55">
                  <c:v>49131</c:v>
                </c:pt>
                <c:pt idx="56">
                  <c:v>45476</c:v>
                </c:pt>
                <c:pt idx="57">
                  <c:v>38046</c:v>
                </c:pt>
              </c:numCache>
            </c:numRef>
          </c:val>
          <c:smooth val="0"/>
          <c:extLst>
            <c:ext xmlns:c16="http://schemas.microsoft.com/office/drawing/2014/chart" uri="{C3380CC4-5D6E-409C-BE32-E72D297353CC}">
              <c16:uniqueId val="{00000000-1EEF-704F-B490-358A51139D80}"/>
            </c:ext>
          </c:extLst>
        </c:ser>
        <c:ser>
          <c:idx val="1"/>
          <c:order val="1"/>
          <c:tx>
            <c:v>prev con</c:v>
          </c:tx>
          <c:spPr>
            <a:ln>
              <a:solidFill>
                <a:schemeClr val="tx1"/>
              </a:solidFill>
              <a:prstDash val="sysDot"/>
            </a:ln>
          </c:spPr>
          <c:marker>
            <c:symbol val="none"/>
          </c:marker>
          <c:cat>
            <c:numRef>
              <c:f>graphs!$A$11:$A$100</c:f>
              <c:numCache>
                <c:formatCode>General</c:formatCode>
                <c:ptCount val="90"/>
                <c:pt idx="0">
                  <c:v>1856</c:v>
                </c:pt>
                <c:pt idx="1">
                  <c:v>1857</c:v>
                </c:pt>
                <c:pt idx="2">
                  <c:v>1858</c:v>
                </c:pt>
                <c:pt idx="3">
                  <c:v>1859</c:v>
                </c:pt>
                <c:pt idx="4">
                  <c:v>1860</c:v>
                </c:pt>
                <c:pt idx="5">
                  <c:v>1861</c:v>
                </c:pt>
                <c:pt idx="6">
                  <c:v>1862</c:v>
                </c:pt>
                <c:pt idx="7">
                  <c:v>1863</c:v>
                </c:pt>
                <c:pt idx="8">
                  <c:v>1864</c:v>
                </c:pt>
                <c:pt idx="9">
                  <c:v>1865</c:v>
                </c:pt>
                <c:pt idx="10">
                  <c:v>1866</c:v>
                </c:pt>
                <c:pt idx="11">
                  <c:v>1867</c:v>
                </c:pt>
                <c:pt idx="12">
                  <c:v>1868</c:v>
                </c:pt>
                <c:pt idx="13">
                  <c:v>1869</c:v>
                </c:pt>
                <c:pt idx="14">
                  <c:v>1870</c:v>
                </c:pt>
                <c:pt idx="15">
                  <c:v>1871</c:v>
                </c:pt>
                <c:pt idx="16">
                  <c:v>1872</c:v>
                </c:pt>
                <c:pt idx="17">
                  <c:v>1873</c:v>
                </c:pt>
                <c:pt idx="18">
                  <c:v>1874</c:v>
                </c:pt>
                <c:pt idx="19">
                  <c:v>1875</c:v>
                </c:pt>
                <c:pt idx="20">
                  <c:v>1876</c:v>
                </c:pt>
                <c:pt idx="21">
                  <c:v>1877</c:v>
                </c:pt>
                <c:pt idx="22">
                  <c:v>1878</c:v>
                </c:pt>
                <c:pt idx="23">
                  <c:v>1879</c:v>
                </c:pt>
                <c:pt idx="24">
                  <c:v>1880</c:v>
                </c:pt>
                <c:pt idx="25">
                  <c:v>1881</c:v>
                </c:pt>
                <c:pt idx="26">
                  <c:v>1882</c:v>
                </c:pt>
                <c:pt idx="27">
                  <c:v>1883</c:v>
                </c:pt>
                <c:pt idx="28">
                  <c:v>1884</c:v>
                </c:pt>
                <c:pt idx="29">
                  <c:v>1885</c:v>
                </c:pt>
                <c:pt idx="30">
                  <c:v>1886</c:v>
                </c:pt>
                <c:pt idx="31">
                  <c:v>1887</c:v>
                </c:pt>
                <c:pt idx="32">
                  <c:v>1888</c:v>
                </c:pt>
                <c:pt idx="33">
                  <c:v>1889</c:v>
                </c:pt>
                <c:pt idx="34">
                  <c:v>1890</c:v>
                </c:pt>
                <c:pt idx="35">
                  <c:v>1891</c:v>
                </c:pt>
                <c:pt idx="36">
                  <c:v>1892</c:v>
                </c:pt>
                <c:pt idx="37">
                  <c:v>1893</c:v>
                </c:pt>
                <c:pt idx="38">
                  <c:v>1894</c:v>
                </c:pt>
                <c:pt idx="39">
                  <c:v>1895</c:v>
                </c:pt>
                <c:pt idx="40">
                  <c:v>1896</c:v>
                </c:pt>
                <c:pt idx="41">
                  <c:v>1897</c:v>
                </c:pt>
                <c:pt idx="42">
                  <c:v>1898</c:v>
                </c:pt>
                <c:pt idx="43">
                  <c:v>1899</c:v>
                </c:pt>
                <c:pt idx="44">
                  <c:v>1900</c:v>
                </c:pt>
                <c:pt idx="45">
                  <c:v>1901</c:v>
                </c:pt>
                <c:pt idx="46">
                  <c:v>1902</c:v>
                </c:pt>
                <c:pt idx="47">
                  <c:v>1903</c:v>
                </c:pt>
                <c:pt idx="48">
                  <c:v>1904</c:v>
                </c:pt>
                <c:pt idx="49">
                  <c:v>1905</c:v>
                </c:pt>
                <c:pt idx="50">
                  <c:v>1906</c:v>
                </c:pt>
                <c:pt idx="51">
                  <c:v>1907</c:v>
                </c:pt>
                <c:pt idx="52">
                  <c:v>1908</c:v>
                </c:pt>
                <c:pt idx="53">
                  <c:v>1909</c:v>
                </c:pt>
                <c:pt idx="54">
                  <c:v>1910</c:v>
                </c:pt>
                <c:pt idx="55">
                  <c:v>1911</c:v>
                </c:pt>
                <c:pt idx="56">
                  <c:v>1912</c:v>
                </c:pt>
                <c:pt idx="57">
                  <c:v>1913</c:v>
                </c:pt>
                <c:pt idx="58">
                  <c:v>1914</c:v>
                </c:pt>
                <c:pt idx="59">
                  <c:v>1915</c:v>
                </c:pt>
                <c:pt idx="60">
                  <c:v>1916</c:v>
                </c:pt>
                <c:pt idx="61">
                  <c:v>1917</c:v>
                </c:pt>
                <c:pt idx="62">
                  <c:v>1918</c:v>
                </c:pt>
                <c:pt idx="63">
                  <c:v>1919</c:v>
                </c:pt>
                <c:pt idx="64">
                  <c:v>1920</c:v>
                </c:pt>
                <c:pt idx="65">
                  <c:v>1921</c:v>
                </c:pt>
                <c:pt idx="66">
                  <c:v>1922</c:v>
                </c:pt>
                <c:pt idx="67">
                  <c:v>1923</c:v>
                </c:pt>
                <c:pt idx="68">
                  <c:v>1924</c:v>
                </c:pt>
                <c:pt idx="69">
                  <c:v>1925</c:v>
                </c:pt>
                <c:pt idx="70">
                  <c:v>1926</c:v>
                </c:pt>
                <c:pt idx="71">
                  <c:v>1927</c:v>
                </c:pt>
                <c:pt idx="72">
                  <c:v>1928</c:v>
                </c:pt>
                <c:pt idx="73">
                  <c:v>1929</c:v>
                </c:pt>
                <c:pt idx="74">
                  <c:v>1930</c:v>
                </c:pt>
                <c:pt idx="75">
                  <c:v>1931</c:v>
                </c:pt>
                <c:pt idx="76">
                  <c:v>1932</c:v>
                </c:pt>
                <c:pt idx="77">
                  <c:v>1933</c:v>
                </c:pt>
                <c:pt idx="78">
                  <c:v>1934</c:v>
                </c:pt>
                <c:pt idx="79">
                  <c:v>1935</c:v>
                </c:pt>
                <c:pt idx="80">
                  <c:v>1936</c:v>
                </c:pt>
                <c:pt idx="81">
                  <c:v>1937</c:v>
                </c:pt>
                <c:pt idx="82">
                  <c:v>1938</c:v>
                </c:pt>
                <c:pt idx="83">
                  <c:v>1939</c:v>
                </c:pt>
                <c:pt idx="84">
                  <c:v>1940</c:v>
                </c:pt>
                <c:pt idx="85">
                  <c:v>1941</c:v>
                </c:pt>
                <c:pt idx="86">
                  <c:v>1942</c:v>
                </c:pt>
                <c:pt idx="87">
                  <c:v>1943</c:v>
                </c:pt>
                <c:pt idx="88">
                  <c:v>1944</c:v>
                </c:pt>
                <c:pt idx="89">
                  <c:v>1945</c:v>
                </c:pt>
              </c:numCache>
            </c:numRef>
          </c:cat>
          <c:val>
            <c:numRef>
              <c:f>graphs!$C$11:$C$68</c:f>
              <c:numCache>
                <c:formatCode>General</c:formatCode>
                <c:ptCount val="58"/>
                <c:pt idx="0">
                  <c:v>23448</c:v>
                </c:pt>
                <c:pt idx="1">
                  <c:v>28402</c:v>
                </c:pt>
                <c:pt idx="2">
                  <c:v>27700</c:v>
                </c:pt>
                <c:pt idx="3">
                  <c:v>25352</c:v>
                </c:pt>
                <c:pt idx="4">
                  <c:v>22325</c:v>
                </c:pt>
                <c:pt idx="5">
                  <c:v>24763</c:v>
                </c:pt>
                <c:pt idx="6">
                  <c:v>29609</c:v>
                </c:pt>
                <c:pt idx="7">
                  <c:v>30379</c:v>
                </c:pt>
                <c:pt idx="8">
                  <c:v>30181</c:v>
                </c:pt>
                <c:pt idx="9">
                  <c:v>30389</c:v>
                </c:pt>
                <c:pt idx="10">
                  <c:v>30424</c:v>
                </c:pt>
                <c:pt idx="11">
                  <c:v>32067</c:v>
                </c:pt>
                <c:pt idx="12">
                  <c:v>35685</c:v>
                </c:pt>
                <c:pt idx="13">
                  <c:v>39560</c:v>
                </c:pt>
                <c:pt idx="14">
                  <c:v>40906</c:v>
                </c:pt>
                <c:pt idx="15">
                  <c:v>38495</c:v>
                </c:pt>
                <c:pt idx="16">
                  <c:v>36183</c:v>
                </c:pt>
                <c:pt idx="17">
                  <c:v>37773</c:v>
                </c:pt>
                <c:pt idx="18">
                  <c:v>39617</c:v>
                </c:pt>
                <c:pt idx="19">
                  <c:v>40772</c:v>
                </c:pt>
                <c:pt idx="20">
                  <c:v>43746</c:v>
                </c:pt>
                <c:pt idx="21">
                  <c:v>46300</c:v>
                </c:pt>
                <c:pt idx="22">
                  <c:v>44499</c:v>
                </c:pt>
                <c:pt idx="23">
                  <c:v>44680</c:v>
                </c:pt>
                <c:pt idx="24">
                  <c:v>44317</c:v>
                </c:pt>
                <c:pt idx="25">
                  <c:v>47438</c:v>
                </c:pt>
                <c:pt idx="26">
                  <c:v>49049</c:v>
                </c:pt>
                <c:pt idx="27">
                  <c:v>50134</c:v>
                </c:pt>
                <c:pt idx="28">
                  <c:v>51648</c:v>
                </c:pt>
                <c:pt idx="29">
                  <c:v>50942</c:v>
                </c:pt>
                <c:pt idx="30">
                  <c:v>51435</c:v>
                </c:pt>
                <c:pt idx="31">
                  <c:v>50981</c:v>
                </c:pt>
                <c:pt idx="32">
                  <c:v>54993</c:v>
                </c:pt>
                <c:pt idx="33">
                  <c:v>51678</c:v>
                </c:pt>
                <c:pt idx="34">
                  <c:v>51014</c:v>
                </c:pt>
                <c:pt idx="35">
                  <c:v>46548</c:v>
                </c:pt>
                <c:pt idx="36">
                  <c:v>48937</c:v>
                </c:pt>
                <c:pt idx="37">
                  <c:v>57946</c:v>
                </c:pt>
                <c:pt idx="38">
                  <c:v>56007</c:v>
                </c:pt>
                <c:pt idx="39">
                  <c:v>54917</c:v>
                </c:pt>
                <c:pt idx="40">
                  <c:v>54114</c:v>
                </c:pt>
                <c:pt idx="41">
                  <c:v>57082</c:v>
                </c:pt>
                <c:pt idx="42">
                  <c:v>59627</c:v>
                </c:pt>
                <c:pt idx="43">
                  <c:v>59625</c:v>
                </c:pt>
                <c:pt idx="44">
                  <c:v>53260</c:v>
                </c:pt>
                <c:pt idx="45">
                  <c:v>61373</c:v>
                </c:pt>
                <c:pt idx="46">
                  <c:v>65197</c:v>
                </c:pt>
                <c:pt idx="47">
                  <c:v>71003</c:v>
                </c:pt>
                <c:pt idx="48">
                  <c:v>76212</c:v>
                </c:pt>
                <c:pt idx="49">
                  <c:v>77587</c:v>
                </c:pt>
                <c:pt idx="50">
                  <c:v>75083</c:v>
                </c:pt>
                <c:pt idx="51">
                  <c:v>74675</c:v>
                </c:pt>
                <c:pt idx="52">
                  <c:v>82608</c:v>
                </c:pt>
                <c:pt idx="53">
                  <c:v>81101</c:v>
                </c:pt>
                <c:pt idx="54">
                  <c:v>77504</c:v>
                </c:pt>
                <c:pt idx="55">
                  <c:v>75268</c:v>
                </c:pt>
                <c:pt idx="56">
                  <c:v>71067</c:v>
                </c:pt>
                <c:pt idx="57">
                  <c:v>64964</c:v>
                </c:pt>
              </c:numCache>
            </c:numRef>
          </c:val>
          <c:smooth val="0"/>
          <c:extLst>
            <c:ext xmlns:c16="http://schemas.microsoft.com/office/drawing/2014/chart" uri="{C3380CC4-5D6E-409C-BE32-E72D297353CC}">
              <c16:uniqueId val="{00000001-1EEF-704F-B490-358A51139D80}"/>
            </c:ext>
          </c:extLst>
        </c:ser>
        <c:dLbls>
          <c:showLegendKey val="0"/>
          <c:showVal val="0"/>
          <c:showCatName val="0"/>
          <c:showSerName val="0"/>
          <c:showPercent val="0"/>
          <c:showBubbleSize val="0"/>
        </c:dLbls>
        <c:smooth val="0"/>
        <c:axId val="112519424"/>
        <c:axId val="113184768"/>
      </c:lineChart>
      <c:catAx>
        <c:axId val="112519424"/>
        <c:scaling>
          <c:orientation val="minMax"/>
        </c:scaling>
        <c:delete val="0"/>
        <c:axPos val="b"/>
        <c:numFmt formatCode="General" sourceLinked="1"/>
        <c:majorTickMark val="out"/>
        <c:minorTickMark val="none"/>
        <c:tickLblPos val="nextTo"/>
        <c:txPr>
          <a:bodyPr/>
          <a:lstStyle/>
          <a:p>
            <a:pPr>
              <a:defRPr lang="en-GB" sz="800" baseline="0"/>
            </a:pPr>
            <a:endParaRPr lang="en-US"/>
          </a:p>
        </c:txPr>
        <c:crossAx val="113184768"/>
        <c:crosses val="autoZero"/>
        <c:auto val="1"/>
        <c:lblAlgn val="ctr"/>
        <c:lblOffset val="100"/>
        <c:noMultiLvlLbl val="0"/>
      </c:catAx>
      <c:valAx>
        <c:axId val="113184768"/>
        <c:scaling>
          <c:orientation val="minMax"/>
        </c:scaling>
        <c:delete val="0"/>
        <c:axPos val="l"/>
        <c:majorGridlines/>
        <c:numFmt formatCode="General" sourceLinked="1"/>
        <c:majorTickMark val="out"/>
        <c:minorTickMark val="none"/>
        <c:tickLblPos val="nextTo"/>
        <c:txPr>
          <a:bodyPr/>
          <a:lstStyle/>
          <a:p>
            <a:pPr>
              <a:defRPr lang="en-GB" sz="800" baseline="0"/>
            </a:pPr>
            <a:endParaRPr lang="en-US"/>
          </a:p>
        </c:txPr>
        <c:crossAx val="112519424"/>
        <c:crosses val="autoZero"/>
        <c:crossBetween val="between"/>
      </c:valAx>
    </c:plotArea>
    <c:legend>
      <c:legendPos val="r"/>
      <c:overlay val="0"/>
      <c:txPr>
        <a:bodyPr/>
        <a:lstStyle/>
        <a:p>
          <a:pPr>
            <a:defRPr lang="en-GB" sz="800" baseline="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'main set'!$L$26</c:f>
              <c:strCache>
                <c:ptCount val="1"/>
                <c:pt idx="0">
                  <c:v>population WA </c:v>
                </c:pt>
              </c:strCache>
            </c:strRef>
          </c:tx>
          <c:spPr>
            <a:ln w="28575" cap="rnd">
              <a:solidFill>
                <a:schemeClr val="accent3"/>
              </a:solidFill>
              <a:round/>
            </a:ln>
            <a:effectLst/>
          </c:spPr>
          <c:marker>
            <c:symbol val="none"/>
          </c:marker>
          <c:cat>
            <c:numRef>
              <c:f>'main set'!$K$27:$K$79</c:f>
              <c:numCache>
                <c:formatCode>General</c:formatCode>
                <c:ptCount val="53"/>
                <c:pt idx="0">
                  <c:v>1842</c:v>
                </c:pt>
                <c:pt idx="1">
                  <c:v>1843</c:v>
                </c:pt>
                <c:pt idx="2">
                  <c:v>1844</c:v>
                </c:pt>
                <c:pt idx="3">
                  <c:v>1845</c:v>
                </c:pt>
                <c:pt idx="4">
                  <c:v>1846</c:v>
                </c:pt>
                <c:pt idx="5">
                  <c:v>1847</c:v>
                </c:pt>
                <c:pt idx="6">
                  <c:v>1848</c:v>
                </c:pt>
                <c:pt idx="7">
                  <c:v>1849</c:v>
                </c:pt>
                <c:pt idx="8">
                  <c:v>1850</c:v>
                </c:pt>
                <c:pt idx="9">
                  <c:v>1851</c:v>
                </c:pt>
                <c:pt idx="10">
                  <c:v>1852</c:v>
                </c:pt>
                <c:pt idx="11">
                  <c:v>1853</c:v>
                </c:pt>
                <c:pt idx="12">
                  <c:v>1854</c:v>
                </c:pt>
                <c:pt idx="13">
                  <c:v>1855</c:v>
                </c:pt>
                <c:pt idx="14">
                  <c:v>1856</c:v>
                </c:pt>
                <c:pt idx="15">
                  <c:v>1857</c:v>
                </c:pt>
                <c:pt idx="16">
                  <c:v>1858</c:v>
                </c:pt>
                <c:pt idx="17">
                  <c:v>1859</c:v>
                </c:pt>
                <c:pt idx="18">
                  <c:v>1860</c:v>
                </c:pt>
                <c:pt idx="19">
                  <c:v>1861</c:v>
                </c:pt>
                <c:pt idx="20">
                  <c:v>1862</c:v>
                </c:pt>
                <c:pt idx="21">
                  <c:v>1863</c:v>
                </c:pt>
                <c:pt idx="22">
                  <c:v>1864</c:v>
                </c:pt>
                <c:pt idx="23">
                  <c:v>1865</c:v>
                </c:pt>
                <c:pt idx="24">
                  <c:v>1866</c:v>
                </c:pt>
                <c:pt idx="25">
                  <c:v>1867</c:v>
                </c:pt>
                <c:pt idx="26">
                  <c:v>1868</c:v>
                </c:pt>
                <c:pt idx="27">
                  <c:v>1869</c:v>
                </c:pt>
                <c:pt idx="28">
                  <c:v>1870</c:v>
                </c:pt>
                <c:pt idx="29">
                  <c:v>1871</c:v>
                </c:pt>
                <c:pt idx="30">
                  <c:v>1872</c:v>
                </c:pt>
                <c:pt idx="31">
                  <c:v>1873</c:v>
                </c:pt>
                <c:pt idx="32">
                  <c:v>1874</c:v>
                </c:pt>
                <c:pt idx="33">
                  <c:v>1875</c:v>
                </c:pt>
                <c:pt idx="34">
                  <c:v>1876</c:v>
                </c:pt>
                <c:pt idx="35">
                  <c:v>1877</c:v>
                </c:pt>
                <c:pt idx="36">
                  <c:v>1878</c:v>
                </c:pt>
                <c:pt idx="37">
                  <c:v>1879</c:v>
                </c:pt>
                <c:pt idx="38">
                  <c:v>1880</c:v>
                </c:pt>
                <c:pt idx="39">
                  <c:v>1881</c:v>
                </c:pt>
                <c:pt idx="40">
                  <c:v>1882</c:v>
                </c:pt>
                <c:pt idx="41">
                  <c:v>1883</c:v>
                </c:pt>
                <c:pt idx="42">
                  <c:v>1884</c:v>
                </c:pt>
                <c:pt idx="43">
                  <c:v>1885</c:v>
                </c:pt>
                <c:pt idx="44">
                  <c:v>1886</c:v>
                </c:pt>
                <c:pt idx="45">
                  <c:v>1887</c:v>
                </c:pt>
                <c:pt idx="46">
                  <c:v>1888</c:v>
                </c:pt>
                <c:pt idx="47">
                  <c:v>1889</c:v>
                </c:pt>
                <c:pt idx="48">
                  <c:v>1890</c:v>
                </c:pt>
                <c:pt idx="49">
                  <c:v>1891</c:v>
                </c:pt>
                <c:pt idx="50">
                  <c:v>1892</c:v>
                </c:pt>
                <c:pt idx="51">
                  <c:v>1893</c:v>
                </c:pt>
                <c:pt idx="52">
                  <c:v>1894</c:v>
                </c:pt>
              </c:numCache>
            </c:numRef>
          </c:cat>
          <c:val>
            <c:numRef>
              <c:f>'main set'!$L$27:$L$79</c:f>
              <c:numCache>
                <c:formatCode>General</c:formatCode>
                <c:ptCount val="53"/>
                <c:pt idx="0">
                  <c:v>3500</c:v>
                </c:pt>
                <c:pt idx="1">
                  <c:v>3600</c:v>
                </c:pt>
                <c:pt idx="2">
                  <c:v>3700</c:v>
                </c:pt>
                <c:pt idx="3">
                  <c:v>3800</c:v>
                </c:pt>
                <c:pt idx="4">
                  <c:v>3900</c:v>
                </c:pt>
                <c:pt idx="5">
                  <c:v>4000</c:v>
                </c:pt>
                <c:pt idx="6">
                  <c:v>4150</c:v>
                </c:pt>
                <c:pt idx="7">
                  <c:v>4300</c:v>
                </c:pt>
                <c:pt idx="8">
                  <c:v>4400</c:v>
                </c:pt>
                <c:pt idx="9">
                  <c:v>4500</c:v>
                </c:pt>
                <c:pt idx="10">
                  <c:v>6500</c:v>
                </c:pt>
                <c:pt idx="11">
                  <c:v>8500</c:v>
                </c:pt>
                <c:pt idx="12">
                  <c:v>10000</c:v>
                </c:pt>
                <c:pt idx="13">
                  <c:v>11500</c:v>
                </c:pt>
                <c:pt idx="14">
                  <c:v>13400</c:v>
                </c:pt>
                <c:pt idx="15">
                  <c:v>13650</c:v>
                </c:pt>
                <c:pt idx="16">
                  <c:v>14000</c:v>
                </c:pt>
                <c:pt idx="17">
                  <c:v>14800</c:v>
                </c:pt>
                <c:pt idx="18">
                  <c:v>15100</c:v>
                </c:pt>
                <c:pt idx="19">
                  <c:v>15700</c:v>
                </c:pt>
                <c:pt idx="20">
                  <c:v>16700</c:v>
                </c:pt>
                <c:pt idx="21">
                  <c:v>17600</c:v>
                </c:pt>
                <c:pt idx="22">
                  <c:v>18600</c:v>
                </c:pt>
                <c:pt idx="23">
                  <c:v>19600</c:v>
                </c:pt>
                <c:pt idx="24">
                  <c:v>20000</c:v>
                </c:pt>
                <c:pt idx="25">
                  <c:v>20800</c:v>
                </c:pt>
                <c:pt idx="26">
                  <c:v>21700</c:v>
                </c:pt>
                <c:pt idx="27">
                  <c:v>22500</c:v>
                </c:pt>
                <c:pt idx="28">
                  <c:v>23400</c:v>
                </c:pt>
                <c:pt idx="29">
                  <c:v>24800</c:v>
                </c:pt>
                <c:pt idx="30">
                  <c:v>25100</c:v>
                </c:pt>
                <c:pt idx="31">
                  <c:v>25400</c:v>
                </c:pt>
                <c:pt idx="32">
                  <c:v>26000</c:v>
                </c:pt>
                <c:pt idx="33">
                  <c:v>26900</c:v>
                </c:pt>
                <c:pt idx="34">
                  <c:v>27500</c:v>
                </c:pt>
                <c:pt idx="35">
                  <c:v>28000</c:v>
                </c:pt>
                <c:pt idx="36">
                  <c:v>28500</c:v>
                </c:pt>
                <c:pt idx="37">
                  <c:v>29000</c:v>
                </c:pt>
                <c:pt idx="38">
                  <c:v>29500</c:v>
                </c:pt>
                <c:pt idx="39">
                  <c:v>31000</c:v>
                </c:pt>
                <c:pt idx="40">
                  <c:v>33000</c:v>
                </c:pt>
                <c:pt idx="41">
                  <c:v>35000</c:v>
                </c:pt>
                <c:pt idx="42">
                  <c:v>36700</c:v>
                </c:pt>
                <c:pt idx="43">
                  <c:v>38000</c:v>
                </c:pt>
                <c:pt idx="44">
                  <c:v>40100</c:v>
                </c:pt>
                <c:pt idx="45">
                  <c:v>40900</c:v>
                </c:pt>
                <c:pt idx="46">
                  <c:v>41300</c:v>
                </c:pt>
                <c:pt idx="47">
                  <c:v>42100</c:v>
                </c:pt>
                <c:pt idx="48">
                  <c:v>44600</c:v>
                </c:pt>
                <c:pt idx="49">
                  <c:v>49800</c:v>
                </c:pt>
                <c:pt idx="50">
                  <c:v>60000</c:v>
                </c:pt>
                <c:pt idx="51">
                  <c:v>70000</c:v>
                </c:pt>
                <c:pt idx="52">
                  <c:v>75055</c:v>
                </c:pt>
              </c:numCache>
            </c:numRef>
          </c:val>
          <c:smooth val="0"/>
          <c:extLst>
            <c:ext xmlns:c16="http://schemas.microsoft.com/office/drawing/2014/chart" uri="{C3380CC4-5D6E-409C-BE32-E72D297353CC}">
              <c16:uniqueId val="{00000000-A7FA-E343-A9BF-0033FE825428}"/>
            </c:ext>
          </c:extLst>
        </c:ser>
        <c:ser>
          <c:idx val="1"/>
          <c:order val="1"/>
          <c:tx>
            <c:strRef>
              <c:f>'main set'!$M$26</c:f>
              <c:strCache>
                <c:ptCount val="1"/>
                <c:pt idx="0">
                  <c:v>estimated convict population</c:v>
                </c:pt>
              </c:strCache>
            </c:strRef>
          </c:tx>
          <c:spPr>
            <a:ln w="28575" cap="rnd">
              <a:solidFill>
                <a:schemeClr val="bg2">
                  <a:lumMod val="75000"/>
                </a:schemeClr>
              </a:solidFill>
              <a:prstDash val="sysDot"/>
              <a:round/>
            </a:ln>
            <a:effectLst/>
          </c:spPr>
          <c:marker>
            <c:symbol val="none"/>
          </c:marker>
          <c:cat>
            <c:numRef>
              <c:f>'main set'!$K$27:$K$79</c:f>
              <c:numCache>
                <c:formatCode>General</c:formatCode>
                <c:ptCount val="53"/>
                <c:pt idx="0">
                  <c:v>1842</c:v>
                </c:pt>
                <c:pt idx="1">
                  <c:v>1843</c:v>
                </c:pt>
                <c:pt idx="2">
                  <c:v>1844</c:v>
                </c:pt>
                <c:pt idx="3">
                  <c:v>1845</c:v>
                </c:pt>
                <c:pt idx="4">
                  <c:v>1846</c:v>
                </c:pt>
                <c:pt idx="5">
                  <c:v>1847</c:v>
                </c:pt>
                <c:pt idx="6">
                  <c:v>1848</c:v>
                </c:pt>
                <c:pt idx="7">
                  <c:v>1849</c:v>
                </c:pt>
                <c:pt idx="8">
                  <c:v>1850</c:v>
                </c:pt>
                <c:pt idx="9">
                  <c:v>1851</c:v>
                </c:pt>
                <c:pt idx="10">
                  <c:v>1852</c:v>
                </c:pt>
                <c:pt idx="11">
                  <c:v>1853</c:v>
                </c:pt>
                <c:pt idx="12">
                  <c:v>1854</c:v>
                </c:pt>
                <c:pt idx="13">
                  <c:v>1855</c:v>
                </c:pt>
                <c:pt idx="14">
                  <c:v>1856</c:v>
                </c:pt>
                <c:pt idx="15">
                  <c:v>1857</c:v>
                </c:pt>
                <c:pt idx="16">
                  <c:v>1858</c:v>
                </c:pt>
                <c:pt idx="17">
                  <c:v>1859</c:v>
                </c:pt>
                <c:pt idx="18">
                  <c:v>1860</c:v>
                </c:pt>
                <c:pt idx="19">
                  <c:v>1861</c:v>
                </c:pt>
                <c:pt idx="20">
                  <c:v>1862</c:v>
                </c:pt>
                <c:pt idx="21">
                  <c:v>1863</c:v>
                </c:pt>
                <c:pt idx="22">
                  <c:v>1864</c:v>
                </c:pt>
                <c:pt idx="23">
                  <c:v>1865</c:v>
                </c:pt>
                <c:pt idx="24">
                  <c:v>1866</c:v>
                </c:pt>
                <c:pt idx="25">
                  <c:v>1867</c:v>
                </c:pt>
                <c:pt idx="26">
                  <c:v>1868</c:v>
                </c:pt>
                <c:pt idx="27">
                  <c:v>1869</c:v>
                </c:pt>
                <c:pt idx="28">
                  <c:v>1870</c:v>
                </c:pt>
                <c:pt idx="29">
                  <c:v>1871</c:v>
                </c:pt>
                <c:pt idx="30">
                  <c:v>1872</c:v>
                </c:pt>
                <c:pt idx="31">
                  <c:v>1873</c:v>
                </c:pt>
                <c:pt idx="32">
                  <c:v>1874</c:v>
                </c:pt>
                <c:pt idx="33">
                  <c:v>1875</c:v>
                </c:pt>
                <c:pt idx="34">
                  <c:v>1876</c:v>
                </c:pt>
                <c:pt idx="35">
                  <c:v>1877</c:v>
                </c:pt>
                <c:pt idx="36">
                  <c:v>1878</c:v>
                </c:pt>
                <c:pt idx="37">
                  <c:v>1879</c:v>
                </c:pt>
                <c:pt idx="38">
                  <c:v>1880</c:v>
                </c:pt>
                <c:pt idx="39">
                  <c:v>1881</c:v>
                </c:pt>
                <c:pt idx="40">
                  <c:v>1882</c:v>
                </c:pt>
                <c:pt idx="41">
                  <c:v>1883</c:v>
                </c:pt>
                <c:pt idx="42">
                  <c:v>1884</c:v>
                </c:pt>
                <c:pt idx="43">
                  <c:v>1885</c:v>
                </c:pt>
                <c:pt idx="44">
                  <c:v>1886</c:v>
                </c:pt>
                <c:pt idx="45">
                  <c:v>1887</c:v>
                </c:pt>
                <c:pt idx="46">
                  <c:v>1888</c:v>
                </c:pt>
                <c:pt idx="47">
                  <c:v>1889</c:v>
                </c:pt>
                <c:pt idx="48">
                  <c:v>1890</c:v>
                </c:pt>
                <c:pt idx="49">
                  <c:v>1891</c:v>
                </c:pt>
                <c:pt idx="50">
                  <c:v>1892</c:v>
                </c:pt>
                <c:pt idx="51">
                  <c:v>1893</c:v>
                </c:pt>
                <c:pt idx="52">
                  <c:v>1894</c:v>
                </c:pt>
              </c:numCache>
            </c:numRef>
          </c:cat>
          <c:val>
            <c:numRef>
              <c:f>'main set'!$M$27:$M$79</c:f>
              <c:numCache>
                <c:formatCode>General</c:formatCode>
                <c:ptCount val="53"/>
                <c:pt idx="8" formatCode="0">
                  <c:v>175</c:v>
                </c:pt>
                <c:pt idx="9" formatCode="0">
                  <c:v>1130.4000000000001</c:v>
                </c:pt>
                <c:pt idx="10" formatCode="0">
                  <c:v>1321.2</c:v>
                </c:pt>
                <c:pt idx="11" formatCode="0">
                  <c:v>2319.3000000000002</c:v>
                </c:pt>
                <c:pt idx="12" formatCode="0">
                  <c:v>2855.7</c:v>
                </c:pt>
                <c:pt idx="13" formatCode="0">
                  <c:v>3295.8</c:v>
                </c:pt>
                <c:pt idx="14" formatCode="0">
                  <c:v>3743.1</c:v>
                </c:pt>
                <c:pt idx="15" formatCode="0">
                  <c:v>3982.5</c:v>
                </c:pt>
                <c:pt idx="16" formatCode="0">
                  <c:v>4729.5</c:v>
                </c:pt>
                <c:pt idx="17" formatCode="0">
                  <c:v>4932</c:v>
                </c:pt>
                <c:pt idx="18" formatCode="0">
                  <c:v>4932</c:v>
                </c:pt>
                <c:pt idx="19" formatCode="0">
                  <c:v>5195.7</c:v>
                </c:pt>
                <c:pt idx="20" formatCode="0">
                  <c:v>5999.4</c:v>
                </c:pt>
                <c:pt idx="21" formatCode="0">
                  <c:v>6702.3</c:v>
                </c:pt>
                <c:pt idx="22" formatCode="0">
                  <c:v>7204.5</c:v>
                </c:pt>
                <c:pt idx="23" formatCode="0">
                  <c:v>7704.9</c:v>
                </c:pt>
                <c:pt idx="24" formatCode="0">
                  <c:v>8227.7999999999993</c:v>
                </c:pt>
                <c:pt idx="25" formatCode="0">
                  <c:v>8455.5</c:v>
                </c:pt>
                <c:pt idx="26" formatCode="0">
                  <c:v>8706.6</c:v>
                </c:pt>
                <c:pt idx="27" formatCode="0">
                  <c:v>8706.6</c:v>
                </c:pt>
                <c:pt idx="28" formatCode="0">
                  <c:v>8706.6</c:v>
                </c:pt>
                <c:pt idx="29" formatCode="0">
                  <c:v>8706.6</c:v>
                </c:pt>
                <c:pt idx="30" formatCode="0">
                  <c:v>8706.6</c:v>
                </c:pt>
                <c:pt idx="31" formatCode="0">
                  <c:v>8706.6</c:v>
                </c:pt>
                <c:pt idx="32" formatCode="0">
                  <c:v>8706.6</c:v>
                </c:pt>
                <c:pt idx="33" formatCode="0">
                  <c:v>8706.6</c:v>
                </c:pt>
                <c:pt idx="34" formatCode="0">
                  <c:v>8706.6</c:v>
                </c:pt>
                <c:pt idx="35" formatCode="0">
                  <c:v>8549.1</c:v>
                </c:pt>
                <c:pt idx="36" formatCode="0">
                  <c:v>7576.2</c:v>
                </c:pt>
                <c:pt idx="37" formatCode="0">
                  <c:v>7385.4</c:v>
                </c:pt>
                <c:pt idx="38" formatCode="0">
                  <c:v>6387.3</c:v>
                </c:pt>
                <c:pt idx="39" formatCode="0">
                  <c:v>5850.9</c:v>
                </c:pt>
                <c:pt idx="40" formatCode="0">
                  <c:v>5410.8</c:v>
                </c:pt>
                <c:pt idx="41" formatCode="0">
                  <c:v>4963.5</c:v>
                </c:pt>
                <c:pt idx="42" formatCode="0">
                  <c:v>4724.1000000000004</c:v>
                </c:pt>
                <c:pt idx="43" formatCode="0">
                  <c:v>3977.1</c:v>
                </c:pt>
                <c:pt idx="44" formatCode="0">
                  <c:v>3774.6</c:v>
                </c:pt>
                <c:pt idx="45" formatCode="0">
                  <c:v>3774.6</c:v>
                </c:pt>
                <c:pt idx="46" formatCode="0">
                  <c:v>3510.9</c:v>
                </c:pt>
                <c:pt idx="47" formatCode="0">
                  <c:v>2707.2</c:v>
                </c:pt>
                <c:pt idx="48" formatCode="0">
                  <c:v>2004.3</c:v>
                </c:pt>
                <c:pt idx="49" formatCode="0">
                  <c:v>1502.1</c:v>
                </c:pt>
                <c:pt idx="50" formatCode="0">
                  <c:v>1001.7</c:v>
                </c:pt>
                <c:pt idx="51" formatCode="0">
                  <c:v>478.8</c:v>
                </c:pt>
                <c:pt idx="52" formatCode="0">
                  <c:v>251</c:v>
                </c:pt>
              </c:numCache>
            </c:numRef>
          </c:val>
          <c:smooth val="0"/>
          <c:extLst>
            <c:ext xmlns:c16="http://schemas.microsoft.com/office/drawing/2014/chart" uri="{C3380CC4-5D6E-409C-BE32-E72D297353CC}">
              <c16:uniqueId val="{00000001-A7FA-E343-A9BF-0033FE825428}"/>
            </c:ext>
          </c:extLst>
        </c:ser>
        <c:dLbls>
          <c:showLegendKey val="0"/>
          <c:showVal val="0"/>
          <c:showCatName val="0"/>
          <c:showSerName val="0"/>
          <c:showPercent val="0"/>
          <c:showBubbleSize val="0"/>
        </c:dLbls>
        <c:smooth val="0"/>
        <c:axId val="1966549776"/>
        <c:axId val="2062287360"/>
      </c:lineChart>
      <c:catAx>
        <c:axId val="1966549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062287360"/>
        <c:crosses val="autoZero"/>
        <c:auto val="1"/>
        <c:lblAlgn val="ctr"/>
        <c:lblOffset val="100"/>
        <c:noMultiLvlLbl val="0"/>
      </c:catAx>
      <c:valAx>
        <c:axId val="2062287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966549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'main set'!$Q$34</c:f>
              <c:strCache>
                <c:ptCount val="1"/>
                <c:pt idx="0">
                  <c:v>% of convicts in WA </c:v>
                </c:pt>
              </c:strCache>
            </c:strRef>
          </c:tx>
          <c:spPr>
            <a:ln w="28575" cap="rnd">
              <a:solidFill>
                <a:schemeClr val="tx1"/>
              </a:solidFill>
              <a:prstDash val="sysDot"/>
              <a:round/>
            </a:ln>
            <a:effectLst/>
          </c:spPr>
          <c:marker>
            <c:symbol val="none"/>
          </c:marker>
          <c:cat>
            <c:strRef>
              <c:f>'main set'!$P$34:$P$79</c:f>
              <c:strCache>
                <c:ptCount val="46"/>
                <c:pt idx="0">
                  <c:v>year</c:v>
                </c:pt>
                <c:pt idx="1">
                  <c:v>1850</c:v>
                </c:pt>
                <c:pt idx="2">
                  <c:v>1851</c:v>
                </c:pt>
                <c:pt idx="3">
                  <c:v>1852</c:v>
                </c:pt>
                <c:pt idx="4">
                  <c:v>1853</c:v>
                </c:pt>
                <c:pt idx="5">
                  <c:v>1854</c:v>
                </c:pt>
                <c:pt idx="6">
                  <c:v>1855</c:v>
                </c:pt>
                <c:pt idx="7">
                  <c:v>1856</c:v>
                </c:pt>
                <c:pt idx="8">
                  <c:v>1857</c:v>
                </c:pt>
                <c:pt idx="9">
                  <c:v>1858</c:v>
                </c:pt>
                <c:pt idx="10">
                  <c:v>1859</c:v>
                </c:pt>
                <c:pt idx="11">
                  <c:v>1860</c:v>
                </c:pt>
                <c:pt idx="12">
                  <c:v>1861</c:v>
                </c:pt>
                <c:pt idx="13">
                  <c:v>1862</c:v>
                </c:pt>
                <c:pt idx="14">
                  <c:v>1863</c:v>
                </c:pt>
                <c:pt idx="15">
                  <c:v>1864</c:v>
                </c:pt>
                <c:pt idx="16">
                  <c:v>1865</c:v>
                </c:pt>
                <c:pt idx="17">
                  <c:v>1866</c:v>
                </c:pt>
                <c:pt idx="18">
                  <c:v>1867</c:v>
                </c:pt>
                <c:pt idx="19">
                  <c:v>1868</c:v>
                </c:pt>
                <c:pt idx="20">
                  <c:v>1869</c:v>
                </c:pt>
                <c:pt idx="21">
                  <c:v>1870</c:v>
                </c:pt>
                <c:pt idx="22">
                  <c:v>1871</c:v>
                </c:pt>
                <c:pt idx="23">
                  <c:v>1872</c:v>
                </c:pt>
                <c:pt idx="24">
                  <c:v>1873</c:v>
                </c:pt>
                <c:pt idx="25">
                  <c:v>1874</c:v>
                </c:pt>
                <c:pt idx="26">
                  <c:v>1875</c:v>
                </c:pt>
                <c:pt idx="27">
                  <c:v>1876</c:v>
                </c:pt>
                <c:pt idx="28">
                  <c:v>1877</c:v>
                </c:pt>
                <c:pt idx="29">
                  <c:v>1878</c:v>
                </c:pt>
                <c:pt idx="30">
                  <c:v>1879</c:v>
                </c:pt>
                <c:pt idx="31">
                  <c:v>1880</c:v>
                </c:pt>
                <c:pt idx="32">
                  <c:v>1881</c:v>
                </c:pt>
                <c:pt idx="33">
                  <c:v>1882</c:v>
                </c:pt>
                <c:pt idx="34">
                  <c:v>1883</c:v>
                </c:pt>
                <c:pt idx="35">
                  <c:v>1884</c:v>
                </c:pt>
                <c:pt idx="36">
                  <c:v>1885</c:v>
                </c:pt>
                <c:pt idx="37">
                  <c:v>1886</c:v>
                </c:pt>
                <c:pt idx="38">
                  <c:v>1887</c:v>
                </c:pt>
                <c:pt idx="39">
                  <c:v>1888</c:v>
                </c:pt>
                <c:pt idx="40">
                  <c:v>1889</c:v>
                </c:pt>
                <c:pt idx="41">
                  <c:v>1890</c:v>
                </c:pt>
                <c:pt idx="42">
                  <c:v>1891</c:v>
                </c:pt>
                <c:pt idx="43">
                  <c:v>1892</c:v>
                </c:pt>
                <c:pt idx="44">
                  <c:v>1893</c:v>
                </c:pt>
                <c:pt idx="45">
                  <c:v>1894</c:v>
                </c:pt>
              </c:strCache>
            </c:strRef>
          </c:cat>
          <c:val>
            <c:numRef>
              <c:f>'main set'!$Q$35:$Q$79</c:f>
              <c:numCache>
                <c:formatCode>General</c:formatCode>
                <c:ptCount val="45"/>
                <c:pt idx="0">
                  <c:v>4</c:v>
                </c:pt>
                <c:pt idx="1">
                  <c:v>30</c:v>
                </c:pt>
                <c:pt idx="2">
                  <c:v>20</c:v>
                </c:pt>
                <c:pt idx="3">
                  <c:v>27</c:v>
                </c:pt>
                <c:pt idx="4">
                  <c:v>28</c:v>
                </c:pt>
                <c:pt idx="5">
                  <c:v>29</c:v>
                </c:pt>
                <c:pt idx="6">
                  <c:v>28</c:v>
                </c:pt>
                <c:pt idx="7">
                  <c:v>29</c:v>
                </c:pt>
                <c:pt idx="8">
                  <c:v>34</c:v>
                </c:pt>
                <c:pt idx="9">
                  <c:v>33</c:v>
                </c:pt>
                <c:pt idx="10">
                  <c:v>33</c:v>
                </c:pt>
                <c:pt idx="11">
                  <c:v>33</c:v>
                </c:pt>
                <c:pt idx="12">
                  <c:v>36</c:v>
                </c:pt>
                <c:pt idx="13">
                  <c:v>38</c:v>
                </c:pt>
                <c:pt idx="14">
                  <c:v>39</c:v>
                </c:pt>
                <c:pt idx="15">
                  <c:v>39</c:v>
                </c:pt>
                <c:pt idx="16">
                  <c:v>41</c:v>
                </c:pt>
                <c:pt idx="17">
                  <c:v>40</c:v>
                </c:pt>
                <c:pt idx="18">
                  <c:v>40</c:v>
                </c:pt>
                <c:pt idx="19">
                  <c:v>39</c:v>
                </c:pt>
                <c:pt idx="20">
                  <c:v>37</c:v>
                </c:pt>
                <c:pt idx="21">
                  <c:v>35</c:v>
                </c:pt>
                <c:pt idx="22">
                  <c:v>35</c:v>
                </c:pt>
                <c:pt idx="23">
                  <c:v>34</c:v>
                </c:pt>
                <c:pt idx="24">
                  <c:v>33</c:v>
                </c:pt>
                <c:pt idx="25">
                  <c:v>32</c:v>
                </c:pt>
                <c:pt idx="26">
                  <c:v>31</c:v>
                </c:pt>
                <c:pt idx="27">
                  <c:v>30</c:v>
                </c:pt>
                <c:pt idx="28">
                  <c:v>27</c:v>
                </c:pt>
                <c:pt idx="29">
                  <c:v>25</c:v>
                </c:pt>
                <c:pt idx="30">
                  <c:v>22</c:v>
                </c:pt>
                <c:pt idx="31">
                  <c:v>19</c:v>
                </c:pt>
                <c:pt idx="32">
                  <c:v>16</c:v>
                </c:pt>
                <c:pt idx="33">
                  <c:v>14</c:v>
                </c:pt>
                <c:pt idx="34">
                  <c:v>13</c:v>
                </c:pt>
                <c:pt idx="35">
                  <c:v>10</c:v>
                </c:pt>
                <c:pt idx="36">
                  <c:v>9</c:v>
                </c:pt>
                <c:pt idx="37">
                  <c:v>9</c:v>
                </c:pt>
                <c:pt idx="38">
                  <c:v>8</c:v>
                </c:pt>
                <c:pt idx="39">
                  <c:v>6</c:v>
                </c:pt>
                <c:pt idx="40">
                  <c:v>4</c:v>
                </c:pt>
                <c:pt idx="41">
                  <c:v>3</c:v>
                </c:pt>
                <c:pt idx="42">
                  <c:v>1</c:v>
                </c:pt>
                <c:pt idx="43">
                  <c:v>1</c:v>
                </c:pt>
                <c:pt idx="44">
                  <c:v>1</c:v>
                </c:pt>
              </c:numCache>
            </c:numRef>
          </c:val>
          <c:smooth val="0"/>
          <c:extLst>
            <c:ext xmlns:c16="http://schemas.microsoft.com/office/drawing/2014/chart" uri="{C3380CC4-5D6E-409C-BE32-E72D297353CC}">
              <c16:uniqueId val="{00000000-7922-8E48-A628-88AD78ABE839}"/>
            </c:ext>
          </c:extLst>
        </c:ser>
        <c:ser>
          <c:idx val="1"/>
          <c:order val="1"/>
          <c:tx>
            <c:strRef>
              <c:f>'main set'!$R$34</c:f>
              <c:strCache>
                <c:ptCount val="1"/>
                <c:pt idx="0">
                  <c:v>% convicts in Supreme Court</c:v>
                </c:pt>
              </c:strCache>
            </c:strRef>
          </c:tx>
          <c:spPr>
            <a:ln w="19050" cap="rnd">
              <a:solidFill>
                <a:schemeClr val="bg2">
                  <a:lumMod val="75000"/>
                </a:schemeClr>
              </a:solidFill>
              <a:round/>
            </a:ln>
            <a:effectLst/>
          </c:spPr>
          <c:marker>
            <c:symbol val="none"/>
          </c:marker>
          <c:cat>
            <c:strRef>
              <c:f>'main set'!$P$34:$P$79</c:f>
              <c:strCache>
                <c:ptCount val="46"/>
                <c:pt idx="0">
                  <c:v>year</c:v>
                </c:pt>
                <c:pt idx="1">
                  <c:v>1850</c:v>
                </c:pt>
                <c:pt idx="2">
                  <c:v>1851</c:v>
                </c:pt>
                <c:pt idx="3">
                  <c:v>1852</c:v>
                </c:pt>
                <c:pt idx="4">
                  <c:v>1853</c:v>
                </c:pt>
                <c:pt idx="5">
                  <c:v>1854</c:v>
                </c:pt>
                <c:pt idx="6">
                  <c:v>1855</c:v>
                </c:pt>
                <c:pt idx="7">
                  <c:v>1856</c:v>
                </c:pt>
                <c:pt idx="8">
                  <c:v>1857</c:v>
                </c:pt>
                <c:pt idx="9">
                  <c:v>1858</c:v>
                </c:pt>
                <c:pt idx="10">
                  <c:v>1859</c:v>
                </c:pt>
                <c:pt idx="11">
                  <c:v>1860</c:v>
                </c:pt>
                <c:pt idx="12">
                  <c:v>1861</c:v>
                </c:pt>
                <c:pt idx="13">
                  <c:v>1862</c:v>
                </c:pt>
                <c:pt idx="14">
                  <c:v>1863</c:v>
                </c:pt>
                <c:pt idx="15">
                  <c:v>1864</c:v>
                </c:pt>
                <c:pt idx="16">
                  <c:v>1865</c:v>
                </c:pt>
                <c:pt idx="17">
                  <c:v>1866</c:v>
                </c:pt>
                <c:pt idx="18">
                  <c:v>1867</c:v>
                </c:pt>
                <c:pt idx="19">
                  <c:v>1868</c:v>
                </c:pt>
                <c:pt idx="20">
                  <c:v>1869</c:v>
                </c:pt>
                <c:pt idx="21">
                  <c:v>1870</c:v>
                </c:pt>
                <c:pt idx="22">
                  <c:v>1871</c:v>
                </c:pt>
                <c:pt idx="23">
                  <c:v>1872</c:v>
                </c:pt>
                <c:pt idx="24">
                  <c:v>1873</c:v>
                </c:pt>
                <c:pt idx="25">
                  <c:v>1874</c:v>
                </c:pt>
                <c:pt idx="26">
                  <c:v>1875</c:v>
                </c:pt>
                <c:pt idx="27">
                  <c:v>1876</c:v>
                </c:pt>
                <c:pt idx="28">
                  <c:v>1877</c:v>
                </c:pt>
                <c:pt idx="29">
                  <c:v>1878</c:v>
                </c:pt>
                <c:pt idx="30">
                  <c:v>1879</c:v>
                </c:pt>
                <c:pt idx="31">
                  <c:v>1880</c:v>
                </c:pt>
                <c:pt idx="32">
                  <c:v>1881</c:v>
                </c:pt>
                <c:pt idx="33">
                  <c:v>1882</c:v>
                </c:pt>
                <c:pt idx="34">
                  <c:v>1883</c:v>
                </c:pt>
                <c:pt idx="35">
                  <c:v>1884</c:v>
                </c:pt>
                <c:pt idx="36">
                  <c:v>1885</c:v>
                </c:pt>
                <c:pt idx="37">
                  <c:v>1886</c:v>
                </c:pt>
                <c:pt idx="38">
                  <c:v>1887</c:v>
                </c:pt>
                <c:pt idx="39">
                  <c:v>1888</c:v>
                </c:pt>
                <c:pt idx="40">
                  <c:v>1889</c:v>
                </c:pt>
                <c:pt idx="41">
                  <c:v>1890</c:v>
                </c:pt>
                <c:pt idx="42">
                  <c:v>1891</c:v>
                </c:pt>
                <c:pt idx="43">
                  <c:v>1892</c:v>
                </c:pt>
                <c:pt idx="44">
                  <c:v>1893</c:v>
                </c:pt>
                <c:pt idx="45">
                  <c:v>1894</c:v>
                </c:pt>
              </c:strCache>
            </c:strRef>
          </c:cat>
          <c:val>
            <c:numRef>
              <c:f>'main set'!$R$35:$R$79</c:f>
              <c:numCache>
                <c:formatCode>General</c:formatCode>
                <c:ptCount val="45"/>
                <c:pt idx="11" formatCode="0">
                  <c:v>69</c:v>
                </c:pt>
                <c:pt idx="12" formatCode="0">
                  <c:v>57</c:v>
                </c:pt>
                <c:pt idx="13" formatCode="0">
                  <c:v>69</c:v>
                </c:pt>
                <c:pt idx="14" formatCode="0">
                  <c:v>71</c:v>
                </c:pt>
                <c:pt idx="15" formatCode="0">
                  <c:v>63</c:v>
                </c:pt>
                <c:pt idx="16" formatCode="0">
                  <c:v>70</c:v>
                </c:pt>
                <c:pt idx="17" formatCode="0">
                  <c:v>62</c:v>
                </c:pt>
                <c:pt idx="18" formatCode="0">
                  <c:v>69</c:v>
                </c:pt>
                <c:pt idx="19" formatCode="0">
                  <c:v>74</c:v>
                </c:pt>
                <c:pt idx="21" formatCode="0">
                  <c:v>76</c:v>
                </c:pt>
                <c:pt idx="22" formatCode="0">
                  <c:v>69</c:v>
                </c:pt>
                <c:pt idx="23" formatCode="0">
                  <c:v>61</c:v>
                </c:pt>
                <c:pt idx="24" formatCode="0">
                  <c:v>76</c:v>
                </c:pt>
                <c:pt idx="25" formatCode="0">
                  <c:v>57</c:v>
                </c:pt>
                <c:pt idx="26" formatCode="0">
                  <c:v>51</c:v>
                </c:pt>
                <c:pt idx="27" formatCode="0">
                  <c:v>65</c:v>
                </c:pt>
                <c:pt idx="28" formatCode="0">
                  <c:v>66</c:v>
                </c:pt>
                <c:pt idx="29" formatCode="0">
                  <c:v>49</c:v>
                </c:pt>
                <c:pt idx="30" formatCode="0">
                  <c:v>66</c:v>
                </c:pt>
                <c:pt idx="31" formatCode="0">
                  <c:v>61</c:v>
                </c:pt>
                <c:pt idx="32" formatCode="0">
                  <c:v>44</c:v>
                </c:pt>
                <c:pt idx="33" formatCode="0">
                  <c:v>70</c:v>
                </c:pt>
                <c:pt idx="34" formatCode="0">
                  <c:v>45</c:v>
                </c:pt>
                <c:pt idx="35" formatCode="0">
                  <c:v>57</c:v>
                </c:pt>
                <c:pt idx="36" formatCode="0">
                  <c:v>44</c:v>
                </c:pt>
                <c:pt idx="37" formatCode="0">
                  <c:v>45</c:v>
                </c:pt>
                <c:pt idx="38" formatCode="0">
                  <c:v>36</c:v>
                </c:pt>
                <c:pt idx="39" formatCode="0">
                  <c:v>17</c:v>
                </c:pt>
                <c:pt idx="40" formatCode="0">
                  <c:v>32</c:v>
                </c:pt>
              </c:numCache>
            </c:numRef>
          </c:val>
          <c:smooth val="0"/>
          <c:extLst>
            <c:ext xmlns:c16="http://schemas.microsoft.com/office/drawing/2014/chart" uri="{C3380CC4-5D6E-409C-BE32-E72D297353CC}">
              <c16:uniqueId val="{00000001-7922-8E48-A628-88AD78ABE839}"/>
            </c:ext>
          </c:extLst>
        </c:ser>
        <c:ser>
          <c:idx val="2"/>
          <c:order val="2"/>
          <c:tx>
            <c:strRef>
              <c:f>'main set'!$S$34</c:f>
              <c:strCache>
                <c:ptCount val="1"/>
                <c:pt idx="0">
                  <c:v>% convicts committed to  Fremantle Prison</c:v>
                </c:pt>
              </c:strCache>
            </c:strRef>
          </c:tx>
          <c:spPr>
            <a:ln w="15875" cap="rnd">
              <a:solidFill>
                <a:schemeClr val="bg2">
                  <a:lumMod val="50000"/>
                </a:schemeClr>
              </a:solidFill>
              <a:round/>
            </a:ln>
            <a:effectLst/>
          </c:spPr>
          <c:marker>
            <c:symbol val="none"/>
          </c:marker>
          <c:cat>
            <c:strRef>
              <c:f>'main set'!$P$34:$P$79</c:f>
              <c:strCache>
                <c:ptCount val="46"/>
                <c:pt idx="0">
                  <c:v>year</c:v>
                </c:pt>
                <c:pt idx="1">
                  <c:v>1850</c:v>
                </c:pt>
                <c:pt idx="2">
                  <c:v>1851</c:v>
                </c:pt>
                <c:pt idx="3">
                  <c:v>1852</c:v>
                </c:pt>
                <c:pt idx="4">
                  <c:v>1853</c:v>
                </c:pt>
                <c:pt idx="5">
                  <c:v>1854</c:v>
                </c:pt>
                <c:pt idx="6">
                  <c:v>1855</c:v>
                </c:pt>
                <c:pt idx="7">
                  <c:v>1856</c:v>
                </c:pt>
                <c:pt idx="8">
                  <c:v>1857</c:v>
                </c:pt>
                <c:pt idx="9">
                  <c:v>1858</c:v>
                </c:pt>
                <c:pt idx="10">
                  <c:v>1859</c:v>
                </c:pt>
                <c:pt idx="11">
                  <c:v>1860</c:v>
                </c:pt>
                <c:pt idx="12">
                  <c:v>1861</c:v>
                </c:pt>
                <c:pt idx="13">
                  <c:v>1862</c:v>
                </c:pt>
                <c:pt idx="14">
                  <c:v>1863</c:v>
                </c:pt>
                <c:pt idx="15">
                  <c:v>1864</c:v>
                </c:pt>
                <c:pt idx="16">
                  <c:v>1865</c:v>
                </c:pt>
                <c:pt idx="17">
                  <c:v>1866</c:v>
                </c:pt>
                <c:pt idx="18">
                  <c:v>1867</c:v>
                </c:pt>
                <c:pt idx="19">
                  <c:v>1868</c:v>
                </c:pt>
                <c:pt idx="20">
                  <c:v>1869</c:v>
                </c:pt>
                <c:pt idx="21">
                  <c:v>1870</c:v>
                </c:pt>
                <c:pt idx="22">
                  <c:v>1871</c:v>
                </c:pt>
                <c:pt idx="23">
                  <c:v>1872</c:v>
                </c:pt>
                <c:pt idx="24">
                  <c:v>1873</c:v>
                </c:pt>
                <c:pt idx="25">
                  <c:v>1874</c:v>
                </c:pt>
                <c:pt idx="26">
                  <c:v>1875</c:v>
                </c:pt>
                <c:pt idx="27">
                  <c:v>1876</c:v>
                </c:pt>
                <c:pt idx="28">
                  <c:v>1877</c:v>
                </c:pt>
                <c:pt idx="29">
                  <c:v>1878</c:v>
                </c:pt>
                <c:pt idx="30">
                  <c:v>1879</c:v>
                </c:pt>
                <c:pt idx="31">
                  <c:v>1880</c:v>
                </c:pt>
                <c:pt idx="32">
                  <c:v>1881</c:v>
                </c:pt>
                <c:pt idx="33">
                  <c:v>1882</c:v>
                </c:pt>
                <c:pt idx="34">
                  <c:v>1883</c:v>
                </c:pt>
                <c:pt idx="35">
                  <c:v>1884</c:v>
                </c:pt>
                <c:pt idx="36">
                  <c:v>1885</c:v>
                </c:pt>
                <c:pt idx="37">
                  <c:v>1886</c:v>
                </c:pt>
                <c:pt idx="38">
                  <c:v>1887</c:v>
                </c:pt>
                <c:pt idx="39">
                  <c:v>1888</c:v>
                </c:pt>
                <c:pt idx="40">
                  <c:v>1889</c:v>
                </c:pt>
                <c:pt idx="41">
                  <c:v>1890</c:v>
                </c:pt>
                <c:pt idx="42">
                  <c:v>1891</c:v>
                </c:pt>
                <c:pt idx="43">
                  <c:v>1892</c:v>
                </c:pt>
                <c:pt idx="44">
                  <c:v>1893</c:v>
                </c:pt>
                <c:pt idx="45">
                  <c:v>1894</c:v>
                </c:pt>
              </c:strCache>
            </c:strRef>
          </c:cat>
          <c:val>
            <c:numRef>
              <c:f>'main set'!$S$35:$S$79</c:f>
              <c:numCache>
                <c:formatCode>General</c:formatCode>
                <c:ptCount val="45"/>
                <c:pt idx="8">
                  <c:v>37</c:v>
                </c:pt>
                <c:pt idx="9">
                  <c:v>43</c:v>
                </c:pt>
                <c:pt idx="10">
                  <c:v>62</c:v>
                </c:pt>
                <c:pt idx="11">
                  <c:v>70</c:v>
                </c:pt>
                <c:pt idx="12">
                  <c:v>80</c:v>
                </c:pt>
                <c:pt idx="13">
                  <c:v>69</c:v>
                </c:pt>
                <c:pt idx="14">
                  <c:v>85</c:v>
                </c:pt>
                <c:pt idx="15">
                  <c:v>75</c:v>
                </c:pt>
                <c:pt idx="16">
                  <c:v>84</c:v>
                </c:pt>
                <c:pt idx="17">
                  <c:v>82</c:v>
                </c:pt>
                <c:pt idx="18">
                  <c:v>67</c:v>
                </c:pt>
              </c:numCache>
            </c:numRef>
          </c:val>
          <c:smooth val="0"/>
          <c:extLst>
            <c:ext xmlns:c16="http://schemas.microsoft.com/office/drawing/2014/chart" uri="{C3380CC4-5D6E-409C-BE32-E72D297353CC}">
              <c16:uniqueId val="{00000002-7922-8E48-A628-88AD78ABE839}"/>
            </c:ext>
          </c:extLst>
        </c:ser>
        <c:dLbls>
          <c:showLegendKey val="0"/>
          <c:showVal val="0"/>
          <c:showCatName val="0"/>
          <c:showSerName val="0"/>
          <c:showPercent val="0"/>
          <c:showBubbleSize val="0"/>
        </c:dLbls>
        <c:smooth val="0"/>
        <c:axId val="2071609600"/>
        <c:axId val="2055752416"/>
      </c:lineChart>
      <c:catAx>
        <c:axId val="207160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055752416"/>
        <c:crosses val="autoZero"/>
        <c:auto val="1"/>
        <c:lblAlgn val="ctr"/>
        <c:lblOffset val="100"/>
        <c:noMultiLvlLbl val="0"/>
      </c:catAx>
      <c:valAx>
        <c:axId val="2055752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071609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69B4D-AF40-4341-B2EE-356F286F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9152</Words>
  <Characters>52167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Barry</dc:creator>
  <cp:keywords/>
  <dc:description/>
  <cp:lastModifiedBy>Microsoft Office User</cp:lastModifiedBy>
  <cp:revision>3</cp:revision>
  <dcterms:created xsi:type="dcterms:W3CDTF">2019-02-28T18:16:00Z</dcterms:created>
  <dcterms:modified xsi:type="dcterms:W3CDTF">2019-04-14T14:31:00Z</dcterms:modified>
</cp:coreProperties>
</file>