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1F57D" w14:textId="3F90E5CC" w:rsidR="00FE14F9" w:rsidRPr="00FE14F9" w:rsidRDefault="00FE14F9" w:rsidP="003E0F91">
      <w:pPr>
        <w:pStyle w:val="NoSpacing"/>
        <w:jc w:val="center"/>
        <w:rPr>
          <w:rFonts w:ascii="Times New Roman" w:hAnsi="Times New Roman" w:cs="Times New Roman"/>
          <w:b/>
          <w:sz w:val="24"/>
          <w:u w:val="single"/>
        </w:rPr>
      </w:pPr>
      <w:r>
        <w:rPr>
          <w:rFonts w:ascii="Times New Roman" w:hAnsi="Times New Roman" w:cs="Times New Roman"/>
          <w:b/>
          <w:sz w:val="24"/>
          <w:u w:val="single"/>
        </w:rPr>
        <w:t>Brexit and the (not quite) constitutionalised status of EU citizenship*</w:t>
      </w:r>
    </w:p>
    <w:p w14:paraId="01137A61" w14:textId="77777777" w:rsidR="00FE14F9" w:rsidRDefault="00FE14F9" w:rsidP="00A518CB">
      <w:pPr>
        <w:pStyle w:val="NoSpacing"/>
        <w:jc w:val="both"/>
        <w:rPr>
          <w:rFonts w:ascii="Times New Roman" w:hAnsi="Times New Roman" w:cs="Times New Roman"/>
          <w:sz w:val="24"/>
        </w:rPr>
      </w:pPr>
    </w:p>
    <w:p w14:paraId="5E0F8394" w14:textId="77777777" w:rsidR="00FE14F9" w:rsidRDefault="00FE14F9" w:rsidP="00FE14F9">
      <w:pPr>
        <w:pStyle w:val="NoSpacing"/>
        <w:jc w:val="both"/>
        <w:rPr>
          <w:rFonts w:ascii="Times New Roman" w:hAnsi="Times New Roman" w:cs="Times New Roman"/>
          <w:sz w:val="24"/>
        </w:rPr>
      </w:pPr>
      <w:r>
        <w:rPr>
          <w:rFonts w:ascii="Times New Roman" w:hAnsi="Times New Roman" w:cs="Times New Roman"/>
          <w:sz w:val="24"/>
        </w:rPr>
        <w:t xml:space="preserve">Since its formal introduction in the Maastricht Treaty, EU citizenship has laid claim to a constitutional status. The Union Treaties – long described by the Court of Justice as the </w:t>
      </w:r>
      <w:hyperlink r:id="rId5" w:history="1">
        <w:r w:rsidRPr="00052E19">
          <w:rPr>
            <w:rStyle w:val="Hyperlink"/>
            <w:rFonts w:ascii="Times New Roman" w:hAnsi="Times New Roman" w:cs="Times New Roman"/>
            <w:sz w:val="24"/>
          </w:rPr>
          <w:t>EU’s constitutional texts</w:t>
        </w:r>
      </w:hyperlink>
      <w:r>
        <w:rPr>
          <w:rFonts w:ascii="Times New Roman" w:hAnsi="Times New Roman" w:cs="Times New Roman"/>
          <w:sz w:val="24"/>
        </w:rPr>
        <w:t xml:space="preserve"> – explicitly confer the status of Union citizenship on all nationals of the Member States. The asserted significance of this was subsequently confirmed in the seminal </w:t>
      </w:r>
      <w:hyperlink r:id="rId6" w:history="1">
        <w:proofErr w:type="spellStart"/>
        <w:r w:rsidRPr="00FD6565">
          <w:rPr>
            <w:rStyle w:val="Hyperlink"/>
            <w:rFonts w:ascii="Times New Roman" w:hAnsi="Times New Roman" w:cs="Times New Roman"/>
            <w:i/>
            <w:sz w:val="24"/>
          </w:rPr>
          <w:t>Grzelczyk</w:t>
        </w:r>
        <w:proofErr w:type="spellEnd"/>
      </w:hyperlink>
      <w:r>
        <w:rPr>
          <w:rFonts w:ascii="Times New Roman" w:hAnsi="Times New Roman" w:cs="Times New Roman"/>
          <w:i/>
          <w:sz w:val="24"/>
        </w:rPr>
        <w:t xml:space="preserve"> </w:t>
      </w:r>
      <w:r>
        <w:rPr>
          <w:rFonts w:ascii="Times New Roman" w:hAnsi="Times New Roman" w:cs="Times New Roman"/>
          <w:sz w:val="24"/>
        </w:rPr>
        <w:t>judgment, in which the Court famously declared that EU citizenship was ‘destined to be the fundamental status of nationals of the Member States’.</w:t>
      </w:r>
    </w:p>
    <w:p w14:paraId="1437A62D" w14:textId="77777777" w:rsidR="00FE14F9" w:rsidRDefault="00FE14F9" w:rsidP="00FE14F9">
      <w:pPr>
        <w:pStyle w:val="NoSpacing"/>
        <w:jc w:val="both"/>
        <w:rPr>
          <w:rFonts w:ascii="Times New Roman" w:hAnsi="Times New Roman" w:cs="Times New Roman"/>
          <w:sz w:val="24"/>
        </w:rPr>
      </w:pPr>
    </w:p>
    <w:p w14:paraId="35EEC4EB" w14:textId="5A706981" w:rsidR="00FE14F9" w:rsidRDefault="00FE14F9" w:rsidP="00FE14F9">
      <w:pPr>
        <w:pStyle w:val="NoSpacing"/>
        <w:jc w:val="both"/>
        <w:rPr>
          <w:rFonts w:ascii="Times New Roman" w:hAnsi="Times New Roman" w:cs="Times New Roman"/>
          <w:sz w:val="24"/>
        </w:rPr>
      </w:pPr>
      <w:r>
        <w:rPr>
          <w:rFonts w:ascii="Times New Roman" w:hAnsi="Times New Roman" w:cs="Times New Roman"/>
          <w:sz w:val="24"/>
        </w:rPr>
        <w:t xml:space="preserve">UK withdrawal from the EU – and the consequent uncertainty surrounding the residence rights of the Union citizens living there – has, however, thrown into sharp relief the weakness of Union citizenship’s claims to a fundamental, constitutionalised status. As the Joint Parliamentary Committee on Human Rights </w:t>
      </w:r>
      <w:hyperlink r:id="rId7" w:history="1">
        <w:r w:rsidRPr="00052E19">
          <w:rPr>
            <w:rStyle w:val="Hyperlink"/>
            <w:rFonts w:ascii="Times New Roman" w:hAnsi="Times New Roman" w:cs="Times New Roman"/>
            <w:sz w:val="24"/>
          </w:rPr>
          <w:t>recently highlighted</w:t>
        </w:r>
      </w:hyperlink>
      <w:r>
        <w:rPr>
          <w:rFonts w:ascii="Times New Roman" w:hAnsi="Times New Roman" w:cs="Times New Roman"/>
          <w:sz w:val="24"/>
        </w:rPr>
        <w:t>, almost three years after the Leave vote those EU citizens already living in the UK are still at risk of being denied the residence and equal treatment entitlements that were likely to have been central to their decision to exercise their free movement rights during the UK’s EU membership.</w:t>
      </w:r>
    </w:p>
    <w:p w14:paraId="24054A88" w14:textId="77777777" w:rsidR="00FE14F9" w:rsidRDefault="00FE14F9" w:rsidP="00FE14F9">
      <w:pPr>
        <w:pStyle w:val="NoSpacing"/>
        <w:jc w:val="both"/>
        <w:rPr>
          <w:rFonts w:ascii="Times New Roman" w:hAnsi="Times New Roman" w:cs="Times New Roman"/>
          <w:sz w:val="24"/>
        </w:rPr>
      </w:pPr>
    </w:p>
    <w:p w14:paraId="7A09111B" w14:textId="3A1362A8" w:rsidR="00FE14F9" w:rsidRDefault="00FE14F9" w:rsidP="00FE14F9">
      <w:pPr>
        <w:pStyle w:val="NoSpacing"/>
        <w:jc w:val="both"/>
        <w:rPr>
          <w:rFonts w:ascii="Times New Roman" w:hAnsi="Times New Roman" w:cs="Times New Roman"/>
          <w:sz w:val="24"/>
        </w:rPr>
      </w:pPr>
      <w:r>
        <w:rPr>
          <w:rFonts w:ascii="Times New Roman" w:hAnsi="Times New Roman" w:cs="Times New Roman"/>
          <w:sz w:val="24"/>
        </w:rPr>
        <w:t xml:space="preserve">In truth, however, the disconnection between EU citizenship’s promises and its delivery far pre-dates the referendum. At the Union-level the ongoing links between free movement rights and economic activity mean that they have never been enjoyed equally across the EU citizenry. On the domestic side, national legislation, as well as administrative implementation, rarely reflect the ambition of ‘financial solidarity between nationals of a host State and nationals of other Member States’, visible in the </w:t>
      </w:r>
      <w:proofErr w:type="spellStart"/>
      <w:r>
        <w:rPr>
          <w:rFonts w:ascii="Times New Roman" w:hAnsi="Times New Roman" w:cs="Times New Roman"/>
          <w:i/>
          <w:sz w:val="24"/>
        </w:rPr>
        <w:t>Grzelczyk</w:t>
      </w:r>
      <w:proofErr w:type="spellEnd"/>
      <w:r>
        <w:rPr>
          <w:rFonts w:ascii="Times New Roman" w:hAnsi="Times New Roman" w:cs="Times New Roman"/>
          <w:sz w:val="24"/>
        </w:rPr>
        <w:t xml:space="preserve"> decision. </w:t>
      </w:r>
    </w:p>
    <w:p w14:paraId="48E22082" w14:textId="77777777" w:rsidR="00FE14F9" w:rsidRDefault="00FE14F9" w:rsidP="00FE14F9">
      <w:pPr>
        <w:pStyle w:val="NoSpacing"/>
        <w:jc w:val="both"/>
        <w:rPr>
          <w:rFonts w:ascii="Times New Roman" w:hAnsi="Times New Roman" w:cs="Times New Roman"/>
          <w:sz w:val="24"/>
        </w:rPr>
      </w:pPr>
    </w:p>
    <w:p w14:paraId="1D220151" w14:textId="08773546" w:rsidR="00FE14F9" w:rsidRDefault="00FE14F9" w:rsidP="00FE14F9">
      <w:pPr>
        <w:pStyle w:val="NoSpacing"/>
        <w:jc w:val="both"/>
        <w:rPr>
          <w:rFonts w:ascii="Times New Roman" w:hAnsi="Times New Roman" w:cs="Times New Roman"/>
          <w:sz w:val="24"/>
        </w:rPr>
      </w:pPr>
      <w:r>
        <w:rPr>
          <w:rFonts w:ascii="Times New Roman" w:hAnsi="Times New Roman" w:cs="Times New Roman"/>
          <w:sz w:val="24"/>
        </w:rPr>
        <w:t>Interestingly, beyond the important question of the loss of residence rights post-withdrawal, it is Brexit itself that has exposed the long-term, ongoing internal weaknesses in EU citizenship’s purportedly protective rights offering. In the specific context of securing the rights of those already living in the UK, it is the UK’s political constitution and not Union citizenship that has offered some (albeit limited) protection. For this to suffice, however, a much closer scrutiny of post-Brexit residence security mechanisms is needed, particularly as regards their administrative implementation</w:t>
      </w:r>
    </w:p>
    <w:p w14:paraId="3C993EEB" w14:textId="77777777" w:rsidR="00FE14F9" w:rsidRDefault="00FE14F9" w:rsidP="00A518CB">
      <w:pPr>
        <w:pStyle w:val="NoSpacing"/>
        <w:jc w:val="both"/>
        <w:rPr>
          <w:rFonts w:ascii="Times New Roman" w:hAnsi="Times New Roman" w:cs="Times New Roman"/>
          <w:sz w:val="24"/>
        </w:rPr>
      </w:pPr>
    </w:p>
    <w:p w14:paraId="2D1A2387" w14:textId="77777777" w:rsidR="00740645" w:rsidRDefault="00740645" w:rsidP="00A518CB">
      <w:pPr>
        <w:pStyle w:val="NoSpacing"/>
        <w:jc w:val="both"/>
        <w:rPr>
          <w:rFonts w:ascii="Times New Roman" w:hAnsi="Times New Roman" w:cs="Times New Roman"/>
          <w:b/>
          <w:sz w:val="24"/>
        </w:rPr>
      </w:pPr>
    </w:p>
    <w:p w14:paraId="3B1061ED" w14:textId="5181D18F" w:rsidR="00175381" w:rsidRPr="00175381" w:rsidRDefault="00175381" w:rsidP="00A518CB">
      <w:pPr>
        <w:pStyle w:val="NoSpacing"/>
        <w:jc w:val="both"/>
        <w:rPr>
          <w:rFonts w:ascii="Times New Roman" w:hAnsi="Times New Roman" w:cs="Times New Roman"/>
          <w:b/>
          <w:sz w:val="24"/>
        </w:rPr>
      </w:pPr>
      <w:r>
        <w:rPr>
          <w:rFonts w:ascii="Times New Roman" w:hAnsi="Times New Roman" w:cs="Times New Roman"/>
          <w:b/>
          <w:sz w:val="24"/>
        </w:rPr>
        <w:t>Post-Brexit residence insecurity: exposing the long-term gaps in the EU citizenship framework</w:t>
      </w:r>
    </w:p>
    <w:p w14:paraId="45DCE7F3" w14:textId="77777777" w:rsidR="00363807" w:rsidRDefault="00363807" w:rsidP="00A518CB">
      <w:pPr>
        <w:pStyle w:val="NoSpacing"/>
        <w:jc w:val="both"/>
        <w:rPr>
          <w:rFonts w:ascii="Times New Roman" w:hAnsi="Times New Roman" w:cs="Times New Roman"/>
          <w:sz w:val="24"/>
        </w:rPr>
      </w:pPr>
    </w:p>
    <w:p w14:paraId="03E9A8CE" w14:textId="39A461BA" w:rsidR="00600A5E" w:rsidRDefault="007B3B74" w:rsidP="00A518CB">
      <w:pPr>
        <w:pStyle w:val="NoSpacing"/>
        <w:jc w:val="both"/>
        <w:rPr>
          <w:rFonts w:ascii="Times New Roman" w:hAnsi="Times New Roman" w:cs="Times New Roman"/>
          <w:sz w:val="24"/>
        </w:rPr>
      </w:pPr>
      <w:r>
        <w:rPr>
          <w:rFonts w:ascii="Times New Roman" w:hAnsi="Times New Roman" w:cs="Times New Roman"/>
          <w:sz w:val="24"/>
        </w:rPr>
        <w:t>Article 21 TFEU</w:t>
      </w:r>
      <w:r w:rsidR="003849F1">
        <w:rPr>
          <w:rFonts w:ascii="Times New Roman" w:hAnsi="Times New Roman" w:cs="Times New Roman"/>
          <w:sz w:val="24"/>
        </w:rPr>
        <w:t xml:space="preserve"> confers</w:t>
      </w:r>
      <w:r>
        <w:rPr>
          <w:rFonts w:ascii="Times New Roman" w:hAnsi="Times New Roman" w:cs="Times New Roman"/>
          <w:sz w:val="24"/>
        </w:rPr>
        <w:t xml:space="preserve"> free movement rights on </w:t>
      </w:r>
      <w:r>
        <w:rPr>
          <w:rFonts w:ascii="Times New Roman" w:hAnsi="Times New Roman" w:cs="Times New Roman"/>
          <w:i/>
          <w:sz w:val="24"/>
        </w:rPr>
        <w:t xml:space="preserve">all </w:t>
      </w:r>
      <w:r>
        <w:rPr>
          <w:rFonts w:ascii="Times New Roman" w:hAnsi="Times New Roman" w:cs="Times New Roman"/>
          <w:sz w:val="24"/>
        </w:rPr>
        <w:t>nationals of the Member States by virtue of their personal status as EU citizens, rather than as a by-product of their activity as worker</w:t>
      </w:r>
      <w:r w:rsidR="003849F1">
        <w:rPr>
          <w:rFonts w:ascii="Times New Roman" w:hAnsi="Times New Roman" w:cs="Times New Roman"/>
          <w:sz w:val="24"/>
        </w:rPr>
        <w:t>s. And yet, this provision is</w:t>
      </w:r>
      <w:r>
        <w:rPr>
          <w:rFonts w:ascii="Times New Roman" w:hAnsi="Times New Roman" w:cs="Times New Roman"/>
          <w:sz w:val="24"/>
        </w:rPr>
        <w:t xml:space="preserve"> also</w:t>
      </w:r>
      <w:r w:rsidR="00785258">
        <w:rPr>
          <w:rFonts w:ascii="Times New Roman" w:hAnsi="Times New Roman" w:cs="Times New Roman"/>
          <w:sz w:val="24"/>
        </w:rPr>
        <w:t xml:space="preserve"> explicitly ‘subject to the limitations and conditions laid down in the Treaties and by the measures adopted to give them effect’. This raised questions</w:t>
      </w:r>
      <w:r w:rsidR="003849F1">
        <w:rPr>
          <w:rFonts w:ascii="Times New Roman" w:hAnsi="Times New Roman" w:cs="Times New Roman"/>
          <w:sz w:val="24"/>
        </w:rPr>
        <w:t>, when EU citizenship was first introduced,</w:t>
      </w:r>
      <w:r w:rsidR="00785258">
        <w:rPr>
          <w:rFonts w:ascii="Times New Roman" w:hAnsi="Times New Roman" w:cs="Times New Roman"/>
          <w:sz w:val="24"/>
        </w:rPr>
        <w:t xml:space="preserve"> about whether there would be a continuing distinction between the free movement rights of workers and non-economic</w:t>
      </w:r>
      <w:r w:rsidR="00600A5E">
        <w:rPr>
          <w:rFonts w:ascii="Times New Roman" w:hAnsi="Times New Roman" w:cs="Times New Roman"/>
          <w:sz w:val="24"/>
        </w:rPr>
        <w:t xml:space="preserve">ally active EU citizens. </w:t>
      </w:r>
      <w:r w:rsidR="00785258">
        <w:rPr>
          <w:rFonts w:ascii="Times New Roman" w:hAnsi="Times New Roman" w:cs="Times New Roman"/>
          <w:sz w:val="24"/>
        </w:rPr>
        <w:t xml:space="preserve">Article 7 of the </w:t>
      </w:r>
      <w:hyperlink r:id="rId8" w:history="1">
        <w:r w:rsidR="00785258" w:rsidRPr="00785258">
          <w:rPr>
            <w:rStyle w:val="Hyperlink"/>
            <w:rFonts w:ascii="Times New Roman" w:hAnsi="Times New Roman" w:cs="Times New Roman"/>
            <w:sz w:val="24"/>
          </w:rPr>
          <w:t>Citizens’ Rights Directive</w:t>
        </w:r>
      </w:hyperlink>
      <w:r w:rsidR="00785258">
        <w:rPr>
          <w:rFonts w:ascii="Times New Roman" w:hAnsi="Times New Roman" w:cs="Times New Roman"/>
          <w:sz w:val="24"/>
        </w:rPr>
        <w:t xml:space="preserve"> (CRD)</w:t>
      </w:r>
      <w:r>
        <w:rPr>
          <w:rFonts w:ascii="Times New Roman" w:hAnsi="Times New Roman" w:cs="Times New Roman"/>
          <w:sz w:val="24"/>
        </w:rPr>
        <w:t xml:space="preserve"> </w:t>
      </w:r>
      <w:r w:rsidR="00785258">
        <w:rPr>
          <w:rFonts w:ascii="Times New Roman" w:hAnsi="Times New Roman" w:cs="Times New Roman"/>
          <w:sz w:val="24"/>
        </w:rPr>
        <w:t xml:space="preserve">confers extended residence rights on </w:t>
      </w:r>
      <w:r w:rsidR="00785258">
        <w:rPr>
          <w:rFonts w:ascii="Times New Roman" w:hAnsi="Times New Roman" w:cs="Times New Roman"/>
          <w:i/>
          <w:sz w:val="24"/>
        </w:rPr>
        <w:t>workers</w:t>
      </w:r>
      <w:r w:rsidR="00785258">
        <w:rPr>
          <w:rFonts w:ascii="Times New Roman" w:hAnsi="Times New Roman" w:cs="Times New Roman"/>
          <w:sz w:val="24"/>
        </w:rPr>
        <w:t xml:space="preserve"> by virtue of this</w:t>
      </w:r>
      <w:r w:rsidR="00600A5E">
        <w:rPr>
          <w:rFonts w:ascii="Times New Roman" w:hAnsi="Times New Roman" w:cs="Times New Roman"/>
          <w:sz w:val="24"/>
        </w:rPr>
        <w:t xml:space="preserve"> economic</w:t>
      </w:r>
      <w:r w:rsidR="00785258">
        <w:rPr>
          <w:rFonts w:ascii="Times New Roman" w:hAnsi="Times New Roman" w:cs="Times New Roman"/>
          <w:sz w:val="24"/>
        </w:rPr>
        <w:t xml:space="preserve"> activity. By contrast, non-economically active Union citizens must be self-sufficient and have comprehensive sickness insurance to access this entitlement. </w:t>
      </w:r>
      <w:r w:rsidR="00600A5E">
        <w:rPr>
          <w:rFonts w:ascii="Times New Roman" w:hAnsi="Times New Roman" w:cs="Times New Roman"/>
          <w:sz w:val="24"/>
        </w:rPr>
        <w:t>This has a knock-on effect for access</w:t>
      </w:r>
      <w:r w:rsidR="00124224">
        <w:rPr>
          <w:rFonts w:ascii="Times New Roman" w:hAnsi="Times New Roman" w:cs="Times New Roman"/>
          <w:sz w:val="24"/>
        </w:rPr>
        <w:t>ing the</w:t>
      </w:r>
      <w:r w:rsidR="00600A5E">
        <w:rPr>
          <w:rFonts w:ascii="Times New Roman" w:hAnsi="Times New Roman" w:cs="Times New Roman"/>
          <w:sz w:val="24"/>
        </w:rPr>
        <w:t xml:space="preserve"> social assistance</w:t>
      </w:r>
      <w:r w:rsidR="00124224">
        <w:rPr>
          <w:rFonts w:ascii="Times New Roman" w:hAnsi="Times New Roman" w:cs="Times New Roman"/>
          <w:sz w:val="24"/>
        </w:rPr>
        <w:t xml:space="preserve"> that can make</w:t>
      </w:r>
      <w:r w:rsidR="00F61434">
        <w:rPr>
          <w:rFonts w:ascii="Times New Roman" w:hAnsi="Times New Roman" w:cs="Times New Roman"/>
          <w:sz w:val="24"/>
        </w:rPr>
        <w:t xml:space="preserve"> a personal right to free movement </w:t>
      </w:r>
      <w:r w:rsidR="00124224">
        <w:rPr>
          <w:rFonts w:ascii="Times New Roman" w:hAnsi="Times New Roman" w:cs="Times New Roman"/>
          <w:sz w:val="24"/>
        </w:rPr>
        <w:t xml:space="preserve">possible </w:t>
      </w:r>
      <w:r w:rsidR="00F61434">
        <w:rPr>
          <w:rFonts w:ascii="Times New Roman" w:hAnsi="Times New Roman" w:cs="Times New Roman"/>
          <w:sz w:val="24"/>
        </w:rPr>
        <w:t>in practice. While workers automatically reside legally under the CRD and so</w:t>
      </w:r>
      <w:r w:rsidR="003849F1">
        <w:rPr>
          <w:rFonts w:ascii="Times New Roman" w:hAnsi="Times New Roman" w:cs="Times New Roman"/>
          <w:sz w:val="24"/>
        </w:rPr>
        <w:t xml:space="preserve"> also trigger</w:t>
      </w:r>
      <w:r w:rsidR="00F61434">
        <w:rPr>
          <w:rFonts w:ascii="Times New Roman" w:hAnsi="Times New Roman" w:cs="Times New Roman"/>
          <w:sz w:val="24"/>
        </w:rPr>
        <w:t xml:space="preserve"> equal treatment provision</w:t>
      </w:r>
      <w:r w:rsidR="003849F1">
        <w:rPr>
          <w:rFonts w:ascii="Times New Roman" w:hAnsi="Times New Roman" w:cs="Times New Roman"/>
          <w:sz w:val="24"/>
        </w:rPr>
        <w:t>s</w:t>
      </w:r>
      <w:r w:rsidR="00F61434">
        <w:rPr>
          <w:rFonts w:ascii="Times New Roman" w:hAnsi="Times New Roman" w:cs="Times New Roman"/>
          <w:sz w:val="24"/>
        </w:rPr>
        <w:t>, an application for social assistance by a non-economically active Union citizen could suggest that they are not</w:t>
      </w:r>
      <w:r w:rsidR="00740645">
        <w:rPr>
          <w:rFonts w:ascii="Times New Roman" w:hAnsi="Times New Roman" w:cs="Times New Roman"/>
          <w:sz w:val="24"/>
        </w:rPr>
        <w:t xml:space="preserve"> self-sufficient, not</w:t>
      </w:r>
      <w:r w:rsidR="00F61434">
        <w:rPr>
          <w:rFonts w:ascii="Times New Roman" w:hAnsi="Times New Roman" w:cs="Times New Roman"/>
          <w:sz w:val="24"/>
        </w:rPr>
        <w:t xml:space="preserve"> residing legall</w:t>
      </w:r>
      <w:r w:rsidR="00740645">
        <w:rPr>
          <w:rFonts w:ascii="Times New Roman" w:hAnsi="Times New Roman" w:cs="Times New Roman"/>
          <w:sz w:val="24"/>
        </w:rPr>
        <w:t>y under the Directive and so</w:t>
      </w:r>
      <w:r w:rsidR="00F61434">
        <w:rPr>
          <w:rFonts w:ascii="Times New Roman" w:hAnsi="Times New Roman" w:cs="Times New Roman"/>
          <w:sz w:val="24"/>
        </w:rPr>
        <w:t xml:space="preserve"> not entitled to</w:t>
      </w:r>
      <w:r w:rsidR="003849F1">
        <w:rPr>
          <w:rFonts w:ascii="Times New Roman" w:hAnsi="Times New Roman" w:cs="Times New Roman"/>
          <w:sz w:val="24"/>
        </w:rPr>
        <w:t xml:space="preserve"> equal access to</w:t>
      </w:r>
      <w:r w:rsidR="00F61434">
        <w:rPr>
          <w:rFonts w:ascii="Times New Roman" w:hAnsi="Times New Roman" w:cs="Times New Roman"/>
          <w:sz w:val="24"/>
        </w:rPr>
        <w:t xml:space="preserve"> social assistance.</w:t>
      </w:r>
    </w:p>
    <w:p w14:paraId="76594A20" w14:textId="77777777" w:rsidR="00785258" w:rsidRDefault="00785258" w:rsidP="00A518CB">
      <w:pPr>
        <w:pStyle w:val="NoSpacing"/>
        <w:jc w:val="both"/>
        <w:rPr>
          <w:rFonts w:ascii="Times New Roman" w:hAnsi="Times New Roman" w:cs="Times New Roman"/>
          <w:sz w:val="24"/>
        </w:rPr>
      </w:pPr>
    </w:p>
    <w:p w14:paraId="7F93AC03" w14:textId="190D9A3D" w:rsidR="00D22C3A" w:rsidRDefault="00785258" w:rsidP="00D22C3A">
      <w:pPr>
        <w:pStyle w:val="NoSpacing"/>
        <w:jc w:val="both"/>
        <w:rPr>
          <w:rFonts w:ascii="Times New Roman" w:hAnsi="Times New Roman" w:cs="Times New Roman"/>
          <w:sz w:val="24"/>
        </w:rPr>
      </w:pPr>
      <w:r>
        <w:rPr>
          <w:rFonts w:ascii="Times New Roman" w:hAnsi="Times New Roman" w:cs="Times New Roman"/>
          <w:sz w:val="24"/>
        </w:rPr>
        <w:t>Admittedly, in its early post-Maastricht case-law, the Court of Justice held that</w:t>
      </w:r>
      <w:r w:rsidR="003849F1">
        <w:rPr>
          <w:rFonts w:ascii="Times New Roman" w:hAnsi="Times New Roman" w:cs="Times New Roman"/>
          <w:sz w:val="24"/>
        </w:rPr>
        <w:t>, given Union citizenship’s basis in the Treaties,</w:t>
      </w:r>
      <w:r>
        <w:rPr>
          <w:rFonts w:ascii="Times New Roman" w:hAnsi="Times New Roman" w:cs="Times New Roman"/>
          <w:sz w:val="24"/>
        </w:rPr>
        <w:t xml:space="preserve"> these requirements were subject to the </w:t>
      </w:r>
      <w:hyperlink r:id="rId9" w:history="1">
        <w:r w:rsidRPr="00F61434">
          <w:rPr>
            <w:rStyle w:val="Hyperlink"/>
            <w:rFonts w:ascii="Times New Roman" w:hAnsi="Times New Roman" w:cs="Times New Roman"/>
            <w:sz w:val="24"/>
          </w:rPr>
          <w:t>principle of proportionality</w:t>
        </w:r>
      </w:hyperlink>
      <w:r>
        <w:rPr>
          <w:rFonts w:ascii="Times New Roman" w:hAnsi="Times New Roman" w:cs="Times New Roman"/>
          <w:sz w:val="24"/>
        </w:rPr>
        <w:t>, and that a ‘</w:t>
      </w:r>
      <w:hyperlink r:id="rId10" w:history="1">
        <w:r w:rsidRPr="00F61434">
          <w:rPr>
            <w:rStyle w:val="Hyperlink"/>
            <w:rFonts w:ascii="Times New Roman" w:hAnsi="Times New Roman" w:cs="Times New Roman"/>
            <w:sz w:val="24"/>
          </w:rPr>
          <w:t>certain degree of financial solidarity</w:t>
        </w:r>
      </w:hyperlink>
      <w:r>
        <w:rPr>
          <w:rFonts w:ascii="Times New Roman" w:hAnsi="Times New Roman" w:cs="Times New Roman"/>
          <w:sz w:val="24"/>
        </w:rPr>
        <w:t>’ was expected between Member State nationals ‘particularly if the difficulties are temporary’. Howev</w:t>
      </w:r>
      <w:r w:rsidR="00D22C3A">
        <w:rPr>
          <w:rFonts w:ascii="Times New Roman" w:hAnsi="Times New Roman" w:cs="Times New Roman"/>
          <w:sz w:val="24"/>
        </w:rPr>
        <w:t>er, the Court</w:t>
      </w:r>
      <w:r w:rsidR="00F61434">
        <w:rPr>
          <w:rFonts w:ascii="Times New Roman" w:hAnsi="Times New Roman" w:cs="Times New Roman"/>
          <w:sz w:val="24"/>
        </w:rPr>
        <w:t xml:space="preserve"> has nevertheless </w:t>
      </w:r>
      <w:hyperlink r:id="rId11" w:history="1">
        <w:r w:rsidR="00F61434" w:rsidRPr="00F61434">
          <w:rPr>
            <w:rStyle w:val="Hyperlink"/>
            <w:rFonts w:ascii="Times New Roman" w:hAnsi="Times New Roman" w:cs="Times New Roman"/>
            <w:sz w:val="24"/>
          </w:rPr>
          <w:t>long accepted</w:t>
        </w:r>
      </w:hyperlink>
      <w:r w:rsidR="00F61434">
        <w:rPr>
          <w:rFonts w:ascii="Times New Roman" w:hAnsi="Times New Roman" w:cs="Times New Roman"/>
          <w:sz w:val="24"/>
        </w:rPr>
        <w:t xml:space="preserve"> that an application for social assistance can indicate that a non-economically active Union citizen is no longer residing legally in their host State, which would mean that she/he is also not entitled to equal access to social assistance. This</w:t>
      </w:r>
      <w:r w:rsidR="00D22C3A">
        <w:rPr>
          <w:rFonts w:ascii="Times New Roman" w:hAnsi="Times New Roman" w:cs="Times New Roman"/>
          <w:sz w:val="24"/>
        </w:rPr>
        <w:t xml:space="preserve"> already casts doubt on EU citizenship’s constitutionalised ‘fundamental status’. As </w:t>
      </w:r>
      <w:r w:rsidR="00F61434">
        <w:rPr>
          <w:rFonts w:ascii="Times New Roman" w:hAnsi="Times New Roman" w:cs="Times New Roman"/>
          <w:sz w:val="24"/>
        </w:rPr>
        <w:t>O’Brien</w:t>
      </w:r>
      <w:r w:rsidR="00D22C3A">
        <w:rPr>
          <w:rFonts w:ascii="Times New Roman" w:hAnsi="Times New Roman" w:cs="Times New Roman"/>
          <w:sz w:val="24"/>
        </w:rPr>
        <w:t xml:space="preserve"> argues Union citizenship instead offers, at best, ‘</w:t>
      </w:r>
      <w:hyperlink r:id="rId12" w:history="1">
        <w:r w:rsidR="00D22C3A" w:rsidRPr="00D22C3A">
          <w:rPr>
            <w:rStyle w:val="Hyperlink"/>
            <w:rFonts w:ascii="Times New Roman" w:hAnsi="Times New Roman" w:cs="Times New Roman"/>
            <w:sz w:val="24"/>
          </w:rPr>
          <w:t>a right to have restrictions applied proportionately</w:t>
        </w:r>
      </w:hyperlink>
      <w:r w:rsidR="00D22C3A">
        <w:rPr>
          <w:rFonts w:ascii="Times New Roman" w:hAnsi="Times New Roman" w:cs="Times New Roman"/>
          <w:sz w:val="24"/>
        </w:rPr>
        <w:t xml:space="preserve">’. And, as she notes, even this has crumbled in the Court’s more recent </w:t>
      </w:r>
      <w:hyperlink r:id="rId13" w:history="1">
        <w:r w:rsidR="00D22C3A" w:rsidRPr="00D22C3A">
          <w:rPr>
            <w:rStyle w:val="Hyperlink"/>
            <w:rFonts w:ascii="Times New Roman" w:hAnsi="Times New Roman" w:cs="Times New Roman"/>
            <w:sz w:val="24"/>
          </w:rPr>
          <w:t>case-law</w:t>
        </w:r>
      </w:hyperlink>
      <w:r w:rsidR="00D22C3A">
        <w:rPr>
          <w:rFonts w:ascii="Times New Roman" w:hAnsi="Times New Roman" w:cs="Times New Roman"/>
          <w:sz w:val="24"/>
        </w:rPr>
        <w:t xml:space="preserve">, in which it has prioritised the requirements of Article 7 CRD over the once overarching free movement rights contained in the Treaties. Member States, </w:t>
      </w:r>
      <w:hyperlink r:id="rId14" w:history="1">
        <w:r w:rsidR="00D22C3A" w:rsidRPr="00D22C3A">
          <w:rPr>
            <w:rStyle w:val="Hyperlink"/>
            <w:rFonts w:ascii="Times New Roman" w:hAnsi="Times New Roman" w:cs="Times New Roman"/>
            <w:sz w:val="24"/>
          </w:rPr>
          <w:t>including the UK</w:t>
        </w:r>
      </w:hyperlink>
      <w:r w:rsidR="00D22C3A">
        <w:rPr>
          <w:rFonts w:ascii="Times New Roman" w:hAnsi="Times New Roman" w:cs="Times New Roman"/>
          <w:sz w:val="24"/>
        </w:rPr>
        <w:t>, have been permitted to impose ‘right to reside’ tests, whereby Union citizens must reside in accordance with the CRD in or</w:t>
      </w:r>
      <w:r w:rsidR="003849F1">
        <w:rPr>
          <w:rFonts w:ascii="Times New Roman" w:hAnsi="Times New Roman" w:cs="Times New Roman"/>
          <w:sz w:val="24"/>
        </w:rPr>
        <w:t>der to access social assistance</w:t>
      </w:r>
      <w:r w:rsidR="00740645">
        <w:rPr>
          <w:rFonts w:ascii="Times New Roman" w:hAnsi="Times New Roman" w:cs="Times New Roman"/>
          <w:sz w:val="24"/>
        </w:rPr>
        <w:t>. The Court has then increasingly found</w:t>
      </w:r>
      <w:r w:rsidR="003849F1">
        <w:rPr>
          <w:rFonts w:ascii="Times New Roman" w:hAnsi="Times New Roman" w:cs="Times New Roman"/>
          <w:sz w:val="24"/>
        </w:rPr>
        <w:t xml:space="preserve"> individualised proportionality assessments </w:t>
      </w:r>
      <w:r w:rsidR="00740645">
        <w:rPr>
          <w:rFonts w:ascii="Times New Roman" w:hAnsi="Times New Roman" w:cs="Times New Roman"/>
          <w:sz w:val="24"/>
        </w:rPr>
        <w:t>to be</w:t>
      </w:r>
      <w:r w:rsidR="003849F1">
        <w:rPr>
          <w:rFonts w:ascii="Times New Roman" w:hAnsi="Times New Roman" w:cs="Times New Roman"/>
          <w:sz w:val="24"/>
        </w:rPr>
        <w:t xml:space="preserve"> </w:t>
      </w:r>
      <w:hyperlink r:id="rId15" w:history="1">
        <w:r w:rsidR="003849F1" w:rsidRPr="003849F1">
          <w:rPr>
            <w:rStyle w:val="Hyperlink"/>
            <w:rFonts w:ascii="Times New Roman" w:hAnsi="Times New Roman" w:cs="Times New Roman"/>
            <w:sz w:val="24"/>
          </w:rPr>
          <w:t>unnecessary</w:t>
        </w:r>
      </w:hyperlink>
      <w:r w:rsidR="003849F1">
        <w:rPr>
          <w:rFonts w:ascii="Times New Roman" w:hAnsi="Times New Roman" w:cs="Times New Roman"/>
          <w:sz w:val="24"/>
        </w:rPr>
        <w:t>.</w:t>
      </w:r>
      <w:r w:rsidR="001F0879">
        <w:rPr>
          <w:rFonts w:ascii="Times New Roman" w:hAnsi="Times New Roman" w:cs="Times New Roman"/>
          <w:sz w:val="24"/>
        </w:rPr>
        <w:t xml:space="preserve">  </w:t>
      </w:r>
      <w:r w:rsidR="00D22C3A">
        <w:rPr>
          <w:rFonts w:ascii="Times New Roman" w:hAnsi="Times New Roman" w:cs="Times New Roman"/>
          <w:sz w:val="24"/>
        </w:rPr>
        <w:t xml:space="preserve"> </w:t>
      </w:r>
    </w:p>
    <w:p w14:paraId="718AF28B" w14:textId="77777777" w:rsidR="00D22C3A" w:rsidRDefault="00D22C3A" w:rsidP="00D22C3A">
      <w:pPr>
        <w:pStyle w:val="NoSpacing"/>
        <w:jc w:val="both"/>
        <w:rPr>
          <w:rFonts w:ascii="Times New Roman" w:hAnsi="Times New Roman" w:cs="Times New Roman"/>
          <w:sz w:val="24"/>
        </w:rPr>
      </w:pPr>
    </w:p>
    <w:p w14:paraId="5524EF51" w14:textId="7E132553" w:rsidR="00795710" w:rsidRDefault="00124224" w:rsidP="00124224">
      <w:pPr>
        <w:pStyle w:val="NoSpacing"/>
        <w:jc w:val="both"/>
        <w:rPr>
          <w:rFonts w:ascii="Times New Roman" w:hAnsi="Times New Roman" w:cs="Times New Roman"/>
          <w:sz w:val="24"/>
        </w:rPr>
      </w:pPr>
      <w:r>
        <w:rPr>
          <w:rFonts w:ascii="Times New Roman" w:hAnsi="Times New Roman" w:cs="Times New Roman"/>
          <w:sz w:val="24"/>
        </w:rPr>
        <w:t xml:space="preserve">The UK has long taken advantage of these gaps in the EU citizenship framework, exposing Union citizens to residence insecurity far before the Brexit vote. Its </w:t>
      </w:r>
      <w:hyperlink r:id="rId16" w:history="1">
        <w:r w:rsidRPr="00224D8E">
          <w:rPr>
            <w:rStyle w:val="Hyperlink"/>
            <w:rFonts w:ascii="Times New Roman" w:hAnsi="Times New Roman" w:cs="Times New Roman"/>
            <w:sz w:val="24"/>
          </w:rPr>
          <w:t>Immigration (European Economic Area) Regulations</w:t>
        </w:r>
      </w:hyperlink>
      <w:r w:rsidR="00795710">
        <w:rPr>
          <w:rFonts w:ascii="Times New Roman" w:hAnsi="Times New Roman" w:cs="Times New Roman"/>
          <w:sz w:val="24"/>
        </w:rPr>
        <w:t xml:space="preserve"> largely </w:t>
      </w:r>
      <w:r>
        <w:rPr>
          <w:rFonts w:ascii="Times New Roman" w:hAnsi="Times New Roman" w:cs="Times New Roman"/>
          <w:sz w:val="24"/>
        </w:rPr>
        <w:t>confer residence rights on ‘qualified persons’, namely EU citizens</w:t>
      </w:r>
      <w:r w:rsidR="00795710">
        <w:rPr>
          <w:rFonts w:ascii="Times New Roman" w:hAnsi="Times New Roman" w:cs="Times New Roman"/>
          <w:sz w:val="24"/>
        </w:rPr>
        <w:t xml:space="preserve"> who reside in accordance with the CRD, while the</w:t>
      </w:r>
      <w:r w:rsidR="000E6E29">
        <w:rPr>
          <w:rFonts w:ascii="Times New Roman" w:hAnsi="Times New Roman" w:cs="Times New Roman"/>
          <w:sz w:val="24"/>
        </w:rPr>
        <w:t xml:space="preserve"> </w:t>
      </w:r>
      <w:hyperlink r:id="rId17" w:history="1">
        <w:r w:rsidR="00795710" w:rsidRPr="00CB3D84">
          <w:rPr>
            <w:rStyle w:val="Hyperlink"/>
            <w:rFonts w:ascii="Times New Roman" w:hAnsi="Times New Roman" w:cs="Times New Roman"/>
            <w:sz w:val="24"/>
          </w:rPr>
          <w:t>Social Security (Persons from Abroad) Amendment Regulations</w:t>
        </w:r>
      </w:hyperlink>
      <w:r w:rsidR="00795710">
        <w:rPr>
          <w:rFonts w:ascii="Times New Roman" w:hAnsi="Times New Roman" w:cs="Times New Roman"/>
          <w:sz w:val="24"/>
        </w:rPr>
        <w:t xml:space="preserve"> </w:t>
      </w:r>
      <w:r w:rsidR="000E6E29">
        <w:rPr>
          <w:rFonts w:ascii="Times New Roman" w:hAnsi="Times New Roman" w:cs="Times New Roman"/>
          <w:sz w:val="24"/>
        </w:rPr>
        <w:t xml:space="preserve">also </w:t>
      </w:r>
      <w:r w:rsidR="00795710">
        <w:rPr>
          <w:rFonts w:ascii="Times New Roman" w:hAnsi="Times New Roman" w:cs="Times New Roman"/>
          <w:sz w:val="24"/>
        </w:rPr>
        <w:t>make access to benefit</w:t>
      </w:r>
      <w:r w:rsidR="000E6E29">
        <w:rPr>
          <w:rFonts w:ascii="Times New Roman" w:hAnsi="Times New Roman" w:cs="Times New Roman"/>
          <w:sz w:val="24"/>
        </w:rPr>
        <w:t>s contingent on a ‘right to reside’ in line with that Directive</w:t>
      </w:r>
      <w:r w:rsidR="00795710">
        <w:rPr>
          <w:rFonts w:ascii="Times New Roman" w:hAnsi="Times New Roman" w:cs="Times New Roman"/>
          <w:sz w:val="24"/>
        </w:rPr>
        <w:t xml:space="preserve">. </w:t>
      </w:r>
      <w:r w:rsidR="000E6E29">
        <w:rPr>
          <w:rFonts w:ascii="Times New Roman" w:hAnsi="Times New Roman" w:cs="Times New Roman"/>
          <w:sz w:val="24"/>
        </w:rPr>
        <w:t>In 2014, t</w:t>
      </w:r>
      <w:r w:rsidR="00795710">
        <w:rPr>
          <w:rFonts w:ascii="Times New Roman" w:hAnsi="Times New Roman" w:cs="Times New Roman"/>
          <w:sz w:val="24"/>
        </w:rPr>
        <w:t xml:space="preserve">he UK government </w:t>
      </w:r>
      <w:r w:rsidR="005D5462">
        <w:rPr>
          <w:rFonts w:ascii="Times New Roman" w:hAnsi="Times New Roman" w:cs="Times New Roman"/>
          <w:sz w:val="24"/>
        </w:rPr>
        <w:t>announced</w:t>
      </w:r>
      <w:r w:rsidR="00795710">
        <w:rPr>
          <w:rFonts w:ascii="Times New Roman" w:hAnsi="Times New Roman" w:cs="Times New Roman"/>
          <w:sz w:val="24"/>
        </w:rPr>
        <w:t xml:space="preserve"> a </w:t>
      </w:r>
      <w:hyperlink r:id="rId18" w:history="1">
        <w:r w:rsidR="00795710" w:rsidRPr="004F3612">
          <w:rPr>
            <w:rStyle w:val="Hyperlink"/>
            <w:rFonts w:ascii="Times New Roman" w:hAnsi="Times New Roman" w:cs="Times New Roman"/>
            <w:sz w:val="24"/>
          </w:rPr>
          <w:t>minimum earnings threshold</w:t>
        </w:r>
      </w:hyperlink>
      <w:r w:rsidR="005D5462">
        <w:rPr>
          <w:rFonts w:ascii="Times New Roman" w:hAnsi="Times New Roman" w:cs="Times New Roman"/>
          <w:sz w:val="24"/>
        </w:rPr>
        <w:t>, which introduced an administrative presumption that anyone working for fewer than 24 hours a week at minimum wage should not be categorised as a ‘worker’ and so would not be able to access social assistance</w:t>
      </w:r>
      <w:r w:rsidR="00795710">
        <w:rPr>
          <w:rFonts w:ascii="Times New Roman" w:hAnsi="Times New Roman" w:cs="Times New Roman"/>
          <w:sz w:val="24"/>
        </w:rPr>
        <w:t>. Meanwhile, the Court</w:t>
      </w:r>
      <w:r w:rsidR="000E6E29">
        <w:rPr>
          <w:rFonts w:ascii="Times New Roman" w:hAnsi="Times New Roman" w:cs="Times New Roman"/>
          <w:sz w:val="24"/>
        </w:rPr>
        <w:t xml:space="preserve"> of Appeal h</w:t>
      </w:r>
      <w:r w:rsidR="00795710">
        <w:rPr>
          <w:rFonts w:ascii="Times New Roman" w:hAnsi="Times New Roman" w:cs="Times New Roman"/>
          <w:sz w:val="24"/>
        </w:rPr>
        <w:t>eld that applications for permanent residence by</w:t>
      </w:r>
      <w:r w:rsidR="005D5462">
        <w:rPr>
          <w:rFonts w:ascii="Times New Roman" w:hAnsi="Times New Roman" w:cs="Times New Roman"/>
          <w:sz w:val="24"/>
        </w:rPr>
        <w:t xml:space="preserve"> non-economically activ</w:t>
      </w:r>
      <w:r w:rsidR="00795710">
        <w:rPr>
          <w:rFonts w:ascii="Times New Roman" w:hAnsi="Times New Roman" w:cs="Times New Roman"/>
          <w:sz w:val="24"/>
        </w:rPr>
        <w:t>e</w:t>
      </w:r>
      <w:r w:rsidR="005D5462">
        <w:rPr>
          <w:rFonts w:ascii="Times New Roman" w:hAnsi="Times New Roman" w:cs="Times New Roman"/>
          <w:sz w:val="24"/>
        </w:rPr>
        <w:t xml:space="preserve"> EU citizens could be refused where they could not provide evidence of fully comprehensive sickness insurance </w:t>
      </w:r>
      <w:r w:rsidR="005D5462">
        <w:rPr>
          <w:rFonts w:ascii="Times New Roman" w:hAnsi="Times New Roman" w:cs="Times New Roman"/>
          <w:sz w:val="24"/>
        </w:rPr>
        <w:t>[</w:t>
      </w:r>
      <w:r w:rsidR="005D5462">
        <w:rPr>
          <w:rFonts w:ascii="Times New Roman" w:hAnsi="Times New Roman" w:cs="Times New Roman"/>
          <w:i/>
          <w:sz w:val="24"/>
        </w:rPr>
        <w:t xml:space="preserve">FK (Kenya) </w:t>
      </w:r>
      <w:r w:rsidR="005D5462">
        <w:rPr>
          <w:rFonts w:ascii="Times New Roman" w:hAnsi="Times New Roman" w:cs="Times New Roman"/>
          <w:sz w:val="24"/>
        </w:rPr>
        <w:t xml:space="preserve">[2010] EWCA </w:t>
      </w:r>
      <w:proofErr w:type="spellStart"/>
      <w:r w:rsidR="005D5462">
        <w:rPr>
          <w:rFonts w:ascii="Times New Roman" w:hAnsi="Times New Roman" w:cs="Times New Roman"/>
          <w:sz w:val="24"/>
        </w:rPr>
        <w:t>Civ</w:t>
      </w:r>
      <w:proofErr w:type="spellEnd"/>
      <w:r w:rsidR="005D5462">
        <w:rPr>
          <w:rFonts w:ascii="Times New Roman" w:hAnsi="Times New Roman" w:cs="Times New Roman"/>
          <w:sz w:val="24"/>
        </w:rPr>
        <w:t xml:space="preserve"> 1302]</w:t>
      </w:r>
      <w:r w:rsidR="00740645">
        <w:rPr>
          <w:rFonts w:ascii="Times New Roman" w:hAnsi="Times New Roman" w:cs="Times New Roman"/>
          <w:sz w:val="24"/>
        </w:rPr>
        <w:t>.</w:t>
      </w:r>
    </w:p>
    <w:p w14:paraId="4F0FEEC6" w14:textId="77777777" w:rsidR="00124224" w:rsidRDefault="00124224" w:rsidP="00124224">
      <w:pPr>
        <w:pStyle w:val="NoSpacing"/>
        <w:jc w:val="both"/>
        <w:rPr>
          <w:rFonts w:ascii="Times New Roman" w:hAnsi="Times New Roman" w:cs="Times New Roman"/>
          <w:sz w:val="24"/>
        </w:rPr>
      </w:pPr>
    </w:p>
    <w:p w14:paraId="3DF6A67B" w14:textId="5430CA3F" w:rsidR="008371C0" w:rsidRDefault="00927988" w:rsidP="00A518CB">
      <w:pPr>
        <w:pStyle w:val="NoSpacing"/>
        <w:jc w:val="both"/>
        <w:rPr>
          <w:rFonts w:ascii="Times New Roman" w:hAnsi="Times New Roman" w:cs="Times New Roman"/>
          <w:sz w:val="24"/>
        </w:rPr>
      </w:pPr>
      <w:r>
        <w:rPr>
          <w:rFonts w:ascii="Times New Roman" w:hAnsi="Times New Roman" w:cs="Times New Roman"/>
          <w:sz w:val="24"/>
        </w:rPr>
        <w:t xml:space="preserve">Ultimately, then, far before the referendum there was a disconnection between the promises of Union citizenship and their delivery, both at the EU and the domestic levels. The ongoing distinction between the rights of workers and those of non-economically active Union citizens exposed groups of individuals – </w:t>
      </w:r>
      <w:hyperlink r:id="rId19" w:history="1">
        <w:r w:rsidRPr="0021263E">
          <w:rPr>
            <w:rStyle w:val="Hyperlink"/>
            <w:rFonts w:ascii="Times New Roman" w:hAnsi="Times New Roman" w:cs="Times New Roman"/>
            <w:sz w:val="24"/>
          </w:rPr>
          <w:t>children</w:t>
        </w:r>
      </w:hyperlink>
      <w:r>
        <w:rPr>
          <w:rFonts w:ascii="Times New Roman" w:hAnsi="Times New Roman" w:cs="Times New Roman"/>
          <w:sz w:val="24"/>
        </w:rPr>
        <w:t xml:space="preserve">, </w:t>
      </w:r>
      <w:hyperlink r:id="rId20" w:history="1">
        <w:r w:rsidRPr="005A324D">
          <w:rPr>
            <w:rStyle w:val="Hyperlink"/>
            <w:rFonts w:ascii="Times New Roman" w:hAnsi="Times New Roman" w:cs="Times New Roman"/>
            <w:sz w:val="24"/>
          </w:rPr>
          <w:t>unpaid carers</w:t>
        </w:r>
      </w:hyperlink>
      <w:r>
        <w:rPr>
          <w:rFonts w:ascii="Times New Roman" w:hAnsi="Times New Roman" w:cs="Times New Roman"/>
          <w:sz w:val="24"/>
        </w:rPr>
        <w:t xml:space="preserve">, the </w:t>
      </w:r>
      <w:hyperlink r:id="rId21" w:history="1">
        <w:r w:rsidRPr="00A27832">
          <w:rPr>
            <w:rStyle w:val="Hyperlink"/>
            <w:rFonts w:ascii="Times New Roman" w:hAnsi="Times New Roman" w:cs="Times New Roman"/>
            <w:sz w:val="24"/>
          </w:rPr>
          <w:t>homeless</w:t>
        </w:r>
      </w:hyperlink>
      <w:r>
        <w:rPr>
          <w:rFonts w:ascii="Times New Roman" w:hAnsi="Times New Roman" w:cs="Times New Roman"/>
          <w:sz w:val="24"/>
        </w:rPr>
        <w:t>,</w:t>
      </w:r>
      <w:r>
        <w:rPr>
          <w:rFonts w:ascii="Times New Roman" w:hAnsi="Times New Roman" w:cs="Times New Roman"/>
          <w:sz w:val="24"/>
        </w:rPr>
        <w:t xml:space="preserve"> and</w:t>
      </w:r>
      <w:r>
        <w:rPr>
          <w:rFonts w:ascii="Times New Roman" w:hAnsi="Times New Roman" w:cs="Times New Roman"/>
          <w:sz w:val="24"/>
        </w:rPr>
        <w:t xml:space="preserve"> </w:t>
      </w:r>
      <w:hyperlink r:id="rId22" w:history="1">
        <w:r>
          <w:rPr>
            <w:rStyle w:val="Hyperlink"/>
            <w:rFonts w:ascii="Times New Roman" w:hAnsi="Times New Roman" w:cs="Times New Roman"/>
            <w:sz w:val="24"/>
          </w:rPr>
          <w:t>those in precarious work</w:t>
        </w:r>
      </w:hyperlink>
      <w:r>
        <w:rPr>
          <w:rFonts w:ascii="Times New Roman" w:hAnsi="Times New Roman" w:cs="Times New Roman"/>
          <w:sz w:val="24"/>
        </w:rPr>
        <w:t xml:space="preserve"> to the risk of losing residence </w:t>
      </w:r>
      <w:r>
        <w:rPr>
          <w:rFonts w:ascii="Times New Roman" w:hAnsi="Times New Roman" w:cs="Times New Roman"/>
          <w:sz w:val="24"/>
        </w:rPr>
        <w:t xml:space="preserve">and equal treatment </w:t>
      </w:r>
      <w:r>
        <w:rPr>
          <w:rFonts w:ascii="Times New Roman" w:hAnsi="Times New Roman" w:cs="Times New Roman"/>
          <w:sz w:val="24"/>
        </w:rPr>
        <w:t>rights</w:t>
      </w:r>
      <w:r w:rsidR="003849F1">
        <w:rPr>
          <w:rFonts w:ascii="Times New Roman" w:hAnsi="Times New Roman" w:cs="Times New Roman"/>
          <w:sz w:val="24"/>
        </w:rPr>
        <w:t>. Y</w:t>
      </w:r>
      <w:r>
        <w:rPr>
          <w:rFonts w:ascii="Times New Roman" w:hAnsi="Times New Roman" w:cs="Times New Roman"/>
          <w:sz w:val="24"/>
        </w:rPr>
        <w:t xml:space="preserve">et much of this was masked by the overarching constitutional claims of Union citizenship. This </w:t>
      </w:r>
      <w:r w:rsidR="008371C0">
        <w:rPr>
          <w:rFonts w:ascii="Times New Roman" w:hAnsi="Times New Roman" w:cs="Times New Roman"/>
          <w:sz w:val="24"/>
        </w:rPr>
        <w:t>was particularly the case because, prior to the referendum it was commonly only those citizens who sought social assistance or to avoid removal who</w:t>
      </w:r>
      <w:r w:rsidR="003849F1">
        <w:rPr>
          <w:rFonts w:ascii="Times New Roman" w:hAnsi="Times New Roman" w:cs="Times New Roman"/>
          <w:sz w:val="24"/>
        </w:rPr>
        <w:t xml:space="preserve"> were confronted with these issues.</w:t>
      </w:r>
      <w:r w:rsidR="008371C0">
        <w:rPr>
          <w:rFonts w:ascii="Times New Roman" w:hAnsi="Times New Roman" w:cs="Times New Roman"/>
          <w:sz w:val="24"/>
        </w:rPr>
        <w:t xml:space="preserve"> </w:t>
      </w:r>
    </w:p>
    <w:p w14:paraId="3164BB5F" w14:textId="77777777" w:rsidR="008371C0" w:rsidRDefault="008371C0" w:rsidP="00A518CB">
      <w:pPr>
        <w:pStyle w:val="NoSpacing"/>
        <w:jc w:val="both"/>
        <w:rPr>
          <w:rFonts w:ascii="Times New Roman" w:hAnsi="Times New Roman" w:cs="Times New Roman"/>
          <w:sz w:val="24"/>
        </w:rPr>
      </w:pPr>
    </w:p>
    <w:p w14:paraId="6117055D" w14:textId="4C347E7C" w:rsidR="0076412B" w:rsidRDefault="00B93295" w:rsidP="00A518CB">
      <w:pPr>
        <w:pStyle w:val="NoSpacing"/>
        <w:jc w:val="both"/>
        <w:rPr>
          <w:rFonts w:ascii="Times New Roman" w:hAnsi="Times New Roman" w:cs="Times New Roman"/>
          <w:sz w:val="24"/>
        </w:rPr>
      </w:pPr>
      <w:r>
        <w:rPr>
          <w:rFonts w:ascii="Times New Roman" w:hAnsi="Times New Roman" w:cs="Times New Roman"/>
          <w:sz w:val="24"/>
        </w:rPr>
        <w:t>Following the referendum, in the absence of unilateral commitments to Union citizens’ residence security from either the UK or the EU, a</w:t>
      </w:r>
      <w:r w:rsidR="00500E62">
        <w:rPr>
          <w:rFonts w:ascii="Times New Roman" w:hAnsi="Times New Roman" w:cs="Times New Roman"/>
          <w:sz w:val="24"/>
        </w:rPr>
        <w:t xml:space="preserve"> </w:t>
      </w:r>
      <w:hyperlink r:id="rId23" w:history="1">
        <w:r w:rsidR="00500E62" w:rsidRPr="00D134FE">
          <w:rPr>
            <w:rStyle w:val="Hyperlink"/>
            <w:rFonts w:ascii="Times New Roman" w:hAnsi="Times New Roman" w:cs="Times New Roman"/>
            <w:sz w:val="24"/>
          </w:rPr>
          <w:t>high volume</w:t>
        </w:r>
      </w:hyperlink>
      <w:r w:rsidR="00500E62">
        <w:rPr>
          <w:rFonts w:ascii="Times New Roman" w:hAnsi="Times New Roman" w:cs="Times New Roman"/>
          <w:sz w:val="24"/>
        </w:rPr>
        <w:t xml:space="preserve"> of EU citizens living in the UK began, understandably, to make applications for permanent residence under the</w:t>
      </w:r>
      <w:r>
        <w:rPr>
          <w:rFonts w:ascii="Times New Roman" w:hAnsi="Times New Roman" w:cs="Times New Roman"/>
          <w:sz w:val="24"/>
        </w:rPr>
        <w:t xml:space="preserve"> CRD despit</w:t>
      </w:r>
      <w:r w:rsidR="0074601E">
        <w:rPr>
          <w:rFonts w:ascii="Times New Roman" w:hAnsi="Times New Roman" w:cs="Times New Roman"/>
          <w:sz w:val="24"/>
        </w:rPr>
        <w:t>e the fact that this entitlement is itself contingent on the continuing application of EU law.</w:t>
      </w:r>
      <w:r w:rsidR="003849F1">
        <w:rPr>
          <w:rFonts w:ascii="Times New Roman" w:hAnsi="Times New Roman" w:cs="Times New Roman"/>
          <w:sz w:val="24"/>
        </w:rPr>
        <w:t xml:space="preserve"> </w:t>
      </w:r>
      <w:r>
        <w:rPr>
          <w:rFonts w:ascii="Times New Roman" w:hAnsi="Times New Roman" w:cs="Times New Roman"/>
          <w:sz w:val="24"/>
        </w:rPr>
        <w:t>Now, Union citizens who had previously enjoyed more secure residence in the UK</w:t>
      </w:r>
      <w:r w:rsidR="003849F1">
        <w:rPr>
          <w:rFonts w:ascii="Times New Roman" w:hAnsi="Times New Roman" w:cs="Times New Roman"/>
          <w:sz w:val="24"/>
        </w:rPr>
        <w:t xml:space="preserve"> and not had to interact with the Home Office</w:t>
      </w:r>
      <w:r w:rsidR="004B5562">
        <w:rPr>
          <w:rFonts w:ascii="Times New Roman" w:hAnsi="Times New Roman" w:cs="Times New Roman"/>
          <w:sz w:val="24"/>
        </w:rPr>
        <w:t xml:space="preserve"> – for instance, those in permanent, well-paid work – </w:t>
      </w:r>
      <w:r w:rsidR="00C36486">
        <w:rPr>
          <w:rFonts w:ascii="Times New Roman" w:hAnsi="Times New Roman" w:cs="Times New Roman"/>
          <w:sz w:val="24"/>
        </w:rPr>
        <w:t xml:space="preserve">found themselves facing </w:t>
      </w:r>
      <w:r>
        <w:rPr>
          <w:rFonts w:ascii="Times New Roman" w:hAnsi="Times New Roman" w:cs="Times New Roman"/>
          <w:sz w:val="24"/>
        </w:rPr>
        <w:t xml:space="preserve">challenges that had in fact existed for some time. </w:t>
      </w:r>
      <w:r w:rsidR="00D8559F">
        <w:rPr>
          <w:rFonts w:ascii="Times New Roman" w:hAnsi="Times New Roman" w:cs="Times New Roman"/>
          <w:sz w:val="24"/>
        </w:rPr>
        <w:t>For example, an application for permanent residence by a doctor who had worked continuously in the UK for the past 3 years could be rejected on the basis that she hadn’t provided evidence of comprehensive sickness insurance during the pr</w:t>
      </w:r>
      <w:r w:rsidR="00CF087A">
        <w:rPr>
          <w:rFonts w:ascii="Times New Roman" w:hAnsi="Times New Roman" w:cs="Times New Roman"/>
          <w:sz w:val="24"/>
        </w:rPr>
        <w:t>ior</w:t>
      </w:r>
      <w:r w:rsidR="00D8559F">
        <w:rPr>
          <w:rFonts w:ascii="Times New Roman" w:hAnsi="Times New Roman" w:cs="Times New Roman"/>
          <w:sz w:val="24"/>
        </w:rPr>
        <w:t xml:space="preserve"> 2 years, when she was a student. This situation, and the </w:t>
      </w:r>
      <w:r w:rsidR="00D8559F">
        <w:rPr>
          <w:rFonts w:ascii="Times New Roman" w:hAnsi="Times New Roman" w:cs="Times New Roman"/>
          <w:sz w:val="24"/>
        </w:rPr>
        <w:lastRenderedPageBreak/>
        <w:t>issuing of ‘please leave’ letters</w:t>
      </w:r>
      <w:r w:rsidR="0068619A">
        <w:rPr>
          <w:rFonts w:ascii="Times New Roman" w:hAnsi="Times New Roman" w:cs="Times New Roman"/>
          <w:sz w:val="24"/>
        </w:rPr>
        <w:t xml:space="preserve"> (seemingly in error)</w:t>
      </w:r>
      <w:r w:rsidR="00D8559F">
        <w:rPr>
          <w:rFonts w:ascii="Times New Roman" w:hAnsi="Times New Roman" w:cs="Times New Roman"/>
          <w:sz w:val="24"/>
        </w:rPr>
        <w:t xml:space="preserve"> by the Home Office garnered the attention of both the </w:t>
      </w:r>
      <w:hyperlink r:id="rId24" w:history="1">
        <w:r w:rsidR="00D8559F" w:rsidRPr="00D8559F">
          <w:rPr>
            <w:rStyle w:val="Hyperlink"/>
            <w:rFonts w:ascii="Times New Roman" w:hAnsi="Times New Roman" w:cs="Times New Roman"/>
            <w:sz w:val="24"/>
          </w:rPr>
          <w:t>press</w:t>
        </w:r>
      </w:hyperlink>
      <w:r w:rsidR="00D8559F">
        <w:rPr>
          <w:rFonts w:ascii="Times New Roman" w:hAnsi="Times New Roman" w:cs="Times New Roman"/>
          <w:sz w:val="24"/>
        </w:rPr>
        <w:t xml:space="preserve"> and </w:t>
      </w:r>
      <w:hyperlink r:id="rId25" w:history="1">
        <w:r w:rsidR="00D8559F" w:rsidRPr="00C36486">
          <w:rPr>
            <w:rStyle w:val="Hyperlink"/>
            <w:rFonts w:ascii="Times New Roman" w:hAnsi="Times New Roman" w:cs="Times New Roman"/>
            <w:sz w:val="24"/>
          </w:rPr>
          <w:t>social media</w:t>
        </w:r>
      </w:hyperlink>
      <w:r w:rsidR="00D8559F">
        <w:rPr>
          <w:rFonts w:ascii="Times New Roman" w:hAnsi="Times New Roman" w:cs="Times New Roman"/>
          <w:sz w:val="24"/>
        </w:rPr>
        <w:t xml:space="preserve">. </w:t>
      </w:r>
    </w:p>
    <w:p w14:paraId="75EC28F5" w14:textId="77777777" w:rsidR="003849F1" w:rsidRDefault="003849F1" w:rsidP="00A518CB">
      <w:pPr>
        <w:pStyle w:val="NoSpacing"/>
        <w:jc w:val="both"/>
        <w:rPr>
          <w:rFonts w:ascii="Times New Roman" w:hAnsi="Times New Roman" w:cs="Times New Roman"/>
          <w:sz w:val="24"/>
        </w:rPr>
      </w:pPr>
    </w:p>
    <w:p w14:paraId="1D0C8EFF" w14:textId="24B7AC36" w:rsidR="00E8365F" w:rsidRDefault="003849F1" w:rsidP="00A518CB">
      <w:pPr>
        <w:pStyle w:val="NoSpacing"/>
        <w:jc w:val="both"/>
        <w:rPr>
          <w:rFonts w:ascii="Times New Roman" w:hAnsi="Times New Roman" w:cs="Times New Roman"/>
          <w:sz w:val="24"/>
        </w:rPr>
      </w:pPr>
      <w:r>
        <w:rPr>
          <w:rFonts w:ascii="Times New Roman" w:hAnsi="Times New Roman" w:cs="Times New Roman"/>
          <w:sz w:val="24"/>
        </w:rPr>
        <w:t>T</w:t>
      </w:r>
      <w:r w:rsidR="0076412B">
        <w:rPr>
          <w:rFonts w:ascii="Times New Roman" w:hAnsi="Times New Roman" w:cs="Times New Roman"/>
          <w:sz w:val="24"/>
        </w:rPr>
        <w:t>he UK parliament</w:t>
      </w:r>
      <w:r>
        <w:rPr>
          <w:rFonts w:ascii="Times New Roman" w:hAnsi="Times New Roman" w:cs="Times New Roman"/>
          <w:sz w:val="24"/>
        </w:rPr>
        <w:t xml:space="preserve"> then</w:t>
      </w:r>
      <w:r w:rsidR="0076412B">
        <w:rPr>
          <w:rFonts w:ascii="Times New Roman" w:hAnsi="Times New Roman" w:cs="Times New Roman"/>
          <w:sz w:val="24"/>
        </w:rPr>
        <w:t xml:space="preserve"> turned its attention to the residence security of EU citizens living in the UK.</w:t>
      </w:r>
      <w:r w:rsidR="0068619A">
        <w:rPr>
          <w:rFonts w:ascii="Times New Roman" w:hAnsi="Times New Roman" w:cs="Times New Roman"/>
          <w:sz w:val="24"/>
        </w:rPr>
        <w:t xml:space="preserve"> </w:t>
      </w:r>
      <w:r w:rsidR="0076412B">
        <w:rPr>
          <w:rFonts w:ascii="Times New Roman" w:hAnsi="Times New Roman" w:cs="Times New Roman"/>
          <w:sz w:val="24"/>
        </w:rPr>
        <w:t xml:space="preserve">Several </w:t>
      </w:r>
      <w:hyperlink r:id="rId26" w:history="1">
        <w:r w:rsidR="0076412B" w:rsidRPr="0076412B">
          <w:rPr>
            <w:rStyle w:val="Hyperlink"/>
            <w:rFonts w:ascii="Times New Roman" w:hAnsi="Times New Roman" w:cs="Times New Roman"/>
            <w:sz w:val="24"/>
          </w:rPr>
          <w:t>amendments</w:t>
        </w:r>
      </w:hyperlink>
      <w:r w:rsidR="0076412B">
        <w:rPr>
          <w:rFonts w:ascii="Times New Roman" w:hAnsi="Times New Roman" w:cs="Times New Roman"/>
          <w:sz w:val="24"/>
        </w:rPr>
        <w:t xml:space="preserve"> to the EU (Notification of Withdrawal) Act 2017 on the issue were proposed. </w:t>
      </w:r>
      <w:r w:rsidR="0068619A">
        <w:rPr>
          <w:rFonts w:ascii="Times New Roman" w:hAnsi="Times New Roman" w:cs="Times New Roman"/>
          <w:sz w:val="24"/>
        </w:rPr>
        <w:t>However, b</w:t>
      </w:r>
      <w:r w:rsidR="0076412B">
        <w:rPr>
          <w:rFonts w:ascii="Times New Roman" w:hAnsi="Times New Roman" w:cs="Times New Roman"/>
          <w:sz w:val="24"/>
        </w:rPr>
        <w:t>y replicating the existing Union citizenship framework, these amendments were unlikely to have addressed the core risks to residence security and, ultimately, were not passed i</w:t>
      </w:r>
      <w:r w:rsidR="00390208">
        <w:rPr>
          <w:rFonts w:ascii="Times New Roman" w:hAnsi="Times New Roman" w:cs="Times New Roman"/>
          <w:sz w:val="24"/>
        </w:rPr>
        <w:t xml:space="preserve">n any case. </w:t>
      </w:r>
      <w:r w:rsidR="0068619A">
        <w:rPr>
          <w:rFonts w:ascii="Times New Roman" w:hAnsi="Times New Roman" w:cs="Times New Roman"/>
          <w:sz w:val="24"/>
        </w:rPr>
        <w:t>Nevertheless, a</w:t>
      </w:r>
      <w:r w:rsidR="00390208">
        <w:rPr>
          <w:rFonts w:ascii="Times New Roman" w:hAnsi="Times New Roman" w:cs="Times New Roman"/>
          <w:sz w:val="24"/>
        </w:rPr>
        <w:t xml:space="preserve">s is common within the UK’s political constitution, the consequent pressure on Government was of greater significance. The Government subsequently announced that its EU Settlement Scheme would confer settled status on EU citizens who had been </w:t>
      </w:r>
      <w:r w:rsidR="00390208">
        <w:rPr>
          <w:rFonts w:ascii="Times New Roman" w:hAnsi="Times New Roman" w:cs="Times New Roman"/>
          <w:i/>
          <w:sz w:val="24"/>
        </w:rPr>
        <w:t xml:space="preserve">factually </w:t>
      </w:r>
      <w:r w:rsidR="00390208">
        <w:rPr>
          <w:rFonts w:ascii="Times New Roman" w:hAnsi="Times New Roman" w:cs="Times New Roman"/>
          <w:sz w:val="24"/>
        </w:rPr>
        <w:t xml:space="preserve">resident in the UK for 5 years, without it being necessary to demonstrate </w:t>
      </w:r>
      <w:r w:rsidR="00390208">
        <w:rPr>
          <w:rFonts w:ascii="Times New Roman" w:hAnsi="Times New Roman" w:cs="Times New Roman"/>
          <w:i/>
          <w:sz w:val="24"/>
        </w:rPr>
        <w:t xml:space="preserve">legal </w:t>
      </w:r>
      <w:r w:rsidR="00390208">
        <w:rPr>
          <w:rFonts w:ascii="Times New Roman" w:hAnsi="Times New Roman" w:cs="Times New Roman"/>
          <w:sz w:val="24"/>
        </w:rPr>
        <w:t>residence in accordance with the CRD. Accordingly, non-economically active EU citizens – or those who had been so in the past – would no longer have to provide evidence of comprehensive sickness insurance. This would seemingly also reduce the administrative burden on those who had had several employers to provide evidence of each job and of retention of worker status or sufficient resources and comprehensive sickness insurance for the periods in between</w:t>
      </w:r>
      <w:r w:rsidR="00CF087A">
        <w:rPr>
          <w:rFonts w:ascii="Times New Roman" w:hAnsi="Times New Roman" w:cs="Times New Roman"/>
          <w:sz w:val="24"/>
        </w:rPr>
        <w:t xml:space="preserve"> employment</w:t>
      </w:r>
      <w:r w:rsidR="00390208">
        <w:rPr>
          <w:rFonts w:ascii="Times New Roman" w:hAnsi="Times New Roman" w:cs="Times New Roman"/>
          <w:sz w:val="24"/>
        </w:rPr>
        <w:t xml:space="preserve">. Indeed, the Government committed to using its own HMRC data to provide automatic proof of residence. </w:t>
      </w:r>
    </w:p>
    <w:p w14:paraId="12707987" w14:textId="77777777" w:rsidR="00E8365F" w:rsidRDefault="00E8365F" w:rsidP="00A518CB">
      <w:pPr>
        <w:pStyle w:val="NoSpacing"/>
        <w:jc w:val="both"/>
        <w:rPr>
          <w:rFonts w:ascii="Times New Roman" w:hAnsi="Times New Roman" w:cs="Times New Roman"/>
          <w:sz w:val="24"/>
        </w:rPr>
      </w:pPr>
    </w:p>
    <w:p w14:paraId="7FF2E889" w14:textId="77777777" w:rsidR="00E8365F" w:rsidRDefault="00E8365F" w:rsidP="00A518CB">
      <w:pPr>
        <w:pStyle w:val="NoSpacing"/>
        <w:jc w:val="both"/>
        <w:rPr>
          <w:rFonts w:ascii="Times New Roman" w:hAnsi="Times New Roman" w:cs="Times New Roman"/>
          <w:sz w:val="24"/>
        </w:rPr>
      </w:pPr>
    </w:p>
    <w:p w14:paraId="14B2D45F" w14:textId="24CFCE53" w:rsidR="004B5562" w:rsidRDefault="00E8365F" w:rsidP="00A518CB">
      <w:pPr>
        <w:pStyle w:val="NoSpacing"/>
        <w:jc w:val="both"/>
        <w:rPr>
          <w:rFonts w:ascii="Times New Roman" w:hAnsi="Times New Roman" w:cs="Times New Roman"/>
          <w:sz w:val="24"/>
        </w:rPr>
      </w:pPr>
      <w:r>
        <w:rPr>
          <w:rFonts w:ascii="Times New Roman" w:hAnsi="Times New Roman" w:cs="Times New Roman"/>
          <w:b/>
          <w:sz w:val="24"/>
        </w:rPr>
        <w:t>Papering over the cracks: ongoing issues with the EU Settlement Scheme and the Withdrawal Agreement</w:t>
      </w:r>
      <w:r w:rsidR="0076412B">
        <w:rPr>
          <w:rFonts w:ascii="Times New Roman" w:hAnsi="Times New Roman" w:cs="Times New Roman"/>
          <w:sz w:val="24"/>
        </w:rPr>
        <w:t xml:space="preserve"> </w:t>
      </w:r>
      <w:r w:rsidR="00D8559F">
        <w:rPr>
          <w:rFonts w:ascii="Times New Roman" w:hAnsi="Times New Roman" w:cs="Times New Roman"/>
          <w:sz w:val="24"/>
        </w:rPr>
        <w:t xml:space="preserve"> </w:t>
      </w:r>
    </w:p>
    <w:p w14:paraId="69787F04" w14:textId="77777777" w:rsidR="004B5562" w:rsidRDefault="004B5562" w:rsidP="00A518CB">
      <w:pPr>
        <w:pStyle w:val="NoSpacing"/>
        <w:jc w:val="both"/>
        <w:rPr>
          <w:rFonts w:ascii="Times New Roman" w:hAnsi="Times New Roman" w:cs="Times New Roman"/>
          <w:sz w:val="24"/>
        </w:rPr>
      </w:pPr>
    </w:p>
    <w:p w14:paraId="6AEC5748" w14:textId="1776DBBA" w:rsidR="002C2B43" w:rsidRDefault="00591F2D" w:rsidP="00A518CB">
      <w:pPr>
        <w:pStyle w:val="NoSpacing"/>
        <w:jc w:val="both"/>
        <w:rPr>
          <w:rFonts w:ascii="Times New Roman" w:hAnsi="Times New Roman" w:cs="Times New Roman"/>
          <w:sz w:val="24"/>
        </w:rPr>
      </w:pPr>
      <w:r>
        <w:rPr>
          <w:rFonts w:ascii="Times New Roman" w:hAnsi="Times New Roman" w:cs="Times New Roman"/>
          <w:sz w:val="24"/>
        </w:rPr>
        <w:t>Of course, it might be argued that EU citizenship has therefore had a more subtle constitutionalising effect on proceedings. The practical consequence of EU free movement law is the residence of around 3 million Union citizens in the UK</w:t>
      </w:r>
      <w:r w:rsidR="00732637">
        <w:rPr>
          <w:rFonts w:ascii="Times New Roman" w:hAnsi="Times New Roman" w:cs="Times New Roman"/>
          <w:sz w:val="24"/>
        </w:rPr>
        <w:t xml:space="preserve"> –</w:t>
      </w:r>
      <w:r>
        <w:rPr>
          <w:rFonts w:ascii="Times New Roman" w:hAnsi="Times New Roman" w:cs="Times New Roman"/>
          <w:sz w:val="24"/>
        </w:rPr>
        <w:t xml:space="preserve"> who moved here in reliance on a legal framework that</w:t>
      </w:r>
      <w:r w:rsidR="00732637">
        <w:rPr>
          <w:rFonts w:ascii="Times New Roman" w:hAnsi="Times New Roman" w:cs="Times New Roman"/>
          <w:sz w:val="24"/>
        </w:rPr>
        <w:t xml:space="preserve"> will cease</w:t>
      </w:r>
      <w:r w:rsidR="004B75F0">
        <w:rPr>
          <w:rFonts w:ascii="Times New Roman" w:hAnsi="Times New Roman" w:cs="Times New Roman"/>
          <w:sz w:val="24"/>
        </w:rPr>
        <w:t xml:space="preserve"> to have</w:t>
      </w:r>
      <w:r w:rsidR="00732637">
        <w:rPr>
          <w:rFonts w:ascii="Times New Roman" w:hAnsi="Times New Roman" w:cs="Times New Roman"/>
          <w:sz w:val="24"/>
        </w:rPr>
        <w:t xml:space="preserve"> effect on Brexit day – the residence security of whom the Government has come under political pressure to protect. More significantly, the Government has committed, in its </w:t>
      </w:r>
      <w:hyperlink r:id="rId27" w:history="1">
        <w:r w:rsidR="00732637" w:rsidRPr="00B3788E">
          <w:rPr>
            <w:rStyle w:val="Hyperlink"/>
            <w:rFonts w:ascii="Times New Roman" w:hAnsi="Times New Roman" w:cs="Times New Roman"/>
            <w:sz w:val="24"/>
          </w:rPr>
          <w:t>White Paper on Legislating for the Withdrawal Agreement</w:t>
        </w:r>
      </w:hyperlink>
      <w:r w:rsidR="00B3788E">
        <w:rPr>
          <w:rFonts w:ascii="Times New Roman" w:hAnsi="Times New Roman" w:cs="Times New Roman"/>
          <w:sz w:val="24"/>
        </w:rPr>
        <w:t>,</w:t>
      </w:r>
      <w:r w:rsidR="00732637">
        <w:rPr>
          <w:rFonts w:ascii="Times New Roman" w:hAnsi="Times New Roman" w:cs="Times New Roman"/>
          <w:sz w:val="24"/>
        </w:rPr>
        <w:t xml:space="preserve"> that </w:t>
      </w:r>
      <w:r w:rsidR="00B3788E">
        <w:rPr>
          <w:rFonts w:ascii="Times New Roman" w:hAnsi="Times New Roman" w:cs="Times New Roman"/>
          <w:sz w:val="24"/>
        </w:rPr>
        <w:t xml:space="preserve">should any future UK parliament decide to repeal the citizens’ rights part of the </w:t>
      </w:r>
      <w:hyperlink r:id="rId28" w:history="1">
        <w:r w:rsidR="00B3788E" w:rsidRPr="002C2B43">
          <w:rPr>
            <w:rStyle w:val="Hyperlink"/>
            <w:rFonts w:ascii="Times New Roman" w:hAnsi="Times New Roman" w:cs="Times New Roman"/>
            <w:sz w:val="24"/>
          </w:rPr>
          <w:t>Withdrawal Agreement</w:t>
        </w:r>
      </w:hyperlink>
      <w:r w:rsidR="00F30B46">
        <w:rPr>
          <w:rFonts w:ascii="Times New Roman" w:hAnsi="Times New Roman" w:cs="Times New Roman"/>
          <w:sz w:val="24"/>
        </w:rPr>
        <w:t xml:space="preserve"> (should this be adopted)</w:t>
      </w:r>
      <w:r w:rsidR="00B3788E">
        <w:rPr>
          <w:rFonts w:ascii="Times New Roman" w:hAnsi="Times New Roman" w:cs="Times New Roman"/>
          <w:sz w:val="24"/>
        </w:rPr>
        <w:t xml:space="preserve">, ‘Parliament must activate an additional procedural step’. Whilst clearly not going as far as to entrench EU citizens’ rights, this commitment arguably seeks to find a compromise between their importance and the sovereignty of Parliament. </w:t>
      </w:r>
    </w:p>
    <w:p w14:paraId="501993B0" w14:textId="77777777" w:rsidR="002C2B43" w:rsidRDefault="002C2B43" w:rsidP="00A518CB">
      <w:pPr>
        <w:pStyle w:val="NoSpacing"/>
        <w:jc w:val="both"/>
        <w:rPr>
          <w:rFonts w:ascii="Times New Roman" w:hAnsi="Times New Roman" w:cs="Times New Roman"/>
          <w:sz w:val="24"/>
        </w:rPr>
      </w:pPr>
    </w:p>
    <w:p w14:paraId="1E2DA85D" w14:textId="505027C6" w:rsidR="004B75F0" w:rsidRDefault="00B3788E" w:rsidP="00A518CB">
      <w:pPr>
        <w:pStyle w:val="NoSpacing"/>
        <w:jc w:val="both"/>
        <w:rPr>
          <w:rFonts w:ascii="Times New Roman" w:hAnsi="Times New Roman" w:cs="Times New Roman"/>
          <w:sz w:val="24"/>
        </w:rPr>
      </w:pPr>
      <w:r>
        <w:rPr>
          <w:rFonts w:ascii="Times New Roman" w:hAnsi="Times New Roman" w:cs="Times New Roman"/>
          <w:sz w:val="24"/>
        </w:rPr>
        <w:t>On the EU side, citizens’ rights were one of the</w:t>
      </w:r>
      <w:r w:rsidR="004B75F0">
        <w:rPr>
          <w:rFonts w:ascii="Times New Roman" w:hAnsi="Times New Roman" w:cs="Times New Roman"/>
          <w:sz w:val="24"/>
        </w:rPr>
        <w:t xml:space="preserve"> Union’s </w:t>
      </w:r>
      <w:hyperlink r:id="rId29" w:history="1">
        <w:r w:rsidRPr="004B75F0">
          <w:rPr>
            <w:rStyle w:val="Hyperlink"/>
            <w:rFonts w:ascii="Times New Roman" w:hAnsi="Times New Roman" w:cs="Times New Roman"/>
            <w:sz w:val="24"/>
          </w:rPr>
          <w:t>three negotiating priorities</w:t>
        </w:r>
      </w:hyperlink>
      <w:r>
        <w:rPr>
          <w:rFonts w:ascii="Times New Roman" w:hAnsi="Times New Roman" w:cs="Times New Roman"/>
          <w:sz w:val="24"/>
        </w:rPr>
        <w:t xml:space="preserve"> on which sufficient progress had to be made before it would proceed to the second phase of negotiations.</w:t>
      </w:r>
      <w:r w:rsidR="004B75F0">
        <w:rPr>
          <w:rFonts w:ascii="Times New Roman" w:hAnsi="Times New Roman" w:cs="Times New Roman"/>
          <w:sz w:val="24"/>
        </w:rPr>
        <w:t xml:space="preserve"> </w:t>
      </w:r>
      <w:r w:rsidR="00F30B46">
        <w:rPr>
          <w:rFonts w:ascii="Times New Roman" w:hAnsi="Times New Roman" w:cs="Times New Roman"/>
          <w:sz w:val="24"/>
        </w:rPr>
        <w:t>As well as the ongoing supremacy and direct effect of relevant Union norms under Article 4 of t</w:t>
      </w:r>
      <w:r w:rsidR="004B75F0">
        <w:rPr>
          <w:rFonts w:ascii="Times New Roman" w:hAnsi="Times New Roman" w:cs="Times New Roman"/>
          <w:sz w:val="24"/>
        </w:rPr>
        <w:t xml:space="preserve">he </w:t>
      </w:r>
      <w:r w:rsidR="004B75F0" w:rsidRPr="002C2B43">
        <w:rPr>
          <w:rStyle w:val="Hyperlink"/>
          <w:rFonts w:ascii="Times New Roman" w:hAnsi="Times New Roman" w:cs="Times New Roman"/>
          <w:sz w:val="24"/>
        </w:rPr>
        <w:t>Withdr</w:t>
      </w:r>
      <w:r w:rsidR="004B75F0" w:rsidRPr="002C2B43">
        <w:rPr>
          <w:rStyle w:val="Hyperlink"/>
          <w:rFonts w:ascii="Times New Roman" w:hAnsi="Times New Roman" w:cs="Times New Roman"/>
          <w:sz w:val="24"/>
        </w:rPr>
        <w:t>a</w:t>
      </w:r>
      <w:r w:rsidR="004B75F0" w:rsidRPr="002C2B43">
        <w:rPr>
          <w:rStyle w:val="Hyperlink"/>
          <w:rFonts w:ascii="Times New Roman" w:hAnsi="Times New Roman" w:cs="Times New Roman"/>
          <w:sz w:val="24"/>
        </w:rPr>
        <w:t>wal Agreement</w:t>
      </w:r>
      <w:r w:rsidR="00A32DFD">
        <w:rPr>
          <w:rStyle w:val="Hyperlink"/>
          <w:rFonts w:ascii="Times New Roman" w:hAnsi="Times New Roman" w:cs="Times New Roman"/>
          <w:sz w:val="24"/>
        </w:rPr>
        <w:t>,</w:t>
      </w:r>
      <w:r w:rsidR="00A32DFD">
        <w:rPr>
          <w:rFonts w:ascii="Times New Roman" w:hAnsi="Times New Roman" w:cs="Times New Roman"/>
          <w:sz w:val="24"/>
        </w:rPr>
        <w:t xml:space="preserve"> it also contains</w:t>
      </w:r>
      <w:r w:rsidR="004B75F0">
        <w:rPr>
          <w:rFonts w:ascii="Times New Roman" w:hAnsi="Times New Roman" w:cs="Times New Roman"/>
          <w:sz w:val="24"/>
        </w:rPr>
        <w:t xml:space="preserve"> additional </w:t>
      </w:r>
      <w:r w:rsidR="00F30B46">
        <w:rPr>
          <w:rFonts w:ascii="Times New Roman" w:hAnsi="Times New Roman" w:cs="Times New Roman"/>
          <w:sz w:val="24"/>
        </w:rPr>
        <w:t xml:space="preserve">commitments on citizens’ rights. For example, pursuant </w:t>
      </w:r>
      <w:r w:rsidR="003E0F91">
        <w:rPr>
          <w:rFonts w:ascii="Times New Roman" w:hAnsi="Times New Roman" w:cs="Times New Roman"/>
          <w:sz w:val="24"/>
        </w:rPr>
        <w:t xml:space="preserve">to </w:t>
      </w:r>
      <w:r w:rsidR="00F30B46">
        <w:rPr>
          <w:rFonts w:ascii="Times New Roman" w:hAnsi="Times New Roman" w:cs="Times New Roman"/>
          <w:sz w:val="24"/>
        </w:rPr>
        <w:t>Article 158,</w:t>
      </w:r>
      <w:r w:rsidR="004B75F0">
        <w:rPr>
          <w:rFonts w:ascii="Times New Roman" w:hAnsi="Times New Roman" w:cs="Times New Roman"/>
          <w:sz w:val="24"/>
        </w:rPr>
        <w:t xml:space="preserve"> UK courts </w:t>
      </w:r>
      <w:r w:rsidR="00F30B46">
        <w:rPr>
          <w:rFonts w:ascii="Times New Roman" w:hAnsi="Times New Roman" w:cs="Times New Roman"/>
          <w:sz w:val="24"/>
        </w:rPr>
        <w:t xml:space="preserve">could </w:t>
      </w:r>
      <w:r w:rsidR="004B75F0">
        <w:rPr>
          <w:rFonts w:ascii="Times New Roman" w:hAnsi="Times New Roman" w:cs="Times New Roman"/>
          <w:sz w:val="24"/>
        </w:rPr>
        <w:t>continue to refer question</w:t>
      </w:r>
      <w:r w:rsidR="00F30B46">
        <w:rPr>
          <w:rFonts w:ascii="Times New Roman" w:hAnsi="Times New Roman" w:cs="Times New Roman"/>
          <w:sz w:val="24"/>
        </w:rPr>
        <w:t>s</w:t>
      </w:r>
      <w:r w:rsidR="00A32DFD">
        <w:rPr>
          <w:rFonts w:ascii="Times New Roman" w:hAnsi="Times New Roman" w:cs="Times New Roman"/>
          <w:sz w:val="24"/>
        </w:rPr>
        <w:t xml:space="preserve"> on the</w:t>
      </w:r>
      <w:r w:rsidR="004B75F0">
        <w:rPr>
          <w:rFonts w:ascii="Times New Roman" w:hAnsi="Times New Roman" w:cs="Times New Roman"/>
          <w:sz w:val="24"/>
        </w:rPr>
        <w:t xml:space="preserve"> </w:t>
      </w:r>
      <w:r w:rsidR="00F30B46">
        <w:rPr>
          <w:rFonts w:ascii="Times New Roman" w:hAnsi="Times New Roman" w:cs="Times New Roman"/>
          <w:sz w:val="24"/>
        </w:rPr>
        <w:t xml:space="preserve">citizens’ rights </w:t>
      </w:r>
      <w:r w:rsidR="004B75F0">
        <w:rPr>
          <w:rFonts w:ascii="Times New Roman" w:hAnsi="Times New Roman" w:cs="Times New Roman"/>
          <w:sz w:val="24"/>
        </w:rPr>
        <w:t>part of the Agreement to the Court of Justice in the eight years following the end of the transitional period</w:t>
      </w:r>
      <w:r w:rsidR="00F30B46">
        <w:rPr>
          <w:rFonts w:ascii="Times New Roman" w:hAnsi="Times New Roman" w:cs="Times New Roman"/>
          <w:sz w:val="24"/>
        </w:rPr>
        <w:t xml:space="preserve">. </w:t>
      </w:r>
    </w:p>
    <w:p w14:paraId="2B3DC851" w14:textId="77777777" w:rsidR="004B75F0" w:rsidRDefault="004B75F0" w:rsidP="00A518CB">
      <w:pPr>
        <w:pStyle w:val="NoSpacing"/>
        <w:jc w:val="both"/>
        <w:rPr>
          <w:rFonts w:ascii="Times New Roman" w:hAnsi="Times New Roman" w:cs="Times New Roman"/>
          <w:sz w:val="24"/>
        </w:rPr>
      </w:pPr>
    </w:p>
    <w:p w14:paraId="1FEDB1EF" w14:textId="442A42CF" w:rsidR="00686649" w:rsidRDefault="00CF087A" w:rsidP="00A518CB">
      <w:pPr>
        <w:pStyle w:val="NoSpacing"/>
        <w:jc w:val="both"/>
        <w:rPr>
          <w:rFonts w:ascii="Times New Roman" w:hAnsi="Times New Roman" w:cs="Times New Roman"/>
          <w:sz w:val="24"/>
        </w:rPr>
      </w:pPr>
      <w:r>
        <w:rPr>
          <w:rFonts w:ascii="Times New Roman" w:hAnsi="Times New Roman" w:cs="Times New Roman"/>
          <w:sz w:val="24"/>
        </w:rPr>
        <w:t>Y</w:t>
      </w:r>
      <w:r w:rsidR="004B75F0">
        <w:rPr>
          <w:rFonts w:ascii="Times New Roman" w:hAnsi="Times New Roman" w:cs="Times New Roman"/>
          <w:sz w:val="24"/>
        </w:rPr>
        <w:t>et the specifics of EU citizenship, as a fundamental status conferring free movement rights on all nationals of the Member States, has not been the decisive factor here. Article 50 TEU does not contain any explicit instruction to the European Council to include citizens’ rights within the negotiating guidelines. Moreover, the Withdrawal Agreement itself largely replicates the rights – and</w:t>
      </w:r>
      <w:r w:rsidR="00AF20EC">
        <w:rPr>
          <w:rFonts w:ascii="Times New Roman" w:hAnsi="Times New Roman" w:cs="Times New Roman"/>
          <w:sz w:val="24"/>
        </w:rPr>
        <w:t xml:space="preserve"> therefore the</w:t>
      </w:r>
      <w:r w:rsidR="004B75F0">
        <w:rPr>
          <w:rFonts w:ascii="Times New Roman" w:hAnsi="Times New Roman" w:cs="Times New Roman"/>
          <w:sz w:val="24"/>
        </w:rPr>
        <w:t xml:space="preserve"> ongoing problems – operating under the CRD. Indeed, when the Commission was asked </w:t>
      </w:r>
      <w:r w:rsidR="00AF20EC">
        <w:rPr>
          <w:rFonts w:ascii="Times New Roman" w:hAnsi="Times New Roman" w:cs="Times New Roman"/>
          <w:sz w:val="24"/>
        </w:rPr>
        <w:t>about the fact that the UK’s commitment to waive the comprehensive sickness insurance</w:t>
      </w:r>
      <w:r w:rsidR="00686649">
        <w:rPr>
          <w:rFonts w:ascii="Times New Roman" w:hAnsi="Times New Roman" w:cs="Times New Roman"/>
          <w:sz w:val="24"/>
        </w:rPr>
        <w:t xml:space="preserve"> requirement</w:t>
      </w:r>
      <w:r w:rsidR="00AF20EC">
        <w:rPr>
          <w:rFonts w:ascii="Times New Roman" w:hAnsi="Times New Roman" w:cs="Times New Roman"/>
          <w:sz w:val="24"/>
        </w:rPr>
        <w:t xml:space="preserve"> was unilateral and non-binding, </w:t>
      </w:r>
      <w:hyperlink r:id="rId30" w:history="1">
        <w:r w:rsidR="00AF20EC" w:rsidRPr="00AF20EC">
          <w:rPr>
            <w:rStyle w:val="Hyperlink"/>
            <w:rFonts w:ascii="Times New Roman" w:hAnsi="Times New Roman" w:cs="Times New Roman"/>
            <w:sz w:val="24"/>
          </w:rPr>
          <w:t>the Commission stated</w:t>
        </w:r>
      </w:hyperlink>
      <w:r w:rsidR="00AF20EC">
        <w:rPr>
          <w:rFonts w:ascii="Times New Roman" w:hAnsi="Times New Roman" w:cs="Times New Roman"/>
          <w:sz w:val="24"/>
        </w:rPr>
        <w:t xml:space="preserve"> that ‘we seek to protect the rights as they stand under current EU law, </w:t>
      </w:r>
      <w:r w:rsidR="00AF20EC">
        <w:rPr>
          <w:rFonts w:ascii="Times New Roman" w:hAnsi="Times New Roman" w:cs="Times New Roman"/>
          <w:sz w:val="24"/>
        </w:rPr>
        <w:lastRenderedPageBreak/>
        <w:t>nothing more, nothing less’.</w:t>
      </w:r>
      <w:r w:rsidR="000C2226">
        <w:rPr>
          <w:rFonts w:ascii="Times New Roman" w:hAnsi="Times New Roman" w:cs="Times New Roman"/>
          <w:sz w:val="24"/>
        </w:rPr>
        <w:t xml:space="preserve"> And of course, Article 50 explicitl</w:t>
      </w:r>
      <w:r w:rsidR="00FE14F9">
        <w:rPr>
          <w:rFonts w:ascii="Times New Roman" w:hAnsi="Times New Roman" w:cs="Times New Roman"/>
          <w:sz w:val="24"/>
        </w:rPr>
        <w:t>y allows for a</w:t>
      </w:r>
      <w:r w:rsidR="003E0F91">
        <w:rPr>
          <w:rFonts w:ascii="Times New Roman" w:hAnsi="Times New Roman" w:cs="Times New Roman"/>
          <w:sz w:val="24"/>
        </w:rPr>
        <w:t xml:space="preserve"> </w:t>
      </w:r>
      <w:r w:rsidR="000C2226">
        <w:rPr>
          <w:rFonts w:ascii="Times New Roman" w:hAnsi="Times New Roman" w:cs="Times New Roman"/>
          <w:sz w:val="24"/>
        </w:rPr>
        <w:t>‘no deal’,</w:t>
      </w:r>
      <w:r w:rsidR="00F30B46">
        <w:rPr>
          <w:rFonts w:ascii="Times New Roman" w:hAnsi="Times New Roman" w:cs="Times New Roman"/>
          <w:sz w:val="24"/>
        </w:rPr>
        <w:t xml:space="preserve"> an ongoing possibility,</w:t>
      </w:r>
      <w:r w:rsidR="000C2226">
        <w:rPr>
          <w:rFonts w:ascii="Times New Roman" w:hAnsi="Times New Roman" w:cs="Times New Roman"/>
          <w:sz w:val="24"/>
        </w:rPr>
        <w:t xml:space="preserve"> which would mean the UK would be under no internat</w:t>
      </w:r>
      <w:r w:rsidR="00F30B46">
        <w:rPr>
          <w:rFonts w:ascii="Times New Roman" w:hAnsi="Times New Roman" w:cs="Times New Roman"/>
          <w:sz w:val="24"/>
        </w:rPr>
        <w:t xml:space="preserve">ional obligation to provide </w:t>
      </w:r>
      <w:r w:rsidR="000C2226">
        <w:rPr>
          <w:rFonts w:ascii="Times New Roman" w:hAnsi="Times New Roman" w:cs="Times New Roman"/>
          <w:sz w:val="24"/>
        </w:rPr>
        <w:t>even</w:t>
      </w:r>
      <w:r w:rsidR="00F30B46">
        <w:rPr>
          <w:rFonts w:ascii="Times New Roman" w:hAnsi="Times New Roman" w:cs="Times New Roman"/>
          <w:sz w:val="24"/>
        </w:rPr>
        <w:t xml:space="preserve"> the</w:t>
      </w:r>
      <w:r w:rsidR="000C2226">
        <w:rPr>
          <w:rFonts w:ascii="Times New Roman" w:hAnsi="Times New Roman" w:cs="Times New Roman"/>
          <w:sz w:val="24"/>
        </w:rPr>
        <w:t xml:space="preserve"> problematic residence entitlements available under the Withdrawal Agreement. </w:t>
      </w:r>
    </w:p>
    <w:p w14:paraId="4CD97A6B" w14:textId="77777777" w:rsidR="00686649" w:rsidRDefault="00686649" w:rsidP="00A518CB">
      <w:pPr>
        <w:pStyle w:val="NoSpacing"/>
        <w:jc w:val="both"/>
        <w:rPr>
          <w:rFonts w:ascii="Times New Roman" w:hAnsi="Times New Roman" w:cs="Times New Roman"/>
          <w:sz w:val="24"/>
        </w:rPr>
      </w:pPr>
    </w:p>
    <w:p w14:paraId="3BC9D38E" w14:textId="6C301431" w:rsidR="00147BA5" w:rsidRDefault="00686649" w:rsidP="00A518CB">
      <w:pPr>
        <w:pStyle w:val="NoSpacing"/>
        <w:jc w:val="both"/>
        <w:rPr>
          <w:rFonts w:ascii="Times New Roman" w:hAnsi="Times New Roman" w:cs="Times New Roman"/>
          <w:sz w:val="24"/>
        </w:rPr>
      </w:pPr>
      <w:r>
        <w:rPr>
          <w:rFonts w:ascii="Times New Roman" w:hAnsi="Times New Roman" w:cs="Times New Roman"/>
          <w:sz w:val="24"/>
        </w:rPr>
        <w:t xml:space="preserve">As the Joint Committee on Human Rights has </w:t>
      </w:r>
      <w:hyperlink r:id="rId31" w:history="1">
        <w:r w:rsidRPr="00147BA5">
          <w:rPr>
            <w:rStyle w:val="Hyperlink"/>
            <w:rFonts w:ascii="Times New Roman" w:hAnsi="Times New Roman" w:cs="Times New Roman"/>
            <w:sz w:val="24"/>
          </w:rPr>
          <w:t>highlighted</w:t>
        </w:r>
      </w:hyperlink>
      <w:r>
        <w:rPr>
          <w:rFonts w:ascii="Times New Roman" w:hAnsi="Times New Roman" w:cs="Times New Roman"/>
          <w:sz w:val="24"/>
        </w:rPr>
        <w:t xml:space="preserve">, the UK government would also face no domestic obligations. </w:t>
      </w:r>
      <w:r w:rsidR="00AE4088">
        <w:rPr>
          <w:rFonts w:ascii="Times New Roman" w:hAnsi="Times New Roman" w:cs="Times New Roman"/>
          <w:sz w:val="24"/>
        </w:rPr>
        <w:t>Any</w:t>
      </w:r>
      <w:r>
        <w:rPr>
          <w:rFonts w:ascii="Times New Roman" w:hAnsi="Times New Roman" w:cs="Times New Roman"/>
          <w:sz w:val="24"/>
        </w:rPr>
        <w:t xml:space="preserve"> Legislating for the Withdrawal Agreement Bill, and the primary legislation on citizens</w:t>
      </w:r>
      <w:r w:rsidR="005E7A4E">
        <w:rPr>
          <w:rFonts w:ascii="Times New Roman" w:hAnsi="Times New Roman" w:cs="Times New Roman"/>
          <w:sz w:val="24"/>
        </w:rPr>
        <w:t>’</w:t>
      </w:r>
      <w:r>
        <w:rPr>
          <w:rFonts w:ascii="Times New Roman" w:hAnsi="Times New Roman" w:cs="Times New Roman"/>
          <w:sz w:val="24"/>
        </w:rPr>
        <w:t xml:space="preserve"> rights that it would introduce, would become irrelevant upon ‘no deal’. While the Government has said this is not a problem since it is committed to the EU Settlement Scheme, the scheme is implemented through statutory instrument as an </w:t>
      </w:r>
      <w:hyperlink r:id="rId32" w:history="1">
        <w:r w:rsidRPr="00D838EF">
          <w:rPr>
            <w:rStyle w:val="Hyperlink"/>
            <w:rFonts w:ascii="Times New Roman" w:hAnsi="Times New Roman" w:cs="Times New Roman"/>
            <w:sz w:val="24"/>
          </w:rPr>
          <w:t>appendix to national immigration rules</w:t>
        </w:r>
      </w:hyperlink>
      <w:r>
        <w:rPr>
          <w:rFonts w:ascii="Times New Roman" w:hAnsi="Times New Roman" w:cs="Times New Roman"/>
          <w:sz w:val="24"/>
        </w:rPr>
        <w:t xml:space="preserve"> and so does not benefit from the level of protection offered by an Act of Parliament. Meanwhile, </w:t>
      </w:r>
      <w:r w:rsidR="00D838EF">
        <w:rPr>
          <w:rFonts w:ascii="Times New Roman" w:hAnsi="Times New Roman" w:cs="Times New Roman"/>
          <w:sz w:val="24"/>
        </w:rPr>
        <w:t xml:space="preserve">as the Joint Committee rightly points out, the </w:t>
      </w:r>
      <w:hyperlink r:id="rId33" w:history="1">
        <w:r w:rsidRPr="00147BA5">
          <w:rPr>
            <w:rStyle w:val="Hyperlink"/>
            <w:rFonts w:ascii="Times New Roman" w:hAnsi="Times New Roman" w:cs="Times New Roman"/>
            <w:sz w:val="24"/>
          </w:rPr>
          <w:t>Immigration and Social Security Coordination</w:t>
        </w:r>
        <w:r w:rsidR="00147BA5" w:rsidRPr="00147BA5">
          <w:rPr>
            <w:rStyle w:val="Hyperlink"/>
            <w:rFonts w:ascii="Times New Roman" w:hAnsi="Times New Roman" w:cs="Times New Roman"/>
            <w:sz w:val="24"/>
          </w:rPr>
          <w:t xml:space="preserve"> (EU Withdrawal)</w:t>
        </w:r>
        <w:r w:rsidRPr="00147BA5">
          <w:rPr>
            <w:rStyle w:val="Hyperlink"/>
            <w:rFonts w:ascii="Times New Roman" w:hAnsi="Times New Roman" w:cs="Times New Roman"/>
            <w:sz w:val="24"/>
          </w:rPr>
          <w:t xml:space="preserve"> Bill</w:t>
        </w:r>
      </w:hyperlink>
      <w:r>
        <w:rPr>
          <w:rFonts w:ascii="Times New Roman" w:hAnsi="Times New Roman" w:cs="Times New Roman"/>
          <w:sz w:val="24"/>
        </w:rPr>
        <w:t xml:space="preserve"> ends free movement rights in the UK</w:t>
      </w:r>
      <w:r w:rsidR="00F30B46">
        <w:rPr>
          <w:rFonts w:ascii="Times New Roman" w:hAnsi="Times New Roman" w:cs="Times New Roman"/>
          <w:sz w:val="24"/>
        </w:rPr>
        <w:t xml:space="preserve"> into the future</w:t>
      </w:r>
      <w:r>
        <w:rPr>
          <w:rFonts w:ascii="Times New Roman" w:hAnsi="Times New Roman" w:cs="Times New Roman"/>
          <w:sz w:val="24"/>
        </w:rPr>
        <w:t xml:space="preserve"> whilst making no reference to the rights of already resident EU citizens</w:t>
      </w:r>
      <w:r w:rsidR="00D838EF">
        <w:rPr>
          <w:rFonts w:ascii="Times New Roman" w:hAnsi="Times New Roman" w:cs="Times New Roman"/>
          <w:sz w:val="24"/>
        </w:rPr>
        <w:t>, leaving them at risk</w:t>
      </w:r>
      <w:r>
        <w:rPr>
          <w:rFonts w:ascii="Times New Roman" w:hAnsi="Times New Roman" w:cs="Times New Roman"/>
          <w:sz w:val="24"/>
        </w:rPr>
        <w:t>.</w:t>
      </w:r>
      <w:r w:rsidR="00D838EF">
        <w:rPr>
          <w:rFonts w:ascii="Times New Roman" w:hAnsi="Times New Roman" w:cs="Times New Roman"/>
          <w:sz w:val="24"/>
        </w:rPr>
        <w:t xml:space="preserve"> Consequently, the Committee proposes an amendment to the Bill whereby any exercise of powers under the Bill by the Secretary of State must ‘protect the acquired rights of those persons who, prior to Exit Day, benefitted in the UK, from right of free movement of persons under EU law’. </w:t>
      </w:r>
    </w:p>
    <w:p w14:paraId="409D50F0" w14:textId="6E36D449" w:rsidR="00BC6109" w:rsidRDefault="00BC6109" w:rsidP="00A518CB">
      <w:pPr>
        <w:pStyle w:val="NoSpacing"/>
        <w:jc w:val="both"/>
        <w:rPr>
          <w:rFonts w:ascii="Times New Roman" w:hAnsi="Times New Roman" w:cs="Times New Roman"/>
          <w:sz w:val="24"/>
        </w:rPr>
      </w:pPr>
    </w:p>
    <w:p w14:paraId="487AF133" w14:textId="65DFCBE6" w:rsidR="00BC6109" w:rsidRDefault="00BC6109" w:rsidP="00A518CB">
      <w:pPr>
        <w:pStyle w:val="NoSpacing"/>
        <w:jc w:val="both"/>
        <w:rPr>
          <w:rFonts w:ascii="Times New Roman" w:hAnsi="Times New Roman" w:cs="Times New Roman"/>
          <w:sz w:val="24"/>
        </w:rPr>
      </w:pPr>
      <w:r>
        <w:rPr>
          <w:rFonts w:ascii="Times New Roman" w:hAnsi="Times New Roman" w:cs="Times New Roman"/>
          <w:sz w:val="24"/>
        </w:rPr>
        <w:t xml:space="preserve">And yet, deal or no deal, both the Legislating for the Withdrawal Agreement </w:t>
      </w:r>
      <w:r w:rsidR="005E7A4E">
        <w:rPr>
          <w:rFonts w:ascii="Times New Roman" w:hAnsi="Times New Roman" w:cs="Times New Roman"/>
          <w:sz w:val="24"/>
        </w:rPr>
        <w:t>White Paper</w:t>
      </w:r>
      <w:r>
        <w:rPr>
          <w:rFonts w:ascii="Times New Roman" w:hAnsi="Times New Roman" w:cs="Times New Roman"/>
          <w:sz w:val="24"/>
        </w:rPr>
        <w:t xml:space="preserve"> and the Committee’s </w:t>
      </w:r>
      <w:r w:rsidR="005E7A4E">
        <w:rPr>
          <w:rFonts w:ascii="Times New Roman" w:hAnsi="Times New Roman" w:cs="Times New Roman"/>
          <w:sz w:val="24"/>
        </w:rPr>
        <w:t>suggest</w:t>
      </w:r>
      <w:r>
        <w:rPr>
          <w:rFonts w:ascii="Times New Roman" w:hAnsi="Times New Roman" w:cs="Times New Roman"/>
          <w:sz w:val="24"/>
        </w:rPr>
        <w:t>ed amendment to the ISSC Bill overlook the real issue: that of administrative implementation.</w:t>
      </w:r>
    </w:p>
    <w:p w14:paraId="663C740D" w14:textId="77777777" w:rsidR="00147BA5" w:rsidRDefault="00147BA5" w:rsidP="00A518CB">
      <w:pPr>
        <w:pStyle w:val="NoSpacing"/>
        <w:jc w:val="both"/>
        <w:rPr>
          <w:rFonts w:ascii="Times New Roman" w:hAnsi="Times New Roman" w:cs="Times New Roman"/>
          <w:sz w:val="24"/>
        </w:rPr>
      </w:pPr>
    </w:p>
    <w:p w14:paraId="1A6EB63B" w14:textId="77777777" w:rsidR="00147BA5" w:rsidRDefault="00147BA5" w:rsidP="00A518CB">
      <w:pPr>
        <w:pStyle w:val="NoSpacing"/>
        <w:jc w:val="both"/>
        <w:rPr>
          <w:rFonts w:ascii="Times New Roman" w:hAnsi="Times New Roman" w:cs="Times New Roman"/>
          <w:sz w:val="24"/>
        </w:rPr>
      </w:pPr>
    </w:p>
    <w:p w14:paraId="1854BBC4" w14:textId="704EF5E9" w:rsidR="000C2226" w:rsidRDefault="00147BA5" w:rsidP="00A518CB">
      <w:pPr>
        <w:pStyle w:val="NoSpacing"/>
        <w:jc w:val="both"/>
        <w:rPr>
          <w:rFonts w:ascii="Times New Roman" w:hAnsi="Times New Roman" w:cs="Times New Roman"/>
          <w:sz w:val="24"/>
        </w:rPr>
      </w:pPr>
      <w:r>
        <w:rPr>
          <w:rFonts w:ascii="Times New Roman" w:hAnsi="Times New Roman" w:cs="Times New Roman"/>
          <w:b/>
          <w:sz w:val="24"/>
        </w:rPr>
        <w:t>The need for greater scrutiny of administrative implementation of EU citizens’ rights</w:t>
      </w:r>
      <w:r w:rsidR="00686649">
        <w:rPr>
          <w:rFonts w:ascii="Times New Roman" w:hAnsi="Times New Roman" w:cs="Times New Roman"/>
          <w:sz w:val="24"/>
        </w:rPr>
        <w:t xml:space="preserve">   </w:t>
      </w:r>
    </w:p>
    <w:p w14:paraId="67942C27" w14:textId="77777777" w:rsidR="000C2226" w:rsidRDefault="000C2226" w:rsidP="00A518CB">
      <w:pPr>
        <w:pStyle w:val="NoSpacing"/>
        <w:jc w:val="both"/>
        <w:rPr>
          <w:rFonts w:ascii="Times New Roman" w:hAnsi="Times New Roman" w:cs="Times New Roman"/>
          <w:sz w:val="24"/>
        </w:rPr>
      </w:pPr>
    </w:p>
    <w:p w14:paraId="7EB8C12F" w14:textId="0D09C90B" w:rsidR="00B3788E" w:rsidRDefault="005E7A4E" w:rsidP="00A518CB">
      <w:pPr>
        <w:pStyle w:val="NoSpacing"/>
        <w:jc w:val="both"/>
        <w:rPr>
          <w:rFonts w:ascii="Times New Roman" w:hAnsi="Times New Roman" w:cs="Times New Roman"/>
          <w:sz w:val="24"/>
        </w:rPr>
      </w:pPr>
      <w:r>
        <w:rPr>
          <w:rFonts w:ascii="Times New Roman" w:hAnsi="Times New Roman" w:cs="Times New Roman"/>
          <w:sz w:val="24"/>
        </w:rPr>
        <w:t xml:space="preserve">The key issues for citizens’ residence security in the UK post-Brexit largely mirror those already in play before the vote, namely the need to demonstrate </w:t>
      </w:r>
      <w:r>
        <w:rPr>
          <w:rFonts w:ascii="Times New Roman" w:hAnsi="Times New Roman" w:cs="Times New Roman"/>
          <w:i/>
          <w:sz w:val="24"/>
        </w:rPr>
        <w:t xml:space="preserve">legal </w:t>
      </w:r>
      <w:r>
        <w:rPr>
          <w:rFonts w:ascii="Times New Roman" w:hAnsi="Times New Roman" w:cs="Times New Roman"/>
          <w:sz w:val="24"/>
        </w:rPr>
        <w:t xml:space="preserve">residence in line with the CRD. The additional step outlined in the White Paper only conditions Parliamentary repeal of the residence rights contained in the Withdrawal Agreement, not the more generous approach to residence security offered by the EU Settlement Scheme. Similarly, the Joint Committee’s proposed amendment to the ISSC Bill simply refers to free movement rights ‘under EU law’. Should Government decide, once more, to require </w:t>
      </w:r>
      <w:r>
        <w:rPr>
          <w:rFonts w:ascii="Times New Roman" w:hAnsi="Times New Roman" w:cs="Times New Roman"/>
          <w:i/>
          <w:sz w:val="24"/>
        </w:rPr>
        <w:t xml:space="preserve">legal </w:t>
      </w:r>
      <w:r>
        <w:rPr>
          <w:rFonts w:ascii="Times New Roman" w:hAnsi="Times New Roman" w:cs="Times New Roman"/>
          <w:sz w:val="24"/>
        </w:rPr>
        <w:t xml:space="preserve">residence rather than </w:t>
      </w:r>
      <w:r>
        <w:rPr>
          <w:rFonts w:ascii="Times New Roman" w:hAnsi="Times New Roman" w:cs="Times New Roman"/>
          <w:i/>
          <w:sz w:val="24"/>
        </w:rPr>
        <w:t xml:space="preserve">factual </w:t>
      </w:r>
      <w:r>
        <w:rPr>
          <w:rFonts w:ascii="Times New Roman" w:hAnsi="Times New Roman" w:cs="Times New Roman"/>
          <w:sz w:val="24"/>
        </w:rPr>
        <w:t xml:space="preserve">residence, neither of these mechanisms would stop it. </w:t>
      </w:r>
    </w:p>
    <w:p w14:paraId="4B726D28" w14:textId="7FD28047" w:rsidR="005E7A4E" w:rsidRDefault="005E7A4E" w:rsidP="00A518CB">
      <w:pPr>
        <w:pStyle w:val="NoSpacing"/>
        <w:jc w:val="both"/>
        <w:rPr>
          <w:rFonts w:ascii="Times New Roman" w:hAnsi="Times New Roman" w:cs="Times New Roman"/>
          <w:sz w:val="24"/>
        </w:rPr>
      </w:pPr>
    </w:p>
    <w:p w14:paraId="3343C8FA" w14:textId="2CC06949" w:rsidR="0075361D" w:rsidRDefault="005E7A4E" w:rsidP="00080675">
      <w:pPr>
        <w:pStyle w:val="NoSpacing"/>
        <w:jc w:val="both"/>
        <w:rPr>
          <w:rFonts w:ascii="Times New Roman" w:hAnsi="Times New Roman" w:cs="Times New Roman"/>
          <w:sz w:val="24"/>
        </w:rPr>
      </w:pPr>
      <w:r>
        <w:rPr>
          <w:rFonts w:ascii="Times New Roman" w:hAnsi="Times New Roman" w:cs="Times New Roman"/>
          <w:sz w:val="24"/>
        </w:rPr>
        <w:t xml:space="preserve">More importantly, even if the EU Settlement Scheme remains in place in its current form, </w:t>
      </w:r>
      <w:r w:rsidR="00A35556">
        <w:rPr>
          <w:rFonts w:ascii="Times New Roman" w:hAnsi="Times New Roman" w:cs="Times New Roman"/>
          <w:sz w:val="24"/>
        </w:rPr>
        <w:t>there is a real need for scrutiny of its a</w:t>
      </w:r>
      <w:r w:rsidR="002D747D">
        <w:rPr>
          <w:rFonts w:ascii="Times New Roman" w:hAnsi="Times New Roman" w:cs="Times New Roman"/>
          <w:sz w:val="24"/>
        </w:rPr>
        <w:t>dministrative</w:t>
      </w:r>
      <w:r w:rsidR="00A35556">
        <w:rPr>
          <w:rFonts w:ascii="Times New Roman" w:hAnsi="Times New Roman" w:cs="Times New Roman"/>
          <w:sz w:val="24"/>
        </w:rPr>
        <w:t xml:space="preserve"> implementation. Though the Scheme claims to focus on </w:t>
      </w:r>
      <w:r w:rsidR="00A35556">
        <w:rPr>
          <w:rFonts w:ascii="Times New Roman" w:hAnsi="Times New Roman" w:cs="Times New Roman"/>
          <w:i/>
          <w:sz w:val="24"/>
        </w:rPr>
        <w:t xml:space="preserve">factual </w:t>
      </w:r>
      <w:r w:rsidR="00A35556">
        <w:rPr>
          <w:rFonts w:ascii="Times New Roman" w:hAnsi="Times New Roman" w:cs="Times New Roman"/>
          <w:sz w:val="24"/>
        </w:rPr>
        <w:t xml:space="preserve">residence, the means by which Union citizens can demonstrate this fact still </w:t>
      </w:r>
      <w:hyperlink r:id="rId34" w:history="1">
        <w:r w:rsidR="00A35556" w:rsidRPr="002D747D">
          <w:rPr>
            <w:rStyle w:val="Hyperlink"/>
            <w:rFonts w:ascii="Times New Roman" w:hAnsi="Times New Roman" w:cs="Times New Roman"/>
            <w:sz w:val="24"/>
          </w:rPr>
          <w:t>largely relate to economic activity</w:t>
        </w:r>
      </w:hyperlink>
      <w:r w:rsidR="00A35556">
        <w:rPr>
          <w:rFonts w:ascii="Times New Roman" w:hAnsi="Times New Roman" w:cs="Times New Roman"/>
          <w:sz w:val="24"/>
        </w:rPr>
        <w:t>. For instance, applicants are able to link their application to HMRC data, which will provide evidence of their residence. While thi</w:t>
      </w:r>
      <w:r w:rsidR="004562EB">
        <w:rPr>
          <w:rFonts w:ascii="Times New Roman" w:hAnsi="Times New Roman" w:cs="Times New Roman"/>
          <w:sz w:val="24"/>
        </w:rPr>
        <w:t>s might</w:t>
      </w:r>
      <w:r w:rsidR="00A35556">
        <w:rPr>
          <w:rFonts w:ascii="Times New Roman" w:hAnsi="Times New Roman" w:cs="Times New Roman"/>
          <w:sz w:val="24"/>
        </w:rPr>
        <w:t xml:space="preserve"> work for those in permanent work, unpaid carers, for example, will not benefit. Though the Government has said applicants will also be able to rely </w:t>
      </w:r>
      <w:r w:rsidR="002D747D">
        <w:rPr>
          <w:rFonts w:ascii="Times New Roman" w:hAnsi="Times New Roman" w:cs="Times New Roman"/>
          <w:sz w:val="24"/>
        </w:rPr>
        <w:t xml:space="preserve">on </w:t>
      </w:r>
      <w:hyperlink r:id="rId35" w:history="1">
        <w:r w:rsidR="002D747D" w:rsidRPr="002D747D">
          <w:rPr>
            <w:rStyle w:val="Hyperlink"/>
            <w:rFonts w:ascii="Times New Roman" w:hAnsi="Times New Roman" w:cs="Times New Roman"/>
            <w:sz w:val="24"/>
          </w:rPr>
          <w:t>DWP records</w:t>
        </w:r>
      </w:hyperlink>
      <w:r w:rsidR="00A35556">
        <w:rPr>
          <w:rFonts w:ascii="Times New Roman" w:hAnsi="Times New Roman" w:cs="Times New Roman"/>
          <w:sz w:val="24"/>
        </w:rPr>
        <w:t>, the operation of the ‘right to reside’ test</w:t>
      </w:r>
      <w:r w:rsidR="004562EB">
        <w:rPr>
          <w:rFonts w:ascii="Times New Roman" w:hAnsi="Times New Roman" w:cs="Times New Roman"/>
          <w:sz w:val="24"/>
        </w:rPr>
        <w:t xml:space="preserve"> </w:t>
      </w:r>
      <w:r w:rsidR="00A35556">
        <w:rPr>
          <w:rFonts w:ascii="Times New Roman" w:hAnsi="Times New Roman" w:cs="Times New Roman"/>
          <w:sz w:val="24"/>
        </w:rPr>
        <w:t>means that those not categorised as workers are unlikely to have been able to access the benefits that would generate this data. Those in precarious work will also face a heavier administrative burden, since they will have to provide evidence of residence during gaps in the</w:t>
      </w:r>
      <w:r w:rsidR="00A32DFD">
        <w:rPr>
          <w:rFonts w:ascii="Times New Roman" w:hAnsi="Times New Roman" w:cs="Times New Roman"/>
          <w:sz w:val="24"/>
        </w:rPr>
        <w:t>ir</w:t>
      </w:r>
      <w:r w:rsidR="00A35556">
        <w:rPr>
          <w:rFonts w:ascii="Times New Roman" w:hAnsi="Times New Roman" w:cs="Times New Roman"/>
          <w:sz w:val="24"/>
        </w:rPr>
        <w:t xml:space="preserve"> HMRC profile. Much of this </w:t>
      </w:r>
      <w:hyperlink r:id="rId36" w:history="1">
        <w:r w:rsidR="00A35556" w:rsidRPr="004562EB">
          <w:rPr>
            <w:rStyle w:val="Hyperlink"/>
            <w:rFonts w:ascii="Times New Roman" w:hAnsi="Times New Roman" w:cs="Times New Roman"/>
            <w:sz w:val="24"/>
          </w:rPr>
          <w:t>additional evidence</w:t>
        </w:r>
      </w:hyperlink>
      <w:r w:rsidR="00A35556">
        <w:rPr>
          <w:rFonts w:ascii="Times New Roman" w:hAnsi="Times New Roman" w:cs="Times New Roman"/>
          <w:sz w:val="24"/>
        </w:rPr>
        <w:t xml:space="preserve"> is also linked to economic activity: P60s, P45s, mortgage or rental payments and utility bills. This will present problems for victims of domestic abuse, who are less likely to have control over domestic finances, not to mention</w:t>
      </w:r>
      <w:r w:rsidR="002D747D">
        <w:rPr>
          <w:rFonts w:ascii="Times New Roman" w:hAnsi="Times New Roman" w:cs="Times New Roman"/>
          <w:sz w:val="24"/>
        </w:rPr>
        <w:t xml:space="preserve"> for</w:t>
      </w:r>
      <w:r w:rsidR="003E0F91">
        <w:rPr>
          <w:rFonts w:ascii="Times New Roman" w:hAnsi="Times New Roman" w:cs="Times New Roman"/>
          <w:sz w:val="24"/>
        </w:rPr>
        <w:t xml:space="preserve"> children, who by</w:t>
      </w:r>
      <w:r w:rsidR="00A35556">
        <w:rPr>
          <w:rFonts w:ascii="Times New Roman" w:hAnsi="Times New Roman" w:cs="Times New Roman"/>
          <w:sz w:val="24"/>
        </w:rPr>
        <w:t xml:space="preserve"> simple virtue of their age will lack an economic paper trail. Though the Scheme foresees some other forms of evidence, such as GP letters, these are limited, and only </w:t>
      </w:r>
      <w:r w:rsidR="00A35556">
        <w:rPr>
          <w:rFonts w:ascii="Times New Roman" w:hAnsi="Times New Roman" w:cs="Times New Roman"/>
          <w:sz w:val="24"/>
        </w:rPr>
        <w:lastRenderedPageBreak/>
        <w:t xml:space="preserve">cover the month of the appointment, which, needless to say, raises the evidential challenge when trying to demonstrate 5 years’ residence. While the Government says this is unproblematic because </w:t>
      </w:r>
      <w:r w:rsidR="00080675">
        <w:rPr>
          <w:rFonts w:ascii="Times New Roman" w:hAnsi="Times New Roman" w:cs="Times New Roman"/>
          <w:sz w:val="24"/>
        </w:rPr>
        <w:t>affected</w:t>
      </w:r>
      <w:r w:rsidR="00A35556">
        <w:rPr>
          <w:rFonts w:ascii="Times New Roman" w:hAnsi="Times New Roman" w:cs="Times New Roman"/>
          <w:sz w:val="24"/>
        </w:rPr>
        <w:t xml:space="preserve"> individuals will be offered ‘temporary settled status’ until they accumulate </w:t>
      </w:r>
      <w:r w:rsidR="00080675">
        <w:rPr>
          <w:rFonts w:ascii="Times New Roman" w:hAnsi="Times New Roman" w:cs="Times New Roman"/>
          <w:sz w:val="24"/>
        </w:rPr>
        <w:t>the necessary years, these ongoing requirements risk making ‘temporary settled status</w:t>
      </w:r>
      <w:r w:rsidR="004562EB">
        <w:rPr>
          <w:rFonts w:ascii="Times New Roman" w:hAnsi="Times New Roman" w:cs="Times New Roman"/>
          <w:sz w:val="24"/>
        </w:rPr>
        <w:t>’</w:t>
      </w:r>
      <w:r w:rsidR="00080675">
        <w:rPr>
          <w:rFonts w:ascii="Times New Roman" w:hAnsi="Times New Roman" w:cs="Times New Roman"/>
          <w:sz w:val="24"/>
        </w:rPr>
        <w:t xml:space="preserve"> a perpetual one.</w:t>
      </w:r>
    </w:p>
    <w:p w14:paraId="63FCE022" w14:textId="772F65D2" w:rsidR="00080675" w:rsidRDefault="00080675" w:rsidP="00080675">
      <w:pPr>
        <w:pStyle w:val="NoSpacing"/>
        <w:jc w:val="both"/>
        <w:rPr>
          <w:rFonts w:ascii="Times New Roman" w:hAnsi="Times New Roman" w:cs="Times New Roman"/>
          <w:sz w:val="24"/>
        </w:rPr>
      </w:pPr>
    </w:p>
    <w:p w14:paraId="12D4A508" w14:textId="3A9FC4C4" w:rsidR="00FE14F9" w:rsidRDefault="00080675" w:rsidP="00080675">
      <w:pPr>
        <w:pStyle w:val="NoSpacing"/>
        <w:jc w:val="both"/>
        <w:rPr>
          <w:rFonts w:ascii="Times New Roman" w:hAnsi="Times New Roman" w:cs="Times New Roman"/>
          <w:sz w:val="24"/>
        </w:rPr>
      </w:pPr>
      <w:r>
        <w:rPr>
          <w:rFonts w:ascii="Times New Roman" w:hAnsi="Times New Roman" w:cs="Times New Roman"/>
          <w:sz w:val="24"/>
        </w:rPr>
        <w:t xml:space="preserve">Worryingly, there is the real </w:t>
      </w:r>
      <w:r w:rsidR="002D747D">
        <w:rPr>
          <w:rFonts w:ascii="Times New Roman" w:hAnsi="Times New Roman" w:cs="Times New Roman"/>
          <w:sz w:val="24"/>
        </w:rPr>
        <w:t>possibility</w:t>
      </w:r>
      <w:r>
        <w:rPr>
          <w:rFonts w:ascii="Times New Roman" w:hAnsi="Times New Roman" w:cs="Times New Roman"/>
          <w:sz w:val="24"/>
        </w:rPr>
        <w:t xml:space="preserve"> that much of this will go unnoticed. Political pressure to bring about change to longstanding issues with EU citizenship rights only came about after the referendum when more privileged categories of Union citizen began to be affected and voice their experiences. </w:t>
      </w:r>
      <w:r w:rsidR="004562EB">
        <w:rPr>
          <w:rFonts w:ascii="Times New Roman" w:hAnsi="Times New Roman" w:cs="Times New Roman"/>
          <w:sz w:val="24"/>
        </w:rPr>
        <w:t xml:space="preserve">At present, ongoing problems with the </w:t>
      </w:r>
      <w:hyperlink r:id="rId37" w:history="1">
        <w:r w:rsidR="004562EB" w:rsidRPr="004562EB">
          <w:rPr>
            <w:rStyle w:val="Hyperlink"/>
            <w:rFonts w:ascii="Times New Roman" w:hAnsi="Times New Roman" w:cs="Times New Roman"/>
            <w:sz w:val="24"/>
          </w:rPr>
          <w:t>use of HMRC data</w:t>
        </w:r>
      </w:hyperlink>
      <w:r w:rsidR="00E86342">
        <w:rPr>
          <w:rFonts w:ascii="Times New Roman" w:hAnsi="Times New Roman" w:cs="Times New Roman"/>
          <w:sz w:val="24"/>
        </w:rPr>
        <w:t>, amongst other things</w:t>
      </w:r>
      <w:r w:rsidR="004562EB">
        <w:rPr>
          <w:rFonts w:ascii="Times New Roman" w:hAnsi="Times New Roman" w:cs="Times New Roman"/>
          <w:sz w:val="24"/>
        </w:rPr>
        <w:t xml:space="preserve">, are continuing to affect </w:t>
      </w:r>
      <w:hyperlink r:id="rId38" w:history="1">
        <w:r w:rsidR="004562EB" w:rsidRPr="004562EB">
          <w:rPr>
            <w:rStyle w:val="Hyperlink"/>
            <w:rFonts w:ascii="Times New Roman" w:hAnsi="Times New Roman" w:cs="Times New Roman"/>
            <w:sz w:val="24"/>
          </w:rPr>
          <w:t>high-profile applicants</w:t>
        </w:r>
      </w:hyperlink>
      <w:r w:rsidR="00A32DFD">
        <w:rPr>
          <w:rFonts w:ascii="Times New Roman" w:hAnsi="Times New Roman" w:cs="Times New Roman"/>
          <w:sz w:val="24"/>
        </w:rPr>
        <w:t>, raising</w:t>
      </w:r>
      <w:r w:rsidR="004562EB">
        <w:rPr>
          <w:rFonts w:ascii="Times New Roman" w:hAnsi="Times New Roman" w:cs="Times New Roman"/>
          <w:sz w:val="24"/>
        </w:rPr>
        <w:t xml:space="preserve"> awareness of current problems with the Scheme</w:t>
      </w:r>
      <w:r w:rsidR="00E86342">
        <w:rPr>
          <w:rFonts w:ascii="Times New Roman" w:hAnsi="Times New Roman" w:cs="Times New Roman"/>
          <w:sz w:val="24"/>
        </w:rPr>
        <w:t>. However, these cases concern applicants with good access to societal voice whose long-term residence in permanent work highlight issues with what should be relatively straightforward aspects of the Scheme. Ongoing</w:t>
      </w:r>
      <w:r w:rsidR="00A32DFD">
        <w:rPr>
          <w:rFonts w:ascii="Times New Roman" w:hAnsi="Times New Roman" w:cs="Times New Roman"/>
          <w:sz w:val="24"/>
        </w:rPr>
        <w:t xml:space="preserve"> scrutiny of application outcomes</w:t>
      </w:r>
      <w:r w:rsidR="00E86342">
        <w:rPr>
          <w:rFonts w:ascii="Times New Roman" w:hAnsi="Times New Roman" w:cs="Times New Roman"/>
          <w:sz w:val="24"/>
        </w:rPr>
        <w:t xml:space="preserve">, once these more high-profile problems have been ironed out, is essential. </w:t>
      </w:r>
      <w:r w:rsidR="002F45CC">
        <w:rPr>
          <w:rFonts w:ascii="Times New Roman" w:hAnsi="Times New Roman" w:cs="Times New Roman"/>
          <w:sz w:val="24"/>
        </w:rPr>
        <w:t xml:space="preserve">Of course, </w:t>
      </w:r>
      <w:r w:rsidR="004562EB">
        <w:rPr>
          <w:rFonts w:ascii="Times New Roman" w:hAnsi="Times New Roman" w:cs="Times New Roman"/>
          <w:sz w:val="24"/>
        </w:rPr>
        <w:t xml:space="preserve">EU citizens in the UK have also become mobilised by the referendum result, with campaigns groups such as </w:t>
      </w:r>
      <w:hyperlink r:id="rId39" w:history="1">
        <w:r w:rsidR="004562EB" w:rsidRPr="004562EB">
          <w:rPr>
            <w:rStyle w:val="Hyperlink"/>
            <w:rFonts w:ascii="Times New Roman" w:hAnsi="Times New Roman" w:cs="Times New Roman"/>
            <w:sz w:val="24"/>
          </w:rPr>
          <w:t>the3million</w:t>
        </w:r>
      </w:hyperlink>
      <w:r w:rsidR="004562EB">
        <w:rPr>
          <w:rFonts w:ascii="Times New Roman" w:hAnsi="Times New Roman" w:cs="Times New Roman"/>
          <w:sz w:val="24"/>
        </w:rPr>
        <w:t xml:space="preserve"> paying attention to the cliff edges</w:t>
      </w:r>
      <w:r w:rsidR="003E0F91">
        <w:rPr>
          <w:rFonts w:ascii="Times New Roman" w:hAnsi="Times New Roman" w:cs="Times New Roman"/>
          <w:sz w:val="24"/>
        </w:rPr>
        <w:t xml:space="preserve"> for a wider range of</w:t>
      </w:r>
      <w:r w:rsidR="002F45CC">
        <w:rPr>
          <w:rFonts w:ascii="Times New Roman" w:hAnsi="Times New Roman" w:cs="Times New Roman"/>
          <w:sz w:val="24"/>
        </w:rPr>
        <w:t xml:space="preserve"> Union citizens that are</w:t>
      </w:r>
      <w:bookmarkStart w:id="0" w:name="_GoBack"/>
      <w:bookmarkEnd w:id="0"/>
      <w:r w:rsidR="00E86342">
        <w:rPr>
          <w:rFonts w:ascii="Times New Roman" w:hAnsi="Times New Roman" w:cs="Times New Roman"/>
          <w:sz w:val="24"/>
        </w:rPr>
        <w:t xml:space="preserve"> created by a Settlement Scheme that still largely focuses on economic activity as</w:t>
      </w:r>
      <w:r w:rsidR="002F45CC">
        <w:rPr>
          <w:rFonts w:ascii="Times New Roman" w:hAnsi="Times New Roman" w:cs="Times New Roman"/>
          <w:sz w:val="24"/>
        </w:rPr>
        <w:t xml:space="preserve"> proof of residence</w:t>
      </w:r>
      <w:r w:rsidR="00E86342">
        <w:rPr>
          <w:rFonts w:ascii="Times New Roman" w:hAnsi="Times New Roman" w:cs="Times New Roman"/>
          <w:sz w:val="24"/>
        </w:rPr>
        <w:t>.</w:t>
      </w:r>
      <w:r w:rsidR="00A014A2">
        <w:rPr>
          <w:rFonts w:ascii="Times New Roman" w:hAnsi="Times New Roman" w:cs="Times New Roman"/>
          <w:sz w:val="24"/>
        </w:rPr>
        <w:t xml:space="preserve"> It is crucial that</w:t>
      </w:r>
      <w:r w:rsidR="003E0F91">
        <w:rPr>
          <w:rFonts w:ascii="Times New Roman" w:hAnsi="Times New Roman" w:cs="Times New Roman"/>
          <w:sz w:val="24"/>
        </w:rPr>
        <w:t xml:space="preserve"> </w:t>
      </w:r>
      <w:r w:rsidR="00A014A2">
        <w:rPr>
          <w:rFonts w:ascii="Times New Roman" w:hAnsi="Times New Roman" w:cs="Times New Roman"/>
          <w:sz w:val="24"/>
        </w:rPr>
        <w:t xml:space="preserve">these additional stories are heard. </w:t>
      </w:r>
    </w:p>
    <w:p w14:paraId="6293CAF1" w14:textId="77777777" w:rsidR="00FE14F9" w:rsidRDefault="00FE14F9" w:rsidP="00080675">
      <w:pPr>
        <w:pStyle w:val="NoSpacing"/>
        <w:jc w:val="both"/>
        <w:rPr>
          <w:rFonts w:ascii="Times New Roman" w:hAnsi="Times New Roman" w:cs="Times New Roman"/>
          <w:sz w:val="24"/>
        </w:rPr>
      </w:pPr>
    </w:p>
    <w:p w14:paraId="70621196" w14:textId="02CBE16D" w:rsidR="00080675" w:rsidRDefault="00A32DFD" w:rsidP="00080675">
      <w:pPr>
        <w:pStyle w:val="NoSpacing"/>
        <w:jc w:val="both"/>
        <w:rPr>
          <w:rFonts w:ascii="Times New Roman" w:hAnsi="Times New Roman" w:cs="Times New Roman"/>
          <w:sz w:val="24"/>
        </w:rPr>
      </w:pPr>
      <w:r>
        <w:rPr>
          <w:rFonts w:ascii="Times New Roman" w:hAnsi="Times New Roman" w:cs="Times New Roman"/>
          <w:sz w:val="24"/>
        </w:rPr>
        <w:t>Thus, though</w:t>
      </w:r>
      <w:r w:rsidR="00080675">
        <w:rPr>
          <w:rFonts w:ascii="Times New Roman" w:hAnsi="Times New Roman" w:cs="Times New Roman"/>
          <w:sz w:val="24"/>
        </w:rPr>
        <w:t xml:space="preserve"> the legislative safeguarding of EU citizens’ residence security is important, proper scrutiny of administrative implementation is even more vital.</w:t>
      </w:r>
      <w:r w:rsidR="00A014A2">
        <w:rPr>
          <w:rFonts w:ascii="Times New Roman" w:hAnsi="Times New Roman" w:cs="Times New Roman"/>
          <w:sz w:val="24"/>
        </w:rPr>
        <w:t xml:space="preserve"> Of course, pursuant to Article 159, </w:t>
      </w:r>
      <w:r>
        <w:rPr>
          <w:rFonts w:ascii="Times New Roman" w:hAnsi="Times New Roman" w:cs="Times New Roman"/>
          <w:sz w:val="24"/>
        </w:rPr>
        <w:t xml:space="preserve">the Withdrawal Agreement </w:t>
      </w:r>
      <w:r w:rsidR="00A014A2">
        <w:rPr>
          <w:rFonts w:ascii="Times New Roman" w:hAnsi="Times New Roman" w:cs="Times New Roman"/>
          <w:sz w:val="24"/>
        </w:rPr>
        <w:t>requires the UK to establish an Independent Monitoring Authority that would be empowered to conduct inquiries concerning alleged breaches of the Citizens’ Rights part of the Withdrawal Agreeme</w:t>
      </w:r>
      <w:r w:rsidR="003021ED">
        <w:rPr>
          <w:rFonts w:ascii="Times New Roman" w:hAnsi="Times New Roman" w:cs="Times New Roman"/>
          <w:sz w:val="24"/>
        </w:rPr>
        <w:t>nt. Once again, however, since that Authority would be established under the Withdrawal Agreement, it would presumably only have the power to consider strict adherence to the rights available under the Agreement</w:t>
      </w:r>
      <w:r>
        <w:rPr>
          <w:rFonts w:ascii="Times New Roman" w:hAnsi="Times New Roman" w:cs="Times New Roman"/>
          <w:sz w:val="24"/>
        </w:rPr>
        <w:t xml:space="preserve"> itself</w:t>
      </w:r>
      <w:r w:rsidR="003021ED">
        <w:rPr>
          <w:rFonts w:ascii="Times New Roman" w:hAnsi="Times New Roman" w:cs="Times New Roman"/>
          <w:sz w:val="24"/>
        </w:rPr>
        <w:t xml:space="preserve"> and not the more generous entitlements that appear available, on paper, under the EU Settlement Scheme. If these </w:t>
      </w:r>
      <w:r>
        <w:rPr>
          <w:rFonts w:ascii="Times New Roman" w:hAnsi="Times New Roman" w:cs="Times New Roman"/>
          <w:sz w:val="24"/>
        </w:rPr>
        <w:t xml:space="preserve">additional </w:t>
      </w:r>
      <w:r w:rsidR="003021ED">
        <w:rPr>
          <w:rFonts w:ascii="Times New Roman" w:hAnsi="Times New Roman" w:cs="Times New Roman"/>
          <w:sz w:val="24"/>
        </w:rPr>
        <w:t>rights turn out to be restrictive in practice, it appears there is little about the fundamental status of Union citizenship that can resolve the problem.</w:t>
      </w:r>
      <w:r w:rsidR="002E45F9">
        <w:rPr>
          <w:rFonts w:ascii="Times New Roman" w:hAnsi="Times New Roman" w:cs="Times New Roman"/>
          <w:sz w:val="24"/>
        </w:rPr>
        <w:t xml:space="preserve"> Political focus on the Scheme is therefore critical.</w:t>
      </w:r>
      <w:r w:rsidR="003021ED">
        <w:rPr>
          <w:rFonts w:ascii="Times New Roman" w:hAnsi="Times New Roman" w:cs="Times New Roman"/>
          <w:sz w:val="24"/>
        </w:rPr>
        <w:t xml:space="preserve"> </w:t>
      </w:r>
    </w:p>
    <w:p w14:paraId="385551C0" w14:textId="77777777" w:rsidR="00816D2B" w:rsidRDefault="00816D2B" w:rsidP="00080675">
      <w:pPr>
        <w:pStyle w:val="NoSpacing"/>
        <w:jc w:val="both"/>
        <w:rPr>
          <w:rFonts w:ascii="Times New Roman" w:hAnsi="Times New Roman" w:cs="Times New Roman"/>
          <w:sz w:val="24"/>
        </w:rPr>
      </w:pPr>
    </w:p>
    <w:p w14:paraId="02361941" w14:textId="77777777" w:rsidR="00816D2B" w:rsidRDefault="00816D2B" w:rsidP="00080675">
      <w:pPr>
        <w:pStyle w:val="NoSpacing"/>
        <w:jc w:val="both"/>
        <w:rPr>
          <w:rFonts w:ascii="Times New Roman" w:hAnsi="Times New Roman" w:cs="Times New Roman"/>
          <w:sz w:val="24"/>
        </w:rPr>
      </w:pPr>
    </w:p>
    <w:p w14:paraId="3C2DF55D" w14:textId="684034CA" w:rsidR="00816D2B" w:rsidRDefault="00816D2B" w:rsidP="00816D2B">
      <w:pPr>
        <w:pStyle w:val="NoSpacing"/>
        <w:jc w:val="both"/>
        <w:rPr>
          <w:rFonts w:ascii="Times New Roman" w:hAnsi="Times New Roman" w:cs="Times New Roman"/>
          <w:sz w:val="24"/>
        </w:rPr>
      </w:pPr>
      <w:r w:rsidRPr="00816D2B">
        <w:rPr>
          <w:rFonts w:ascii="Times New Roman" w:hAnsi="Times New Roman" w:cs="Times New Roman"/>
          <w:sz w:val="24"/>
        </w:rPr>
        <w:t>*</w:t>
      </w:r>
      <w:r>
        <w:rPr>
          <w:rFonts w:ascii="Times New Roman" w:hAnsi="Times New Roman" w:cs="Times New Roman"/>
          <w:sz w:val="24"/>
        </w:rPr>
        <w:t xml:space="preserve"> Stephanie Reynolds, Senior Lecturer, School of Law and Social Justice, University of Liverpool</w:t>
      </w:r>
    </w:p>
    <w:p w14:paraId="7A2D5F71" w14:textId="77777777" w:rsidR="003E0F91" w:rsidRDefault="003E0F91" w:rsidP="00816D2B">
      <w:pPr>
        <w:pStyle w:val="NoSpacing"/>
        <w:jc w:val="both"/>
        <w:rPr>
          <w:rFonts w:ascii="Times New Roman" w:hAnsi="Times New Roman" w:cs="Times New Roman"/>
          <w:sz w:val="24"/>
        </w:rPr>
      </w:pPr>
    </w:p>
    <w:p w14:paraId="39B36331" w14:textId="31F1336E" w:rsidR="003E0F91" w:rsidRDefault="003E0F91" w:rsidP="00816D2B">
      <w:pPr>
        <w:pStyle w:val="NoSpacing"/>
        <w:jc w:val="both"/>
        <w:rPr>
          <w:rFonts w:ascii="Times New Roman" w:hAnsi="Times New Roman" w:cs="Times New Roman"/>
          <w:sz w:val="24"/>
        </w:rPr>
      </w:pPr>
      <w:r>
        <w:rPr>
          <w:rFonts w:ascii="Times New Roman" w:hAnsi="Times New Roman" w:cs="Times New Roman"/>
          <w:sz w:val="24"/>
        </w:rPr>
        <w:t xml:space="preserve">With thanks to Eleanor Drywood, Mike Gordon and Thomas Horsley for their comments on this post. </w:t>
      </w:r>
    </w:p>
    <w:p w14:paraId="70738D5B" w14:textId="77777777" w:rsidR="00816D2B" w:rsidRDefault="00816D2B" w:rsidP="00816D2B">
      <w:pPr>
        <w:pStyle w:val="NoSpacing"/>
        <w:jc w:val="both"/>
        <w:rPr>
          <w:rFonts w:ascii="Times New Roman" w:hAnsi="Times New Roman" w:cs="Times New Roman"/>
          <w:sz w:val="24"/>
        </w:rPr>
      </w:pPr>
    </w:p>
    <w:p w14:paraId="1C02C57D" w14:textId="1EF24FF2" w:rsidR="00816D2B" w:rsidRPr="00080675" w:rsidRDefault="00816D2B" w:rsidP="00816D2B">
      <w:pPr>
        <w:pStyle w:val="NoSpacing"/>
        <w:jc w:val="both"/>
        <w:rPr>
          <w:rFonts w:ascii="Times New Roman" w:hAnsi="Times New Roman" w:cs="Times New Roman"/>
          <w:sz w:val="24"/>
        </w:rPr>
      </w:pPr>
      <w:r>
        <w:rPr>
          <w:noProof/>
          <w:lang w:eastAsia="en-GB"/>
        </w:rPr>
        <w:drawing>
          <wp:inline distT="0" distB="0" distL="0" distR="0" wp14:anchorId="16AD0EFD" wp14:editId="308FFD39">
            <wp:extent cx="981075" cy="1257300"/>
            <wp:effectExtent l="0" t="0" r="9525" b="0"/>
            <wp:docPr id="2" name="Picture 2" descr="Photo of Dr Stephanie Reyn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Dr Stephanie Reynold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1075" cy="1257300"/>
                    </a:xfrm>
                    <a:prstGeom prst="rect">
                      <a:avLst/>
                    </a:prstGeom>
                    <a:noFill/>
                    <a:ln>
                      <a:noFill/>
                    </a:ln>
                  </pic:spPr>
                </pic:pic>
              </a:graphicData>
            </a:graphic>
          </wp:inline>
        </w:drawing>
      </w:r>
    </w:p>
    <w:sectPr w:rsidR="00816D2B" w:rsidRPr="0008067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C741D" w16cid:durableId="20575BB0"/>
  <w16cid:commentId w16cid:paraId="1DAE17B2" w16cid:durableId="20575BB1"/>
  <w16cid:commentId w16cid:paraId="72650C92" w16cid:durableId="20575BB2"/>
  <w16cid:commentId w16cid:paraId="0637C17C" w16cid:durableId="20575BB3"/>
  <w16cid:commentId w16cid:paraId="6054AF69" w16cid:durableId="20575BB4"/>
  <w16cid:commentId w16cid:paraId="31AC60EF" w16cid:durableId="20575BB5"/>
  <w16cid:commentId w16cid:paraId="351C2A57" w16cid:durableId="20575BB6"/>
  <w16cid:commentId w16cid:paraId="76B69671" w16cid:durableId="20575B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00337"/>
    <w:multiLevelType w:val="hybridMultilevel"/>
    <w:tmpl w:val="7ABC2482"/>
    <w:lvl w:ilvl="0" w:tplc="A418B53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44897"/>
    <w:multiLevelType w:val="hybridMultilevel"/>
    <w:tmpl w:val="3A90F8B2"/>
    <w:lvl w:ilvl="0" w:tplc="06C89BD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95"/>
    <w:rsid w:val="00027DC2"/>
    <w:rsid w:val="00052E19"/>
    <w:rsid w:val="00054F77"/>
    <w:rsid w:val="0006273C"/>
    <w:rsid w:val="0007101A"/>
    <w:rsid w:val="00080675"/>
    <w:rsid w:val="000C2226"/>
    <w:rsid w:val="000E6E29"/>
    <w:rsid w:val="00124224"/>
    <w:rsid w:val="00136ADF"/>
    <w:rsid w:val="00147BA5"/>
    <w:rsid w:val="00160B2C"/>
    <w:rsid w:val="00175381"/>
    <w:rsid w:val="00182289"/>
    <w:rsid w:val="001F0879"/>
    <w:rsid w:val="0021263E"/>
    <w:rsid w:val="00216F2E"/>
    <w:rsid w:val="00224D8E"/>
    <w:rsid w:val="00254918"/>
    <w:rsid w:val="002C2B43"/>
    <w:rsid w:val="002D747D"/>
    <w:rsid w:val="002E45F9"/>
    <w:rsid w:val="002F0EF6"/>
    <w:rsid w:val="002F45CC"/>
    <w:rsid w:val="003021ED"/>
    <w:rsid w:val="0030277E"/>
    <w:rsid w:val="0034366C"/>
    <w:rsid w:val="00363807"/>
    <w:rsid w:val="003849F1"/>
    <w:rsid w:val="00390208"/>
    <w:rsid w:val="003D2056"/>
    <w:rsid w:val="003E0F91"/>
    <w:rsid w:val="003E2DE4"/>
    <w:rsid w:val="00430592"/>
    <w:rsid w:val="00433BAC"/>
    <w:rsid w:val="004562EB"/>
    <w:rsid w:val="00461A20"/>
    <w:rsid w:val="004655F0"/>
    <w:rsid w:val="00467A63"/>
    <w:rsid w:val="004B5562"/>
    <w:rsid w:val="004B75F0"/>
    <w:rsid w:val="004C6CF9"/>
    <w:rsid w:val="004D51D5"/>
    <w:rsid w:val="004E5EF4"/>
    <w:rsid w:val="004F3612"/>
    <w:rsid w:val="00500E62"/>
    <w:rsid w:val="00515249"/>
    <w:rsid w:val="005154AA"/>
    <w:rsid w:val="00532288"/>
    <w:rsid w:val="00591F2D"/>
    <w:rsid w:val="005A324D"/>
    <w:rsid w:val="005A3B28"/>
    <w:rsid w:val="005D4263"/>
    <w:rsid w:val="005D5462"/>
    <w:rsid w:val="005E7A4E"/>
    <w:rsid w:val="00600A5E"/>
    <w:rsid w:val="00603607"/>
    <w:rsid w:val="0068619A"/>
    <w:rsid w:val="00686649"/>
    <w:rsid w:val="006D6D50"/>
    <w:rsid w:val="00717CA3"/>
    <w:rsid w:val="00726979"/>
    <w:rsid w:val="00732637"/>
    <w:rsid w:val="00734D53"/>
    <w:rsid w:val="00740645"/>
    <w:rsid w:val="0074601E"/>
    <w:rsid w:val="0075361D"/>
    <w:rsid w:val="00756776"/>
    <w:rsid w:val="0076412B"/>
    <w:rsid w:val="00785258"/>
    <w:rsid w:val="00795710"/>
    <w:rsid w:val="007B3B74"/>
    <w:rsid w:val="007B408D"/>
    <w:rsid w:val="007C27C4"/>
    <w:rsid w:val="00816D2B"/>
    <w:rsid w:val="008371C0"/>
    <w:rsid w:val="00842DCC"/>
    <w:rsid w:val="00843D2D"/>
    <w:rsid w:val="00844D57"/>
    <w:rsid w:val="00865721"/>
    <w:rsid w:val="0087038E"/>
    <w:rsid w:val="008C34BB"/>
    <w:rsid w:val="008E08E6"/>
    <w:rsid w:val="008F118B"/>
    <w:rsid w:val="008F4B28"/>
    <w:rsid w:val="00915F6A"/>
    <w:rsid w:val="00923E3E"/>
    <w:rsid w:val="00927988"/>
    <w:rsid w:val="009359E1"/>
    <w:rsid w:val="0096554B"/>
    <w:rsid w:val="009856AB"/>
    <w:rsid w:val="009D7A95"/>
    <w:rsid w:val="009E6441"/>
    <w:rsid w:val="00A014A2"/>
    <w:rsid w:val="00A206B0"/>
    <w:rsid w:val="00A20D43"/>
    <w:rsid w:val="00A27832"/>
    <w:rsid w:val="00A32DFD"/>
    <w:rsid w:val="00A34B21"/>
    <w:rsid w:val="00A35556"/>
    <w:rsid w:val="00A36DBE"/>
    <w:rsid w:val="00A518CB"/>
    <w:rsid w:val="00A664D7"/>
    <w:rsid w:val="00A90FC3"/>
    <w:rsid w:val="00AE4088"/>
    <w:rsid w:val="00AF20EC"/>
    <w:rsid w:val="00B25293"/>
    <w:rsid w:val="00B3788E"/>
    <w:rsid w:val="00B524F3"/>
    <w:rsid w:val="00B93295"/>
    <w:rsid w:val="00BC6109"/>
    <w:rsid w:val="00BF545B"/>
    <w:rsid w:val="00C12396"/>
    <w:rsid w:val="00C36486"/>
    <w:rsid w:val="00C413B9"/>
    <w:rsid w:val="00C767C8"/>
    <w:rsid w:val="00C84F88"/>
    <w:rsid w:val="00C93F0B"/>
    <w:rsid w:val="00CB3D84"/>
    <w:rsid w:val="00CD5F66"/>
    <w:rsid w:val="00CF087A"/>
    <w:rsid w:val="00D03B83"/>
    <w:rsid w:val="00D134FE"/>
    <w:rsid w:val="00D22C3A"/>
    <w:rsid w:val="00D253B6"/>
    <w:rsid w:val="00D838EF"/>
    <w:rsid w:val="00D854F0"/>
    <w:rsid w:val="00D8559F"/>
    <w:rsid w:val="00DF5433"/>
    <w:rsid w:val="00E10295"/>
    <w:rsid w:val="00E8365F"/>
    <w:rsid w:val="00E84D68"/>
    <w:rsid w:val="00E86342"/>
    <w:rsid w:val="00E906CA"/>
    <w:rsid w:val="00E929CD"/>
    <w:rsid w:val="00EE1ACF"/>
    <w:rsid w:val="00F30B46"/>
    <w:rsid w:val="00F43016"/>
    <w:rsid w:val="00F61434"/>
    <w:rsid w:val="00F72EDD"/>
    <w:rsid w:val="00F7357C"/>
    <w:rsid w:val="00FD6565"/>
    <w:rsid w:val="00FE14F9"/>
    <w:rsid w:val="00FF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A134"/>
  <w15:chartTrackingRefBased/>
  <w15:docId w15:val="{48A64883-6DE7-4FC5-B34D-2E9AD3F2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A95"/>
    <w:pPr>
      <w:spacing w:after="0" w:line="240" w:lineRule="auto"/>
    </w:pPr>
  </w:style>
  <w:style w:type="paragraph" w:styleId="NormalWeb">
    <w:name w:val="Normal (Web)"/>
    <w:basedOn w:val="Normal"/>
    <w:uiPriority w:val="99"/>
    <w:semiHidden/>
    <w:unhideWhenUsed/>
    <w:rsid w:val="009D7A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65"/>
    <w:rPr>
      <w:color w:val="0563C1" w:themeColor="hyperlink"/>
      <w:u w:val="single"/>
    </w:rPr>
  </w:style>
  <w:style w:type="character" w:customStyle="1" w:styleId="UnresolvedMention1">
    <w:name w:val="Unresolved Mention1"/>
    <w:basedOn w:val="DefaultParagraphFont"/>
    <w:uiPriority w:val="99"/>
    <w:semiHidden/>
    <w:unhideWhenUsed/>
    <w:rsid w:val="00FD6565"/>
    <w:rPr>
      <w:color w:val="605E5C"/>
      <w:shd w:val="clear" w:color="auto" w:fill="E1DFDD"/>
    </w:rPr>
  </w:style>
  <w:style w:type="character" w:customStyle="1" w:styleId="UnresolvedMention2">
    <w:name w:val="Unresolved Mention2"/>
    <w:basedOn w:val="DefaultParagraphFont"/>
    <w:uiPriority w:val="99"/>
    <w:semiHidden/>
    <w:unhideWhenUsed/>
    <w:rsid w:val="00B3788E"/>
    <w:rPr>
      <w:color w:val="605E5C"/>
      <w:shd w:val="clear" w:color="auto" w:fill="E1DFDD"/>
    </w:rPr>
  </w:style>
  <w:style w:type="character" w:styleId="FollowedHyperlink">
    <w:name w:val="FollowedHyperlink"/>
    <w:basedOn w:val="DefaultParagraphFont"/>
    <w:uiPriority w:val="99"/>
    <w:semiHidden/>
    <w:unhideWhenUsed/>
    <w:rsid w:val="00147BA5"/>
    <w:rPr>
      <w:color w:val="954F72" w:themeColor="followedHyperlink"/>
      <w:u w:val="single"/>
    </w:rPr>
  </w:style>
  <w:style w:type="character" w:styleId="CommentReference">
    <w:name w:val="annotation reference"/>
    <w:basedOn w:val="DefaultParagraphFont"/>
    <w:uiPriority w:val="99"/>
    <w:semiHidden/>
    <w:unhideWhenUsed/>
    <w:rsid w:val="0007101A"/>
    <w:rPr>
      <w:sz w:val="16"/>
      <w:szCs w:val="16"/>
    </w:rPr>
  </w:style>
  <w:style w:type="paragraph" w:styleId="CommentText">
    <w:name w:val="annotation text"/>
    <w:basedOn w:val="Normal"/>
    <w:link w:val="CommentTextChar"/>
    <w:uiPriority w:val="99"/>
    <w:semiHidden/>
    <w:unhideWhenUsed/>
    <w:rsid w:val="0007101A"/>
    <w:pPr>
      <w:spacing w:line="240" w:lineRule="auto"/>
    </w:pPr>
    <w:rPr>
      <w:sz w:val="20"/>
      <w:szCs w:val="20"/>
    </w:rPr>
  </w:style>
  <w:style w:type="character" w:customStyle="1" w:styleId="CommentTextChar">
    <w:name w:val="Comment Text Char"/>
    <w:basedOn w:val="DefaultParagraphFont"/>
    <w:link w:val="CommentText"/>
    <w:uiPriority w:val="99"/>
    <w:semiHidden/>
    <w:rsid w:val="0007101A"/>
    <w:rPr>
      <w:sz w:val="20"/>
      <w:szCs w:val="20"/>
    </w:rPr>
  </w:style>
  <w:style w:type="paragraph" w:styleId="CommentSubject">
    <w:name w:val="annotation subject"/>
    <w:basedOn w:val="CommentText"/>
    <w:next w:val="CommentText"/>
    <w:link w:val="CommentSubjectChar"/>
    <w:uiPriority w:val="99"/>
    <w:semiHidden/>
    <w:unhideWhenUsed/>
    <w:rsid w:val="0007101A"/>
    <w:rPr>
      <w:b/>
      <w:bCs/>
    </w:rPr>
  </w:style>
  <w:style w:type="character" w:customStyle="1" w:styleId="CommentSubjectChar">
    <w:name w:val="Comment Subject Char"/>
    <w:basedOn w:val="CommentTextChar"/>
    <w:link w:val="CommentSubject"/>
    <w:uiPriority w:val="99"/>
    <w:semiHidden/>
    <w:rsid w:val="0007101A"/>
    <w:rPr>
      <w:b/>
      <w:bCs/>
      <w:sz w:val="20"/>
      <w:szCs w:val="20"/>
    </w:rPr>
  </w:style>
  <w:style w:type="paragraph" w:styleId="BalloonText">
    <w:name w:val="Balloon Text"/>
    <w:basedOn w:val="Normal"/>
    <w:link w:val="BalloonTextChar"/>
    <w:uiPriority w:val="99"/>
    <w:semiHidden/>
    <w:unhideWhenUsed/>
    <w:rsid w:val="000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ia.europa.eu/juris/liste.jsf?num=C-333/13" TargetMode="External"/><Relationship Id="rId18" Type="http://schemas.openxmlformats.org/officeDocument/2006/relationships/hyperlink" Target="https://www.gov.uk/government/news/minimum-earnings-threshold-for-eea-migrants-introduced" TargetMode="External"/><Relationship Id="rId26" Type="http://schemas.openxmlformats.org/officeDocument/2006/relationships/hyperlink" Target="https://publications.parliament.uk/pa/bills/cbill/2016-2017/0132/amend/european_daily_cwh_0207.pdf" TargetMode="External"/><Relationship Id="rId39" Type="http://schemas.openxmlformats.org/officeDocument/2006/relationships/hyperlink" Target="https://www.the3million.org.uk/" TargetMode="External"/><Relationship Id="rId21" Type="http://schemas.openxmlformats.org/officeDocument/2006/relationships/hyperlink" Target="https://theconversation.com/the-uk-can-no-longer-remove-eu-citizens-for-sleeping-rough-why-this-matters-for-brexit-89463" TargetMode="External"/><Relationship Id="rId34" Type="http://schemas.openxmlformats.org/officeDocument/2006/relationships/hyperlink" Target="https://www.gov.uk/guidance/eu-settlement-scheme-evidence-of-uk-residence" TargetMode="External"/><Relationship Id="rId42" Type="http://schemas.openxmlformats.org/officeDocument/2006/relationships/theme" Target="theme/theme1.xml"/><Relationship Id="rId7" Type="http://schemas.openxmlformats.org/officeDocument/2006/relationships/hyperlink" Target="https://publications.parliament.uk/pa/jt201719/jtselect/jtrights/569/569.pdf" TargetMode="External"/><Relationship Id="rId2" Type="http://schemas.openxmlformats.org/officeDocument/2006/relationships/styles" Target="styles.xml"/><Relationship Id="rId16" Type="http://schemas.openxmlformats.org/officeDocument/2006/relationships/hyperlink" Target="http://www.legislation.gov.uk/uksi/2016/1052/made" TargetMode="External"/><Relationship Id="rId20" Type="http://schemas.openxmlformats.org/officeDocument/2006/relationships/hyperlink" Target="https://ukandeu.ac.uk/the-eu-speaks-the-language-of-gender-equality-but-with-a-male-voice/" TargetMode="External"/><Relationship Id="rId29" Type="http://schemas.openxmlformats.org/officeDocument/2006/relationships/hyperlink" Target="https://www.consilium.europa.eu/en/press/press-releases/2017/04/29/euco-brexit-guidelin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uria.europa.eu/juris/liste.jsf?language=en&amp;num=C-184/99" TargetMode="External"/><Relationship Id="rId11" Type="http://schemas.openxmlformats.org/officeDocument/2006/relationships/hyperlink" Target="http://curia.europa.eu/juris/liste.jsf?language=en&amp;num=C-456/02" TargetMode="External"/><Relationship Id="rId24" Type="http://schemas.openxmlformats.org/officeDocument/2006/relationships/hyperlink" Target="https://www.theguardian.com/politics/2017/aug/23/eu-nationals-did-you-receive-a-letter-threatening-deportation" TargetMode="External"/><Relationship Id="rId32" Type="http://schemas.openxmlformats.org/officeDocument/2006/relationships/hyperlink" Target="https://www.gov.uk/guidance/immigration-rules/immigration-rules-appendix-eu" TargetMode="External"/><Relationship Id="rId37" Type="http://schemas.openxmlformats.org/officeDocument/2006/relationships/hyperlink" Target="https://twitter.com/citizen689/status/1117476121103208448" TargetMode="External"/><Relationship Id="rId40" Type="http://schemas.openxmlformats.org/officeDocument/2006/relationships/image" Target="media/image1.jpeg"/><Relationship Id="rId66" Type="http://schemas.microsoft.com/office/2016/09/relationships/commentsIds" Target="commentsIds.xml"/><Relationship Id="rId5" Type="http://schemas.openxmlformats.org/officeDocument/2006/relationships/hyperlink" Target="http://curia.europa.eu/juris/document/document.jsf;jsessionid=519E2A2F91AAB2CC7DEEBF38986B462A?text=&amp;docid=160882&amp;pageIndex=0&amp;doclang=en&amp;mode=lst&amp;dir=&amp;occ=first&amp;part=1&amp;cid=8727395" TargetMode="External"/><Relationship Id="rId15" Type="http://schemas.openxmlformats.org/officeDocument/2006/relationships/hyperlink" Target="http://curia.europa.eu/juris/document/document.jsf?text=&amp;docid=167661&amp;pageIndex=0&amp;doclang=en&amp;mode=lst&amp;dir=&amp;occ=first&amp;part=1&amp;cid=8039412" TargetMode="External"/><Relationship Id="rId23" Type="http://schemas.openxmlformats.org/officeDocument/2006/relationships/hyperlink" Target="https://www.gov.uk/government/publications/immigration-statistics-october-to-december-2016/list-of-tables" TargetMode="External"/><Relationship Id="rId28" Type="http://schemas.openxmlformats.org/officeDocument/2006/relationships/hyperlink" Target="https://assets.publishing.service.gov.uk/government/uploads/system/uploads/attachment_data/file/759019/25_November_Agreement_on_the_withdrawal_of_the_United_Kingdom_of_Great_Britain_and_Northern_Ireland_from_the_European_Union_and_the_European_Atomic_Energy_Community.pdf" TargetMode="External"/><Relationship Id="rId36" Type="http://schemas.openxmlformats.org/officeDocument/2006/relationships/hyperlink" Target="https://www.gov.uk/guidance/eu-settlement-scheme-evidence-of-uk-residence" TargetMode="External"/><Relationship Id="rId10" Type="http://schemas.openxmlformats.org/officeDocument/2006/relationships/hyperlink" Target="http://curia.europa.eu/juris/liste.jsf?language=en&amp;num=C-184/99" TargetMode="External"/><Relationship Id="rId19" Type="http://schemas.openxmlformats.org/officeDocument/2006/relationships/hyperlink" Target="https://theconversation.com/bad-news-for-most-vulnerable-as-court-rules-uk-can-restrict-child-benefit-for-eu-migrants-61122" TargetMode="External"/><Relationship Id="rId31" Type="http://schemas.openxmlformats.org/officeDocument/2006/relationships/hyperlink" Target="https://publications.parliament.uk/pa/jt201719/jtselect/jtrights/569/569.pdf" TargetMode="External"/><Relationship Id="rId4" Type="http://schemas.openxmlformats.org/officeDocument/2006/relationships/webSettings" Target="webSettings.xml"/><Relationship Id="rId9" Type="http://schemas.openxmlformats.org/officeDocument/2006/relationships/hyperlink" Target="http://curia.europa.eu/juris/liste.jsf?language=en&amp;num=C-413/99" TargetMode="External"/><Relationship Id="rId14" Type="http://schemas.openxmlformats.org/officeDocument/2006/relationships/hyperlink" Target="http://curia.europa.eu/juris/document/document.jsf?text=&amp;docid=180083&amp;pageIndex=0&amp;doclang=en&amp;mode=lst&amp;dir=&amp;occ=first&amp;part=1&amp;cid=8040200" TargetMode="External"/><Relationship Id="rId22" Type="http://schemas.openxmlformats.org/officeDocument/2006/relationships/hyperlink" Target="https://theconversation.com/what-the-eus-rules-on-free-movement-allow-all-its-citizens-to-do-62186" TargetMode="External"/><Relationship Id="rId27" Type="http://schemas.openxmlformats.org/officeDocument/2006/relationships/hyperlink" Target="https://assets.publishing.service.gov.uk/government/uploads/system/uploads/attachment_data/file/728757/6.4737_Cm9674_Legislating_for_the_withdrawl_agreement_FINAL_230718_v3a_WEB_PM.pdf" TargetMode="External"/><Relationship Id="rId30" Type="http://schemas.openxmlformats.org/officeDocument/2006/relationships/hyperlink" Target="https://ec.europa.eu/unitedkingdom/sites/unitedkingdom/files/2017-12-12_qa_citizens_rights.pdf" TargetMode="External"/><Relationship Id="rId35" Type="http://schemas.openxmlformats.org/officeDocument/2006/relationships/hyperlink" Target="https://assets.publishing.service.gov.uk/government/uploads/system/uploads/attachment_data/file/718237/EU_Settlement_Scheme_SOI_June_2018.pdf" TargetMode="External"/><Relationship Id="rId8" Type="http://schemas.openxmlformats.org/officeDocument/2006/relationships/hyperlink" Target="https://eur-lex.europa.eu/LexUriServ/LexUriServ.do?uri=OJ:L:2004:158:0077:0123:en:PDF" TargetMode="External"/><Relationship Id="rId3" Type="http://schemas.openxmlformats.org/officeDocument/2006/relationships/settings" Target="settings.xml"/><Relationship Id="rId12" Type="http://schemas.openxmlformats.org/officeDocument/2006/relationships/hyperlink" Target="https://www.bloomsburyprofessional.com/uk/unity-in-adversity-9781849467193/" TargetMode="External"/><Relationship Id="rId17" Type="http://schemas.openxmlformats.org/officeDocument/2006/relationships/hyperlink" Target="http://www.legislation.gov.uk/uksi/2006/1026/made" TargetMode="External"/><Relationship Id="rId25" Type="http://schemas.openxmlformats.org/officeDocument/2006/relationships/hyperlink" Target="https://twitter.com/naomiohreally/status/900260784885960704?lang=en" TargetMode="External"/><Relationship Id="rId33" Type="http://schemas.openxmlformats.org/officeDocument/2006/relationships/hyperlink" Target="https://publications.parliament.uk/pa/bills/cbill/2017-2019/0309/18309.pdf" TargetMode="External"/><Relationship Id="rId38" Type="http://schemas.openxmlformats.org/officeDocument/2006/relationships/hyperlink" Target="https://www.bbc.co.uk/news/education-47853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Stephanie</dc:creator>
  <cp:keywords/>
  <dc:description/>
  <cp:lastModifiedBy>Reviewer 2</cp:lastModifiedBy>
  <cp:revision>14</cp:revision>
  <dcterms:created xsi:type="dcterms:W3CDTF">2019-04-17T10:12:00Z</dcterms:created>
  <dcterms:modified xsi:type="dcterms:W3CDTF">2019-04-17T16:06:00Z</dcterms:modified>
</cp:coreProperties>
</file>