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Systematic review of the methods used in economic evaluations of individual-level physical activity and sedentary behaviour interventions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Madeleine Cochrane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>, Lee Graves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>, Paula Watson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>, Hannah Timpson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>, Alan Haycox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>, Brendan Collins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>, Lisa Jones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>, Antony Martin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3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Liverpool John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Moores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University, 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>University of Liverpool, </w:t>
      </w:r>
      <w:r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color w:val="000000"/>
          <w:sz w:val="18"/>
          <w:szCs w:val="18"/>
        </w:rPr>
        <w:t>HCD Economics; University of Liverpool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Introduction:</w:t>
      </w:r>
      <w:r>
        <w:rPr>
          <w:rFonts w:ascii="Arial" w:hAnsi="Arial" w:cs="Arial"/>
          <w:color w:val="000000"/>
          <w:sz w:val="18"/>
          <w:szCs w:val="18"/>
        </w:rPr>
        <w:t> There is an absence of economic evidence in the field of public health to inform decisions in allocating scarce resources.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Methods:</w:t>
      </w:r>
      <w:r>
        <w:rPr>
          <w:rFonts w:ascii="Arial" w:hAnsi="Arial" w:cs="Arial"/>
          <w:color w:val="000000"/>
          <w:sz w:val="18"/>
          <w:szCs w:val="18"/>
        </w:rPr>
        <w:t xml:space="preserve"> A systematic review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was conducted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to review the methods used in economic evaluations of individual-level physical activity and/or sedentary behaviour interventions.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Results:</w:t>
      </w:r>
      <w:r>
        <w:rPr>
          <w:rFonts w:ascii="Arial" w:hAnsi="Arial" w:cs="Arial"/>
          <w:color w:val="000000"/>
          <w:sz w:val="18"/>
          <w:szCs w:val="18"/>
        </w:rPr>
        <w:t xml:space="preserve"> Ten trial-based and five model-based economic evaluations met the inclusion criteria. All studies assessed the cost-effectiveness of interventions aiming to increase moderate-intensity physical activity; no studies assessed the cost-effectiveness of changing sitting or standing time, or light-intensity physical activity.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Overall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the quality of the studies was good. Strengths of the studies included the finding that most studies derived their effectiveness estimate from a randomised-controlled trial or meta-analysis, and that all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five model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studies took a lifetime horizon. Nevertheless, a third of studies did not relate costs and consequences to an appropriate study perspective. Techniques were limited to cost-utility and/or cost-effectiveness analyses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;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and no studies conducted a cost-benefit analysis. Two model studies conducted a cost-consequence analysis alongside their full economic evaluation. Equity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was explored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explicitly in one study, while for the remaining studies it was ignored or incorporated implicitly through subgroup analyses.</w:t>
      </w:r>
    </w:p>
    <w:p w:rsidR="00545EEB" w:rsidRDefault="00545EEB" w:rsidP="00545EEB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Conclusions:</w:t>
      </w:r>
      <w:r>
        <w:rPr>
          <w:rFonts w:ascii="Arial" w:hAnsi="Arial" w:cs="Arial"/>
          <w:color w:val="000000"/>
          <w:sz w:val="18"/>
          <w:szCs w:val="18"/>
        </w:rPr>
        <w:t xml:space="preserve"> The findings highlight a lack of development in the methods for incorporating broader costs and consequences, and equity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is rarely considered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in economic evaluations of individual-level physical activity interventions. Furthermore, the review identified a lack of economic evaluations extrapolating their findings beyond the trial period, and a lack of studies assessing the cost-effectiveness of individual-level sedentary behaviour interventions.</w:t>
      </w:r>
    </w:p>
    <w:p w:rsidR="00AE3778" w:rsidRDefault="00545EEB">
      <w:bookmarkStart w:id="0" w:name="_GoBack"/>
      <w:bookmarkEnd w:id="0"/>
    </w:p>
    <w:sectPr w:rsidR="00AE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2E"/>
    <w:rsid w:val="003C699B"/>
    <w:rsid w:val="004D622E"/>
    <w:rsid w:val="00545EEB"/>
    <w:rsid w:val="006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120EE-75A9-42A5-A8D9-0308F20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Brendan</dc:creator>
  <cp:keywords/>
  <dc:description/>
  <cp:lastModifiedBy>Collins, Brendan</cp:lastModifiedBy>
  <cp:revision>2</cp:revision>
  <dcterms:created xsi:type="dcterms:W3CDTF">2019-05-02T14:54:00Z</dcterms:created>
  <dcterms:modified xsi:type="dcterms:W3CDTF">2019-05-02T14:54:00Z</dcterms:modified>
</cp:coreProperties>
</file>