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2E" w:rsidRDefault="004D622E" w:rsidP="004D622E">
      <w:pPr>
        <w:pStyle w:val="NormalWeb"/>
        <w:shd w:val="clear" w:color="auto" w:fill="FFFFFF"/>
        <w:rPr>
          <w:rFonts w:ascii="Arial" w:hAnsi="Arial" w:cs="Arial"/>
          <w:color w:val="000000"/>
          <w:sz w:val="18"/>
          <w:szCs w:val="18"/>
        </w:rPr>
      </w:pPr>
      <w:bookmarkStart w:id="0" w:name="_GoBack"/>
      <w:r>
        <w:rPr>
          <w:rFonts w:ascii="Arial" w:hAnsi="Arial" w:cs="Arial"/>
          <w:b/>
          <w:bCs/>
          <w:color w:val="000000"/>
          <w:sz w:val="18"/>
          <w:szCs w:val="18"/>
        </w:rPr>
        <w:t xml:space="preserve">Multi-level workplace intervention to improve cardiovascular outcomes </w:t>
      </w:r>
      <w:bookmarkEnd w:id="0"/>
      <w:r>
        <w:rPr>
          <w:rFonts w:ascii="Arial" w:hAnsi="Arial" w:cs="Arial"/>
          <w:b/>
          <w:bCs/>
          <w:color w:val="000000"/>
          <w:sz w:val="18"/>
          <w:szCs w:val="18"/>
        </w:rPr>
        <w:t xml:space="preserve">in </w:t>
      </w:r>
      <w:proofErr w:type="gramStart"/>
      <w:r>
        <w:rPr>
          <w:rFonts w:ascii="Arial" w:hAnsi="Arial" w:cs="Arial"/>
          <w:b/>
          <w:bCs/>
          <w:color w:val="000000"/>
          <w:sz w:val="18"/>
          <w:szCs w:val="18"/>
        </w:rPr>
        <w:t>contact centre call agents</w:t>
      </w:r>
      <w:proofErr w:type="gramEnd"/>
      <w:r>
        <w:rPr>
          <w:rFonts w:ascii="Arial" w:hAnsi="Arial" w:cs="Arial"/>
          <w:b/>
          <w:bCs/>
          <w:color w:val="000000"/>
          <w:sz w:val="18"/>
          <w:szCs w:val="18"/>
        </w:rPr>
        <w:t>: Study protocol</w:t>
      </w:r>
    </w:p>
    <w:p w:rsidR="004D622E" w:rsidRDefault="004D622E" w:rsidP="004D622E">
      <w:pPr>
        <w:pStyle w:val="NormalWeb"/>
        <w:shd w:val="clear" w:color="auto" w:fill="FFFFFF"/>
        <w:rPr>
          <w:rFonts w:ascii="Arial" w:hAnsi="Arial" w:cs="Arial"/>
          <w:color w:val="000000"/>
          <w:sz w:val="18"/>
          <w:szCs w:val="18"/>
        </w:rPr>
      </w:pPr>
      <w:r>
        <w:rPr>
          <w:rFonts w:ascii="Arial" w:hAnsi="Arial" w:cs="Arial"/>
          <w:i/>
          <w:iCs/>
          <w:color w:val="000000"/>
          <w:sz w:val="18"/>
          <w:szCs w:val="18"/>
        </w:rPr>
        <w:t>David Gavin</w:t>
      </w:r>
      <w:r>
        <w:rPr>
          <w:rFonts w:ascii="Arial" w:hAnsi="Arial" w:cs="Arial"/>
          <w:i/>
          <w:iCs/>
          <w:color w:val="000000"/>
          <w:sz w:val="18"/>
          <w:szCs w:val="18"/>
          <w:vertAlign w:val="superscript"/>
        </w:rPr>
        <w:t>1</w:t>
      </w:r>
      <w:r>
        <w:rPr>
          <w:rFonts w:ascii="Arial" w:hAnsi="Arial" w:cs="Arial"/>
          <w:i/>
          <w:iCs/>
          <w:color w:val="000000"/>
          <w:sz w:val="18"/>
          <w:szCs w:val="18"/>
        </w:rPr>
        <w:t>, Abigail Millard</w:t>
      </w:r>
      <w:r>
        <w:rPr>
          <w:rFonts w:ascii="Arial" w:hAnsi="Arial" w:cs="Arial"/>
          <w:i/>
          <w:iCs/>
          <w:color w:val="000000"/>
          <w:sz w:val="18"/>
          <w:szCs w:val="18"/>
          <w:vertAlign w:val="superscript"/>
        </w:rPr>
        <w:t>2</w:t>
      </w:r>
      <w:r>
        <w:rPr>
          <w:rFonts w:ascii="Arial" w:hAnsi="Arial" w:cs="Arial"/>
          <w:i/>
          <w:iCs/>
          <w:color w:val="000000"/>
          <w:sz w:val="18"/>
          <w:szCs w:val="18"/>
        </w:rPr>
        <w:t>, Madeleine Cochrane</w:t>
      </w:r>
      <w:r>
        <w:rPr>
          <w:rFonts w:ascii="Arial" w:hAnsi="Arial" w:cs="Arial"/>
          <w:i/>
          <w:iCs/>
          <w:color w:val="000000"/>
          <w:sz w:val="18"/>
          <w:szCs w:val="18"/>
          <w:vertAlign w:val="superscript"/>
        </w:rPr>
        <w:t>2</w:t>
      </w:r>
      <w:r>
        <w:rPr>
          <w:rFonts w:ascii="Arial" w:hAnsi="Arial" w:cs="Arial"/>
          <w:i/>
          <w:iCs/>
          <w:color w:val="000000"/>
          <w:sz w:val="18"/>
          <w:szCs w:val="18"/>
        </w:rPr>
        <w:t>, Nicola Hopkins</w:t>
      </w:r>
      <w:r>
        <w:rPr>
          <w:rFonts w:ascii="Arial" w:hAnsi="Arial" w:cs="Arial"/>
          <w:i/>
          <w:iCs/>
          <w:color w:val="000000"/>
          <w:sz w:val="18"/>
          <w:szCs w:val="18"/>
          <w:vertAlign w:val="superscript"/>
        </w:rPr>
        <w:t>2</w:t>
      </w:r>
      <w:r>
        <w:rPr>
          <w:rFonts w:ascii="Arial" w:hAnsi="Arial" w:cs="Arial"/>
          <w:i/>
          <w:iCs/>
          <w:color w:val="000000"/>
          <w:sz w:val="18"/>
          <w:szCs w:val="18"/>
        </w:rPr>
        <w:t>, David Low</w:t>
      </w:r>
      <w:r>
        <w:rPr>
          <w:rFonts w:ascii="Arial" w:hAnsi="Arial" w:cs="Arial"/>
          <w:i/>
          <w:iCs/>
          <w:color w:val="000000"/>
          <w:sz w:val="18"/>
          <w:szCs w:val="18"/>
          <w:vertAlign w:val="superscript"/>
        </w:rPr>
        <w:t>2</w:t>
      </w:r>
      <w:r>
        <w:rPr>
          <w:rFonts w:ascii="Arial" w:hAnsi="Arial" w:cs="Arial"/>
          <w:i/>
          <w:iCs/>
          <w:color w:val="000000"/>
          <w:sz w:val="18"/>
          <w:szCs w:val="18"/>
        </w:rPr>
        <w:t>, Rebecca Murphy</w:t>
      </w:r>
      <w:r>
        <w:rPr>
          <w:rFonts w:ascii="Arial" w:hAnsi="Arial" w:cs="Arial"/>
          <w:i/>
          <w:iCs/>
          <w:color w:val="000000"/>
          <w:sz w:val="18"/>
          <w:szCs w:val="18"/>
          <w:vertAlign w:val="superscript"/>
        </w:rPr>
        <w:t>2</w:t>
      </w:r>
      <w:r>
        <w:rPr>
          <w:rFonts w:ascii="Arial" w:hAnsi="Arial" w:cs="Arial"/>
          <w:i/>
          <w:iCs/>
          <w:color w:val="000000"/>
          <w:sz w:val="18"/>
          <w:szCs w:val="18"/>
        </w:rPr>
        <w:t>, Sam Shepherd</w:t>
      </w:r>
      <w:r>
        <w:rPr>
          <w:rFonts w:ascii="Arial" w:hAnsi="Arial" w:cs="Arial"/>
          <w:i/>
          <w:iCs/>
          <w:color w:val="000000"/>
          <w:sz w:val="18"/>
          <w:szCs w:val="18"/>
          <w:vertAlign w:val="superscript"/>
        </w:rPr>
        <w:t>2</w:t>
      </w:r>
      <w:r>
        <w:rPr>
          <w:rFonts w:ascii="Arial" w:hAnsi="Arial" w:cs="Arial"/>
          <w:i/>
          <w:iCs/>
          <w:color w:val="000000"/>
          <w:sz w:val="18"/>
          <w:szCs w:val="18"/>
        </w:rPr>
        <w:t>, Paula Watson</w:t>
      </w:r>
      <w:r>
        <w:rPr>
          <w:rFonts w:ascii="Arial" w:hAnsi="Arial" w:cs="Arial"/>
          <w:i/>
          <w:iCs/>
          <w:color w:val="000000"/>
          <w:sz w:val="18"/>
          <w:szCs w:val="18"/>
          <w:vertAlign w:val="superscript"/>
        </w:rPr>
        <w:t>2</w:t>
      </w:r>
      <w:r>
        <w:rPr>
          <w:rFonts w:ascii="Arial" w:hAnsi="Arial" w:cs="Arial"/>
          <w:i/>
          <w:iCs/>
          <w:color w:val="000000"/>
          <w:sz w:val="18"/>
          <w:szCs w:val="18"/>
        </w:rPr>
        <w:t>, Hannah Timpson</w:t>
      </w:r>
      <w:r>
        <w:rPr>
          <w:rFonts w:ascii="Arial" w:hAnsi="Arial" w:cs="Arial"/>
          <w:i/>
          <w:iCs/>
          <w:color w:val="000000"/>
          <w:sz w:val="18"/>
          <w:szCs w:val="18"/>
          <w:vertAlign w:val="superscript"/>
        </w:rPr>
        <w:t>3</w:t>
      </w:r>
      <w:r>
        <w:rPr>
          <w:rFonts w:ascii="Arial" w:hAnsi="Arial" w:cs="Arial"/>
          <w:i/>
          <w:iCs/>
          <w:color w:val="000000"/>
          <w:sz w:val="18"/>
          <w:szCs w:val="18"/>
        </w:rPr>
        <w:t>, Lisa Jones</w:t>
      </w:r>
      <w:r>
        <w:rPr>
          <w:rFonts w:ascii="Arial" w:hAnsi="Arial" w:cs="Arial"/>
          <w:i/>
          <w:iCs/>
          <w:color w:val="000000"/>
          <w:sz w:val="18"/>
          <w:szCs w:val="18"/>
          <w:vertAlign w:val="superscript"/>
        </w:rPr>
        <w:t>3</w:t>
      </w:r>
      <w:r>
        <w:rPr>
          <w:rFonts w:ascii="Arial" w:hAnsi="Arial" w:cs="Arial"/>
          <w:i/>
          <w:iCs/>
          <w:color w:val="000000"/>
          <w:sz w:val="18"/>
          <w:szCs w:val="18"/>
        </w:rPr>
        <w:t>, Alan Haycox</w:t>
      </w:r>
      <w:r>
        <w:rPr>
          <w:rFonts w:ascii="Arial" w:hAnsi="Arial" w:cs="Arial"/>
          <w:i/>
          <w:iCs/>
          <w:color w:val="000000"/>
          <w:sz w:val="18"/>
          <w:szCs w:val="18"/>
          <w:vertAlign w:val="superscript"/>
        </w:rPr>
        <w:t>4</w:t>
      </w:r>
      <w:r>
        <w:rPr>
          <w:rFonts w:ascii="Arial" w:hAnsi="Arial" w:cs="Arial"/>
          <w:i/>
          <w:iCs/>
          <w:color w:val="000000"/>
          <w:sz w:val="18"/>
          <w:szCs w:val="18"/>
        </w:rPr>
        <w:t>, Brendan Collins</w:t>
      </w:r>
      <w:r>
        <w:rPr>
          <w:rFonts w:ascii="Arial" w:hAnsi="Arial" w:cs="Arial"/>
          <w:i/>
          <w:iCs/>
          <w:color w:val="000000"/>
          <w:sz w:val="18"/>
          <w:szCs w:val="18"/>
          <w:vertAlign w:val="superscript"/>
        </w:rPr>
        <w:t>5</w:t>
      </w:r>
      <w:r>
        <w:rPr>
          <w:rFonts w:ascii="Arial" w:hAnsi="Arial" w:cs="Arial"/>
          <w:i/>
          <w:iCs/>
          <w:color w:val="000000"/>
          <w:sz w:val="18"/>
          <w:szCs w:val="18"/>
        </w:rPr>
        <w:t>, Genevieve Healy</w:t>
      </w:r>
      <w:r>
        <w:rPr>
          <w:rFonts w:ascii="Arial" w:hAnsi="Arial" w:cs="Arial"/>
          <w:i/>
          <w:iCs/>
          <w:color w:val="000000"/>
          <w:sz w:val="18"/>
          <w:szCs w:val="18"/>
          <w:vertAlign w:val="superscript"/>
        </w:rPr>
        <w:t>6</w:t>
      </w:r>
      <w:r>
        <w:rPr>
          <w:rFonts w:ascii="Arial" w:hAnsi="Arial" w:cs="Arial"/>
          <w:i/>
          <w:iCs/>
          <w:color w:val="000000"/>
          <w:sz w:val="18"/>
          <w:szCs w:val="18"/>
        </w:rPr>
        <w:t>, Charlotte Edwardson</w:t>
      </w:r>
      <w:r>
        <w:rPr>
          <w:rFonts w:ascii="Arial" w:hAnsi="Arial" w:cs="Arial"/>
          <w:i/>
          <w:iCs/>
          <w:color w:val="000000"/>
          <w:sz w:val="18"/>
          <w:szCs w:val="18"/>
          <w:vertAlign w:val="superscript"/>
        </w:rPr>
        <w:t>7</w:t>
      </w:r>
      <w:r>
        <w:rPr>
          <w:rFonts w:ascii="Arial" w:hAnsi="Arial" w:cs="Arial"/>
          <w:i/>
          <w:iCs/>
          <w:color w:val="000000"/>
          <w:sz w:val="18"/>
          <w:szCs w:val="18"/>
        </w:rPr>
        <w:t>, David Dunstan</w:t>
      </w:r>
      <w:r>
        <w:rPr>
          <w:rFonts w:ascii="Arial" w:hAnsi="Arial" w:cs="Arial"/>
          <w:i/>
          <w:iCs/>
          <w:color w:val="000000"/>
          <w:sz w:val="18"/>
          <w:szCs w:val="18"/>
          <w:vertAlign w:val="superscript"/>
        </w:rPr>
        <w:t>8</w:t>
      </w:r>
      <w:r>
        <w:rPr>
          <w:rFonts w:ascii="Arial" w:hAnsi="Arial" w:cs="Arial"/>
          <w:i/>
          <w:iCs/>
          <w:color w:val="000000"/>
          <w:sz w:val="18"/>
          <w:szCs w:val="18"/>
        </w:rPr>
        <w:t>, Lee Graves</w:t>
      </w:r>
      <w:r>
        <w:rPr>
          <w:rFonts w:ascii="Arial" w:hAnsi="Arial" w:cs="Arial"/>
          <w:i/>
          <w:iCs/>
          <w:color w:val="000000"/>
          <w:sz w:val="18"/>
          <w:szCs w:val="18"/>
          <w:vertAlign w:val="superscript"/>
        </w:rPr>
        <w:t>2</w:t>
      </w:r>
    </w:p>
    <w:p w:rsidR="004D622E" w:rsidRDefault="004D622E" w:rsidP="004D622E">
      <w:pPr>
        <w:pStyle w:val="NormalWeb"/>
        <w:shd w:val="clear" w:color="auto" w:fill="FFFFFF"/>
        <w:rPr>
          <w:rFonts w:ascii="Arial" w:hAnsi="Arial" w:cs="Arial"/>
          <w:color w:val="000000"/>
          <w:sz w:val="18"/>
          <w:szCs w:val="18"/>
        </w:rPr>
      </w:pPr>
      <w:r>
        <w:rPr>
          <w:rFonts w:ascii="Arial" w:hAnsi="Arial" w:cs="Arial"/>
          <w:i/>
          <w:iCs/>
          <w:color w:val="000000"/>
          <w:sz w:val="18"/>
          <w:szCs w:val="18"/>
          <w:vertAlign w:val="superscript"/>
        </w:rPr>
        <w:t>1</w:t>
      </w:r>
      <w:r>
        <w:rPr>
          <w:rFonts w:ascii="Arial" w:hAnsi="Arial" w:cs="Arial"/>
          <w:i/>
          <w:iCs/>
          <w:color w:val="000000"/>
          <w:sz w:val="18"/>
          <w:szCs w:val="18"/>
        </w:rPr>
        <w:t xml:space="preserve">Liverpool John </w:t>
      </w:r>
      <w:proofErr w:type="spellStart"/>
      <w:r>
        <w:rPr>
          <w:rFonts w:ascii="Arial" w:hAnsi="Arial" w:cs="Arial"/>
          <w:i/>
          <w:iCs/>
          <w:color w:val="000000"/>
          <w:sz w:val="18"/>
          <w:szCs w:val="18"/>
        </w:rPr>
        <w:t>Moores</w:t>
      </w:r>
      <w:proofErr w:type="spellEnd"/>
      <w:r>
        <w:rPr>
          <w:rFonts w:ascii="Arial" w:hAnsi="Arial" w:cs="Arial"/>
          <w:i/>
          <w:iCs/>
          <w:color w:val="000000"/>
          <w:sz w:val="18"/>
          <w:szCs w:val="18"/>
        </w:rPr>
        <w:t xml:space="preserve"> University, </w:t>
      </w:r>
      <w:r>
        <w:rPr>
          <w:rFonts w:ascii="Arial" w:hAnsi="Arial" w:cs="Arial"/>
          <w:i/>
          <w:iCs/>
          <w:color w:val="000000"/>
          <w:sz w:val="18"/>
          <w:szCs w:val="18"/>
          <w:vertAlign w:val="superscript"/>
        </w:rPr>
        <w:t>2</w:t>
      </w:r>
      <w:r>
        <w:rPr>
          <w:rFonts w:ascii="Arial" w:hAnsi="Arial" w:cs="Arial"/>
          <w:i/>
          <w:iCs/>
          <w:color w:val="000000"/>
          <w:sz w:val="18"/>
          <w:szCs w:val="18"/>
        </w:rPr>
        <w:t xml:space="preserve">Research Institute for Sport and Exercise Sciences, Liverpool John </w:t>
      </w:r>
      <w:proofErr w:type="spellStart"/>
      <w:r>
        <w:rPr>
          <w:rFonts w:ascii="Arial" w:hAnsi="Arial" w:cs="Arial"/>
          <w:i/>
          <w:iCs/>
          <w:color w:val="000000"/>
          <w:sz w:val="18"/>
          <w:szCs w:val="18"/>
        </w:rPr>
        <w:t>Moores</w:t>
      </w:r>
      <w:proofErr w:type="spellEnd"/>
      <w:r>
        <w:rPr>
          <w:rFonts w:ascii="Arial" w:hAnsi="Arial" w:cs="Arial"/>
          <w:i/>
          <w:iCs/>
          <w:color w:val="000000"/>
          <w:sz w:val="18"/>
          <w:szCs w:val="18"/>
        </w:rPr>
        <w:t xml:space="preserve"> University, </w:t>
      </w:r>
      <w:r>
        <w:rPr>
          <w:rFonts w:ascii="Arial" w:hAnsi="Arial" w:cs="Arial"/>
          <w:i/>
          <w:iCs/>
          <w:color w:val="000000"/>
          <w:sz w:val="18"/>
          <w:szCs w:val="18"/>
          <w:vertAlign w:val="superscript"/>
        </w:rPr>
        <w:t>3</w:t>
      </w:r>
      <w:r>
        <w:rPr>
          <w:rFonts w:ascii="Arial" w:hAnsi="Arial" w:cs="Arial"/>
          <w:i/>
          <w:iCs/>
          <w:color w:val="000000"/>
          <w:sz w:val="18"/>
          <w:szCs w:val="18"/>
        </w:rPr>
        <w:t xml:space="preserve">Public Health Institute, Liverpool John </w:t>
      </w:r>
      <w:proofErr w:type="spellStart"/>
      <w:r>
        <w:rPr>
          <w:rFonts w:ascii="Arial" w:hAnsi="Arial" w:cs="Arial"/>
          <w:i/>
          <w:iCs/>
          <w:color w:val="000000"/>
          <w:sz w:val="18"/>
          <w:szCs w:val="18"/>
        </w:rPr>
        <w:t>Moores</w:t>
      </w:r>
      <w:proofErr w:type="spellEnd"/>
      <w:r>
        <w:rPr>
          <w:rFonts w:ascii="Arial" w:hAnsi="Arial" w:cs="Arial"/>
          <w:i/>
          <w:iCs/>
          <w:color w:val="000000"/>
          <w:sz w:val="18"/>
          <w:szCs w:val="18"/>
        </w:rPr>
        <w:t xml:space="preserve"> University, </w:t>
      </w:r>
      <w:r>
        <w:rPr>
          <w:rFonts w:ascii="Arial" w:hAnsi="Arial" w:cs="Arial"/>
          <w:i/>
          <w:iCs/>
          <w:color w:val="000000"/>
          <w:sz w:val="18"/>
          <w:szCs w:val="18"/>
          <w:vertAlign w:val="superscript"/>
        </w:rPr>
        <w:t>4</w:t>
      </w:r>
      <w:r>
        <w:rPr>
          <w:rFonts w:ascii="Arial" w:hAnsi="Arial" w:cs="Arial"/>
          <w:i/>
          <w:iCs/>
          <w:color w:val="000000"/>
          <w:sz w:val="18"/>
          <w:szCs w:val="18"/>
        </w:rPr>
        <w:t>Management School, University of Liverpool, </w:t>
      </w:r>
      <w:r>
        <w:rPr>
          <w:rFonts w:ascii="Arial" w:hAnsi="Arial" w:cs="Arial"/>
          <w:i/>
          <w:iCs/>
          <w:color w:val="000000"/>
          <w:sz w:val="18"/>
          <w:szCs w:val="18"/>
          <w:vertAlign w:val="superscript"/>
        </w:rPr>
        <w:t>5</w:t>
      </w:r>
      <w:r>
        <w:rPr>
          <w:rFonts w:ascii="Arial" w:hAnsi="Arial" w:cs="Arial"/>
          <w:i/>
          <w:iCs/>
          <w:color w:val="000000"/>
          <w:sz w:val="18"/>
          <w:szCs w:val="18"/>
        </w:rPr>
        <w:t>Department of Public Health and Policy, University of Liverpool, </w:t>
      </w:r>
      <w:r>
        <w:rPr>
          <w:rFonts w:ascii="Arial" w:hAnsi="Arial" w:cs="Arial"/>
          <w:i/>
          <w:iCs/>
          <w:color w:val="000000"/>
          <w:sz w:val="18"/>
          <w:szCs w:val="18"/>
          <w:vertAlign w:val="superscript"/>
        </w:rPr>
        <w:t>6</w:t>
      </w:r>
      <w:r>
        <w:rPr>
          <w:rFonts w:ascii="Arial" w:hAnsi="Arial" w:cs="Arial"/>
          <w:i/>
          <w:iCs/>
          <w:color w:val="000000"/>
          <w:sz w:val="18"/>
          <w:szCs w:val="18"/>
        </w:rPr>
        <w:t>School of Public Health, The University of Queensland, </w:t>
      </w:r>
      <w:r>
        <w:rPr>
          <w:rFonts w:ascii="Arial" w:hAnsi="Arial" w:cs="Arial"/>
          <w:i/>
          <w:iCs/>
          <w:color w:val="000000"/>
          <w:sz w:val="18"/>
          <w:szCs w:val="18"/>
          <w:vertAlign w:val="superscript"/>
        </w:rPr>
        <w:t>7</w:t>
      </w:r>
      <w:r>
        <w:rPr>
          <w:rFonts w:ascii="Arial" w:hAnsi="Arial" w:cs="Arial"/>
          <w:i/>
          <w:iCs/>
          <w:color w:val="000000"/>
          <w:sz w:val="18"/>
          <w:szCs w:val="18"/>
        </w:rPr>
        <w:t>Diabetes Research Centre, University of Leicester, </w:t>
      </w:r>
      <w:r>
        <w:rPr>
          <w:rFonts w:ascii="Arial" w:hAnsi="Arial" w:cs="Arial"/>
          <w:i/>
          <w:iCs/>
          <w:color w:val="000000"/>
          <w:sz w:val="18"/>
          <w:szCs w:val="18"/>
          <w:vertAlign w:val="superscript"/>
        </w:rPr>
        <w:t>8</w:t>
      </w:r>
      <w:r>
        <w:rPr>
          <w:rFonts w:ascii="Arial" w:hAnsi="Arial" w:cs="Arial"/>
          <w:i/>
          <w:iCs/>
          <w:color w:val="000000"/>
          <w:sz w:val="18"/>
          <w:szCs w:val="18"/>
        </w:rPr>
        <w:t>Baker IDI Heart and Diabetes Institute</w:t>
      </w:r>
    </w:p>
    <w:p w:rsidR="004D622E" w:rsidRDefault="004D622E" w:rsidP="004D622E">
      <w:pPr>
        <w:pStyle w:val="NormalWeb"/>
        <w:shd w:val="clear" w:color="auto" w:fill="FFFFFF"/>
        <w:rPr>
          <w:rFonts w:ascii="Arial" w:hAnsi="Arial" w:cs="Arial"/>
          <w:color w:val="000000"/>
          <w:sz w:val="18"/>
          <w:szCs w:val="18"/>
        </w:rPr>
      </w:pPr>
      <w:r>
        <w:rPr>
          <w:rFonts w:ascii="Arial" w:hAnsi="Arial" w:cs="Arial"/>
          <w:b/>
          <w:bCs/>
          <w:color w:val="000000"/>
          <w:sz w:val="18"/>
          <w:szCs w:val="18"/>
        </w:rPr>
        <w:t>Introduction:</w:t>
      </w:r>
      <w:r>
        <w:rPr>
          <w:rFonts w:ascii="Arial" w:hAnsi="Arial" w:cs="Arial"/>
          <w:color w:val="000000"/>
          <w:sz w:val="18"/>
          <w:szCs w:val="18"/>
        </w:rPr>
        <w:t> Highly active adults have lower rates of adverse health outcomes, including all-cause mortality, coronary heart disease, diabetes and stroke. In addition to meeting the physical activity guidelines, reducing total and prolonged periods of sedentary behaviour appear important for health. Contact centres are a key setting to target these behaviours, as call agents predominantly sit at work and have low autonomy over working practices. This study aims to evaluate the effect of a participant-informed workplace physical activity and sedentary behaviour intervention on cardiovascular risk parameters at 9-months post-baseline, in highly sedentary call agents.</w:t>
      </w:r>
    </w:p>
    <w:p w:rsidR="004D622E" w:rsidRDefault="004D622E" w:rsidP="004D622E">
      <w:pPr>
        <w:pStyle w:val="NormalWeb"/>
        <w:shd w:val="clear" w:color="auto" w:fill="FFFFFF"/>
        <w:rPr>
          <w:rFonts w:ascii="Arial" w:hAnsi="Arial" w:cs="Arial"/>
          <w:color w:val="000000"/>
          <w:sz w:val="18"/>
          <w:szCs w:val="18"/>
        </w:rPr>
      </w:pPr>
      <w:r>
        <w:rPr>
          <w:rFonts w:ascii="Arial" w:hAnsi="Arial" w:cs="Arial"/>
          <w:b/>
          <w:bCs/>
          <w:color w:val="000000"/>
          <w:sz w:val="18"/>
          <w:szCs w:val="18"/>
        </w:rPr>
        <w:t>Methods/Design:</w:t>
      </w:r>
      <w:r>
        <w:rPr>
          <w:rFonts w:ascii="Arial" w:hAnsi="Arial" w:cs="Arial"/>
          <w:color w:val="000000"/>
          <w:sz w:val="18"/>
          <w:szCs w:val="18"/>
        </w:rPr>
        <w:t xml:space="preserve"> A two-arm 9-month pilot cluster randomised controlled trial </w:t>
      </w:r>
      <w:proofErr w:type="gramStart"/>
      <w:r>
        <w:rPr>
          <w:rFonts w:ascii="Arial" w:hAnsi="Arial" w:cs="Arial"/>
          <w:color w:val="000000"/>
          <w:sz w:val="18"/>
          <w:szCs w:val="18"/>
        </w:rPr>
        <w:t>will be implemented</w:t>
      </w:r>
      <w:proofErr w:type="gramEnd"/>
      <w:r>
        <w:rPr>
          <w:rFonts w:ascii="Arial" w:hAnsi="Arial" w:cs="Arial"/>
          <w:color w:val="000000"/>
          <w:sz w:val="18"/>
          <w:szCs w:val="18"/>
        </w:rPr>
        <w:t xml:space="preserve"> in one contact centre in the North West of England. Treatment arms include a multi-level workplace intervention group and a control group. Assessments will occur at three-time points, being baseline, and 3 and 9 months after the intervention starts. The intervention group will receive support and resources to move more and sit less across a 9-month intervention period. The 9-month intervention period includes an intensive (months 0-3) and maintenance phase (months 4-9). Assessments will include </w:t>
      </w:r>
      <w:proofErr w:type="gramStart"/>
      <w:r>
        <w:rPr>
          <w:rFonts w:ascii="Arial" w:hAnsi="Arial" w:cs="Arial"/>
          <w:color w:val="000000"/>
          <w:sz w:val="18"/>
          <w:szCs w:val="18"/>
        </w:rPr>
        <w:t>flow mediated</w:t>
      </w:r>
      <w:proofErr w:type="gramEnd"/>
      <w:r>
        <w:rPr>
          <w:rFonts w:ascii="Arial" w:hAnsi="Arial" w:cs="Arial"/>
          <w:color w:val="000000"/>
          <w:sz w:val="18"/>
          <w:szCs w:val="18"/>
        </w:rPr>
        <w:t xml:space="preserve"> dilation, intima media thickness and blood pressure variability.</w:t>
      </w:r>
    </w:p>
    <w:p w:rsidR="004D622E" w:rsidRDefault="004D622E" w:rsidP="004D622E">
      <w:pPr>
        <w:pStyle w:val="NormalWeb"/>
        <w:shd w:val="clear" w:color="auto" w:fill="FFFFFF"/>
        <w:rPr>
          <w:rFonts w:ascii="Arial" w:hAnsi="Arial" w:cs="Arial"/>
          <w:color w:val="000000"/>
          <w:sz w:val="18"/>
          <w:szCs w:val="18"/>
        </w:rPr>
      </w:pPr>
      <w:r>
        <w:rPr>
          <w:rFonts w:ascii="Arial" w:hAnsi="Arial" w:cs="Arial"/>
          <w:b/>
          <w:bCs/>
          <w:color w:val="000000"/>
          <w:sz w:val="18"/>
          <w:szCs w:val="18"/>
        </w:rPr>
        <w:t>Discussion:</w:t>
      </w:r>
      <w:r>
        <w:rPr>
          <w:rFonts w:ascii="Arial" w:hAnsi="Arial" w:cs="Arial"/>
          <w:color w:val="000000"/>
          <w:sz w:val="18"/>
          <w:szCs w:val="18"/>
        </w:rPr>
        <w:t xml:space="preserve"> This study will be the first to explore the short- and medium-term effects of a move more, sit less intervention on cardiovascular outcomes in </w:t>
      </w:r>
      <w:proofErr w:type="gramStart"/>
      <w:r>
        <w:rPr>
          <w:rFonts w:ascii="Arial" w:hAnsi="Arial" w:cs="Arial"/>
          <w:color w:val="000000"/>
          <w:sz w:val="18"/>
          <w:szCs w:val="18"/>
        </w:rPr>
        <w:t>contact centre call agents</w:t>
      </w:r>
      <w:proofErr w:type="gramEnd"/>
      <w:r>
        <w:rPr>
          <w:rFonts w:ascii="Arial" w:hAnsi="Arial" w:cs="Arial"/>
          <w:color w:val="000000"/>
          <w:sz w:val="18"/>
          <w:szCs w:val="18"/>
        </w:rPr>
        <w:t>. Strengths include the objective measurement of traditional and novel cardiovascular risk markers and activity outcomes. Findings will inform health and well-being policy and practice in contact centres.</w:t>
      </w:r>
    </w:p>
    <w:p w:rsidR="00AE3778" w:rsidRDefault="004D622E"/>
    <w:sectPr w:rsidR="00AE3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2E"/>
    <w:rsid w:val="003C699B"/>
    <w:rsid w:val="004D622E"/>
    <w:rsid w:val="006E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120EE-75A9-42A5-A8D9-0308F20A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2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2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Brendan</dc:creator>
  <cp:keywords/>
  <dc:description/>
  <cp:lastModifiedBy>Collins, Brendan</cp:lastModifiedBy>
  <cp:revision>1</cp:revision>
  <dcterms:created xsi:type="dcterms:W3CDTF">2019-05-02T14:53:00Z</dcterms:created>
  <dcterms:modified xsi:type="dcterms:W3CDTF">2019-05-02T14:53:00Z</dcterms:modified>
</cp:coreProperties>
</file>