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833A2" w14:textId="77777777" w:rsidR="00603F41" w:rsidRDefault="00603F41" w:rsidP="007731D9">
      <w:pPr>
        <w:spacing w:line="240" w:lineRule="auto"/>
        <w:contextualSpacing/>
        <w:rPr>
          <w:rFonts w:ascii="Times New Roman" w:hAnsi="Times New Roman"/>
        </w:rPr>
      </w:pPr>
      <w:bookmarkStart w:id="0" w:name="_GoBack"/>
      <w:bookmarkEnd w:id="0"/>
    </w:p>
    <w:p w14:paraId="00D1C37E" w14:textId="77777777" w:rsidR="00A32057" w:rsidRDefault="000C44F4" w:rsidP="00A75601">
      <w:pPr>
        <w:spacing w:line="480" w:lineRule="auto"/>
        <w:jc w:val="center"/>
        <w:rPr>
          <w:rFonts w:ascii="Times New Roman" w:hAnsi="Times New Roman"/>
          <w:sz w:val="32"/>
          <w:szCs w:val="32"/>
        </w:rPr>
      </w:pPr>
      <w:bookmarkStart w:id="1" w:name="OLE_LINK1"/>
      <w:bookmarkStart w:id="2" w:name="OLE_LINK2"/>
      <w:r>
        <w:rPr>
          <w:rFonts w:ascii="Times New Roman" w:hAnsi="Times New Roman"/>
          <w:sz w:val="32"/>
          <w:szCs w:val="32"/>
        </w:rPr>
        <w:t>Re</w:t>
      </w:r>
      <w:r w:rsidR="00545613">
        <w:rPr>
          <w:rFonts w:ascii="Times New Roman" w:hAnsi="Times New Roman"/>
          <w:sz w:val="32"/>
          <w:szCs w:val="32"/>
        </w:rPr>
        <w:t>think</w:t>
      </w:r>
      <w:r w:rsidR="001D705B">
        <w:rPr>
          <w:rFonts w:ascii="Times New Roman" w:hAnsi="Times New Roman"/>
          <w:sz w:val="32"/>
          <w:szCs w:val="32"/>
        </w:rPr>
        <w:t>ing Capital Structure A</w:t>
      </w:r>
      <w:r w:rsidR="002C4808">
        <w:rPr>
          <w:rFonts w:ascii="Times New Roman" w:hAnsi="Times New Roman"/>
          <w:sz w:val="32"/>
          <w:szCs w:val="32"/>
        </w:rPr>
        <w:t>rbitrage</w:t>
      </w:r>
      <w:r w:rsidR="00336572">
        <w:rPr>
          <w:rFonts w:ascii="Times New Roman" w:hAnsi="Times New Roman"/>
          <w:sz w:val="32"/>
          <w:szCs w:val="32"/>
        </w:rPr>
        <w:t xml:space="preserve">: </w:t>
      </w:r>
      <w:r w:rsidR="0010553D">
        <w:rPr>
          <w:rFonts w:ascii="Times New Roman" w:hAnsi="Times New Roman"/>
          <w:sz w:val="32"/>
          <w:szCs w:val="32"/>
        </w:rPr>
        <w:t>A</w:t>
      </w:r>
      <w:r w:rsidR="00336572">
        <w:rPr>
          <w:rFonts w:ascii="Times New Roman" w:hAnsi="Times New Roman"/>
          <w:sz w:val="32"/>
          <w:szCs w:val="32"/>
        </w:rPr>
        <w:t xml:space="preserve"> Price Discovery</w:t>
      </w:r>
      <w:r w:rsidR="00954383">
        <w:rPr>
          <w:rFonts w:ascii="Times New Roman" w:hAnsi="Times New Roman"/>
          <w:sz w:val="32"/>
          <w:szCs w:val="32"/>
        </w:rPr>
        <w:t xml:space="preserve"> </w:t>
      </w:r>
      <w:r w:rsidR="00336572">
        <w:rPr>
          <w:rFonts w:ascii="Times New Roman" w:hAnsi="Times New Roman"/>
          <w:sz w:val="32"/>
          <w:szCs w:val="32"/>
        </w:rPr>
        <w:t>Perspective</w:t>
      </w:r>
    </w:p>
    <w:bookmarkEnd w:id="1"/>
    <w:bookmarkEnd w:id="2"/>
    <w:p w14:paraId="0A4572FF" w14:textId="77777777" w:rsidR="000E34D0" w:rsidRPr="00A9417C" w:rsidRDefault="000E34D0" w:rsidP="00A75601">
      <w:pPr>
        <w:spacing w:line="480" w:lineRule="auto"/>
        <w:contextualSpacing/>
        <w:jc w:val="center"/>
        <w:outlineLvl w:val="0"/>
        <w:rPr>
          <w:rFonts w:ascii="Times New Roman" w:hAnsi="Times New Roman"/>
          <w:sz w:val="28"/>
          <w:szCs w:val="28"/>
          <w:vertAlign w:val="superscript"/>
          <w:lang w:val="en-US"/>
        </w:rPr>
      </w:pPr>
      <w:r w:rsidRPr="00771D88">
        <w:rPr>
          <w:rFonts w:ascii="Times New Roman" w:hAnsi="Times New Roman"/>
          <w:sz w:val="28"/>
          <w:szCs w:val="28"/>
          <w:lang w:val="en-US"/>
        </w:rPr>
        <w:t>Da</w:t>
      </w:r>
      <w:r>
        <w:rPr>
          <w:rFonts w:ascii="Times New Roman" w:hAnsi="Times New Roman"/>
          <w:sz w:val="28"/>
          <w:szCs w:val="28"/>
          <w:lang w:val="en-US"/>
        </w:rPr>
        <w:t xml:space="preserve">vide Avino and </w:t>
      </w:r>
      <w:proofErr w:type="spellStart"/>
      <w:r>
        <w:rPr>
          <w:rFonts w:ascii="Times New Roman" w:hAnsi="Times New Roman"/>
          <w:sz w:val="28"/>
          <w:szCs w:val="28"/>
          <w:lang w:val="en-US"/>
        </w:rPr>
        <w:t>Emese</w:t>
      </w:r>
      <w:proofErr w:type="spellEnd"/>
      <w:r>
        <w:rPr>
          <w:rFonts w:ascii="Times New Roman" w:hAnsi="Times New Roman"/>
          <w:sz w:val="28"/>
          <w:szCs w:val="28"/>
          <w:lang w:val="en-US"/>
        </w:rPr>
        <w:t xml:space="preserve"> Lazar</w:t>
      </w:r>
    </w:p>
    <w:p w14:paraId="25595949" w14:textId="77777777" w:rsidR="00A32057" w:rsidRPr="00A75601" w:rsidRDefault="00A32057" w:rsidP="00A75601">
      <w:pPr>
        <w:spacing w:line="480" w:lineRule="auto"/>
        <w:jc w:val="center"/>
        <w:outlineLvl w:val="0"/>
        <w:rPr>
          <w:rFonts w:ascii="Times New Roman" w:hAnsi="Times New Roman"/>
          <w:b/>
          <w:sz w:val="24"/>
          <w:szCs w:val="24"/>
        </w:rPr>
      </w:pPr>
      <w:r w:rsidRPr="00A75601">
        <w:rPr>
          <w:rFonts w:ascii="Times New Roman" w:hAnsi="Times New Roman"/>
          <w:b/>
          <w:sz w:val="24"/>
          <w:szCs w:val="24"/>
        </w:rPr>
        <w:t>Abstract</w:t>
      </w:r>
    </w:p>
    <w:p w14:paraId="6FC310C8" w14:textId="77777777" w:rsidR="002957CA" w:rsidRPr="00A75601" w:rsidRDefault="007C1A7D" w:rsidP="00A75601">
      <w:pPr>
        <w:spacing w:line="480" w:lineRule="auto"/>
        <w:jc w:val="both"/>
        <w:outlineLvl w:val="0"/>
        <w:rPr>
          <w:rFonts w:ascii="Times New Roman" w:hAnsi="Times New Roman"/>
          <w:sz w:val="24"/>
          <w:szCs w:val="24"/>
        </w:rPr>
      </w:pPr>
      <w:r w:rsidRPr="00A75601">
        <w:rPr>
          <w:rFonts w:ascii="Times New Roman" w:hAnsi="Times New Roman"/>
          <w:sz w:val="24"/>
          <w:szCs w:val="24"/>
        </w:rPr>
        <w:t>T</w:t>
      </w:r>
      <w:r w:rsidR="00927815" w:rsidRPr="00A75601">
        <w:rPr>
          <w:rFonts w:ascii="Times New Roman" w:hAnsi="Times New Roman"/>
          <w:sz w:val="24"/>
          <w:szCs w:val="24"/>
        </w:rPr>
        <w:t>he</w:t>
      </w:r>
      <w:r w:rsidR="002957CA" w:rsidRPr="00A75601">
        <w:rPr>
          <w:rFonts w:ascii="Times New Roman" w:hAnsi="Times New Roman"/>
          <w:sz w:val="24"/>
          <w:szCs w:val="24"/>
        </w:rPr>
        <w:t xml:space="preserve"> capital structure arbitrage strategy </w:t>
      </w:r>
      <w:r w:rsidRPr="00A75601">
        <w:rPr>
          <w:rFonts w:ascii="Times New Roman" w:hAnsi="Times New Roman"/>
          <w:sz w:val="24"/>
          <w:szCs w:val="24"/>
        </w:rPr>
        <w:t xml:space="preserve">exploits the discrepancies between the </w:t>
      </w:r>
      <w:r w:rsidR="00B017C1">
        <w:rPr>
          <w:rFonts w:ascii="Times New Roman" w:hAnsi="Times New Roman"/>
          <w:sz w:val="24"/>
          <w:szCs w:val="24"/>
        </w:rPr>
        <w:t xml:space="preserve">credit default swap </w:t>
      </w:r>
      <w:r w:rsidRPr="00A75601">
        <w:rPr>
          <w:rFonts w:ascii="Times New Roman" w:hAnsi="Times New Roman"/>
          <w:sz w:val="24"/>
          <w:szCs w:val="24"/>
        </w:rPr>
        <w:t>and equity market</w:t>
      </w:r>
      <w:r w:rsidR="006B092E" w:rsidRPr="00A75601">
        <w:rPr>
          <w:rFonts w:ascii="Times New Roman" w:hAnsi="Times New Roman"/>
          <w:sz w:val="24"/>
          <w:szCs w:val="24"/>
        </w:rPr>
        <w:t>s</w:t>
      </w:r>
      <w:r w:rsidRPr="00A75601">
        <w:rPr>
          <w:rFonts w:ascii="Times New Roman" w:hAnsi="Times New Roman"/>
          <w:sz w:val="24"/>
          <w:szCs w:val="24"/>
        </w:rPr>
        <w:t>.</w:t>
      </w:r>
      <w:r w:rsidR="006B092E" w:rsidRPr="00A75601">
        <w:rPr>
          <w:rFonts w:ascii="Times New Roman" w:hAnsi="Times New Roman"/>
          <w:sz w:val="24"/>
          <w:szCs w:val="24"/>
        </w:rPr>
        <w:t xml:space="preserve"> It assumes that both markets instantaneously react to new information, </w:t>
      </w:r>
      <w:r w:rsidR="00A75601">
        <w:rPr>
          <w:rFonts w:ascii="Times New Roman" w:hAnsi="Times New Roman"/>
          <w:sz w:val="24"/>
          <w:szCs w:val="24"/>
        </w:rPr>
        <w:t>so</w:t>
      </w:r>
      <w:r w:rsidRPr="00A75601">
        <w:rPr>
          <w:rFonts w:ascii="Times New Roman" w:hAnsi="Times New Roman"/>
          <w:sz w:val="24"/>
          <w:szCs w:val="24"/>
        </w:rPr>
        <w:t xml:space="preserve"> it fails to take into account the lead-lag relationships between the prices in the two markets</w:t>
      </w:r>
      <w:r w:rsidR="0046410B" w:rsidRPr="00A75601">
        <w:rPr>
          <w:rFonts w:ascii="Times New Roman" w:hAnsi="Times New Roman"/>
          <w:sz w:val="24"/>
          <w:szCs w:val="24"/>
        </w:rPr>
        <w:t xml:space="preserve"> and the</w:t>
      </w:r>
      <w:r w:rsidR="00924A16">
        <w:rPr>
          <w:rFonts w:ascii="Times New Roman" w:hAnsi="Times New Roman"/>
          <w:sz w:val="24"/>
          <w:szCs w:val="24"/>
        </w:rPr>
        <w:t>ir</w:t>
      </w:r>
      <w:r w:rsidR="0046410B" w:rsidRPr="00A75601">
        <w:rPr>
          <w:rFonts w:ascii="Times New Roman" w:hAnsi="Times New Roman"/>
          <w:sz w:val="24"/>
          <w:szCs w:val="24"/>
        </w:rPr>
        <w:t xml:space="preserve"> form of cointegration</w:t>
      </w:r>
      <w:r w:rsidRPr="00A75601">
        <w:rPr>
          <w:rFonts w:ascii="Times New Roman" w:hAnsi="Times New Roman"/>
          <w:sz w:val="24"/>
          <w:szCs w:val="24"/>
        </w:rPr>
        <w:t xml:space="preserve">. </w:t>
      </w:r>
      <w:r w:rsidR="00A75601">
        <w:rPr>
          <w:rFonts w:ascii="Times New Roman" w:hAnsi="Times New Roman"/>
          <w:sz w:val="24"/>
          <w:szCs w:val="24"/>
        </w:rPr>
        <w:t>Here</w:t>
      </w:r>
      <w:r w:rsidR="002957CA" w:rsidRPr="00A75601">
        <w:rPr>
          <w:rFonts w:ascii="Times New Roman" w:hAnsi="Times New Roman"/>
          <w:sz w:val="24"/>
          <w:szCs w:val="24"/>
        </w:rPr>
        <w:t xml:space="preserve"> we introduce </w:t>
      </w:r>
      <w:r w:rsidR="0010553D" w:rsidRPr="00A75601">
        <w:rPr>
          <w:rFonts w:ascii="Times New Roman" w:hAnsi="Times New Roman"/>
          <w:sz w:val="24"/>
          <w:szCs w:val="24"/>
        </w:rPr>
        <w:t>three</w:t>
      </w:r>
      <w:r w:rsidR="008B4BC5" w:rsidRPr="00A75601">
        <w:rPr>
          <w:rFonts w:ascii="Times New Roman" w:hAnsi="Times New Roman"/>
          <w:sz w:val="24"/>
          <w:szCs w:val="24"/>
        </w:rPr>
        <w:t xml:space="preserve"> new </w:t>
      </w:r>
      <w:r w:rsidR="00927815" w:rsidRPr="00A75601">
        <w:rPr>
          <w:rFonts w:ascii="Times New Roman" w:hAnsi="Times New Roman"/>
          <w:sz w:val="24"/>
          <w:szCs w:val="24"/>
        </w:rPr>
        <w:t xml:space="preserve">alternative </w:t>
      </w:r>
      <w:r w:rsidR="002957CA" w:rsidRPr="00A75601">
        <w:rPr>
          <w:rFonts w:ascii="Times New Roman" w:hAnsi="Times New Roman"/>
          <w:sz w:val="24"/>
          <w:szCs w:val="24"/>
        </w:rPr>
        <w:t xml:space="preserve">strategies that exploit the information provided by the time-varying price discovery of the equity and </w:t>
      </w:r>
      <w:r w:rsidR="000850AF">
        <w:rPr>
          <w:rFonts w:ascii="Times New Roman" w:hAnsi="Times New Roman"/>
          <w:sz w:val="24"/>
          <w:szCs w:val="24"/>
        </w:rPr>
        <w:t>credit</w:t>
      </w:r>
      <w:r w:rsidR="002957CA" w:rsidRPr="00A75601">
        <w:rPr>
          <w:rFonts w:ascii="Times New Roman" w:hAnsi="Times New Roman"/>
          <w:sz w:val="24"/>
          <w:szCs w:val="24"/>
        </w:rPr>
        <w:t xml:space="preserve"> markets</w:t>
      </w:r>
      <w:r w:rsidR="0046410B" w:rsidRPr="00A75601">
        <w:rPr>
          <w:rFonts w:ascii="Times New Roman" w:hAnsi="Times New Roman"/>
          <w:sz w:val="24"/>
          <w:szCs w:val="24"/>
        </w:rPr>
        <w:t xml:space="preserve"> and the cointegration of the two markets</w:t>
      </w:r>
      <w:r w:rsidR="002957CA" w:rsidRPr="00A75601">
        <w:rPr>
          <w:rFonts w:ascii="Times New Roman" w:hAnsi="Times New Roman"/>
          <w:sz w:val="24"/>
          <w:szCs w:val="24"/>
        </w:rPr>
        <w:t xml:space="preserve">. We implement the strategies for both US and European obligors and find that these outperform traditional </w:t>
      </w:r>
      <w:r w:rsidR="004303A3" w:rsidRPr="00A75601">
        <w:rPr>
          <w:rFonts w:ascii="Times New Roman" w:hAnsi="Times New Roman"/>
          <w:sz w:val="24"/>
          <w:szCs w:val="24"/>
        </w:rPr>
        <w:t xml:space="preserve">arbitrage trading </w:t>
      </w:r>
      <w:r w:rsidR="002957CA" w:rsidRPr="00A75601">
        <w:rPr>
          <w:rFonts w:ascii="Times New Roman" w:hAnsi="Times New Roman"/>
          <w:sz w:val="24"/>
          <w:szCs w:val="24"/>
        </w:rPr>
        <w:t>during the financial crisis</w:t>
      </w:r>
      <w:r w:rsidR="00490899" w:rsidRPr="00A75601">
        <w:rPr>
          <w:rFonts w:ascii="Times New Roman" w:hAnsi="Times New Roman"/>
          <w:sz w:val="24"/>
          <w:szCs w:val="24"/>
        </w:rPr>
        <w:t xml:space="preserve">. </w:t>
      </w:r>
      <w:r w:rsidR="00B017C1">
        <w:rPr>
          <w:rFonts w:ascii="Times New Roman" w:hAnsi="Times New Roman"/>
          <w:sz w:val="24"/>
          <w:szCs w:val="24"/>
        </w:rPr>
        <w:t>Furthermore</w:t>
      </w:r>
      <w:r w:rsidRPr="00A75601">
        <w:rPr>
          <w:rFonts w:ascii="Times New Roman" w:hAnsi="Times New Roman"/>
          <w:sz w:val="24"/>
          <w:szCs w:val="24"/>
        </w:rPr>
        <w:t xml:space="preserve">, the returns of </w:t>
      </w:r>
      <w:r w:rsidR="00B635B1" w:rsidRPr="00A75601">
        <w:rPr>
          <w:rFonts w:ascii="Times New Roman" w:hAnsi="Times New Roman"/>
          <w:sz w:val="24"/>
          <w:szCs w:val="24"/>
        </w:rPr>
        <w:t>the new strategies have lower correlation with market returns than the standard capital structure arbitrage.</w:t>
      </w:r>
      <w:r w:rsidR="002957CA" w:rsidRPr="00A75601">
        <w:rPr>
          <w:rFonts w:ascii="Times New Roman" w:hAnsi="Times New Roman"/>
          <w:sz w:val="24"/>
          <w:szCs w:val="24"/>
        </w:rPr>
        <w:t xml:space="preserve"> </w:t>
      </w:r>
    </w:p>
    <w:p w14:paraId="2967C740" w14:textId="77777777" w:rsidR="00A32057" w:rsidRPr="00A75601" w:rsidRDefault="00A32057" w:rsidP="00A75601">
      <w:pPr>
        <w:spacing w:line="480" w:lineRule="auto"/>
        <w:outlineLvl w:val="0"/>
        <w:rPr>
          <w:rFonts w:ascii="Times New Roman" w:hAnsi="Times New Roman"/>
          <w:sz w:val="24"/>
          <w:szCs w:val="24"/>
        </w:rPr>
      </w:pPr>
      <w:r w:rsidRPr="00A75601">
        <w:rPr>
          <w:rFonts w:ascii="Times New Roman" w:hAnsi="Times New Roman"/>
          <w:i/>
          <w:sz w:val="24"/>
          <w:szCs w:val="24"/>
        </w:rPr>
        <w:t>JEL classification</w:t>
      </w:r>
      <w:r w:rsidRPr="00A75601">
        <w:rPr>
          <w:rFonts w:ascii="Times New Roman" w:hAnsi="Times New Roman"/>
          <w:sz w:val="24"/>
          <w:szCs w:val="24"/>
        </w:rPr>
        <w:t xml:space="preserve">: G01; </w:t>
      </w:r>
      <w:r w:rsidR="00EA0CF9" w:rsidRPr="00A75601">
        <w:rPr>
          <w:rFonts w:ascii="Times New Roman" w:hAnsi="Times New Roman"/>
          <w:sz w:val="24"/>
          <w:szCs w:val="24"/>
        </w:rPr>
        <w:t xml:space="preserve">G11; </w:t>
      </w:r>
      <w:r w:rsidRPr="00A75601">
        <w:rPr>
          <w:rFonts w:ascii="Times New Roman" w:hAnsi="Times New Roman"/>
          <w:sz w:val="24"/>
          <w:szCs w:val="24"/>
        </w:rPr>
        <w:t>G12; G14; G20; D8</w:t>
      </w:r>
      <w:r w:rsidR="00EA0CF9" w:rsidRPr="00A75601">
        <w:rPr>
          <w:rFonts w:ascii="Times New Roman" w:hAnsi="Times New Roman"/>
          <w:sz w:val="24"/>
          <w:szCs w:val="24"/>
        </w:rPr>
        <w:t>; D53</w:t>
      </w:r>
    </w:p>
    <w:p w14:paraId="0D53A46A" w14:textId="77777777" w:rsidR="00A32057" w:rsidRPr="00A75601" w:rsidRDefault="00A32057" w:rsidP="00A75601">
      <w:pPr>
        <w:spacing w:line="480" w:lineRule="auto"/>
        <w:jc w:val="both"/>
        <w:rPr>
          <w:rFonts w:ascii="Times New Roman" w:hAnsi="Times New Roman"/>
          <w:sz w:val="24"/>
          <w:szCs w:val="24"/>
        </w:rPr>
      </w:pPr>
      <w:r w:rsidRPr="00A75601">
        <w:rPr>
          <w:rFonts w:ascii="Times New Roman" w:hAnsi="Times New Roman"/>
          <w:i/>
          <w:sz w:val="24"/>
          <w:szCs w:val="24"/>
        </w:rPr>
        <w:t>Keywords</w:t>
      </w:r>
      <w:r w:rsidRPr="00A75601">
        <w:rPr>
          <w:rFonts w:ascii="Times New Roman" w:hAnsi="Times New Roman"/>
          <w:sz w:val="24"/>
          <w:szCs w:val="24"/>
        </w:rPr>
        <w:t>: credit spreads; price discovery;</w:t>
      </w:r>
      <w:r w:rsidR="000D6E04" w:rsidRPr="00A75601">
        <w:rPr>
          <w:rFonts w:ascii="Times New Roman" w:hAnsi="Times New Roman"/>
          <w:sz w:val="24"/>
          <w:szCs w:val="24"/>
        </w:rPr>
        <w:t xml:space="preserve"> </w:t>
      </w:r>
      <w:r w:rsidRPr="00A75601">
        <w:rPr>
          <w:rFonts w:ascii="Times New Roman" w:hAnsi="Times New Roman"/>
          <w:sz w:val="24"/>
          <w:szCs w:val="24"/>
        </w:rPr>
        <w:t xml:space="preserve">credit derivatives; </w:t>
      </w:r>
      <w:r w:rsidR="00CB4955" w:rsidRPr="00A75601">
        <w:rPr>
          <w:rFonts w:ascii="Times New Roman" w:hAnsi="Times New Roman"/>
          <w:sz w:val="24"/>
          <w:szCs w:val="24"/>
        </w:rPr>
        <w:t>convergence trading; financial crisis; limit of arbitrage</w:t>
      </w:r>
    </w:p>
    <w:p w14:paraId="5CD738E5" w14:textId="77777777" w:rsidR="00633DF0" w:rsidRDefault="00633DF0" w:rsidP="000E34D0">
      <w:pPr>
        <w:pStyle w:val="Footer"/>
        <w:jc w:val="both"/>
        <w:rPr>
          <w:rFonts w:ascii="Times New Roman" w:hAnsi="Times New Roman"/>
          <w:sz w:val="18"/>
          <w:szCs w:val="18"/>
        </w:rPr>
      </w:pPr>
    </w:p>
    <w:p w14:paraId="47AE807C" w14:textId="77777777" w:rsidR="00633DF0" w:rsidRDefault="00633DF0" w:rsidP="000E34D0">
      <w:pPr>
        <w:pStyle w:val="Footer"/>
        <w:jc w:val="both"/>
        <w:rPr>
          <w:rFonts w:ascii="Times New Roman" w:hAnsi="Times New Roman"/>
          <w:sz w:val="18"/>
          <w:szCs w:val="18"/>
        </w:rPr>
      </w:pPr>
    </w:p>
    <w:p w14:paraId="0C83DFFB" w14:textId="77777777" w:rsidR="00633DF0" w:rsidRDefault="00633DF0" w:rsidP="000E34D0">
      <w:pPr>
        <w:pStyle w:val="Footer"/>
        <w:jc w:val="both"/>
        <w:rPr>
          <w:rFonts w:ascii="Times New Roman" w:hAnsi="Times New Roman"/>
          <w:sz w:val="18"/>
          <w:szCs w:val="18"/>
        </w:rPr>
      </w:pPr>
    </w:p>
    <w:p w14:paraId="3A3445E0" w14:textId="77777777" w:rsidR="00DA42E4" w:rsidRDefault="00DA42E4" w:rsidP="000E34D0">
      <w:pPr>
        <w:pStyle w:val="Footer"/>
        <w:jc w:val="both"/>
        <w:rPr>
          <w:rFonts w:ascii="Times New Roman" w:hAnsi="Times New Roman"/>
          <w:sz w:val="18"/>
          <w:szCs w:val="18"/>
        </w:rPr>
      </w:pPr>
      <w:r>
        <w:rPr>
          <w:rFonts w:ascii="Times New Roman" w:hAnsi="Times New Roman"/>
          <w:sz w:val="18"/>
          <w:szCs w:val="18"/>
        </w:rPr>
        <w:t xml:space="preserve">Davide Avino is a Lecturer at </w:t>
      </w:r>
      <w:r w:rsidR="00AA0B6A">
        <w:rPr>
          <w:rFonts w:ascii="Times New Roman" w:hAnsi="Times New Roman"/>
          <w:sz w:val="18"/>
          <w:szCs w:val="18"/>
        </w:rPr>
        <w:t xml:space="preserve">the </w:t>
      </w:r>
      <w:r>
        <w:rPr>
          <w:rFonts w:ascii="Times New Roman" w:hAnsi="Times New Roman"/>
          <w:sz w:val="18"/>
          <w:szCs w:val="18"/>
        </w:rPr>
        <w:t>University</w:t>
      </w:r>
      <w:r w:rsidR="00AA0B6A">
        <w:rPr>
          <w:rFonts w:ascii="Times New Roman" w:hAnsi="Times New Roman"/>
          <w:sz w:val="18"/>
          <w:szCs w:val="18"/>
        </w:rPr>
        <w:t xml:space="preserve"> of Liverpool</w:t>
      </w:r>
      <w:r>
        <w:rPr>
          <w:rFonts w:ascii="Times New Roman" w:hAnsi="Times New Roman"/>
          <w:sz w:val="18"/>
          <w:szCs w:val="18"/>
        </w:rPr>
        <w:t>.</w:t>
      </w:r>
    </w:p>
    <w:p w14:paraId="026963DE" w14:textId="77777777" w:rsidR="00DA42E4" w:rsidRDefault="002C6942" w:rsidP="000E34D0">
      <w:pPr>
        <w:pStyle w:val="Footer"/>
        <w:jc w:val="both"/>
        <w:rPr>
          <w:rFonts w:ascii="Times New Roman" w:hAnsi="Times New Roman"/>
          <w:sz w:val="18"/>
          <w:szCs w:val="18"/>
        </w:rPr>
      </w:pPr>
      <w:r w:rsidRPr="00830A7B">
        <w:rPr>
          <w:rFonts w:ascii="Times New Roman" w:hAnsi="Times New Roman" w:hint="eastAsia"/>
          <w:sz w:val="18"/>
          <w:szCs w:val="18"/>
        </w:rPr>
        <w:t>Management</w:t>
      </w:r>
      <w:r w:rsidR="00AA0B6A">
        <w:rPr>
          <w:rFonts w:ascii="Times New Roman" w:hAnsi="Times New Roman"/>
          <w:sz w:val="18"/>
          <w:szCs w:val="18"/>
        </w:rPr>
        <w:t xml:space="preserve"> School</w:t>
      </w:r>
      <w:r w:rsidRPr="00830A7B">
        <w:rPr>
          <w:rFonts w:ascii="Times New Roman" w:hAnsi="Times New Roman" w:hint="eastAsia"/>
          <w:sz w:val="18"/>
          <w:szCs w:val="18"/>
        </w:rPr>
        <w:t>, University</w:t>
      </w:r>
      <w:r w:rsidR="00AA0B6A">
        <w:rPr>
          <w:rFonts w:ascii="Times New Roman" w:hAnsi="Times New Roman"/>
          <w:sz w:val="18"/>
          <w:szCs w:val="18"/>
        </w:rPr>
        <w:t xml:space="preserve"> of Liverpool</w:t>
      </w:r>
      <w:r w:rsidRPr="00830A7B">
        <w:rPr>
          <w:rFonts w:ascii="Times New Roman" w:hAnsi="Times New Roman" w:hint="eastAsia"/>
          <w:sz w:val="18"/>
          <w:szCs w:val="18"/>
        </w:rPr>
        <w:t xml:space="preserve">, </w:t>
      </w:r>
      <w:r w:rsidR="00AA0B6A">
        <w:rPr>
          <w:rFonts w:ascii="Times New Roman" w:hAnsi="Times New Roman"/>
          <w:sz w:val="18"/>
          <w:szCs w:val="18"/>
        </w:rPr>
        <w:t>Chatham Street, Liverpool</w:t>
      </w:r>
      <w:r w:rsidRPr="00830A7B">
        <w:rPr>
          <w:rFonts w:ascii="Times New Roman" w:hAnsi="Times New Roman" w:hint="eastAsia"/>
          <w:sz w:val="18"/>
          <w:szCs w:val="18"/>
        </w:rPr>
        <w:t xml:space="preserve">, </w:t>
      </w:r>
      <w:r w:rsidR="00AA0B6A">
        <w:rPr>
          <w:rFonts w:ascii="Times New Roman" w:hAnsi="Times New Roman"/>
          <w:sz w:val="18"/>
          <w:szCs w:val="18"/>
        </w:rPr>
        <w:t>L69</w:t>
      </w:r>
      <w:r w:rsidRPr="00830A7B">
        <w:rPr>
          <w:rFonts w:ascii="Times New Roman" w:hAnsi="Times New Roman" w:hint="eastAsia"/>
          <w:sz w:val="18"/>
          <w:szCs w:val="18"/>
        </w:rPr>
        <w:t xml:space="preserve"> </w:t>
      </w:r>
      <w:r w:rsidR="00AA0B6A">
        <w:rPr>
          <w:rFonts w:ascii="Times New Roman" w:hAnsi="Times New Roman"/>
          <w:sz w:val="18"/>
          <w:szCs w:val="18"/>
        </w:rPr>
        <w:t>7ZH</w:t>
      </w:r>
      <w:r w:rsidRPr="00830A7B">
        <w:rPr>
          <w:rFonts w:ascii="Times New Roman" w:hAnsi="Times New Roman" w:hint="eastAsia"/>
          <w:sz w:val="18"/>
          <w:szCs w:val="18"/>
        </w:rPr>
        <w:t>, U</w:t>
      </w:r>
      <w:r>
        <w:rPr>
          <w:rFonts w:ascii="Times New Roman" w:hAnsi="Times New Roman"/>
          <w:sz w:val="18"/>
          <w:szCs w:val="18"/>
        </w:rPr>
        <w:t xml:space="preserve">nited </w:t>
      </w:r>
      <w:r w:rsidRPr="00830A7B">
        <w:rPr>
          <w:rFonts w:ascii="Times New Roman" w:hAnsi="Times New Roman" w:hint="eastAsia"/>
          <w:sz w:val="18"/>
          <w:szCs w:val="18"/>
        </w:rPr>
        <w:t>K</w:t>
      </w:r>
      <w:r>
        <w:rPr>
          <w:rFonts w:ascii="Times New Roman" w:hAnsi="Times New Roman"/>
          <w:sz w:val="18"/>
          <w:szCs w:val="18"/>
        </w:rPr>
        <w:t>ingdom</w:t>
      </w:r>
      <w:r>
        <w:t>. C</w:t>
      </w:r>
      <w:r w:rsidRPr="002C6942">
        <w:rPr>
          <w:rFonts w:ascii="Times New Roman" w:hAnsi="Times New Roman"/>
          <w:sz w:val="18"/>
          <w:szCs w:val="18"/>
        </w:rPr>
        <w:t>ontact:</w:t>
      </w:r>
      <w:r>
        <w:rPr>
          <w:rFonts w:ascii="Times New Roman" w:hAnsi="Times New Roman"/>
          <w:sz w:val="18"/>
          <w:szCs w:val="18"/>
        </w:rPr>
        <w:t xml:space="preserve"> +44 (0) 1</w:t>
      </w:r>
      <w:r w:rsidR="00AA0B6A">
        <w:rPr>
          <w:rFonts w:ascii="Times New Roman" w:hAnsi="Times New Roman"/>
          <w:sz w:val="18"/>
          <w:szCs w:val="18"/>
        </w:rPr>
        <w:t>51</w:t>
      </w:r>
      <w:r>
        <w:rPr>
          <w:rFonts w:ascii="Times New Roman" w:hAnsi="Times New Roman"/>
          <w:sz w:val="18"/>
          <w:szCs w:val="18"/>
        </w:rPr>
        <w:t xml:space="preserve"> </w:t>
      </w:r>
      <w:r w:rsidR="00AA0B6A">
        <w:rPr>
          <w:rFonts w:ascii="Times New Roman" w:hAnsi="Times New Roman"/>
          <w:sz w:val="18"/>
          <w:szCs w:val="18"/>
        </w:rPr>
        <w:t>794 9</w:t>
      </w:r>
      <w:r>
        <w:rPr>
          <w:rFonts w:ascii="Times New Roman" w:hAnsi="Times New Roman"/>
          <w:sz w:val="18"/>
          <w:szCs w:val="18"/>
        </w:rPr>
        <w:t>4</w:t>
      </w:r>
      <w:r w:rsidR="00AA0B6A">
        <w:rPr>
          <w:rFonts w:ascii="Times New Roman" w:hAnsi="Times New Roman"/>
          <w:sz w:val="18"/>
          <w:szCs w:val="18"/>
        </w:rPr>
        <w:t>85</w:t>
      </w:r>
      <w:r>
        <w:rPr>
          <w:rFonts w:ascii="Times New Roman" w:hAnsi="Times New Roman"/>
          <w:sz w:val="18"/>
          <w:szCs w:val="18"/>
        </w:rPr>
        <w:t xml:space="preserve">; </w:t>
      </w:r>
      <w:hyperlink r:id="rId8" w:history="1">
        <w:r w:rsidR="00AA0B6A" w:rsidRPr="003133BF">
          <w:rPr>
            <w:rStyle w:val="Hyperlink"/>
            <w:rFonts w:ascii="Times New Roman" w:hAnsi="Times New Roman"/>
            <w:sz w:val="18"/>
            <w:szCs w:val="18"/>
          </w:rPr>
          <w:t>d.avino@liverpool.ac.uk</w:t>
        </w:r>
      </w:hyperlink>
      <w:r w:rsidR="000E34D0" w:rsidRPr="00A9417C">
        <w:rPr>
          <w:rFonts w:ascii="Times New Roman" w:hAnsi="Times New Roman"/>
          <w:sz w:val="18"/>
          <w:szCs w:val="18"/>
        </w:rPr>
        <w:t xml:space="preserve"> </w:t>
      </w:r>
    </w:p>
    <w:p w14:paraId="2028E5AF" w14:textId="77777777" w:rsidR="00DA42E4" w:rsidRDefault="00DA42E4" w:rsidP="000E34D0">
      <w:pPr>
        <w:pStyle w:val="Footer"/>
        <w:jc w:val="both"/>
        <w:rPr>
          <w:rFonts w:ascii="Times New Roman" w:hAnsi="Times New Roman"/>
          <w:sz w:val="18"/>
          <w:szCs w:val="18"/>
        </w:rPr>
      </w:pPr>
      <w:proofErr w:type="spellStart"/>
      <w:r>
        <w:rPr>
          <w:rFonts w:ascii="Times New Roman" w:hAnsi="Times New Roman"/>
          <w:sz w:val="18"/>
          <w:szCs w:val="18"/>
        </w:rPr>
        <w:t>Emese</w:t>
      </w:r>
      <w:proofErr w:type="spellEnd"/>
      <w:r>
        <w:rPr>
          <w:rFonts w:ascii="Times New Roman" w:hAnsi="Times New Roman"/>
          <w:sz w:val="18"/>
          <w:szCs w:val="18"/>
        </w:rPr>
        <w:t xml:space="preserve"> Lazar is Associate Professor at the ICMA Centre.</w:t>
      </w:r>
    </w:p>
    <w:p w14:paraId="5C004098" w14:textId="77777777" w:rsidR="000E34D0" w:rsidRDefault="002C6942" w:rsidP="000E34D0">
      <w:pPr>
        <w:pStyle w:val="Footer"/>
        <w:jc w:val="both"/>
        <w:rPr>
          <w:rFonts w:ascii="Times New Roman" w:hAnsi="Times New Roman"/>
          <w:sz w:val="18"/>
          <w:szCs w:val="18"/>
        </w:rPr>
      </w:pPr>
      <w:r w:rsidRPr="00E738B5">
        <w:rPr>
          <w:rFonts w:ascii="Times New Roman" w:hAnsi="Times New Roman"/>
          <w:sz w:val="18"/>
          <w:szCs w:val="18"/>
        </w:rPr>
        <w:t>ICMA Centre, Henley Business School, University of Reading, Reading, RG6 6BA, United</w:t>
      </w:r>
      <w:r>
        <w:rPr>
          <w:rFonts w:ascii="Times New Roman" w:hAnsi="Times New Roman"/>
          <w:sz w:val="18"/>
          <w:szCs w:val="18"/>
        </w:rPr>
        <w:t xml:space="preserve"> </w:t>
      </w:r>
      <w:r w:rsidRPr="00E738B5">
        <w:rPr>
          <w:rFonts w:ascii="Times New Roman" w:hAnsi="Times New Roman"/>
          <w:sz w:val="18"/>
          <w:szCs w:val="18"/>
        </w:rPr>
        <w:t>Kingdom</w:t>
      </w:r>
      <w:r>
        <w:rPr>
          <w:rFonts w:ascii="Times New Roman" w:hAnsi="Times New Roman"/>
          <w:sz w:val="18"/>
          <w:szCs w:val="18"/>
        </w:rPr>
        <w:t xml:space="preserve">. Contact: </w:t>
      </w:r>
      <w:r w:rsidRPr="002C6942">
        <w:rPr>
          <w:rFonts w:ascii="Times New Roman" w:hAnsi="Times New Roman"/>
          <w:sz w:val="18"/>
          <w:szCs w:val="18"/>
        </w:rPr>
        <w:t>+</w:t>
      </w:r>
      <w:proofErr w:type="gramStart"/>
      <w:r w:rsidRPr="002C6942">
        <w:rPr>
          <w:rFonts w:ascii="Times New Roman" w:hAnsi="Times New Roman"/>
          <w:sz w:val="18"/>
          <w:szCs w:val="18"/>
        </w:rPr>
        <w:t>44</w:t>
      </w:r>
      <w:r>
        <w:rPr>
          <w:rFonts w:ascii="Times New Roman" w:hAnsi="Times New Roman"/>
          <w:sz w:val="18"/>
          <w:szCs w:val="18"/>
        </w:rPr>
        <w:t xml:space="preserve"> </w:t>
      </w:r>
      <w:r w:rsidRPr="002C6942">
        <w:rPr>
          <w:rFonts w:ascii="Times New Roman" w:hAnsi="Times New Roman"/>
          <w:sz w:val="18"/>
          <w:szCs w:val="18"/>
        </w:rPr>
        <w:t xml:space="preserve"> (</w:t>
      </w:r>
      <w:proofErr w:type="gramEnd"/>
      <w:r w:rsidRPr="002C6942">
        <w:rPr>
          <w:rFonts w:ascii="Times New Roman" w:hAnsi="Times New Roman"/>
          <w:sz w:val="18"/>
          <w:szCs w:val="18"/>
        </w:rPr>
        <w:t>0)</w:t>
      </w:r>
      <w:r>
        <w:rPr>
          <w:rFonts w:ascii="Times New Roman" w:hAnsi="Times New Roman"/>
          <w:sz w:val="18"/>
          <w:szCs w:val="18"/>
        </w:rPr>
        <w:t xml:space="preserve"> </w:t>
      </w:r>
      <w:r w:rsidRPr="002C6942">
        <w:rPr>
          <w:rFonts w:ascii="Times New Roman" w:hAnsi="Times New Roman"/>
          <w:sz w:val="18"/>
          <w:szCs w:val="18"/>
        </w:rPr>
        <w:t>118 378 6768</w:t>
      </w:r>
      <w:r>
        <w:rPr>
          <w:rFonts w:ascii="Times New Roman" w:hAnsi="Times New Roman"/>
          <w:sz w:val="18"/>
          <w:szCs w:val="18"/>
        </w:rPr>
        <w:t xml:space="preserve">; </w:t>
      </w:r>
      <w:hyperlink r:id="rId9" w:history="1">
        <w:r w:rsidR="000E34D0" w:rsidRPr="00A9417C">
          <w:rPr>
            <w:rStyle w:val="Hyperlink"/>
            <w:rFonts w:ascii="Times New Roman" w:hAnsi="Times New Roman"/>
            <w:sz w:val="18"/>
            <w:szCs w:val="18"/>
          </w:rPr>
          <w:t>e.lazar@icmacentre.ac.uk</w:t>
        </w:r>
      </w:hyperlink>
      <w:r w:rsidR="000E34D0" w:rsidRPr="00A9417C">
        <w:rPr>
          <w:rFonts w:ascii="Times New Roman" w:hAnsi="Times New Roman"/>
          <w:sz w:val="18"/>
          <w:szCs w:val="18"/>
          <w:lang w:val="it-IT"/>
        </w:rPr>
        <w:t xml:space="preserve">. </w:t>
      </w:r>
    </w:p>
    <w:p w14:paraId="10BAE5C8" w14:textId="77777777" w:rsidR="006B092E" w:rsidRDefault="006B092E">
      <w:pPr>
        <w:spacing w:after="0" w:line="240" w:lineRule="auto"/>
        <w:rPr>
          <w:rFonts w:ascii="Times New Roman" w:hAnsi="Times New Roman"/>
          <w:b/>
        </w:rPr>
      </w:pPr>
      <w:r>
        <w:rPr>
          <w:rFonts w:ascii="Times New Roman" w:hAnsi="Times New Roman"/>
          <w:b/>
        </w:rPr>
        <w:br w:type="page"/>
      </w:r>
    </w:p>
    <w:p w14:paraId="2CA4E7D5" w14:textId="14C27C04" w:rsidR="000B1A1E" w:rsidRPr="000B1A1E" w:rsidRDefault="000B1A1E" w:rsidP="000B1A1E">
      <w:pPr>
        <w:pStyle w:val="ListParagraph"/>
        <w:numPr>
          <w:ilvl w:val="0"/>
          <w:numId w:val="18"/>
        </w:numPr>
        <w:spacing w:line="480" w:lineRule="auto"/>
        <w:jc w:val="both"/>
        <w:rPr>
          <w:rFonts w:ascii="Times New Roman" w:hAnsi="Times New Roman"/>
          <w:sz w:val="24"/>
          <w:szCs w:val="24"/>
        </w:rPr>
      </w:pPr>
      <w:r w:rsidRPr="000B1A1E">
        <w:rPr>
          <w:rFonts w:ascii="Times New Roman" w:hAnsi="Times New Roman"/>
          <w:b/>
          <w:sz w:val="24"/>
          <w:szCs w:val="24"/>
        </w:rPr>
        <w:lastRenderedPageBreak/>
        <w:t>Introduction</w:t>
      </w:r>
    </w:p>
    <w:p w14:paraId="6D0DE5F9" w14:textId="77777777" w:rsidR="008E452B" w:rsidRPr="00A75601" w:rsidRDefault="009E6433" w:rsidP="00A75601">
      <w:pPr>
        <w:spacing w:line="480" w:lineRule="auto"/>
        <w:jc w:val="both"/>
        <w:rPr>
          <w:rFonts w:ascii="Times New Roman" w:hAnsi="Times New Roman"/>
          <w:sz w:val="24"/>
          <w:szCs w:val="24"/>
        </w:rPr>
      </w:pPr>
      <w:r w:rsidRPr="00A75601">
        <w:rPr>
          <w:rFonts w:ascii="Times New Roman" w:hAnsi="Times New Roman"/>
          <w:sz w:val="24"/>
          <w:szCs w:val="24"/>
        </w:rPr>
        <w:t xml:space="preserve">Exploiting the </w:t>
      </w:r>
      <w:proofErr w:type="spellStart"/>
      <w:r w:rsidRPr="00A75601">
        <w:rPr>
          <w:rFonts w:ascii="Times New Roman" w:hAnsi="Times New Roman"/>
          <w:sz w:val="24"/>
          <w:szCs w:val="24"/>
        </w:rPr>
        <w:t>mispricings</w:t>
      </w:r>
      <w:proofErr w:type="spellEnd"/>
      <w:r w:rsidRPr="00A75601">
        <w:rPr>
          <w:rFonts w:ascii="Times New Roman" w:hAnsi="Times New Roman"/>
          <w:sz w:val="24"/>
          <w:szCs w:val="24"/>
        </w:rPr>
        <w:t xml:space="preserve"> between the </w:t>
      </w:r>
      <w:r w:rsidR="00E6029A" w:rsidRPr="00A75601">
        <w:rPr>
          <w:rFonts w:ascii="Times New Roman" w:hAnsi="Times New Roman"/>
          <w:sz w:val="24"/>
          <w:szCs w:val="24"/>
        </w:rPr>
        <w:t>credit default swap (</w:t>
      </w:r>
      <w:r w:rsidRPr="00A75601">
        <w:rPr>
          <w:rFonts w:ascii="Times New Roman" w:hAnsi="Times New Roman"/>
          <w:sz w:val="24"/>
          <w:szCs w:val="24"/>
        </w:rPr>
        <w:t>CDS</w:t>
      </w:r>
      <w:r w:rsidR="00E6029A" w:rsidRPr="00A75601">
        <w:rPr>
          <w:rFonts w:ascii="Times New Roman" w:hAnsi="Times New Roman"/>
          <w:sz w:val="24"/>
          <w:szCs w:val="24"/>
        </w:rPr>
        <w:t>)</w:t>
      </w:r>
      <w:r w:rsidRPr="00A75601">
        <w:rPr>
          <w:rFonts w:ascii="Times New Roman" w:hAnsi="Times New Roman"/>
          <w:sz w:val="24"/>
          <w:szCs w:val="24"/>
        </w:rPr>
        <w:t xml:space="preserve"> and equity markets is the main objective of the so-called “capital structure arbitrage” </w:t>
      </w:r>
      <w:r w:rsidR="007C1A7D" w:rsidRPr="00A75601">
        <w:rPr>
          <w:rFonts w:ascii="Times New Roman" w:hAnsi="Times New Roman"/>
          <w:sz w:val="24"/>
          <w:szCs w:val="24"/>
        </w:rPr>
        <w:t xml:space="preserve">(CSA) </w:t>
      </w:r>
      <w:r w:rsidRPr="00A75601">
        <w:rPr>
          <w:rFonts w:ascii="Times New Roman" w:hAnsi="Times New Roman"/>
          <w:sz w:val="24"/>
          <w:szCs w:val="24"/>
        </w:rPr>
        <w:t>strategy.</w:t>
      </w:r>
      <w:r w:rsidR="00FA1A3B" w:rsidRPr="00A75601">
        <w:rPr>
          <w:rFonts w:ascii="Times New Roman" w:hAnsi="Times New Roman"/>
          <w:sz w:val="24"/>
          <w:szCs w:val="24"/>
        </w:rPr>
        <w:t xml:space="preserve"> </w:t>
      </w:r>
      <w:r w:rsidR="00C1169D" w:rsidRPr="00A75601">
        <w:rPr>
          <w:rFonts w:ascii="Times New Roman" w:hAnsi="Times New Roman"/>
          <w:sz w:val="24"/>
          <w:szCs w:val="24"/>
        </w:rPr>
        <w:t>At the turn of the century</w:t>
      </w:r>
      <w:r w:rsidRPr="00A75601">
        <w:rPr>
          <w:rFonts w:ascii="Times New Roman" w:hAnsi="Times New Roman"/>
          <w:sz w:val="24"/>
          <w:szCs w:val="24"/>
        </w:rPr>
        <w:t>,</w:t>
      </w:r>
      <w:r w:rsidR="00C1169D" w:rsidRPr="00A75601">
        <w:rPr>
          <w:rFonts w:ascii="Times New Roman" w:hAnsi="Times New Roman"/>
          <w:sz w:val="24"/>
          <w:szCs w:val="24"/>
        </w:rPr>
        <w:t xml:space="preserve"> </w:t>
      </w:r>
      <w:r w:rsidR="00E6029A" w:rsidRPr="00A75601">
        <w:rPr>
          <w:rFonts w:ascii="Times New Roman" w:hAnsi="Times New Roman"/>
          <w:sz w:val="24"/>
          <w:szCs w:val="24"/>
        </w:rPr>
        <w:t xml:space="preserve">this strategy </w:t>
      </w:r>
      <w:r w:rsidR="000B13D5" w:rsidRPr="00A75601">
        <w:rPr>
          <w:rFonts w:ascii="Times New Roman" w:hAnsi="Times New Roman"/>
          <w:sz w:val="24"/>
          <w:szCs w:val="24"/>
        </w:rPr>
        <w:t xml:space="preserve">was thought </w:t>
      </w:r>
      <w:r w:rsidR="004D7428" w:rsidRPr="00A75601">
        <w:rPr>
          <w:rFonts w:ascii="Times New Roman" w:hAnsi="Times New Roman"/>
          <w:sz w:val="24"/>
          <w:szCs w:val="24"/>
        </w:rPr>
        <w:t>of as</w:t>
      </w:r>
      <w:r w:rsidR="000B13D5" w:rsidRPr="00A75601">
        <w:rPr>
          <w:rFonts w:ascii="Times New Roman" w:hAnsi="Times New Roman"/>
          <w:sz w:val="24"/>
          <w:szCs w:val="24"/>
        </w:rPr>
        <w:t xml:space="preserve"> one of the most promising and popular </w:t>
      </w:r>
      <w:r w:rsidR="004D7428" w:rsidRPr="00A75601">
        <w:rPr>
          <w:rFonts w:ascii="Times New Roman" w:hAnsi="Times New Roman"/>
          <w:sz w:val="24"/>
          <w:szCs w:val="24"/>
        </w:rPr>
        <w:t xml:space="preserve">arbitrage </w:t>
      </w:r>
      <w:r w:rsidR="000B13D5" w:rsidRPr="00A75601">
        <w:rPr>
          <w:rFonts w:ascii="Times New Roman" w:hAnsi="Times New Roman"/>
          <w:sz w:val="24"/>
          <w:szCs w:val="24"/>
        </w:rPr>
        <w:t xml:space="preserve">strategies </w:t>
      </w:r>
      <w:r w:rsidR="00F752C9" w:rsidRPr="00A75601">
        <w:rPr>
          <w:rFonts w:ascii="Times New Roman" w:hAnsi="Times New Roman"/>
          <w:sz w:val="24"/>
          <w:szCs w:val="24"/>
        </w:rPr>
        <w:t>within</w:t>
      </w:r>
      <w:r w:rsidR="004D7428" w:rsidRPr="00A75601">
        <w:rPr>
          <w:rFonts w:ascii="Times New Roman" w:hAnsi="Times New Roman"/>
          <w:sz w:val="24"/>
          <w:szCs w:val="24"/>
        </w:rPr>
        <w:t xml:space="preserve"> the</w:t>
      </w:r>
      <w:r w:rsidR="000B13D5" w:rsidRPr="00A75601">
        <w:rPr>
          <w:rFonts w:ascii="Times New Roman" w:hAnsi="Times New Roman"/>
          <w:sz w:val="24"/>
          <w:szCs w:val="24"/>
        </w:rPr>
        <w:t xml:space="preserve"> fixed income</w:t>
      </w:r>
      <w:r w:rsidR="00857A3C" w:rsidRPr="00A75601">
        <w:rPr>
          <w:rFonts w:ascii="Times New Roman" w:hAnsi="Times New Roman"/>
          <w:sz w:val="24"/>
          <w:szCs w:val="24"/>
        </w:rPr>
        <w:t xml:space="preserve"> market</w:t>
      </w:r>
      <w:r w:rsidRPr="00A75601">
        <w:rPr>
          <w:rFonts w:ascii="Times New Roman" w:hAnsi="Times New Roman"/>
          <w:sz w:val="24"/>
          <w:szCs w:val="24"/>
        </w:rPr>
        <w:t>.</w:t>
      </w:r>
      <w:r w:rsidR="00200CE0">
        <w:rPr>
          <w:rStyle w:val="EndnoteReference"/>
          <w:rFonts w:ascii="Times New Roman" w:hAnsi="Times New Roman"/>
          <w:sz w:val="24"/>
          <w:szCs w:val="24"/>
        </w:rPr>
        <w:endnoteReference w:id="1"/>
      </w:r>
      <w:r w:rsidR="000B13D5" w:rsidRPr="00A75601">
        <w:rPr>
          <w:rFonts w:ascii="Times New Roman" w:hAnsi="Times New Roman"/>
          <w:sz w:val="24"/>
          <w:szCs w:val="24"/>
        </w:rPr>
        <w:t xml:space="preserve"> </w:t>
      </w:r>
      <w:r w:rsidRPr="00A75601">
        <w:rPr>
          <w:rFonts w:ascii="Times New Roman" w:hAnsi="Times New Roman"/>
          <w:sz w:val="24"/>
          <w:szCs w:val="24"/>
        </w:rPr>
        <w:t>O</w:t>
      </w:r>
      <w:r w:rsidR="0049426D" w:rsidRPr="00A75601">
        <w:rPr>
          <w:rFonts w:ascii="Times New Roman" w:hAnsi="Times New Roman"/>
          <w:sz w:val="24"/>
          <w:szCs w:val="24"/>
        </w:rPr>
        <w:t>ver the last decade</w:t>
      </w:r>
      <w:r w:rsidR="000B13D5" w:rsidRPr="00A75601">
        <w:rPr>
          <w:rFonts w:ascii="Times New Roman" w:hAnsi="Times New Roman"/>
          <w:sz w:val="24"/>
          <w:szCs w:val="24"/>
        </w:rPr>
        <w:t xml:space="preserve">, </w:t>
      </w:r>
      <w:r w:rsidR="0049426D" w:rsidRPr="00A75601">
        <w:rPr>
          <w:rFonts w:ascii="Times New Roman" w:hAnsi="Times New Roman"/>
          <w:sz w:val="24"/>
          <w:szCs w:val="24"/>
        </w:rPr>
        <w:t xml:space="preserve">the </w:t>
      </w:r>
      <w:r w:rsidR="00C47FC4" w:rsidRPr="00A75601">
        <w:rPr>
          <w:rFonts w:ascii="Times New Roman" w:hAnsi="Times New Roman"/>
          <w:sz w:val="24"/>
          <w:szCs w:val="24"/>
        </w:rPr>
        <w:t xml:space="preserve">CDS </w:t>
      </w:r>
      <w:r w:rsidR="0049426D" w:rsidRPr="00A75601">
        <w:rPr>
          <w:rFonts w:ascii="Times New Roman" w:hAnsi="Times New Roman"/>
          <w:sz w:val="24"/>
          <w:szCs w:val="24"/>
        </w:rPr>
        <w:t>market</w:t>
      </w:r>
      <w:r w:rsidR="00E82680" w:rsidRPr="00A75601">
        <w:rPr>
          <w:rFonts w:ascii="Times New Roman" w:hAnsi="Times New Roman"/>
          <w:sz w:val="24"/>
          <w:szCs w:val="24"/>
        </w:rPr>
        <w:t xml:space="preserve"> </w:t>
      </w:r>
      <w:r w:rsidR="0049426D" w:rsidRPr="00A75601">
        <w:rPr>
          <w:rFonts w:ascii="Times New Roman" w:hAnsi="Times New Roman"/>
          <w:sz w:val="24"/>
          <w:szCs w:val="24"/>
        </w:rPr>
        <w:t>has experienced an impressive growth reach</w:t>
      </w:r>
      <w:r w:rsidR="00C6715D">
        <w:rPr>
          <w:rFonts w:ascii="Times New Roman" w:hAnsi="Times New Roman"/>
          <w:sz w:val="24"/>
          <w:szCs w:val="24"/>
        </w:rPr>
        <w:t>ing</w:t>
      </w:r>
      <w:r w:rsidR="0049426D" w:rsidRPr="00A75601">
        <w:rPr>
          <w:rFonts w:ascii="Times New Roman" w:hAnsi="Times New Roman"/>
          <w:sz w:val="24"/>
          <w:szCs w:val="24"/>
        </w:rPr>
        <w:t xml:space="preserve"> its peak at the end of 2007 with a notional amount of </w:t>
      </w:r>
      <w:r w:rsidR="00C47FC4" w:rsidRPr="00A75601">
        <w:rPr>
          <w:rFonts w:ascii="Times New Roman" w:hAnsi="Times New Roman"/>
          <w:sz w:val="24"/>
          <w:szCs w:val="24"/>
        </w:rPr>
        <w:t xml:space="preserve">USD </w:t>
      </w:r>
      <w:r w:rsidR="0049426D" w:rsidRPr="00A75601">
        <w:rPr>
          <w:rFonts w:ascii="Times New Roman" w:hAnsi="Times New Roman"/>
          <w:sz w:val="24"/>
          <w:szCs w:val="24"/>
        </w:rPr>
        <w:t xml:space="preserve">62 trillion. Since then, </w:t>
      </w:r>
      <w:r w:rsidR="002D2964" w:rsidRPr="00A75601">
        <w:rPr>
          <w:rFonts w:ascii="Times New Roman" w:hAnsi="Times New Roman"/>
          <w:sz w:val="24"/>
          <w:szCs w:val="24"/>
        </w:rPr>
        <w:t xml:space="preserve">the market hit by the “Great Recession” </w:t>
      </w:r>
      <w:r w:rsidR="00857A3C" w:rsidRPr="00A75601">
        <w:rPr>
          <w:rFonts w:ascii="Times New Roman" w:hAnsi="Times New Roman"/>
          <w:sz w:val="24"/>
          <w:szCs w:val="24"/>
        </w:rPr>
        <w:t xml:space="preserve">went through </w:t>
      </w:r>
      <w:r w:rsidR="0049426D" w:rsidRPr="00A75601">
        <w:rPr>
          <w:rFonts w:ascii="Times New Roman" w:hAnsi="Times New Roman"/>
          <w:sz w:val="24"/>
          <w:szCs w:val="24"/>
        </w:rPr>
        <w:t>a downward trend which</w:t>
      </w:r>
      <w:r w:rsidR="00E6029A" w:rsidRPr="00A75601">
        <w:rPr>
          <w:rFonts w:ascii="Times New Roman" w:hAnsi="Times New Roman"/>
          <w:sz w:val="24"/>
          <w:szCs w:val="24"/>
        </w:rPr>
        <w:t xml:space="preserve"> has reduced the size of the market to USD 25 trillion by </w:t>
      </w:r>
      <w:r w:rsidR="004031EF" w:rsidRPr="00A75601">
        <w:rPr>
          <w:rFonts w:ascii="Times New Roman" w:hAnsi="Times New Roman"/>
          <w:sz w:val="24"/>
          <w:szCs w:val="24"/>
        </w:rPr>
        <w:t>August</w:t>
      </w:r>
      <w:r w:rsidR="006149F8" w:rsidRPr="00A75601">
        <w:rPr>
          <w:rFonts w:ascii="Times New Roman" w:hAnsi="Times New Roman"/>
          <w:sz w:val="24"/>
          <w:szCs w:val="24"/>
        </w:rPr>
        <w:t xml:space="preserve"> </w:t>
      </w:r>
      <w:r w:rsidR="0049426D" w:rsidRPr="00A75601">
        <w:rPr>
          <w:rFonts w:ascii="Times New Roman" w:hAnsi="Times New Roman"/>
          <w:sz w:val="24"/>
          <w:szCs w:val="24"/>
        </w:rPr>
        <w:t>201</w:t>
      </w:r>
      <w:r w:rsidR="004031EF" w:rsidRPr="00A75601">
        <w:rPr>
          <w:rFonts w:ascii="Times New Roman" w:hAnsi="Times New Roman"/>
          <w:sz w:val="24"/>
          <w:szCs w:val="24"/>
        </w:rPr>
        <w:t>2</w:t>
      </w:r>
      <w:r w:rsidR="0046410B" w:rsidRPr="00A75601">
        <w:rPr>
          <w:rFonts w:ascii="Times New Roman" w:hAnsi="Times New Roman"/>
          <w:sz w:val="24"/>
          <w:szCs w:val="24"/>
        </w:rPr>
        <w:t xml:space="preserve"> (</w:t>
      </w:r>
      <w:hyperlink r:id="rId10" w:history="1">
        <w:r w:rsidR="0046410B" w:rsidRPr="00A75601">
          <w:rPr>
            <w:rStyle w:val="Hyperlink"/>
            <w:rFonts w:ascii="Times New Roman" w:hAnsi="Times New Roman"/>
            <w:sz w:val="24"/>
            <w:szCs w:val="24"/>
          </w:rPr>
          <w:t>www.dtcc.com</w:t>
        </w:r>
      </w:hyperlink>
      <w:r w:rsidR="0046410B" w:rsidRPr="00A75601">
        <w:rPr>
          <w:rFonts w:ascii="Times New Roman" w:hAnsi="Times New Roman"/>
          <w:sz w:val="24"/>
          <w:szCs w:val="24"/>
        </w:rPr>
        <w:t>)</w:t>
      </w:r>
      <w:r w:rsidRPr="00A75601">
        <w:rPr>
          <w:rFonts w:ascii="Times New Roman" w:hAnsi="Times New Roman"/>
          <w:sz w:val="24"/>
          <w:szCs w:val="24"/>
        </w:rPr>
        <w:t>.</w:t>
      </w:r>
      <w:r w:rsidR="0049426D" w:rsidRPr="00A75601">
        <w:rPr>
          <w:rFonts w:ascii="Times New Roman" w:hAnsi="Times New Roman"/>
          <w:sz w:val="24"/>
          <w:szCs w:val="24"/>
        </w:rPr>
        <w:t xml:space="preserve"> </w:t>
      </w:r>
      <w:r w:rsidR="00F752C9" w:rsidRPr="00A75601">
        <w:rPr>
          <w:rFonts w:ascii="Times New Roman" w:hAnsi="Times New Roman"/>
          <w:sz w:val="24"/>
          <w:szCs w:val="24"/>
        </w:rPr>
        <w:t xml:space="preserve">Driven by this </w:t>
      </w:r>
      <w:r w:rsidR="00660876" w:rsidRPr="00A75601">
        <w:rPr>
          <w:rFonts w:ascii="Times New Roman" w:hAnsi="Times New Roman"/>
          <w:sz w:val="24"/>
          <w:szCs w:val="24"/>
        </w:rPr>
        <w:t>explosion and then decline</w:t>
      </w:r>
      <w:r w:rsidR="00F752C9" w:rsidRPr="00A75601">
        <w:rPr>
          <w:rFonts w:ascii="Times New Roman" w:hAnsi="Times New Roman"/>
          <w:sz w:val="24"/>
          <w:szCs w:val="24"/>
        </w:rPr>
        <w:t xml:space="preserve"> in the CDS market, </w:t>
      </w:r>
      <w:r w:rsidR="00934E27" w:rsidRPr="00A75601">
        <w:rPr>
          <w:rFonts w:ascii="Times New Roman" w:hAnsi="Times New Roman"/>
          <w:sz w:val="24"/>
          <w:szCs w:val="24"/>
        </w:rPr>
        <w:t xml:space="preserve">fixed income arbitrage outstanding total assets </w:t>
      </w:r>
      <w:r w:rsidR="00660876" w:rsidRPr="00A75601">
        <w:rPr>
          <w:rFonts w:ascii="Times New Roman" w:hAnsi="Times New Roman"/>
          <w:sz w:val="24"/>
          <w:szCs w:val="24"/>
        </w:rPr>
        <w:t xml:space="preserve">increased to </w:t>
      </w:r>
      <w:r w:rsidR="00C47FC4" w:rsidRPr="00A75601">
        <w:rPr>
          <w:rFonts w:ascii="Times New Roman" w:hAnsi="Times New Roman"/>
          <w:sz w:val="24"/>
          <w:szCs w:val="24"/>
        </w:rPr>
        <w:t xml:space="preserve">almost USD </w:t>
      </w:r>
      <w:r w:rsidR="00B66252" w:rsidRPr="00A75601">
        <w:rPr>
          <w:rFonts w:ascii="Times New Roman" w:hAnsi="Times New Roman"/>
          <w:sz w:val="24"/>
          <w:szCs w:val="24"/>
        </w:rPr>
        <w:t>59</w:t>
      </w:r>
      <w:r w:rsidR="004C16D9" w:rsidRPr="00A75601">
        <w:rPr>
          <w:rFonts w:ascii="Times New Roman" w:hAnsi="Times New Roman"/>
          <w:sz w:val="24"/>
          <w:szCs w:val="24"/>
        </w:rPr>
        <w:t xml:space="preserve"> billion</w:t>
      </w:r>
      <w:r w:rsidR="00BD17BA" w:rsidRPr="00A75601">
        <w:rPr>
          <w:rFonts w:ascii="Times New Roman" w:hAnsi="Times New Roman"/>
          <w:sz w:val="24"/>
          <w:szCs w:val="24"/>
        </w:rPr>
        <w:t xml:space="preserve"> </w:t>
      </w:r>
      <w:r w:rsidR="00660876" w:rsidRPr="00A75601">
        <w:rPr>
          <w:rFonts w:ascii="Times New Roman" w:hAnsi="Times New Roman"/>
          <w:sz w:val="24"/>
          <w:szCs w:val="24"/>
        </w:rPr>
        <w:t>in mid</w:t>
      </w:r>
      <w:r w:rsidR="00425639" w:rsidRPr="00A75601">
        <w:rPr>
          <w:rFonts w:ascii="Times New Roman" w:hAnsi="Times New Roman"/>
          <w:sz w:val="24"/>
          <w:szCs w:val="24"/>
        </w:rPr>
        <w:t>-</w:t>
      </w:r>
      <w:r w:rsidR="00BD17BA" w:rsidRPr="00A75601">
        <w:rPr>
          <w:rFonts w:ascii="Times New Roman" w:hAnsi="Times New Roman"/>
          <w:sz w:val="24"/>
          <w:szCs w:val="24"/>
        </w:rPr>
        <w:t>2008</w:t>
      </w:r>
      <w:r w:rsidR="00660876" w:rsidRPr="00A75601">
        <w:rPr>
          <w:rFonts w:ascii="Times New Roman" w:hAnsi="Times New Roman"/>
          <w:sz w:val="24"/>
          <w:szCs w:val="24"/>
        </w:rPr>
        <w:t xml:space="preserve">, </w:t>
      </w:r>
      <w:r w:rsidR="005F0718" w:rsidRPr="00A75601">
        <w:rPr>
          <w:rFonts w:ascii="Times New Roman" w:hAnsi="Times New Roman"/>
          <w:sz w:val="24"/>
          <w:szCs w:val="24"/>
        </w:rPr>
        <w:t xml:space="preserve">before </w:t>
      </w:r>
      <w:r w:rsidR="00660876" w:rsidRPr="00A75601">
        <w:rPr>
          <w:rFonts w:ascii="Times New Roman" w:hAnsi="Times New Roman"/>
          <w:sz w:val="24"/>
          <w:szCs w:val="24"/>
        </w:rPr>
        <w:t>reducing to about USD 23.5 billion by the end of the same year</w:t>
      </w:r>
      <w:r w:rsidR="0046410B" w:rsidRPr="00A75601">
        <w:rPr>
          <w:rFonts w:ascii="Times New Roman" w:hAnsi="Times New Roman"/>
          <w:sz w:val="24"/>
          <w:szCs w:val="24"/>
        </w:rPr>
        <w:t xml:space="preserve"> (Lipper/</w:t>
      </w:r>
      <w:proofErr w:type="spellStart"/>
      <w:r w:rsidR="0046410B" w:rsidRPr="00A75601">
        <w:rPr>
          <w:rFonts w:ascii="Times New Roman" w:hAnsi="Times New Roman"/>
          <w:sz w:val="24"/>
          <w:szCs w:val="24"/>
        </w:rPr>
        <w:t>Tass</w:t>
      </w:r>
      <w:proofErr w:type="spellEnd"/>
      <w:r w:rsidR="0046410B" w:rsidRPr="00A75601">
        <w:rPr>
          <w:rFonts w:ascii="Times New Roman" w:hAnsi="Times New Roman"/>
          <w:sz w:val="24"/>
          <w:szCs w:val="24"/>
        </w:rPr>
        <w:t>, 2009)</w:t>
      </w:r>
      <w:r w:rsidR="00886AC5" w:rsidRPr="00A75601">
        <w:rPr>
          <w:rFonts w:ascii="Times New Roman" w:hAnsi="Times New Roman"/>
          <w:sz w:val="24"/>
          <w:szCs w:val="24"/>
        </w:rPr>
        <w:t xml:space="preserve">. </w:t>
      </w:r>
    </w:p>
    <w:p w14:paraId="493C63C3" w14:textId="77777777" w:rsidR="006F15C8" w:rsidRDefault="00FA1A3B" w:rsidP="00A75601">
      <w:pPr>
        <w:spacing w:line="480" w:lineRule="auto"/>
        <w:jc w:val="both"/>
        <w:rPr>
          <w:rFonts w:ascii="Times New Roman" w:hAnsi="Times New Roman"/>
          <w:sz w:val="24"/>
          <w:szCs w:val="24"/>
        </w:rPr>
      </w:pPr>
      <w:r w:rsidRPr="00A75601">
        <w:rPr>
          <w:rFonts w:ascii="Times New Roman" w:hAnsi="Times New Roman"/>
          <w:sz w:val="24"/>
          <w:szCs w:val="24"/>
        </w:rPr>
        <w:t xml:space="preserve">Typically, when implementing this strategy, a trader would look </w:t>
      </w:r>
      <w:r w:rsidR="000850AF">
        <w:rPr>
          <w:rFonts w:ascii="Times New Roman" w:hAnsi="Times New Roman"/>
          <w:sz w:val="24"/>
          <w:szCs w:val="24"/>
        </w:rPr>
        <w:t>for</w:t>
      </w:r>
      <w:r w:rsidRPr="00A75601">
        <w:rPr>
          <w:rFonts w:ascii="Times New Roman" w:hAnsi="Times New Roman"/>
          <w:sz w:val="24"/>
          <w:szCs w:val="24"/>
        </w:rPr>
        <w:t xml:space="preserve"> a significant divergence between the CDS spread and the equity implied spread. The latter is obtained from the implementation of a structural credit risk model which extracts equity-based information. Hence, a trader would sell (buy) a CDS contract if the CDS spread is significantly higher (lower) than the implied spread and sell (buy) a given number of shares as a</w:t>
      </w:r>
      <w:r w:rsidR="0046410B" w:rsidRPr="00A75601">
        <w:rPr>
          <w:rFonts w:ascii="Times New Roman" w:hAnsi="Times New Roman"/>
          <w:sz w:val="24"/>
          <w:szCs w:val="24"/>
        </w:rPr>
        <w:t>n</w:t>
      </w:r>
      <w:r w:rsidRPr="00A75601">
        <w:rPr>
          <w:rFonts w:ascii="Times New Roman" w:hAnsi="Times New Roman"/>
          <w:sz w:val="24"/>
          <w:szCs w:val="24"/>
        </w:rPr>
        <w:t xml:space="preserve"> equity hedge to offset the CDS position. </w:t>
      </w:r>
      <w:r w:rsidR="008E452B" w:rsidRPr="00A75601">
        <w:rPr>
          <w:rFonts w:ascii="Times New Roman" w:hAnsi="Times New Roman"/>
          <w:sz w:val="24"/>
          <w:szCs w:val="24"/>
        </w:rPr>
        <w:t>Historically, fixed income arbitrage has consistently generated losses during periods of crisis in the financial markets</w:t>
      </w:r>
      <w:r w:rsidR="001B6D32" w:rsidRPr="00A75601">
        <w:rPr>
          <w:rFonts w:ascii="Times New Roman" w:hAnsi="Times New Roman"/>
          <w:sz w:val="24"/>
          <w:szCs w:val="24"/>
        </w:rPr>
        <w:t>, and</w:t>
      </w:r>
      <w:r w:rsidR="008E452B" w:rsidRPr="00A75601">
        <w:rPr>
          <w:rFonts w:ascii="Times New Roman" w:hAnsi="Times New Roman"/>
          <w:sz w:val="24"/>
          <w:szCs w:val="24"/>
        </w:rPr>
        <w:t xml:space="preserve"> </w:t>
      </w:r>
      <w:r w:rsidR="001B6D32" w:rsidRPr="00A75601">
        <w:rPr>
          <w:rFonts w:ascii="Times New Roman" w:hAnsi="Times New Roman"/>
          <w:sz w:val="24"/>
          <w:szCs w:val="24"/>
        </w:rPr>
        <w:t>t</w:t>
      </w:r>
      <w:r w:rsidR="008E452B" w:rsidRPr="00A75601">
        <w:rPr>
          <w:rFonts w:ascii="Times New Roman" w:hAnsi="Times New Roman"/>
          <w:sz w:val="24"/>
          <w:szCs w:val="24"/>
        </w:rPr>
        <w:t>h</w:t>
      </w:r>
      <w:r w:rsidR="001B6D32" w:rsidRPr="00A75601">
        <w:rPr>
          <w:rFonts w:ascii="Times New Roman" w:hAnsi="Times New Roman"/>
          <w:sz w:val="24"/>
          <w:szCs w:val="24"/>
        </w:rPr>
        <w:t>e</w:t>
      </w:r>
      <w:r w:rsidR="008E452B" w:rsidRPr="00A75601">
        <w:rPr>
          <w:rFonts w:ascii="Times New Roman" w:hAnsi="Times New Roman"/>
          <w:sz w:val="24"/>
          <w:szCs w:val="24"/>
        </w:rPr>
        <w:t>se losses have caused the closure of many hedge funds and trading divisions of large investment banks</w:t>
      </w:r>
      <w:r w:rsidR="0046410B" w:rsidRPr="00A75601">
        <w:rPr>
          <w:rFonts w:ascii="Times New Roman" w:hAnsi="Times New Roman"/>
          <w:sz w:val="24"/>
          <w:szCs w:val="24"/>
        </w:rPr>
        <w:t xml:space="preserve"> (Lowenstein, 2000).</w:t>
      </w:r>
      <w:r w:rsidR="008E452B" w:rsidRPr="00A75601">
        <w:rPr>
          <w:rFonts w:ascii="Times New Roman" w:hAnsi="Times New Roman"/>
          <w:sz w:val="24"/>
          <w:szCs w:val="24"/>
        </w:rPr>
        <w:t xml:space="preserve"> </w:t>
      </w:r>
      <w:r w:rsidR="00FB1334">
        <w:rPr>
          <w:rFonts w:ascii="Times New Roman" w:hAnsi="Times New Roman"/>
          <w:sz w:val="24"/>
          <w:szCs w:val="24"/>
        </w:rPr>
        <w:t>E</w:t>
      </w:r>
      <w:r w:rsidR="00EA2DA5" w:rsidRPr="00A75601">
        <w:rPr>
          <w:rFonts w:ascii="Times New Roman" w:hAnsi="Times New Roman"/>
          <w:sz w:val="24"/>
          <w:szCs w:val="24"/>
        </w:rPr>
        <w:t>xamining the profitability of the CSA strategy, Yu (2006) found that hedging strategies used to offset CDS positions with equities can be indeed ineffective.</w:t>
      </w:r>
      <w:r w:rsidR="00200CE0">
        <w:rPr>
          <w:rStyle w:val="EndnoteReference"/>
          <w:rFonts w:ascii="Times New Roman" w:hAnsi="Times New Roman"/>
          <w:sz w:val="24"/>
          <w:szCs w:val="24"/>
        </w:rPr>
        <w:endnoteReference w:id="2"/>
      </w:r>
      <w:r w:rsidR="00EA2DA5" w:rsidRPr="00A75601">
        <w:rPr>
          <w:rFonts w:ascii="Times New Roman" w:hAnsi="Times New Roman"/>
          <w:sz w:val="24"/>
          <w:szCs w:val="24"/>
        </w:rPr>
        <w:t xml:space="preserve"> Alexander and </w:t>
      </w:r>
      <w:proofErr w:type="spellStart"/>
      <w:r w:rsidR="00EA2DA5" w:rsidRPr="00A75601">
        <w:rPr>
          <w:rFonts w:ascii="Times New Roman" w:hAnsi="Times New Roman"/>
          <w:sz w:val="24"/>
          <w:szCs w:val="24"/>
        </w:rPr>
        <w:t>Kaeck</w:t>
      </w:r>
      <w:proofErr w:type="spellEnd"/>
      <w:r w:rsidR="00EA2DA5" w:rsidRPr="00A75601">
        <w:rPr>
          <w:rFonts w:ascii="Times New Roman" w:hAnsi="Times New Roman"/>
          <w:sz w:val="24"/>
          <w:szCs w:val="24"/>
        </w:rPr>
        <w:t xml:space="preserve"> (2008) argued that a reason for th</w:t>
      </w:r>
      <w:r w:rsidR="008C7040">
        <w:rPr>
          <w:rFonts w:ascii="Times New Roman" w:hAnsi="Times New Roman"/>
          <w:sz w:val="24"/>
          <w:szCs w:val="24"/>
        </w:rPr>
        <w:t>is</w:t>
      </w:r>
      <w:r w:rsidR="00EA2DA5" w:rsidRPr="00A75601">
        <w:rPr>
          <w:rFonts w:ascii="Times New Roman" w:hAnsi="Times New Roman"/>
          <w:sz w:val="24"/>
          <w:szCs w:val="24"/>
        </w:rPr>
        <w:t xml:space="preserve"> ineffective</w:t>
      </w:r>
      <w:r w:rsidR="008C7040">
        <w:rPr>
          <w:rFonts w:ascii="Times New Roman" w:hAnsi="Times New Roman"/>
          <w:sz w:val="24"/>
          <w:szCs w:val="24"/>
        </w:rPr>
        <w:t>ness</w:t>
      </w:r>
      <w:r w:rsidR="00EA2DA5" w:rsidRPr="00A75601">
        <w:rPr>
          <w:rFonts w:ascii="Times New Roman" w:hAnsi="Times New Roman"/>
          <w:sz w:val="24"/>
          <w:szCs w:val="24"/>
        </w:rPr>
        <w:t xml:space="preserve"> may be </w:t>
      </w:r>
      <w:r w:rsidR="00A34756">
        <w:rPr>
          <w:rFonts w:ascii="Times New Roman" w:hAnsi="Times New Roman"/>
          <w:sz w:val="24"/>
          <w:szCs w:val="24"/>
        </w:rPr>
        <w:t>the model’s inability to</w:t>
      </w:r>
      <w:r w:rsidR="00EA2DA5" w:rsidRPr="00A75601">
        <w:rPr>
          <w:rFonts w:ascii="Times New Roman" w:hAnsi="Times New Roman"/>
          <w:sz w:val="24"/>
          <w:szCs w:val="24"/>
        </w:rPr>
        <w:t xml:space="preserve"> capture different market regimes.</w:t>
      </w:r>
      <w:r w:rsidR="00200CE0">
        <w:rPr>
          <w:rStyle w:val="EndnoteReference"/>
          <w:rFonts w:ascii="Times New Roman" w:hAnsi="Times New Roman"/>
          <w:sz w:val="24"/>
          <w:szCs w:val="24"/>
        </w:rPr>
        <w:endnoteReference w:id="3"/>
      </w:r>
      <w:r w:rsidR="00EA2DA5" w:rsidRPr="00A75601">
        <w:rPr>
          <w:rFonts w:ascii="Times New Roman" w:hAnsi="Times New Roman"/>
          <w:sz w:val="24"/>
          <w:szCs w:val="24"/>
        </w:rPr>
        <w:t xml:space="preserve"> </w:t>
      </w:r>
    </w:p>
    <w:p w14:paraId="2CCC15AB" w14:textId="77777777" w:rsidR="00E6029A" w:rsidRPr="00A75601" w:rsidRDefault="00EA2DA5" w:rsidP="00A75601">
      <w:pPr>
        <w:spacing w:line="480" w:lineRule="auto"/>
        <w:jc w:val="both"/>
        <w:rPr>
          <w:rFonts w:ascii="Times New Roman" w:hAnsi="Times New Roman"/>
          <w:sz w:val="24"/>
          <w:szCs w:val="24"/>
        </w:rPr>
      </w:pPr>
      <w:r w:rsidRPr="00A75601">
        <w:rPr>
          <w:rFonts w:ascii="Times New Roman" w:hAnsi="Times New Roman"/>
          <w:sz w:val="24"/>
          <w:szCs w:val="24"/>
        </w:rPr>
        <w:lastRenderedPageBreak/>
        <w:t xml:space="preserve">One </w:t>
      </w:r>
      <w:r w:rsidR="00FB1334">
        <w:rPr>
          <w:rFonts w:ascii="Times New Roman" w:hAnsi="Times New Roman"/>
          <w:sz w:val="24"/>
          <w:szCs w:val="24"/>
        </w:rPr>
        <w:t xml:space="preserve">possible </w:t>
      </w:r>
      <w:r w:rsidR="006F15C8">
        <w:rPr>
          <w:rFonts w:ascii="Times New Roman" w:hAnsi="Times New Roman"/>
          <w:sz w:val="24"/>
          <w:szCs w:val="24"/>
        </w:rPr>
        <w:t>alternative</w:t>
      </w:r>
      <w:r w:rsidRPr="00A75601">
        <w:rPr>
          <w:rFonts w:ascii="Times New Roman" w:hAnsi="Times New Roman"/>
          <w:sz w:val="24"/>
          <w:szCs w:val="24"/>
        </w:rPr>
        <w:t xml:space="preserve"> is to look at the change in the information content of different prices</w:t>
      </w:r>
      <w:r w:rsidR="00FA1A3B" w:rsidRPr="00A75601">
        <w:rPr>
          <w:rFonts w:ascii="Times New Roman" w:hAnsi="Times New Roman"/>
          <w:sz w:val="24"/>
          <w:szCs w:val="24"/>
        </w:rPr>
        <w:t xml:space="preserve">. </w:t>
      </w:r>
      <w:r w:rsidR="006F15C8">
        <w:rPr>
          <w:rFonts w:ascii="Times New Roman" w:hAnsi="Times New Roman"/>
          <w:sz w:val="24"/>
          <w:szCs w:val="24"/>
        </w:rPr>
        <w:t>If the CDS and equity-implied spreads have a long-run relationship, and</w:t>
      </w:r>
      <w:r w:rsidR="003B2A14" w:rsidRPr="00A75601">
        <w:rPr>
          <w:rFonts w:ascii="Times New Roman" w:hAnsi="Times New Roman"/>
          <w:sz w:val="24"/>
          <w:szCs w:val="24"/>
        </w:rPr>
        <w:t xml:space="preserve"> one market consistently leads the other one, then profits c</w:t>
      </w:r>
      <w:r w:rsidR="000850AF">
        <w:rPr>
          <w:rFonts w:ascii="Times New Roman" w:hAnsi="Times New Roman"/>
          <w:sz w:val="24"/>
          <w:szCs w:val="24"/>
        </w:rPr>
        <w:t>ould</w:t>
      </w:r>
      <w:r w:rsidR="00D75E05" w:rsidRPr="00A75601">
        <w:rPr>
          <w:rFonts w:ascii="Times New Roman" w:hAnsi="Times New Roman"/>
          <w:sz w:val="24"/>
          <w:szCs w:val="24"/>
        </w:rPr>
        <w:t xml:space="preserve"> be </w:t>
      </w:r>
      <w:r w:rsidR="003B2A14" w:rsidRPr="00A75601">
        <w:rPr>
          <w:rFonts w:ascii="Times New Roman" w:hAnsi="Times New Roman"/>
          <w:sz w:val="24"/>
          <w:szCs w:val="24"/>
        </w:rPr>
        <w:t>made</w:t>
      </w:r>
      <w:r w:rsidR="00330E13" w:rsidRPr="00A75601">
        <w:rPr>
          <w:rFonts w:ascii="Times New Roman" w:hAnsi="Times New Roman"/>
          <w:sz w:val="24"/>
          <w:szCs w:val="24"/>
        </w:rPr>
        <w:t xml:space="preserve"> </w:t>
      </w:r>
      <w:r w:rsidR="00D75E05" w:rsidRPr="00A75601">
        <w:rPr>
          <w:rFonts w:ascii="Times New Roman" w:hAnsi="Times New Roman"/>
          <w:sz w:val="24"/>
          <w:szCs w:val="24"/>
        </w:rPr>
        <w:t xml:space="preserve">by </w:t>
      </w:r>
      <w:r w:rsidR="003B2A14" w:rsidRPr="00A75601">
        <w:rPr>
          <w:rFonts w:ascii="Times New Roman" w:hAnsi="Times New Roman"/>
          <w:sz w:val="24"/>
          <w:szCs w:val="24"/>
        </w:rPr>
        <w:t>trading the market</w:t>
      </w:r>
      <w:r w:rsidR="000850AF">
        <w:rPr>
          <w:rFonts w:ascii="Times New Roman" w:hAnsi="Times New Roman"/>
          <w:sz w:val="24"/>
          <w:szCs w:val="24"/>
        </w:rPr>
        <w:t xml:space="preserve"> which</w:t>
      </w:r>
      <w:r w:rsidR="006F15C8">
        <w:rPr>
          <w:rFonts w:ascii="Times New Roman" w:hAnsi="Times New Roman"/>
          <w:sz w:val="24"/>
          <w:szCs w:val="24"/>
        </w:rPr>
        <w:t xml:space="preserve"> adjusts towards the long-run equilibrium</w:t>
      </w:r>
      <w:r w:rsidR="000850AF">
        <w:rPr>
          <w:rFonts w:ascii="Times New Roman" w:hAnsi="Times New Roman"/>
          <w:sz w:val="24"/>
          <w:szCs w:val="24"/>
        </w:rPr>
        <w:t xml:space="preserve"> </w:t>
      </w:r>
      <w:r w:rsidR="006F15C8">
        <w:rPr>
          <w:rFonts w:ascii="Times New Roman" w:hAnsi="Times New Roman"/>
          <w:sz w:val="24"/>
          <w:szCs w:val="24"/>
        </w:rPr>
        <w:t xml:space="preserve">and is </w:t>
      </w:r>
      <w:r w:rsidR="000850AF">
        <w:rPr>
          <w:rFonts w:ascii="Times New Roman" w:hAnsi="Times New Roman"/>
          <w:sz w:val="24"/>
          <w:szCs w:val="24"/>
        </w:rPr>
        <w:t xml:space="preserve">slower </w:t>
      </w:r>
      <w:r w:rsidR="006F15C8">
        <w:rPr>
          <w:rFonts w:ascii="Times New Roman" w:hAnsi="Times New Roman"/>
          <w:sz w:val="24"/>
          <w:szCs w:val="24"/>
        </w:rPr>
        <w:t>at impounding new information into prices</w:t>
      </w:r>
      <w:r w:rsidR="003B2A14" w:rsidRPr="00A75601">
        <w:rPr>
          <w:rFonts w:ascii="Times New Roman" w:hAnsi="Times New Roman"/>
          <w:sz w:val="24"/>
          <w:szCs w:val="24"/>
        </w:rPr>
        <w:t xml:space="preserve">. </w:t>
      </w:r>
      <w:r w:rsidR="006B2435">
        <w:rPr>
          <w:rFonts w:ascii="Times New Roman" w:hAnsi="Times New Roman"/>
          <w:sz w:val="24"/>
          <w:szCs w:val="24"/>
        </w:rPr>
        <w:t xml:space="preserve">For instance, Alexander and </w:t>
      </w:r>
      <w:proofErr w:type="spellStart"/>
      <w:r w:rsidR="006B2435">
        <w:rPr>
          <w:rFonts w:ascii="Times New Roman" w:hAnsi="Times New Roman"/>
          <w:sz w:val="24"/>
          <w:szCs w:val="24"/>
        </w:rPr>
        <w:t>Dimitriu</w:t>
      </w:r>
      <w:proofErr w:type="spellEnd"/>
      <w:r w:rsidR="006B2435">
        <w:rPr>
          <w:rFonts w:ascii="Times New Roman" w:hAnsi="Times New Roman"/>
          <w:sz w:val="24"/>
          <w:szCs w:val="24"/>
        </w:rPr>
        <w:t xml:space="preserve"> (2005) implemented a dynamic equity indexing strategy based on cointegration that </w:t>
      </w:r>
      <w:r w:rsidR="00837CF5">
        <w:rPr>
          <w:rFonts w:ascii="Times New Roman" w:hAnsi="Times New Roman"/>
          <w:sz w:val="24"/>
          <w:szCs w:val="24"/>
        </w:rPr>
        <w:t xml:space="preserve">enhanced the benchmark performance during high volatile regimes. </w:t>
      </w:r>
      <w:r w:rsidR="006B2435">
        <w:rPr>
          <w:rFonts w:ascii="Times New Roman" w:hAnsi="Times New Roman"/>
          <w:sz w:val="24"/>
          <w:szCs w:val="24"/>
        </w:rPr>
        <w:t xml:space="preserve"> </w:t>
      </w:r>
    </w:p>
    <w:p w14:paraId="2C681531" w14:textId="77777777" w:rsidR="000770F1" w:rsidRPr="00A75601" w:rsidRDefault="00125A7A" w:rsidP="00A75601">
      <w:pPr>
        <w:spacing w:line="480" w:lineRule="auto"/>
        <w:jc w:val="both"/>
        <w:rPr>
          <w:rFonts w:ascii="Times New Roman" w:hAnsi="Times New Roman"/>
          <w:sz w:val="24"/>
          <w:szCs w:val="24"/>
        </w:rPr>
      </w:pPr>
      <w:r w:rsidRPr="00A75601">
        <w:rPr>
          <w:rFonts w:ascii="Times New Roman" w:hAnsi="Times New Roman"/>
          <w:sz w:val="24"/>
          <w:szCs w:val="24"/>
        </w:rPr>
        <w:t>I</w:t>
      </w:r>
      <w:r w:rsidR="000770F1" w:rsidRPr="00A75601">
        <w:rPr>
          <w:rFonts w:ascii="Times New Roman" w:hAnsi="Times New Roman"/>
          <w:sz w:val="24"/>
          <w:szCs w:val="24"/>
        </w:rPr>
        <w:t>n the last decade, a growing number of studies have focussed on lead-lag relations and price discovery in credit</w:t>
      </w:r>
      <w:r w:rsidR="00A34756">
        <w:rPr>
          <w:rFonts w:ascii="Times New Roman" w:hAnsi="Times New Roman"/>
          <w:sz w:val="24"/>
          <w:szCs w:val="24"/>
        </w:rPr>
        <w:t>, bond</w:t>
      </w:r>
      <w:r w:rsidR="000770F1" w:rsidRPr="00A75601">
        <w:rPr>
          <w:rFonts w:ascii="Times New Roman" w:hAnsi="Times New Roman"/>
          <w:sz w:val="24"/>
          <w:szCs w:val="24"/>
        </w:rPr>
        <w:t xml:space="preserve"> </w:t>
      </w:r>
      <w:r w:rsidR="00330E13" w:rsidRPr="00A75601">
        <w:rPr>
          <w:rFonts w:ascii="Times New Roman" w:hAnsi="Times New Roman"/>
          <w:sz w:val="24"/>
          <w:szCs w:val="24"/>
        </w:rPr>
        <w:t>and equity markets</w:t>
      </w:r>
      <w:r w:rsidR="000770F1" w:rsidRPr="00A75601">
        <w:rPr>
          <w:rFonts w:ascii="Times New Roman" w:hAnsi="Times New Roman"/>
          <w:sz w:val="24"/>
          <w:szCs w:val="24"/>
        </w:rPr>
        <w:t xml:space="preserve"> </w:t>
      </w:r>
      <w:r w:rsidR="00A34756">
        <w:rPr>
          <w:rFonts w:ascii="Times New Roman" w:hAnsi="Times New Roman"/>
          <w:sz w:val="24"/>
          <w:szCs w:val="24"/>
        </w:rPr>
        <w:t>(</w:t>
      </w:r>
      <w:r w:rsidR="000770F1" w:rsidRPr="00A75601">
        <w:rPr>
          <w:rFonts w:ascii="Times New Roman" w:hAnsi="Times New Roman"/>
          <w:sz w:val="24"/>
          <w:szCs w:val="24"/>
        </w:rPr>
        <w:t>Zhu</w:t>
      </w:r>
      <w:r w:rsidR="00EC5008" w:rsidRPr="00A75601">
        <w:rPr>
          <w:rFonts w:ascii="Times New Roman" w:hAnsi="Times New Roman"/>
          <w:sz w:val="24"/>
          <w:szCs w:val="24"/>
        </w:rPr>
        <w:t>,</w:t>
      </w:r>
      <w:r w:rsidR="000770F1" w:rsidRPr="00A75601">
        <w:rPr>
          <w:rFonts w:ascii="Times New Roman" w:hAnsi="Times New Roman"/>
          <w:sz w:val="24"/>
          <w:szCs w:val="24"/>
        </w:rPr>
        <w:t xml:space="preserve"> 2004</w:t>
      </w:r>
      <w:r w:rsidR="00EC5008" w:rsidRPr="00A75601">
        <w:rPr>
          <w:rFonts w:ascii="Times New Roman" w:hAnsi="Times New Roman"/>
          <w:sz w:val="24"/>
          <w:szCs w:val="24"/>
        </w:rPr>
        <w:t>;</w:t>
      </w:r>
      <w:r w:rsidR="000770F1" w:rsidRPr="00A75601">
        <w:rPr>
          <w:rFonts w:ascii="Times New Roman" w:hAnsi="Times New Roman"/>
          <w:sz w:val="24"/>
          <w:szCs w:val="24"/>
        </w:rPr>
        <w:t xml:space="preserve"> Blanco et al.</w:t>
      </w:r>
      <w:r w:rsidR="00EC5008" w:rsidRPr="00A75601">
        <w:rPr>
          <w:rFonts w:ascii="Times New Roman" w:hAnsi="Times New Roman"/>
          <w:sz w:val="24"/>
          <w:szCs w:val="24"/>
        </w:rPr>
        <w:t>,</w:t>
      </w:r>
      <w:r w:rsidR="000770F1" w:rsidRPr="00A75601">
        <w:rPr>
          <w:rFonts w:ascii="Times New Roman" w:hAnsi="Times New Roman"/>
          <w:sz w:val="24"/>
          <w:szCs w:val="24"/>
        </w:rPr>
        <w:t xml:space="preserve"> 2005</w:t>
      </w:r>
      <w:r w:rsidR="00EC5008" w:rsidRPr="00A75601">
        <w:rPr>
          <w:rFonts w:ascii="Times New Roman" w:hAnsi="Times New Roman"/>
          <w:sz w:val="24"/>
          <w:szCs w:val="24"/>
        </w:rPr>
        <w:t>;</w:t>
      </w:r>
      <w:r w:rsidR="00330E13" w:rsidRPr="00A75601">
        <w:rPr>
          <w:rFonts w:ascii="Times New Roman" w:hAnsi="Times New Roman"/>
          <w:sz w:val="24"/>
          <w:szCs w:val="24"/>
        </w:rPr>
        <w:t xml:space="preserve"> Acharya and Johnson, 2007;</w:t>
      </w:r>
      <w:r w:rsidR="000770F1" w:rsidRPr="00A75601">
        <w:rPr>
          <w:rFonts w:ascii="Times New Roman" w:hAnsi="Times New Roman"/>
          <w:sz w:val="24"/>
          <w:szCs w:val="24"/>
        </w:rPr>
        <w:t xml:space="preserve"> Norden and Weber</w:t>
      </w:r>
      <w:r w:rsidR="00EC5008" w:rsidRPr="00A75601">
        <w:rPr>
          <w:rFonts w:ascii="Times New Roman" w:hAnsi="Times New Roman"/>
          <w:sz w:val="24"/>
          <w:szCs w:val="24"/>
        </w:rPr>
        <w:t>,</w:t>
      </w:r>
      <w:r w:rsidR="000770F1" w:rsidRPr="00A75601">
        <w:rPr>
          <w:rFonts w:ascii="Times New Roman" w:hAnsi="Times New Roman"/>
          <w:sz w:val="24"/>
          <w:szCs w:val="24"/>
        </w:rPr>
        <w:t xml:space="preserve"> 2009</w:t>
      </w:r>
      <w:r w:rsidR="00EC5008" w:rsidRPr="00A75601">
        <w:rPr>
          <w:rFonts w:ascii="Times New Roman" w:hAnsi="Times New Roman"/>
          <w:sz w:val="24"/>
          <w:szCs w:val="24"/>
        </w:rPr>
        <w:t>;</w:t>
      </w:r>
      <w:r w:rsidR="000770F1" w:rsidRPr="00A75601">
        <w:rPr>
          <w:rFonts w:ascii="Times New Roman" w:hAnsi="Times New Roman"/>
          <w:sz w:val="24"/>
          <w:szCs w:val="24"/>
        </w:rPr>
        <w:t xml:space="preserve"> Longstaff et al.</w:t>
      </w:r>
      <w:r w:rsidR="00EC5008" w:rsidRPr="00A75601">
        <w:rPr>
          <w:rFonts w:ascii="Times New Roman" w:hAnsi="Times New Roman"/>
          <w:sz w:val="24"/>
          <w:szCs w:val="24"/>
        </w:rPr>
        <w:t>,</w:t>
      </w:r>
      <w:r w:rsidR="000770F1" w:rsidRPr="00A75601">
        <w:rPr>
          <w:rFonts w:ascii="Times New Roman" w:hAnsi="Times New Roman"/>
          <w:sz w:val="24"/>
          <w:szCs w:val="24"/>
        </w:rPr>
        <w:t xml:space="preserve"> 2003</w:t>
      </w:r>
      <w:r w:rsidR="00EC5008" w:rsidRPr="00A75601">
        <w:rPr>
          <w:rFonts w:ascii="Times New Roman" w:hAnsi="Times New Roman"/>
          <w:sz w:val="24"/>
          <w:szCs w:val="24"/>
        </w:rPr>
        <w:t>;</w:t>
      </w:r>
      <w:r w:rsidR="000770F1" w:rsidRPr="00A75601">
        <w:rPr>
          <w:rFonts w:ascii="Times New Roman" w:hAnsi="Times New Roman"/>
          <w:sz w:val="24"/>
          <w:szCs w:val="24"/>
        </w:rPr>
        <w:t xml:space="preserve"> Forte and Peña</w:t>
      </w:r>
      <w:r w:rsidR="00EC5008" w:rsidRPr="00A75601">
        <w:rPr>
          <w:rFonts w:ascii="Times New Roman" w:hAnsi="Times New Roman"/>
          <w:sz w:val="24"/>
          <w:szCs w:val="24"/>
        </w:rPr>
        <w:t>,</w:t>
      </w:r>
      <w:r w:rsidR="000770F1" w:rsidRPr="00A75601">
        <w:rPr>
          <w:rFonts w:ascii="Times New Roman" w:hAnsi="Times New Roman"/>
          <w:sz w:val="24"/>
          <w:szCs w:val="24"/>
        </w:rPr>
        <w:t xml:space="preserve"> 2009</w:t>
      </w:r>
      <w:r w:rsidR="00EC5008" w:rsidRPr="00A75601">
        <w:rPr>
          <w:rFonts w:ascii="Times New Roman" w:hAnsi="Times New Roman"/>
          <w:sz w:val="24"/>
          <w:szCs w:val="24"/>
        </w:rPr>
        <w:t>)</w:t>
      </w:r>
      <w:r w:rsidR="000770F1" w:rsidRPr="00A75601">
        <w:rPr>
          <w:rFonts w:ascii="Times New Roman" w:hAnsi="Times New Roman"/>
          <w:sz w:val="24"/>
          <w:szCs w:val="24"/>
        </w:rPr>
        <w:t xml:space="preserve">. </w:t>
      </w:r>
      <w:r w:rsidR="00A34756">
        <w:rPr>
          <w:rFonts w:ascii="Times New Roman" w:hAnsi="Times New Roman"/>
          <w:sz w:val="24"/>
          <w:szCs w:val="24"/>
        </w:rPr>
        <w:t>T</w:t>
      </w:r>
      <w:r w:rsidR="000770F1" w:rsidRPr="00A75601">
        <w:rPr>
          <w:rFonts w:ascii="Times New Roman" w:hAnsi="Times New Roman"/>
          <w:sz w:val="24"/>
          <w:szCs w:val="24"/>
        </w:rPr>
        <w:t xml:space="preserve">heir findings are mixed, </w:t>
      </w:r>
      <w:r w:rsidR="00A34756">
        <w:rPr>
          <w:rFonts w:ascii="Times New Roman" w:hAnsi="Times New Roman"/>
          <w:sz w:val="24"/>
          <w:szCs w:val="24"/>
        </w:rPr>
        <w:t xml:space="preserve">but </w:t>
      </w:r>
      <w:r w:rsidR="000770F1" w:rsidRPr="00A75601">
        <w:rPr>
          <w:rFonts w:ascii="Times New Roman" w:hAnsi="Times New Roman"/>
          <w:sz w:val="24"/>
          <w:szCs w:val="24"/>
        </w:rPr>
        <w:t>all show evidence of time variation in the price discover</w:t>
      </w:r>
      <w:r w:rsidR="008C7040">
        <w:rPr>
          <w:rFonts w:ascii="Times New Roman" w:hAnsi="Times New Roman"/>
          <w:sz w:val="24"/>
          <w:szCs w:val="24"/>
        </w:rPr>
        <w:t>y of credit-related information</w:t>
      </w:r>
      <w:r w:rsidR="008A76FB">
        <w:rPr>
          <w:rFonts w:ascii="Times New Roman" w:hAnsi="Times New Roman"/>
          <w:sz w:val="24"/>
          <w:szCs w:val="24"/>
        </w:rPr>
        <w:t>. In particular,</w:t>
      </w:r>
      <w:r w:rsidR="000770F1" w:rsidRPr="00A75601">
        <w:rPr>
          <w:rFonts w:ascii="Times New Roman" w:hAnsi="Times New Roman"/>
          <w:sz w:val="24"/>
          <w:szCs w:val="24"/>
        </w:rPr>
        <w:t xml:space="preserve"> Hodgson et al. (2003) </w:t>
      </w:r>
      <w:r w:rsidR="004305B0" w:rsidRPr="00A75601">
        <w:rPr>
          <w:rFonts w:ascii="Times New Roman" w:hAnsi="Times New Roman"/>
          <w:sz w:val="24"/>
          <w:szCs w:val="24"/>
        </w:rPr>
        <w:t xml:space="preserve">and Avino et al. (2013) </w:t>
      </w:r>
      <w:r w:rsidR="008A76FB">
        <w:rPr>
          <w:rFonts w:ascii="Times New Roman" w:hAnsi="Times New Roman"/>
          <w:sz w:val="24"/>
          <w:szCs w:val="24"/>
        </w:rPr>
        <w:t>have shown</w:t>
      </w:r>
      <w:r w:rsidR="000770F1" w:rsidRPr="00A75601">
        <w:rPr>
          <w:rFonts w:ascii="Times New Roman" w:hAnsi="Times New Roman"/>
          <w:sz w:val="24"/>
          <w:szCs w:val="24"/>
        </w:rPr>
        <w:t xml:space="preserve"> how the price discovery process in bear and bull </w:t>
      </w:r>
      <w:r w:rsidR="00A34756">
        <w:rPr>
          <w:rFonts w:ascii="Times New Roman" w:hAnsi="Times New Roman"/>
          <w:sz w:val="24"/>
          <w:szCs w:val="24"/>
        </w:rPr>
        <w:t>markets</w:t>
      </w:r>
      <w:r w:rsidR="000770F1" w:rsidRPr="00A75601">
        <w:rPr>
          <w:rFonts w:ascii="Times New Roman" w:hAnsi="Times New Roman"/>
          <w:sz w:val="24"/>
          <w:szCs w:val="24"/>
        </w:rPr>
        <w:t xml:space="preserve"> varies substantially.</w:t>
      </w:r>
    </w:p>
    <w:p w14:paraId="3001CB00" w14:textId="77777777" w:rsidR="00924A16" w:rsidRDefault="000770F1" w:rsidP="00A75601">
      <w:pPr>
        <w:spacing w:line="480" w:lineRule="auto"/>
        <w:jc w:val="both"/>
        <w:rPr>
          <w:rFonts w:ascii="Times New Roman" w:hAnsi="Times New Roman"/>
          <w:sz w:val="24"/>
          <w:szCs w:val="24"/>
        </w:rPr>
      </w:pPr>
      <w:r w:rsidRPr="00A75601">
        <w:rPr>
          <w:rFonts w:ascii="Times New Roman" w:hAnsi="Times New Roman"/>
          <w:sz w:val="24"/>
          <w:szCs w:val="24"/>
        </w:rPr>
        <w:t>G</w:t>
      </w:r>
      <w:r w:rsidR="00D7551E" w:rsidRPr="00A75601">
        <w:rPr>
          <w:rFonts w:ascii="Times New Roman" w:hAnsi="Times New Roman"/>
          <w:sz w:val="24"/>
          <w:szCs w:val="24"/>
        </w:rPr>
        <w:t xml:space="preserve">iven </w:t>
      </w:r>
      <w:r w:rsidR="00384138">
        <w:rPr>
          <w:rFonts w:ascii="Times New Roman" w:hAnsi="Times New Roman"/>
          <w:sz w:val="24"/>
          <w:szCs w:val="24"/>
        </w:rPr>
        <w:t>that</w:t>
      </w:r>
      <w:r w:rsidR="00D7551E" w:rsidRPr="00A75601">
        <w:rPr>
          <w:rFonts w:ascii="Times New Roman" w:hAnsi="Times New Roman"/>
          <w:sz w:val="24"/>
          <w:szCs w:val="24"/>
        </w:rPr>
        <w:t xml:space="preserve"> </w:t>
      </w:r>
      <w:r w:rsidR="00E82680" w:rsidRPr="00A75601">
        <w:rPr>
          <w:rFonts w:ascii="Times New Roman" w:hAnsi="Times New Roman"/>
          <w:sz w:val="24"/>
          <w:szCs w:val="24"/>
        </w:rPr>
        <w:t xml:space="preserve">hedging </w:t>
      </w:r>
      <w:r w:rsidR="001B7AA4">
        <w:rPr>
          <w:rFonts w:ascii="Times New Roman" w:hAnsi="Times New Roman"/>
          <w:sz w:val="24"/>
          <w:szCs w:val="24"/>
        </w:rPr>
        <w:t>could</w:t>
      </w:r>
      <w:r w:rsidR="00FB1334">
        <w:rPr>
          <w:rFonts w:ascii="Times New Roman" w:hAnsi="Times New Roman"/>
          <w:sz w:val="24"/>
          <w:szCs w:val="24"/>
        </w:rPr>
        <w:t xml:space="preserve"> be</w:t>
      </w:r>
      <w:r w:rsidR="00E82680" w:rsidRPr="00A75601">
        <w:rPr>
          <w:rFonts w:ascii="Times New Roman" w:hAnsi="Times New Roman"/>
          <w:sz w:val="24"/>
          <w:szCs w:val="24"/>
        </w:rPr>
        <w:t xml:space="preserve"> </w:t>
      </w:r>
      <w:r w:rsidR="008B58F6" w:rsidRPr="00A75601">
        <w:rPr>
          <w:rFonts w:ascii="Times New Roman" w:hAnsi="Times New Roman"/>
          <w:sz w:val="24"/>
          <w:szCs w:val="24"/>
        </w:rPr>
        <w:t xml:space="preserve">ineffective </w:t>
      </w:r>
      <w:r w:rsidR="00E82680" w:rsidRPr="00A75601">
        <w:rPr>
          <w:rFonts w:ascii="Times New Roman" w:hAnsi="Times New Roman"/>
          <w:sz w:val="24"/>
          <w:szCs w:val="24"/>
        </w:rPr>
        <w:t>for the CSA strategy</w:t>
      </w:r>
      <w:r w:rsidR="00A34756">
        <w:rPr>
          <w:rFonts w:ascii="Times New Roman" w:hAnsi="Times New Roman"/>
          <w:sz w:val="24"/>
          <w:szCs w:val="24"/>
        </w:rPr>
        <w:t xml:space="preserve"> (</w:t>
      </w:r>
      <w:r w:rsidR="00EF51DC" w:rsidRPr="00A75601">
        <w:rPr>
          <w:rFonts w:ascii="Times New Roman" w:hAnsi="Times New Roman"/>
          <w:sz w:val="24"/>
          <w:szCs w:val="24"/>
        </w:rPr>
        <w:t>Yu</w:t>
      </w:r>
      <w:r w:rsidR="0095750D" w:rsidRPr="00A75601">
        <w:rPr>
          <w:rFonts w:ascii="Times New Roman" w:hAnsi="Times New Roman"/>
          <w:sz w:val="24"/>
          <w:szCs w:val="24"/>
        </w:rPr>
        <w:t xml:space="preserve">, </w:t>
      </w:r>
      <w:r w:rsidR="00EF51DC" w:rsidRPr="00A75601">
        <w:rPr>
          <w:rFonts w:ascii="Times New Roman" w:hAnsi="Times New Roman"/>
          <w:sz w:val="24"/>
          <w:szCs w:val="24"/>
        </w:rPr>
        <w:t>2006)</w:t>
      </w:r>
      <w:r w:rsidR="00384138">
        <w:rPr>
          <w:rFonts w:ascii="Times New Roman" w:hAnsi="Times New Roman"/>
          <w:sz w:val="24"/>
          <w:szCs w:val="24"/>
        </w:rPr>
        <w:t xml:space="preserve"> and that</w:t>
      </w:r>
      <w:r w:rsidR="00E82680" w:rsidRPr="00A75601">
        <w:rPr>
          <w:rFonts w:ascii="Times New Roman" w:hAnsi="Times New Roman"/>
          <w:sz w:val="24"/>
          <w:szCs w:val="24"/>
        </w:rPr>
        <w:t xml:space="preserve"> </w:t>
      </w:r>
      <w:r w:rsidR="00B908C9" w:rsidRPr="00A75601">
        <w:rPr>
          <w:rFonts w:ascii="Times New Roman" w:hAnsi="Times New Roman"/>
          <w:sz w:val="24"/>
          <w:szCs w:val="24"/>
        </w:rPr>
        <w:t>there is</w:t>
      </w:r>
      <w:r w:rsidR="001B7AA4">
        <w:rPr>
          <w:rFonts w:ascii="Times New Roman" w:hAnsi="Times New Roman"/>
          <w:sz w:val="24"/>
          <w:szCs w:val="24"/>
        </w:rPr>
        <w:t xml:space="preserve"> evidence of</w:t>
      </w:r>
      <w:r w:rsidR="005F345B" w:rsidRPr="00A75601">
        <w:rPr>
          <w:rFonts w:ascii="Times New Roman" w:hAnsi="Times New Roman"/>
          <w:sz w:val="24"/>
          <w:szCs w:val="24"/>
        </w:rPr>
        <w:t xml:space="preserve"> </w:t>
      </w:r>
      <w:r w:rsidR="00E82680" w:rsidRPr="00A75601">
        <w:rPr>
          <w:rFonts w:ascii="Times New Roman" w:hAnsi="Times New Roman"/>
          <w:sz w:val="24"/>
          <w:szCs w:val="24"/>
        </w:rPr>
        <w:t xml:space="preserve">a lead-lag relationship between equity and CDS markets, </w:t>
      </w:r>
      <w:r w:rsidR="00D7551E" w:rsidRPr="00A75601">
        <w:rPr>
          <w:rFonts w:ascii="Times New Roman" w:hAnsi="Times New Roman"/>
          <w:sz w:val="24"/>
          <w:szCs w:val="24"/>
        </w:rPr>
        <w:t xml:space="preserve">we explore the possibility </w:t>
      </w:r>
      <w:r w:rsidR="00B93689" w:rsidRPr="00A75601">
        <w:rPr>
          <w:rFonts w:ascii="Times New Roman" w:hAnsi="Times New Roman"/>
          <w:sz w:val="24"/>
          <w:szCs w:val="24"/>
        </w:rPr>
        <w:t>to trade i</w:t>
      </w:r>
      <w:r w:rsidR="00E82680" w:rsidRPr="00A75601">
        <w:rPr>
          <w:rFonts w:ascii="Times New Roman" w:hAnsi="Times New Roman"/>
          <w:sz w:val="24"/>
          <w:szCs w:val="24"/>
        </w:rPr>
        <w:t>n one market only, nam</w:t>
      </w:r>
      <w:r w:rsidR="005F345B" w:rsidRPr="00A75601">
        <w:rPr>
          <w:rFonts w:ascii="Times New Roman" w:hAnsi="Times New Roman"/>
          <w:sz w:val="24"/>
          <w:szCs w:val="24"/>
        </w:rPr>
        <w:t>ely the market that is being le</w:t>
      </w:r>
      <w:r w:rsidR="008C7040">
        <w:rPr>
          <w:rFonts w:ascii="Times New Roman" w:hAnsi="Times New Roman"/>
          <w:sz w:val="24"/>
          <w:szCs w:val="24"/>
        </w:rPr>
        <w:t>d</w:t>
      </w:r>
      <w:r w:rsidR="00EF51DC" w:rsidRPr="00A75601">
        <w:rPr>
          <w:rFonts w:ascii="Times New Roman" w:hAnsi="Times New Roman"/>
          <w:sz w:val="24"/>
          <w:szCs w:val="24"/>
        </w:rPr>
        <w:t>.</w:t>
      </w:r>
      <w:r w:rsidR="00BC25BF" w:rsidRPr="00A75601">
        <w:rPr>
          <w:rFonts w:ascii="Times New Roman" w:hAnsi="Times New Roman"/>
          <w:sz w:val="24"/>
          <w:szCs w:val="24"/>
        </w:rPr>
        <w:t xml:space="preserve"> </w:t>
      </w:r>
      <w:r w:rsidR="00384138">
        <w:rPr>
          <w:rFonts w:ascii="Times New Roman" w:hAnsi="Times New Roman"/>
          <w:sz w:val="24"/>
          <w:szCs w:val="24"/>
        </w:rPr>
        <w:t>W</w:t>
      </w:r>
      <w:r w:rsidR="00E82680" w:rsidRPr="00A75601">
        <w:rPr>
          <w:rFonts w:ascii="Times New Roman" w:hAnsi="Times New Roman"/>
          <w:sz w:val="24"/>
          <w:szCs w:val="24"/>
        </w:rPr>
        <w:t xml:space="preserve">e propose </w:t>
      </w:r>
      <w:r w:rsidR="0010553D" w:rsidRPr="00A75601">
        <w:rPr>
          <w:rFonts w:ascii="Times New Roman" w:hAnsi="Times New Roman"/>
          <w:sz w:val="24"/>
          <w:szCs w:val="24"/>
        </w:rPr>
        <w:t>three</w:t>
      </w:r>
      <w:r w:rsidR="00E82680" w:rsidRPr="00A75601">
        <w:rPr>
          <w:rFonts w:ascii="Times New Roman" w:hAnsi="Times New Roman"/>
          <w:sz w:val="24"/>
          <w:szCs w:val="24"/>
        </w:rPr>
        <w:t xml:space="preserve"> new trading strategies</w:t>
      </w:r>
      <w:r w:rsidR="00384138">
        <w:rPr>
          <w:rFonts w:ascii="Times New Roman" w:hAnsi="Times New Roman"/>
          <w:sz w:val="24"/>
          <w:szCs w:val="24"/>
        </w:rPr>
        <w:t xml:space="preserve"> and</w:t>
      </w:r>
      <w:r w:rsidR="00E82680" w:rsidRPr="00A75601">
        <w:rPr>
          <w:rFonts w:ascii="Times New Roman" w:hAnsi="Times New Roman"/>
          <w:sz w:val="24"/>
          <w:szCs w:val="24"/>
        </w:rPr>
        <w:t xml:space="preserve"> </w:t>
      </w:r>
      <w:r w:rsidR="00384138">
        <w:rPr>
          <w:rFonts w:ascii="Times New Roman" w:hAnsi="Times New Roman"/>
          <w:sz w:val="24"/>
          <w:szCs w:val="24"/>
        </w:rPr>
        <w:t>compare</w:t>
      </w:r>
      <w:r w:rsidR="00E82680" w:rsidRPr="00A75601">
        <w:rPr>
          <w:rFonts w:ascii="Times New Roman" w:hAnsi="Times New Roman"/>
          <w:sz w:val="24"/>
          <w:szCs w:val="24"/>
        </w:rPr>
        <w:t xml:space="preserve"> their performance </w:t>
      </w:r>
      <w:r w:rsidR="00384138">
        <w:rPr>
          <w:rFonts w:ascii="Times New Roman" w:hAnsi="Times New Roman"/>
          <w:sz w:val="24"/>
          <w:szCs w:val="24"/>
        </w:rPr>
        <w:t xml:space="preserve">with CSA </w:t>
      </w:r>
      <w:r w:rsidR="00E82680" w:rsidRPr="00A75601">
        <w:rPr>
          <w:rFonts w:ascii="Times New Roman" w:hAnsi="Times New Roman"/>
          <w:sz w:val="24"/>
          <w:szCs w:val="24"/>
        </w:rPr>
        <w:t>over the period 2005-2009</w:t>
      </w:r>
      <w:r w:rsidR="00384138">
        <w:rPr>
          <w:rFonts w:ascii="Times New Roman" w:hAnsi="Times New Roman"/>
          <w:sz w:val="24"/>
          <w:szCs w:val="24"/>
        </w:rPr>
        <w:t xml:space="preserve">, </w:t>
      </w:r>
      <w:r w:rsidR="00384138" w:rsidRPr="00A75601">
        <w:rPr>
          <w:rFonts w:ascii="Times New Roman" w:hAnsi="Times New Roman"/>
          <w:sz w:val="24"/>
          <w:szCs w:val="24"/>
        </w:rPr>
        <w:t>contribut</w:t>
      </w:r>
      <w:r w:rsidR="00384138">
        <w:rPr>
          <w:rFonts w:ascii="Times New Roman" w:hAnsi="Times New Roman"/>
          <w:sz w:val="24"/>
          <w:szCs w:val="24"/>
        </w:rPr>
        <w:t>ing</w:t>
      </w:r>
      <w:r w:rsidR="00384138" w:rsidRPr="00A75601">
        <w:rPr>
          <w:rFonts w:ascii="Times New Roman" w:hAnsi="Times New Roman"/>
          <w:sz w:val="24"/>
          <w:szCs w:val="24"/>
        </w:rPr>
        <w:t xml:space="preserve"> to the understanding of the role of the equity hedge for CDS positions.</w:t>
      </w:r>
      <w:r w:rsidR="00E82680" w:rsidRPr="00A75601">
        <w:rPr>
          <w:rFonts w:ascii="Times New Roman" w:hAnsi="Times New Roman"/>
          <w:sz w:val="24"/>
          <w:szCs w:val="24"/>
        </w:rPr>
        <w:t xml:space="preserve"> The strategies are </w:t>
      </w:r>
      <w:r w:rsidR="00F67B22" w:rsidRPr="00A75601">
        <w:rPr>
          <w:rFonts w:ascii="Times New Roman" w:hAnsi="Times New Roman"/>
          <w:sz w:val="24"/>
          <w:szCs w:val="24"/>
        </w:rPr>
        <w:t>inspired by</w:t>
      </w:r>
      <w:r w:rsidR="00E82680" w:rsidRPr="00A75601">
        <w:rPr>
          <w:rFonts w:ascii="Times New Roman" w:hAnsi="Times New Roman"/>
          <w:sz w:val="24"/>
          <w:szCs w:val="24"/>
        </w:rPr>
        <w:t xml:space="preserve"> </w:t>
      </w:r>
      <w:r w:rsidR="0010553D" w:rsidRPr="00A75601">
        <w:rPr>
          <w:rFonts w:ascii="Times New Roman" w:hAnsi="Times New Roman"/>
          <w:sz w:val="24"/>
          <w:szCs w:val="24"/>
        </w:rPr>
        <w:t>three</w:t>
      </w:r>
      <w:r w:rsidR="00E82680" w:rsidRPr="00A75601">
        <w:rPr>
          <w:rFonts w:ascii="Times New Roman" w:hAnsi="Times New Roman"/>
          <w:sz w:val="24"/>
          <w:szCs w:val="24"/>
        </w:rPr>
        <w:t xml:space="preserve"> possible flaws of the CSA strategy, namely: (1) </w:t>
      </w:r>
      <w:r w:rsidR="00F1506E" w:rsidRPr="00A75601">
        <w:rPr>
          <w:rFonts w:ascii="Times New Roman" w:hAnsi="Times New Roman"/>
          <w:sz w:val="24"/>
          <w:szCs w:val="24"/>
        </w:rPr>
        <w:t>ineff</w:t>
      </w:r>
      <w:r w:rsidR="00E82680" w:rsidRPr="00A75601">
        <w:rPr>
          <w:rFonts w:ascii="Times New Roman" w:hAnsi="Times New Roman"/>
          <w:sz w:val="24"/>
          <w:szCs w:val="24"/>
        </w:rPr>
        <w:t>ective</w:t>
      </w:r>
      <w:r w:rsidR="00B93689" w:rsidRPr="00A75601">
        <w:rPr>
          <w:rFonts w:ascii="Times New Roman" w:hAnsi="Times New Roman"/>
          <w:sz w:val="24"/>
          <w:szCs w:val="24"/>
        </w:rPr>
        <w:t xml:space="preserve"> hedging</w:t>
      </w:r>
      <w:r w:rsidR="00E82680" w:rsidRPr="00A75601">
        <w:rPr>
          <w:rFonts w:ascii="Times New Roman" w:hAnsi="Times New Roman"/>
          <w:sz w:val="24"/>
          <w:szCs w:val="24"/>
        </w:rPr>
        <w:t xml:space="preserve">; (2) </w:t>
      </w:r>
      <w:r w:rsidR="00960A8B" w:rsidRPr="00A75601">
        <w:rPr>
          <w:rFonts w:ascii="Times New Roman" w:hAnsi="Times New Roman"/>
          <w:sz w:val="24"/>
          <w:szCs w:val="24"/>
        </w:rPr>
        <w:t>its lack of</w:t>
      </w:r>
      <w:r w:rsidR="00E82680" w:rsidRPr="00A75601">
        <w:rPr>
          <w:rFonts w:ascii="Times New Roman" w:hAnsi="Times New Roman"/>
          <w:sz w:val="24"/>
          <w:szCs w:val="24"/>
        </w:rPr>
        <w:t xml:space="preserve"> sensitiv</w:t>
      </w:r>
      <w:r w:rsidR="00960A8B" w:rsidRPr="00A75601">
        <w:rPr>
          <w:rFonts w:ascii="Times New Roman" w:hAnsi="Times New Roman"/>
          <w:sz w:val="24"/>
          <w:szCs w:val="24"/>
        </w:rPr>
        <w:t>ity</w:t>
      </w:r>
      <w:r w:rsidR="00E82680" w:rsidRPr="00A75601">
        <w:rPr>
          <w:rFonts w:ascii="Times New Roman" w:hAnsi="Times New Roman"/>
          <w:sz w:val="24"/>
          <w:szCs w:val="24"/>
        </w:rPr>
        <w:t xml:space="preserve"> to the informational </w:t>
      </w:r>
      <w:r w:rsidR="00384138">
        <w:rPr>
          <w:rFonts w:ascii="Times New Roman" w:hAnsi="Times New Roman"/>
          <w:sz w:val="24"/>
          <w:szCs w:val="24"/>
        </w:rPr>
        <w:t>efficiency of different markets</w:t>
      </w:r>
      <w:r w:rsidR="00E82680" w:rsidRPr="00A75601">
        <w:rPr>
          <w:rFonts w:ascii="Times New Roman" w:hAnsi="Times New Roman"/>
          <w:sz w:val="24"/>
          <w:szCs w:val="24"/>
        </w:rPr>
        <w:t xml:space="preserve">; </w:t>
      </w:r>
      <w:r w:rsidR="00C169AB" w:rsidRPr="00A75601">
        <w:rPr>
          <w:rFonts w:ascii="Times New Roman" w:hAnsi="Times New Roman"/>
          <w:sz w:val="24"/>
          <w:szCs w:val="24"/>
        </w:rPr>
        <w:t xml:space="preserve">and </w:t>
      </w:r>
      <w:r w:rsidR="00E82680" w:rsidRPr="00A75601">
        <w:rPr>
          <w:rFonts w:ascii="Times New Roman" w:hAnsi="Times New Roman"/>
          <w:sz w:val="24"/>
          <w:szCs w:val="24"/>
        </w:rPr>
        <w:t>(3) it does</w:t>
      </w:r>
      <w:r w:rsidR="004B0BBF" w:rsidRPr="00A75601">
        <w:rPr>
          <w:rFonts w:ascii="Times New Roman" w:hAnsi="Times New Roman"/>
          <w:sz w:val="24"/>
          <w:szCs w:val="24"/>
        </w:rPr>
        <w:t xml:space="preserve"> not</w:t>
      </w:r>
      <w:r w:rsidR="00E82680" w:rsidRPr="00A75601">
        <w:rPr>
          <w:rFonts w:ascii="Times New Roman" w:hAnsi="Times New Roman"/>
          <w:sz w:val="24"/>
          <w:szCs w:val="24"/>
        </w:rPr>
        <w:t xml:space="preserve"> take into account the exact form of coint</w:t>
      </w:r>
      <w:r w:rsidR="00384138">
        <w:rPr>
          <w:rFonts w:ascii="Times New Roman" w:hAnsi="Times New Roman"/>
          <w:sz w:val="24"/>
          <w:szCs w:val="24"/>
        </w:rPr>
        <w:t>egration between the two markets</w:t>
      </w:r>
      <w:r w:rsidR="00C169AB" w:rsidRPr="00A75601">
        <w:rPr>
          <w:rFonts w:ascii="Times New Roman" w:hAnsi="Times New Roman"/>
          <w:sz w:val="24"/>
          <w:szCs w:val="24"/>
        </w:rPr>
        <w:t xml:space="preserve">. </w:t>
      </w:r>
    </w:p>
    <w:p w14:paraId="4FD57C71" w14:textId="77777777" w:rsidR="007B4CE9" w:rsidRPr="00A75601" w:rsidRDefault="00960A8B" w:rsidP="00A75601">
      <w:pPr>
        <w:spacing w:line="480" w:lineRule="auto"/>
        <w:jc w:val="both"/>
        <w:rPr>
          <w:rFonts w:ascii="Times New Roman" w:hAnsi="Times New Roman"/>
          <w:sz w:val="24"/>
          <w:szCs w:val="24"/>
        </w:rPr>
      </w:pPr>
      <w:r w:rsidRPr="00A75601">
        <w:rPr>
          <w:rFonts w:ascii="Times New Roman" w:hAnsi="Times New Roman"/>
          <w:sz w:val="24"/>
          <w:szCs w:val="24"/>
        </w:rPr>
        <w:t>T</w:t>
      </w:r>
      <w:r w:rsidR="008E452B" w:rsidRPr="00A75601">
        <w:rPr>
          <w:rFonts w:ascii="Times New Roman" w:hAnsi="Times New Roman"/>
          <w:sz w:val="24"/>
          <w:szCs w:val="24"/>
        </w:rPr>
        <w:t>he new strategies are</w:t>
      </w:r>
      <w:r w:rsidR="00F57464" w:rsidRPr="00A75601">
        <w:rPr>
          <w:rFonts w:ascii="Times New Roman" w:hAnsi="Times New Roman"/>
          <w:sz w:val="24"/>
          <w:szCs w:val="24"/>
        </w:rPr>
        <w:t xml:space="preserve"> </w:t>
      </w:r>
      <w:r w:rsidR="008E452B" w:rsidRPr="00A75601">
        <w:rPr>
          <w:rFonts w:ascii="Times New Roman" w:hAnsi="Times New Roman"/>
          <w:sz w:val="24"/>
          <w:szCs w:val="24"/>
        </w:rPr>
        <w:t xml:space="preserve">based on the price discovery process of the CDS and equity markets. The methodology </w:t>
      </w:r>
      <w:r w:rsidR="00924A16">
        <w:rPr>
          <w:rFonts w:ascii="Times New Roman" w:hAnsi="Times New Roman"/>
          <w:sz w:val="24"/>
          <w:szCs w:val="24"/>
        </w:rPr>
        <w:t xml:space="preserve">we use in this paper </w:t>
      </w:r>
      <w:r w:rsidR="008E452B" w:rsidRPr="00A75601">
        <w:rPr>
          <w:rFonts w:ascii="Times New Roman" w:hAnsi="Times New Roman"/>
          <w:sz w:val="24"/>
          <w:szCs w:val="24"/>
        </w:rPr>
        <w:t>derives from the literature on common factor models, pioneer</w:t>
      </w:r>
      <w:r w:rsidR="00F57464" w:rsidRPr="00A75601">
        <w:rPr>
          <w:rFonts w:ascii="Times New Roman" w:hAnsi="Times New Roman"/>
          <w:sz w:val="24"/>
          <w:szCs w:val="24"/>
        </w:rPr>
        <w:t>ed</w:t>
      </w:r>
      <w:r w:rsidR="008E452B" w:rsidRPr="00A75601">
        <w:rPr>
          <w:rFonts w:ascii="Times New Roman" w:hAnsi="Times New Roman"/>
          <w:sz w:val="24"/>
          <w:szCs w:val="24"/>
        </w:rPr>
        <w:t xml:space="preserve"> </w:t>
      </w:r>
      <w:r w:rsidR="00F57464" w:rsidRPr="00A75601">
        <w:rPr>
          <w:rFonts w:ascii="Times New Roman" w:hAnsi="Times New Roman"/>
          <w:sz w:val="24"/>
          <w:szCs w:val="24"/>
        </w:rPr>
        <w:t xml:space="preserve">by </w:t>
      </w:r>
      <w:r w:rsidR="008E452B" w:rsidRPr="00A75601">
        <w:rPr>
          <w:rFonts w:ascii="Times New Roman" w:hAnsi="Times New Roman"/>
          <w:sz w:val="24"/>
          <w:szCs w:val="24"/>
        </w:rPr>
        <w:t>Hasbrouck (1995)</w:t>
      </w:r>
      <w:r w:rsidR="00902FD7">
        <w:rPr>
          <w:rFonts w:ascii="Times New Roman" w:hAnsi="Times New Roman"/>
          <w:sz w:val="24"/>
          <w:szCs w:val="24"/>
        </w:rPr>
        <w:t xml:space="preserve">, </w:t>
      </w:r>
      <w:r w:rsidR="000546E7">
        <w:rPr>
          <w:rFonts w:ascii="Times New Roman" w:hAnsi="Times New Roman"/>
          <w:sz w:val="24"/>
          <w:szCs w:val="24"/>
        </w:rPr>
        <w:t>who introduced the</w:t>
      </w:r>
      <w:r w:rsidR="00902FD7">
        <w:rPr>
          <w:rFonts w:ascii="Times New Roman" w:hAnsi="Times New Roman"/>
          <w:sz w:val="24"/>
          <w:szCs w:val="24"/>
        </w:rPr>
        <w:t xml:space="preserve"> </w:t>
      </w:r>
      <w:r w:rsidR="008E452B" w:rsidRPr="00A75601">
        <w:rPr>
          <w:rFonts w:ascii="Times New Roman" w:hAnsi="Times New Roman"/>
          <w:sz w:val="24"/>
          <w:szCs w:val="24"/>
        </w:rPr>
        <w:t>information share (IS)</w:t>
      </w:r>
      <w:r w:rsidR="000546E7">
        <w:rPr>
          <w:rFonts w:ascii="Times New Roman" w:hAnsi="Times New Roman"/>
          <w:sz w:val="24"/>
          <w:szCs w:val="24"/>
        </w:rPr>
        <w:t xml:space="preserve"> measure of price discovery.</w:t>
      </w:r>
      <w:r w:rsidR="000546E7" w:rsidRPr="00963990">
        <w:rPr>
          <w:rFonts w:ascii="Times New Roman" w:hAnsi="Times New Roman"/>
          <w:sz w:val="24"/>
          <w:szCs w:val="24"/>
        </w:rPr>
        <w:t xml:space="preserve"> </w:t>
      </w:r>
      <w:r w:rsidR="008E452B" w:rsidRPr="00A75601">
        <w:rPr>
          <w:rFonts w:ascii="Times New Roman" w:hAnsi="Times New Roman"/>
          <w:sz w:val="24"/>
          <w:szCs w:val="24"/>
        </w:rPr>
        <w:t xml:space="preserve"> </w:t>
      </w:r>
    </w:p>
    <w:p w14:paraId="4C13D2CB" w14:textId="77777777" w:rsidR="00447B65" w:rsidRPr="00A75601" w:rsidRDefault="00A80770" w:rsidP="00A75601">
      <w:pPr>
        <w:spacing w:line="480" w:lineRule="auto"/>
        <w:jc w:val="both"/>
        <w:rPr>
          <w:rFonts w:ascii="Times New Roman" w:hAnsi="Times New Roman"/>
          <w:sz w:val="24"/>
          <w:szCs w:val="24"/>
        </w:rPr>
      </w:pPr>
      <w:r w:rsidRPr="00A75601">
        <w:rPr>
          <w:rFonts w:ascii="Times New Roman" w:hAnsi="Times New Roman"/>
          <w:sz w:val="24"/>
          <w:szCs w:val="24"/>
        </w:rPr>
        <w:lastRenderedPageBreak/>
        <w:t xml:space="preserve">One of the contributions of </w:t>
      </w:r>
      <w:r w:rsidR="00547C59" w:rsidRPr="00A75601">
        <w:rPr>
          <w:rFonts w:ascii="Times New Roman" w:hAnsi="Times New Roman"/>
          <w:sz w:val="24"/>
          <w:szCs w:val="24"/>
        </w:rPr>
        <w:t>our</w:t>
      </w:r>
      <w:r w:rsidRPr="00A75601">
        <w:rPr>
          <w:rFonts w:ascii="Times New Roman" w:hAnsi="Times New Roman"/>
          <w:sz w:val="24"/>
          <w:szCs w:val="24"/>
        </w:rPr>
        <w:t xml:space="preserve"> </w:t>
      </w:r>
      <w:r w:rsidR="00547C59" w:rsidRPr="00A75601">
        <w:rPr>
          <w:rFonts w:ascii="Times New Roman" w:hAnsi="Times New Roman"/>
          <w:sz w:val="24"/>
          <w:szCs w:val="24"/>
        </w:rPr>
        <w:t>analysis</w:t>
      </w:r>
      <w:r w:rsidR="006D6165" w:rsidRPr="00A75601">
        <w:rPr>
          <w:rFonts w:ascii="Times New Roman" w:hAnsi="Times New Roman"/>
          <w:sz w:val="24"/>
          <w:szCs w:val="24"/>
        </w:rPr>
        <w:t xml:space="preserve"> is that </w:t>
      </w:r>
      <w:r w:rsidR="00012EB1" w:rsidRPr="00A75601">
        <w:rPr>
          <w:rFonts w:ascii="Times New Roman" w:hAnsi="Times New Roman"/>
          <w:sz w:val="24"/>
          <w:szCs w:val="24"/>
        </w:rPr>
        <w:t>we use</w:t>
      </w:r>
      <w:r w:rsidR="00A34756">
        <w:rPr>
          <w:rFonts w:ascii="Times New Roman" w:hAnsi="Times New Roman"/>
          <w:sz w:val="24"/>
          <w:szCs w:val="24"/>
        </w:rPr>
        <w:t xml:space="preserve"> time-varying</w:t>
      </w:r>
      <w:r w:rsidR="006D6165" w:rsidRPr="00A75601">
        <w:rPr>
          <w:rFonts w:ascii="Times New Roman" w:hAnsi="Times New Roman"/>
          <w:sz w:val="24"/>
          <w:szCs w:val="24"/>
        </w:rPr>
        <w:t xml:space="preserve"> price discovery measures, built on volatility forecasts</w:t>
      </w:r>
      <w:r w:rsidR="00012EB1" w:rsidRPr="00A75601">
        <w:rPr>
          <w:rFonts w:ascii="Times New Roman" w:hAnsi="Times New Roman"/>
          <w:sz w:val="24"/>
          <w:szCs w:val="24"/>
        </w:rPr>
        <w:t xml:space="preserve">, to construct new </w:t>
      </w:r>
      <w:r w:rsidR="00B908C9" w:rsidRPr="00A75601">
        <w:rPr>
          <w:rFonts w:ascii="Times New Roman" w:hAnsi="Times New Roman"/>
          <w:sz w:val="24"/>
          <w:szCs w:val="24"/>
        </w:rPr>
        <w:t xml:space="preserve">trading </w:t>
      </w:r>
      <w:r w:rsidR="00012EB1" w:rsidRPr="00A75601">
        <w:rPr>
          <w:rFonts w:ascii="Times New Roman" w:hAnsi="Times New Roman"/>
          <w:sz w:val="24"/>
          <w:szCs w:val="24"/>
        </w:rPr>
        <w:t>strategies</w:t>
      </w:r>
      <w:r w:rsidR="006D6165" w:rsidRPr="00A75601">
        <w:rPr>
          <w:rFonts w:ascii="Times New Roman" w:hAnsi="Times New Roman"/>
          <w:sz w:val="24"/>
          <w:szCs w:val="24"/>
        </w:rPr>
        <w:t>.</w:t>
      </w:r>
      <w:r w:rsidR="00832424" w:rsidRPr="00A75601">
        <w:rPr>
          <w:rFonts w:ascii="Times New Roman" w:hAnsi="Times New Roman"/>
          <w:sz w:val="24"/>
          <w:szCs w:val="24"/>
        </w:rPr>
        <w:t xml:space="preserve"> </w:t>
      </w:r>
      <w:r w:rsidR="007B4CE9" w:rsidRPr="00A75601">
        <w:rPr>
          <w:rFonts w:ascii="Times New Roman" w:hAnsi="Times New Roman"/>
          <w:sz w:val="24"/>
          <w:szCs w:val="24"/>
        </w:rPr>
        <w:t xml:space="preserve">We also add to the literature by </w:t>
      </w:r>
      <w:r w:rsidR="00E00DD8" w:rsidRPr="00A75601">
        <w:rPr>
          <w:rFonts w:ascii="Times New Roman" w:hAnsi="Times New Roman"/>
          <w:sz w:val="24"/>
          <w:szCs w:val="24"/>
        </w:rPr>
        <w:t>(</w:t>
      </w:r>
      <w:r w:rsidR="001C3A07" w:rsidRPr="00A75601">
        <w:rPr>
          <w:rFonts w:ascii="Times New Roman" w:hAnsi="Times New Roman"/>
          <w:sz w:val="24"/>
          <w:szCs w:val="24"/>
        </w:rPr>
        <w:t>1</w:t>
      </w:r>
      <w:r w:rsidR="00E00DD8" w:rsidRPr="00A75601">
        <w:rPr>
          <w:rFonts w:ascii="Times New Roman" w:hAnsi="Times New Roman"/>
          <w:sz w:val="24"/>
          <w:szCs w:val="24"/>
        </w:rPr>
        <w:t xml:space="preserve">) introducing strategies which </w:t>
      </w:r>
      <w:r w:rsidR="00650508" w:rsidRPr="00A75601">
        <w:rPr>
          <w:rFonts w:ascii="Times New Roman" w:hAnsi="Times New Roman"/>
          <w:sz w:val="24"/>
          <w:szCs w:val="24"/>
        </w:rPr>
        <w:t>are based on the cointegration of CDS and equity-implied spreads, (2) giving new empirical evidence on the controversial hedging role of equity for CDS positions</w:t>
      </w:r>
      <w:r w:rsidR="00545A94" w:rsidRPr="00A75601">
        <w:rPr>
          <w:rFonts w:ascii="Times New Roman" w:hAnsi="Times New Roman"/>
          <w:sz w:val="24"/>
          <w:szCs w:val="24"/>
        </w:rPr>
        <w:t xml:space="preserve"> after accounting for lead-lag relations</w:t>
      </w:r>
      <w:r w:rsidR="00650508" w:rsidRPr="00A75601">
        <w:rPr>
          <w:rFonts w:ascii="Times New Roman" w:hAnsi="Times New Roman"/>
          <w:sz w:val="24"/>
          <w:szCs w:val="24"/>
        </w:rPr>
        <w:t xml:space="preserve"> </w:t>
      </w:r>
      <w:r w:rsidR="007B4CE9" w:rsidRPr="00A75601">
        <w:rPr>
          <w:rFonts w:ascii="Times New Roman" w:hAnsi="Times New Roman"/>
          <w:sz w:val="24"/>
          <w:szCs w:val="24"/>
        </w:rPr>
        <w:t>and (</w:t>
      </w:r>
      <w:r w:rsidR="00650508" w:rsidRPr="00A75601">
        <w:rPr>
          <w:rFonts w:ascii="Times New Roman" w:hAnsi="Times New Roman"/>
          <w:sz w:val="24"/>
          <w:szCs w:val="24"/>
        </w:rPr>
        <w:t>3</w:t>
      </w:r>
      <w:r w:rsidR="007B4CE9" w:rsidRPr="00A75601">
        <w:rPr>
          <w:rFonts w:ascii="Times New Roman" w:hAnsi="Times New Roman"/>
          <w:sz w:val="24"/>
          <w:szCs w:val="24"/>
        </w:rPr>
        <w:t>) deal</w:t>
      </w:r>
      <w:r w:rsidR="00F27010" w:rsidRPr="00A75601">
        <w:rPr>
          <w:rFonts w:ascii="Times New Roman" w:hAnsi="Times New Roman"/>
          <w:sz w:val="24"/>
          <w:szCs w:val="24"/>
        </w:rPr>
        <w:t>ing</w:t>
      </w:r>
      <w:r w:rsidR="007B4CE9" w:rsidRPr="00A75601">
        <w:rPr>
          <w:rFonts w:ascii="Times New Roman" w:hAnsi="Times New Roman"/>
          <w:sz w:val="24"/>
          <w:szCs w:val="24"/>
        </w:rPr>
        <w:t xml:space="preserve"> with the issue of asynchronous trading existing between the CDS and equity markets</w:t>
      </w:r>
      <w:r w:rsidR="00300B42" w:rsidRPr="00A75601">
        <w:rPr>
          <w:rFonts w:ascii="Times New Roman" w:hAnsi="Times New Roman"/>
          <w:sz w:val="24"/>
          <w:szCs w:val="24"/>
        </w:rPr>
        <w:t xml:space="preserve">. </w:t>
      </w:r>
    </w:p>
    <w:p w14:paraId="2F8A841F" w14:textId="77777777" w:rsidR="00A34756" w:rsidRDefault="00DB3EF6" w:rsidP="00A34756">
      <w:pPr>
        <w:spacing w:line="480" w:lineRule="auto"/>
        <w:jc w:val="both"/>
        <w:rPr>
          <w:rFonts w:ascii="Times New Roman" w:hAnsi="Times New Roman"/>
          <w:sz w:val="24"/>
          <w:szCs w:val="24"/>
        </w:rPr>
      </w:pPr>
      <w:r w:rsidRPr="00A75601">
        <w:rPr>
          <w:rFonts w:ascii="Times New Roman" w:hAnsi="Times New Roman"/>
          <w:sz w:val="24"/>
          <w:szCs w:val="24"/>
        </w:rPr>
        <w:t xml:space="preserve">Our first step is to compute the equity implied spreads </w:t>
      </w:r>
      <w:r w:rsidR="00384138" w:rsidRPr="00A75601">
        <w:rPr>
          <w:rFonts w:ascii="Times New Roman" w:hAnsi="Times New Roman"/>
          <w:sz w:val="24"/>
          <w:szCs w:val="24"/>
        </w:rPr>
        <w:t xml:space="preserve">from </w:t>
      </w:r>
      <w:proofErr w:type="spellStart"/>
      <w:r w:rsidR="00384138" w:rsidRPr="00A75601">
        <w:rPr>
          <w:rFonts w:ascii="Times New Roman" w:hAnsi="Times New Roman"/>
          <w:sz w:val="24"/>
          <w:szCs w:val="24"/>
        </w:rPr>
        <w:t>CreditGrades</w:t>
      </w:r>
      <w:proofErr w:type="spellEnd"/>
      <w:r w:rsidR="00384138">
        <w:rPr>
          <w:rStyle w:val="EndnoteReference"/>
          <w:rFonts w:ascii="Times New Roman" w:hAnsi="Times New Roman"/>
          <w:sz w:val="24"/>
          <w:szCs w:val="24"/>
        </w:rPr>
        <w:endnoteReference w:id="4"/>
      </w:r>
      <w:r w:rsidR="00384138" w:rsidRPr="00A75601">
        <w:rPr>
          <w:rFonts w:ascii="Times New Roman" w:hAnsi="Times New Roman"/>
          <w:sz w:val="24"/>
          <w:szCs w:val="24"/>
        </w:rPr>
        <w:t>, a Merton-like structural credit risk model (Merton, 1974)</w:t>
      </w:r>
      <w:r w:rsidR="00384138">
        <w:rPr>
          <w:rFonts w:ascii="Times New Roman" w:hAnsi="Times New Roman"/>
          <w:sz w:val="24"/>
          <w:szCs w:val="24"/>
        </w:rPr>
        <w:t xml:space="preserve"> </w:t>
      </w:r>
      <w:r w:rsidRPr="00A75601">
        <w:rPr>
          <w:rFonts w:ascii="Times New Roman" w:hAnsi="Times New Roman"/>
          <w:sz w:val="24"/>
          <w:szCs w:val="24"/>
        </w:rPr>
        <w:t xml:space="preserve">for </w:t>
      </w:r>
      <w:r w:rsidR="008C7040">
        <w:rPr>
          <w:rFonts w:ascii="Times New Roman" w:hAnsi="Times New Roman"/>
          <w:sz w:val="24"/>
          <w:szCs w:val="24"/>
        </w:rPr>
        <w:t>the</w:t>
      </w:r>
      <w:r w:rsidRPr="00A75601">
        <w:rPr>
          <w:rFonts w:ascii="Times New Roman" w:hAnsi="Times New Roman"/>
          <w:sz w:val="24"/>
          <w:szCs w:val="24"/>
        </w:rPr>
        <w:t xml:space="preserve"> companies in our sample</w:t>
      </w:r>
      <w:r w:rsidR="00924A16">
        <w:rPr>
          <w:rFonts w:ascii="Times New Roman" w:hAnsi="Times New Roman"/>
          <w:sz w:val="24"/>
          <w:szCs w:val="24"/>
        </w:rPr>
        <w:t>.</w:t>
      </w:r>
      <w:r w:rsidR="00384138">
        <w:rPr>
          <w:rStyle w:val="EndnoteReference"/>
          <w:rFonts w:ascii="Times New Roman" w:hAnsi="Times New Roman"/>
          <w:sz w:val="24"/>
          <w:szCs w:val="24"/>
        </w:rPr>
        <w:endnoteReference w:id="5"/>
      </w:r>
      <w:r w:rsidR="00200CE0">
        <w:rPr>
          <w:rFonts w:ascii="Times New Roman" w:hAnsi="Times New Roman"/>
          <w:sz w:val="24"/>
          <w:szCs w:val="24"/>
        </w:rPr>
        <w:t xml:space="preserve"> </w:t>
      </w:r>
      <w:r w:rsidRPr="00A75601">
        <w:rPr>
          <w:rFonts w:ascii="Times New Roman" w:hAnsi="Times New Roman"/>
          <w:sz w:val="24"/>
          <w:szCs w:val="24"/>
        </w:rPr>
        <w:t xml:space="preserve">This is followed by fitting a multivariate GARCH model to the </w:t>
      </w:r>
      <w:r w:rsidR="00E53708" w:rsidRPr="00A75601">
        <w:rPr>
          <w:rFonts w:ascii="Times New Roman" w:hAnsi="Times New Roman"/>
          <w:sz w:val="24"/>
          <w:szCs w:val="24"/>
        </w:rPr>
        <w:t xml:space="preserve">innovations obtained by </w:t>
      </w:r>
      <w:r w:rsidR="00200CE0">
        <w:rPr>
          <w:rFonts w:ascii="Times New Roman" w:hAnsi="Times New Roman"/>
          <w:sz w:val="24"/>
          <w:szCs w:val="24"/>
        </w:rPr>
        <w:t>estimating</w:t>
      </w:r>
      <w:r w:rsidR="00E53708" w:rsidRPr="00A75601">
        <w:rPr>
          <w:rFonts w:ascii="Times New Roman" w:hAnsi="Times New Roman"/>
          <w:sz w:val="24"/>
          <w:szCs w:val="24"/>
        </w:rPr>
        <w:t xml:space="preserve"> a VECM model to the </w:t>
      </w:r>
      <w:r w:rsidRPr="00A75601">
        <w:rPr>
          <w:rFonts w:ascii="Times New Roman" w:hAnsi="Times New Roman"/>
          <w:sz w:val="24"/>
          <w:szCs w:val="24"/>
        </w:rPr>
        <w:t>CDS spreads and the equity implied spreads</w:t>
      </w:r>
      <w:r w:rsidR="00E53708" w:rsidRPr="00A75601">
        <w:rPr>
          <w:rFonts w:ascii="Times New Roman" w:hAnsi="Times New Roman"/>
          <w:sz w:val="24"/>
          <w:szCs w:val="24"/>
        </w:rPr>
        <w:t>. Both the VECM and GARCH models</w:t>
      </w:r>
      <w:r w:rsidRPr="00A75601">
        <w:rPr>
          <w:rFonts w:ascii="Times New Roman" w:hAnsi="Times New Roman"/>
          <w:sz w:val="24"/>
          <w:szCs w:val="24"/>
        </w:rPr>
        <w:t xml:space="preserve"> </w:t>
      </w:r>
      <w:r w:rsidR="00E53708" w:rsidRPr="00A75601">
        <w:rPr>
          <w:rFonts w:ascii="Times New Roman" w:hAnsi="Times New Roman"/>
          <w:sz w:val="24"/>
          <w:szCs w:val="24"/>
        </w:rPr>
        <w:t>are</w:t>
      </w:r>
      <w:r w:rsidRPr="00A75601">
        <w:rPr>
          <w:rFonts w:ascii="Times New Roman" w:hAnsi="Times New Roman"/>
          <w:sz w:val="24"/>
          <w:szCs w:val="24"/>
        </w:rPr>
        <w:t xml:space="preserve"> used to compute the time-varying IS measure for the equity and CDS markets for all the obligors</w:t>
      </w:r>
      <w:r w:rsidR="008C7040">
        <w:rPr>
          <w:rFonts w:ascii="Times New Roman" w:hAnsi="Times New Roman"/>
          <w:sz w:val="24"/>
          <w:szCs w:val="24"/>
        </w:rPr>
        <w:t>, and we propose new</w:t>
      </w:r>
      <w:r w:rsidR="003C0C1E" w:rsidRPr="00A75601">
        <w:rPr>
          <w:rFonts w:ascii="Times New Roman" w:hAnsi="Times New Roman"/>
          <w:sz w:val="24"/>
          <w:szCs w:val="24"/>
        </w:rPr>
        <w:t xml:space="preserve"> trading strategies based on the</w:t>
      </w:r>
      <w:r w:rsidR="008C7040">
        <w:rPr>
          <w:rFonts w:ascii="Times New Roman" w:hAnsi="Times New Roman"/>
          <w:sz w:val="24"/>
          <w:szCs w:val="24"/>
        </w:rPr>
        <w:t>se.</w:t>
      </w:r>
      <w:r w:rsidR="003C0C1E" w:rsidRPr="00A75601">
        <w:rPr>
          <w:rFonts w:ascii="Times New Roman" w:hAnsi="Times New Roman"/>
          <w:sz w:val="24"/>
          <w:szCs w:val="24"/>
        </w:rPr>
        <w:t xml:space="preserve"> </w:t>
      </w:r>
    </w:p>
    <w:p w14:paraId="721E94DD" w14:textId="557B8A74" w:rsidR="00351CEA" w:rsidRDefault="00512543" w:rsidP="00A34756">
      <w:pPr>
        <w:spacing w:line="480" w:lineRule="auto"/>
        <w:jc w:val="both"/>
        <w:rPr>
          <w:rFonts w:ascii="Times New Roman" w:hAnsi="Times New Roman"/>
          <w:sz w:val="24"/>
          <w:szCs w:val="24"/>
        </w:rPr>
      </w:pPr>
      <w:r>
        <w:rPr>
          <w:rFonts w:ascii="Times New Roman" w:hAnsi="Times New Roman"/>
          <w:sz w:val="24"/>
          <w:szCs w:val="24"/>
        </w:rPr>
        <w:t>Our main findings show that, during the 2005-2009 period, hedging CDS positions with equities is only effective in the period preceding the outbreak of the subprime crisis. The new unhedged strategies we introduce outperform the hedged strategies during the subprime crisis period generating positive Sharpe ratios (the best performing strategy produces a Sharpe ratio of 1.24</w:t>
      </w:r>
      <w:r w:rsidR="008F1D84">
        <w:rPr>
          <w:rFonts w:ascii="Times New Roman" w:hAnsi="Times New Roman"/>
          <w:sz w:val="24"/>
          <w:szCs w:val="24"/>
        </w:rPr>
        <w:t>). In the pre-crisis period, our hedged strategy based on the use of price discovery trading triggers delivers a very similar performance to the CSA but with a much lower trading frequency (almost 40% less trading). Unhedged strategies based on price discovery triggers generate a very poor performance in the pre-crisis period. More importantly, a portfolio combining the four strategies we analyse generates returns which are much less correlated with market risk factors than the standard CSA strategy.</w:t>
      </w:r>
      <w:r>
        <w:rPr>
          <w:rFonts w:ascii="Times New Roman" w:hAnsi="Times New Roman"/>
          <w:sz w:val="24"/>
          <w:szCs w:val="24"/>
        </w:rPr>
        <w:t xml:space="preserve"> </w:t>
      </w:r>
      <w:r w:rsidR="00351CEA">
        <w:rPr>
          <w:rFonts w:ascii="Times New Roman" w:hAnsi="Times New Roman"/>
          <w:sz w:val="24"/>
          <w:szCs w:val="24"/>
        </w:rPr>
        <w:t>The structure of the paper is as follows: the next section discusses price discovery in the CDS and equity markets, section 3 describes the data followed by the methodology and the results sections. The final section concludes.</w:t>
      </w:r>
    </w:p>
    <w:p w14:paraId="6A85DEEF" w14:textId="4787B362" w:rsidR="000B1A1E" w:rsidRDefault="000B1A1E" w:rsidP="000B1A1E">
      <w:pPr>
        <w:pStyle w:val="ListParagraph"/>
        <w:numPr>
          <w:ilvl w:val="0"/>
          <w:numId w:val="18"/>
        </w:numPr>
        <w:spacing w:after="120" w:line="480" w:lineRule="auto"/>
        <w:jc w:val="both"/>
        <w:rPr>
          <w:rFonts w:ascii="Times New Roman" w:hAnsi="Times New Roman"/>
          <w:b/>
          <w:sz w:val="24"/>
          <w:szCs w:val="24"/>
        </w:rPr>
      </w:pPr>
      <w:r>
        <w:rPr>
          <w:rFonts w:ascii="Times New Roman" w:hAnsi="Times New Roman"/>
          <w:b/>
          <w:sz w:val="24"/>
          <w:szCs w:val="24"/>
        </w:rPr>
        <w:lastRenderedPageBreak/>
        <w:t>Price discovery in the CDS and equity markets</w:t>
      </w:r>
    </w:p>
    <w:p w14:paraId="1C75BE61" w14:textId="77777777" w:rsidR="00902FD7" w:rsidRPr="000B1A1E" w:rsidRDefault="00021700" w:rsidP="000B1A1E">
      <w:pPr>
        <w:pStyle w:val="ListParagraph"/>
        <w:numPr>
          <w:ilvl w:val="1"/>
          <w:numId w:val="18"/>
        </w:numPr>
        <w:spacing w:after="120" w:line="480" w:lineRule="auto"/>
        <w:ind w:left="426"/>
        <w:jc w:val="both"/>
        <w:rPr>
          <w:rFonts w:ascii="Times New Roman" w:hAnsi="Times New Roman"/>
          <w:b/>
          <w:sz w:val="24"/>
          <w:szCs w:val="24"/>
        </w:rPr>
      </w:pPr>
      <w:r w:rsidRPr="000B1A1E">
        <w:rPr>
          <w:rFonts w:ascii="Times New Roman" w:hAnsi="Times New Roman"/>
          <w:b/>
          <w:sz w:val="24"/>
          <w:szCs w:val="24"/>
        </w:rPr>
        <w:t>Price discovery of spreads</w:t>
      </w:r>
    </w:p>
    <w:p w14:paraId="6C154A81" w14:textId="77777777" w:rsidR="00DD4439" w:rsidRDefault="00F14BA2" w:rsidP="00902FD7">
      <w:pPr>
        <w:spacing w:line="480" w:lineRule="auto"/>
        <w:jc w:val="both"/>
        <w:rPr>
          <w:rFonts w:ascii="Times New Roman" w:hAnsi="Times New Roman"/>
          <w:sz w:val="24"/>
          <w:szCs w:val="24"/>
        </w:rPr>
      </w:pPr>
      <w:r>
        <w:rPr>
          <w:rFonts w:ascii="Times New Roman" w:hAnsi="Times New Roman"/>
          <w:sz w:val="24"/>
          <w:szCs w:val="24"/>
        </w:rPr>
        <w:t xml:space="preserve">Lehmann (2002) defines the price discovery as the “efficient and timely incorporation of the information implicit in investor trading into market prices”. </w:t>
      </w:r>
      <w:r w:rsidR="00C1226F">
        <w:rPr>
          <w:rFonts w:ascii="Times New Roman" w:hAnsi="Times New Roman"/>
          <w:sz w:val="24"/>
          <w:szCs w:val="24"/>
        </w:rPr>
        <w:t xml:space="preserve">Hence, </w:t>
      </w:r>
      <w:r w:rsidR="00DD4439">
        <w:rPr>
          <w:rFonts w:ascii="Times New Roman" w:hAnsi="Times New Roman"/>
          <w:sz w:val="24"/>
          <w:szCs w:val="24"/>
        </w:rPr>
        <w:t xml:space="preserve">when two price series are closely linked by arbitrage considerations, </w:t>
      </w:r>
      <w:r w:rsidR="00C1226F">
        <w:rPr>
          <w:rFonts w:ascii="Times New Roman" w:hAnsi="Times New Roman"/>
          <w:sz w:val="24"/>
          <w:szCs w:val="24"/>
        </w:rPr>
        <w:t>quantifying the contribution of a price series to the price discovery is equivalent to measuring the extent to which it is the first to reflect new information about the “true” underlying asset value.</w:t>
      </w:r>
      <w:r>
        <w:rPr>
          <w:rFonts w:ascii="Times New Roman" w:hAnsi="Times New Roman"/>
          <w:sz w:val="24"/>
          <w:szCs w:val="24"/>
        </w:rPr>
        <w:t xml:space="preserve"> </w:t>
      </w:r>
    </w:p>
    <w:p w14:paraId="07D82AB5" w14:textId="77777777" w:rsidR="00DD4439" w:rsidRDefault="00C1226F" w:rsidP="00902FD7">
      <w:pPr>
        <w:spacing w:line="480" w:lineRule="auto"/>
        <w:jc w:val="both"/>
        <w:rPr>
          <w:rFonts w:ascii="Times New Roman" w:hAnsi="Times New Roman"/>
          <w:sz w:val="24"/>
          <w:szCs w:val="24"/>
        </w:rPr>
      </w:pPr>
      <w:r>
        <w:rPr>
          <w:rFonts w:ascii="Times New Roman" w:hAnsi="Times New Roman"/>
          <w:sz w:val="24"/>
          <w:szCs w:val="24"/>
        </w:rPr>
        <w:t>For the purpose of this paper, any trader who could produce accurate estimates of price discovery for both CDS and equity-implied spreads, would be in an advantageous position (relative to her/his peer traders)</w:t>
      </w:r>
      <w:r w:rsidR="00DD4439">
        <w:rPr>
          <w:rFonts w:ascii="Times New Roman" w:hAnsi="Times New Roman"/>
          <w:sz w:val="24"/>
          <w:szCs w:val="24"/>
        </w:rPr>
        <w:t>, as she/he could be able to better predict the future direction of movements of the spreads which are slower at reflecting new information.</w:t>
      </w:r>
      <w:r>
        <w:rPr>
          <w:rFonts w:ascii="Times New Roman" w:hAnsi="Times New Roman"/>
          <w:sz w:val="24"/>
          <w:szCs w:val="24"/>
        </w:rPr>
        <w:t xml:space="preserve"> </w:t>
      </w:r>
    </w:p>
    <w:p w14:paraId="0AEB0E57" w14:textId="77777777" w:rsidR="00902FD7" w:rsidRDefault="00610A70" w:rsidP="00902FD7">
      <w:pPr>
        <w:spacing w:line="480" w:lineRule="auto"/>
        <w:jc w:val="both"/>
        <w:rPr>
          <w:rFonts w:ascii="Times New Roman" w:hAnsi="Times New Roman"/>
          <w:sz w:val="24"/>
          <w:szCs w:val="24"/>
        </w:rPr>
      </w:pPr>
      <w:r>
        <w:rPr>
          <w:rFonts w:ascii="Times New Roman" w:hAnsi="Times New Roman"/>
          <w:sz w:val="24"/>
          <w:szCs w:val="24"/>
        </w:rPr>
        <w:t>We use the IS measure defined in Hasbrouck (1995) to quantify t</w:t>
      </w:r>
      <w:r w:rsidR="003C0C1E" w:rsidRPr="00A75601">
        <w:rPr>
          <w:rFonts w:ascii="Times New Roman" w:hAnsi="Times New Roman"/>
          <w:sz w:val="24"/>
          <w:szCs w:val="24"/>
        </w:rPr>
        <w:t xml:space="preserve">he </w:t>
      </w:r>
      <w:r>
        <w:rPr>
          <w:rFonts w:ascii="Times New Roman" w:hAnsi="Times New Roman"/>
          <w:sz w:val="24"/>
          <w:szCs w:val="24"/>
        </w:rPr>
        <w:t>price discovery</w:t>
      </w:r>
      <w:r w:rsidR="003C0C1E" w:rsidRPr="00A75601">
        <w:rPr>
          <w:rFonts w:ascii="Times New Roman" w:hAnsi="Times New Roman"/>
          <w:sz w:val="24"/>
          <w:szCs w:val="24"/>
        </w:rPr>
        <w:t xml:space="preserve"> of </w:t>
      </w:r>
      <w:r>
        <w:rPr>
          <w:rFonts w:ascii="Times New Roman" w:hAnsi="Times New Roman"/>
          <w:sz w:val="24"/>
          <w:szCs w:val="24"/>
        </w:rPr>
        <w:t>CDS and equity-implied spreads.</w:t>
      </w:r>
      <w:r w:rsidR="003C0C1E" w:rsidRPr="00A75601">
        <w:rPr>
          <w:rFonts w:ascii="Times New Roman" w:hAnsi="Times New Roman"/>
          <w:sz w:val="24"/>
          <w:szCs w:val="24"/>
        </w:rPr>
        <w:t xml:space="preserve"> </w:t>
      </w:r>
      <w:r>
        <w:rPr>
          <w:rFonts w:ascii="Times New Roman" w:hAnsi="Times New Roman"/>
          <w:sz w:val="24"/>
          <w:szCs w:val="24"/>
        </w:rPr>
        <w:t xml:space="preserve">If CDS spreads and equity-implied spreads are cointegrated, then the </w:t>
      </w:r>
      <w:proofErr w:type="gramStart"/>
      <w:r>
        <w:rPr>
          <w:rFonts w:ascii="Times New Roman" w:hAnsi="Times New Roman"/>
          <w:sz w:val="24"/>
          <w:szCs w:val="24"/>
        </w:rPr>
        <w:t>two time</w:t>
      </w:r>
      <w:proofErr w:type="gramEnd"/>
      <w:r>
        <w:rPr>
          <w:rFonts w:ascii="Times New Roman" w:hAnsi="Times New Roman"/>
          <w:sz w:val="24"/>
          <w:szCs w:val="24"/>
        </w:rPr>
        <w:t xml:space="preserve"> series of spreads would share the same efficient price. Hasbrouck (1995) decomposes the variance of this efficient price innovations and defines t</w:t>
      </w:r>
      <w:r w:rsidRPr="00963990">
        <w:rPr>
          <w:rFonts w:ascii="Times New Roman" w:hAnsi="Times New Roman"/>
          <w:sz w:val="24"/>
          <w:szCs w:val="24"/>
        </w:rPr>
        <w:t xml:space="preserve">he IS </w:t>
      </w:r>
      <w:r>
        <w:rPr>
          <w:rFonts w:ascii="Times New Roman" w:hAnsi="Times New Roman"/>
          <w:sz w:val="24"/>
          <w:szCs w:val="24"/>
        </w:rPr>
        <w:t xml:space="preserve">of a market as the proportion of variance of the efficient price innovations that is attributable to innovations in that market. </w:t>
      </w:r>
      <w:r w:rsidR="00F76471" w:rsidRPr="00A75601">
        <w:rPr>
          <w:rFonts w:ascii="Times New Roman" w:hAnsi="Times New Roman"/>
          <w:sz w:val="24"/>
          <w:szCs w:val="24"/>
        </w:rPr>
        <w:t xml:space="preserve">In </w:t>
      </w:r>
      <w:r w:rsidR="007D0396" w:rsidRPr="00A75601">
        <w:rPr>
          <w:rFonts w:ascii="Times New Roman" w:hAnsi="Times New Roman"/>
          <w:sz w:val="24"/>
          <w:szCs w:val="24"/>
        </w:rPr>
        <w:t>order to compute the</w:t>
      </w:r>
      <w:r>
        <w:rPr>
          <w:rFonts w:ascii="Times New Roman" w:hAnsi="Times New Roman"/>
          <w:sz w:val="24"/>
          <w:szCs w:val="24"/>
        </w:rPr>
        <w:t xml:space="preserve"> IS</w:t>
      </w:r>
      <w:r w:rsidR="007D0396" w:rsidRPr="00A75601">
        <w:rPr>
          <w:rFonts w:ascii="Times New Roman" w:hAnsi="Times New Roman"/>
          <w:sz w:val="24"/>
          <w:szCs w:val="24"/>
        </w:rPr>
        <w:t xml:space="preserve"> measure </w:t>
      </w:r>
      <w:r w:rsidR="00F76471" w:rsidRPr="00A75601">
        <w:rPr>
          <w:rFonts w:ascii="Times New Roman" w:hAnsi="Times New Roman"/>
          <w:sz w:val="24"/>
          <w:szCs w:val="24"/>
        </w:rPr>
        <w:t>we first</w:t>
      </w:r>
      <w:r w:rsidR="00AB22EB" w:rsidRPr="00A75601">
        <w:rPr>
          <w:rFonts w:ascii="Times New Roman" w:hAnsi="Times New Roman"/>
          <w:sz w:val="24"/>
          <w:szCs w:val="24"/>
        </w:rPr>
        <w:t xml:space="preserve"> need to</w:t>
      </w:r>
      <w:r w:rsidR="00F76471" w:rsidRPr="00A75601">
        <w:rPr>
          <w:rFonts w:ascii="Times New Roman" w:hAnsi="Times New Roman"/>
          <w:sz w:val="24"/>
          <w:szCs w:val="24"/>
        </w:rPr>
        <w:t xml:space="preserve"> </w:t>
      </w:r>
      <w:r w:rsidR="00AB22EB" w:rsidRPr="00A75601">
        <w:rPr>
          <w:rFonts w:ascii="Times New Roman" w:hAnsi="Times New Roman"/>
          <w:sz w:val="24"/>
          <w:szCs w:val="24"/>
        </w:rPr>
        <w:t>estimate</w:t>
      </w:r>
      <w:r w:rsidR="00F76471" w:rsidRPr="00A75601">
        <w:rPr>
          <w:rFonts w:ascii="Times New Roman" w:hAnsi="Times New Roman"/>
          <w:sz w:val="24"/>
          <w:szCs w:val="24"/>
        </w:rPr>
        <w:t xml:space="preserve"> the following</w:t>
      </w:r>
      <w:r w:rsidR="007D0396" w:rsidRPr="00A75601">
        <w:rPr>
          <w:rFonts w:ascii="Times New Roman" w:hAnsi="Times New Roman"/>
          <w:sz w:val="24"/>
          <w:szCs w:val="24"/>
        </w:rPr>
        <w:t xml:space="preserve"> </w:t>
      </w:r>
      <w:r w:rsidR="00F76471" w:rsidRPr="00A75601">
        <w:rPr>
          <w:rFonts w:ascii="Times New Roman" w:hAnsi="Times New Roman"/>
          <w:sz w:val="24"/>
          <w:szCs w:val="24"/>
        </w:rPr>
        <w:t>VECM</w:t>
      </w:r>
      <w:r w:rsidR="000738BE" w:rsidRPr="00A75601">
        <w:rPr>
          <w:rFonts w:ascii="Times New Roman" w:hAnsi="Times New Roman"/>
          <w:sz w:val="24"/>
          <w:szCs w:val="24"/>
        </w:rPr>
        <w:t xml:space="preserve"> of changes in CDS spreads (</w:t>
      </w:r>
      <m:oMath>
        <m:r>
          <w:rPr>
            <w:rFonts w:ascii="Cambria Math" w:hAnsi="Cambria Math"/>
            <w:sz w:val="24"/>
            <w:szCs w:val="24"/>
          </w:rPr>
          <m:t>cds</m:t>
        </m:r>
      </m:oMath>
      <w:r w:rsidR="000738BE" w:rsidRPr="00A75601">
        <w:rPr>
          <w:rFonts w:ascii="Times New Roman" w:hAnsi="Times New Roman"/>
          <w:sz w:val="24"/>
          <w:szCs w:val="24"/>
        </w:rPr>
        <w:t xml:space="preserve">) and </w:t>
      </w:r>
      <w:r w:rsidR="00B67C51" w:rsidRPr="00A75601">
        <w:rPr>
          <w:rFonts w:ascii="Times New Roman" w:hAnsi="Times New Roman"/>
          <w:sz w:val="24"/>
          <w:szCs w:val="24"/>
        </w:rPr>
        <w:t>equity-implied</w:t>
      </w:r>
      <w:r w:rsidR="000738BE" w:rsidRPr="00A75601">
        <w:rPr>
          <w:rFonts w:ascii="Times New Roman" w:hAnsi="Times New Roman"/>
          <w:sz w:val="24"/>
          <w:szCs w:val="24"/>
        </w:rPr>
        <w:t xml:space="preserve"> spreads (</w:t>
      </w:r>
      <m:oMath>
        <m:r>
          <w:rPr>
            <w:rFonts w:ascii="Cambria Math" w:hAnsi="Cambria Math"/>
            <w:sz w:val="24"/>
            <w:szCs w:val="24"/>
          </w:rPr>
          <m:t>eis</m:t>
        </m:r>
      </m:oMath>
      <w:r w:rsidR="000738BE" w:rsidRPr="00A75601">
        <w:rPr>
          <w:rFonts w:ascii="Times New Roman" w:hAnsi="Times New Roman"/>
          <w:sz w:val="24"/>
          <w:szCs w:val="24"/>
        </w:rPr>
        <w:t>)</w:t>
      </w:r>
      <w:r w:rsidR="006D0888" w:rsidRPr="00A75601">
        <w:rPr>
          <w:rFonts w:ascii="Times New Roman" w:hAnsi="Times New Roman"/>
          <w:sz w:val="24"/>
          <w:szCs w:val="24"/>
        </w:rPr>
        <w:t xml:space="preserve"> for the series of spreads which are non-stationary</w:t>
      </w:r>
      <w:r w:rsidR="007D0396" w:rsidRPr="00A75601">
        <w:rPr>
          <w:rFonts w:ascii="Times New Roman" w:hAnsi="Times New Roman"/>
          <w:sz w:val="24"/>
          <w:szCs w:val="24"/>
        </w:rPr>
        <w:t>:</w:t>
      </w:r>
    </w:p>
    <w:p w14:paraId="7691D600" w14:textId="77777777" w:rsidR="00902FD7" w:rsidRDefault="007D0396" w:rsidP="00902FD7">
      <w:pPr>
        <w:spacing w:line="480" w:lineRule="auto"/>
        <w:ind w:firstLine="720"/>
        <w:jc w:val="both"/>
        <w:rPr>
          <w:rFonts w:ascii="Times New Roman" w:hAnsi="Times New Roman"/>
          <w:sz w:val="24"/>
          <w:szCs w:val="24"/>
        </w:rPr>
      </w:pP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cds</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CE</m:t>
            </m:r>
          </m:e>
          <m:sub>
            <m:r>
              <w:rPr>
                <w:rFonts w:ascii="Cambria Math" w:hAnsi="Cambria Math"/>
                <w:sz w:val="24"/>
                <w:szCs w:val="24"/>
              </w:rPr>
              <m:t>t-1</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1</m:t>
            </m:r>
          </m:sub>
          <m:sup>
            <m:r>
              <w:rPr>
                <w:rFonts w:ascii="Cambria Math" w:hAnsi="Cambria Math"/>
                <w:sz w:val="24"/>
                <w:szCs w:val="24"/>
              </w:rPr>
              <m:t>p</m:t>
            </m:r>
          </m:sup>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cds</m:t>
                </m:r>
              </m:e>
              <m:sub>
                <m:r>
                  <w:rPr>
                    <w:rFonts w:ascii="Cambria Math" w:hAnsi="Cambria Math"/>
                    <w:sz w:val="24"/>
                    <w:szCs w:val="24"/>
                  </w:rPr>
                  <m:t>t-j</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1</m:t>
                </m:r>
              </m:sub>
              <m:sup>
                <m:r>
                  <w:rPr>
                    <w:rFonts w:ascii="Cambria Math" w:hAnsi="Cambria Math"/>
                    <w:sz w:val="24"/>
                    <w:szCs w:val="24"/>
                  </w:rPr>
                  <m:t>p</m:t>
                </m:r>
              </m:sup>
              <m:e>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1j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eis</m:t>
                    </m:r>
                  </m:e>
                  <m:sub>
                    <m:r>
                      <w:rPr>
                        <w:rFonts w:ascii="Cambria Math" w:hAnsi="Cambria Math"/>
                        <w:sz w:val="24"/>
                        <w:szCs w:val="24"/>
                      </w:rPr>
                      <m:t>t-j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1t</m:t>
                    </m:r>
                  </m:sub>
                </m:sSub>
              </m:e>
            </m:nary>
          </m:e>
        </m:nary>
      </m:oMath>
      <w:r w:rsidR="00902FD7">
        <w:rPr>
          <w:rFonts w:ascii="Times New Roman" w:hAnsi="Times New Roman"/>
          <w:sz w:val="24"/>
          <w:szCs w:val="24"/>
        </w:rPr>
        <w:tab/>
      </w:r>
      <w:r w:rsidR="00902FD7">
        <w:rPr>
          <w:rFonts w:ascii="Times New Roman" w:hAnsi="Times New Roman"/>
          <w:sz w:val="24"/>
          <w:szCs w:val="24"/>
        </w:rPr>
        <w:tab/>
      </w:r>
      <w:r w:rsidR="00902FD7">
        <w:rPr>
          <w:rFonts w:ascii="Times New Roman" w:hAnsi="Times New Roman"/>
          <w:sz w:val="24"/>
          <w:szCs w:val="24"/>
        </w:rPr>
        <w:tab/>
      </w:r>
      <w:r w:rsidR="00902FD7">
        <w:rPr>
          <w:rFonts w:ascii="Times New Roman" w:hAnsi="Times New Roman"/>
          <w:sz w:val="24"/>
          <w:szCs w:val="24"/>
        </w:rPr>
        <w:tab/>
      </w:r>
      <w:r w:rsidRPr="00A75601">
        <w:rPr>
          <w:rFonts w:ascii="Times New Roman" w:hAnsi="Times New Roman"/>
          <w:sz w:val="24"/>
          <w:szCs w:val="24"/>
        </w:rPr>
        <w:t>(</w:t>
      </w:r>
      <w:r w:rsidR="00902FD7">
        <w:rPr>
          <w:rFonts w:ascii="Times New Roman" w:hAnsi="Times New Roman"/>
          <w:sz w:val="24"/>
          <w:szCs w:val="24"/>
        </w:rPr>
        <w:t>1a</w:t>
      </w:r>
      <w:r w:rsidRPr="00A75601">
        <w:rPr>
          <w:rFonts w:ascii="Times New Roman" w:hAnsi="Times New Roman"/>
          <w:sz w:val="24"/>
          <w:szCs w:val="24"/>
        </w:rPr>
        <w:t>)</w:t>
      </w:r>
    </w:p>
    <w:p w14:paraId="53CBB942" w14:textId="77777777" w:rsidR="007D0396" w:rsidRPr="00A75601" w:rsidRDefault="007D0396" w:rsidP="00902FD7">
      <w:pPr>
        <w:spacing w:line="480" w:lineRule="auto"/>
        <w:ind w:firstLine="720"/>
        <w:jc w:val="both"/>
        <w:rPr>
          <w:rFonts w:ascii="Times New Roman" w:hAnsi="Times New Roman"/>
          <w:sz w:val="24"/>
          <w:szCs w:val="24"/>
        </w:rPr>
      </w:pP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eis</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CE</m:t>
            </m:r>
          </m:e>
          <m:sub>
            <m:r>
              <w:rPr>
                <w:rFonts w:ascii="Cambria Math" w:hAnsi="Cambria Math"/>
                <w:sz w:val="24"/>
                <w:szCs w:val="24"/>
              </w:rPr>
              <m:t>t-1</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1</m:t>
            </m:r>
          </m:sub>
          <m:sup>
            <m:r>
              <w:rPr>
                <w:rFonts w:ascii="Cambria Math" w:hAnsi="Cambria Math"/>
                <w:sz w:val="24"/>
                <w:szCs w:val="24"/>
              </w:rPr>
              <m:t>p</m:t>
            </m:r>
          </m:sup>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2j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cds</m:t>
                </m:r>
              </m:e>
              <m:sub>
                <m:r>
                  <w:rPr>
                    <w:rFonts w:ascii="Cambria Math" w:hAnsi="Cambria Math"/>
                    <w:sz w:val="24"/>
                    <w:szCs w:val="24"/>
                  </w:rPr>
                  <m:t>t-j</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1</m:t>
                </m:r>
              </m:sub>
              <m:sup>
                <m:r>
                  <w:rPr>
                    <w:rFonts w:ascii="Cambria Math" w:hAnsi="Cambria Math"/>
                    <w:sz w:val="24"/>
                    <w:szCs w:val="24"/>
                  </w:rPr>
                  <m:t>p</m:t>
                </m:r>
              </m:sup>
              <m:e>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2j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eis</m:t>
                    </m:r>
                  </m:e>
                  <m:sub>
                    <m:r>
                      <w:rPr>
                        <w:rFonts w:ascii="Cambria Math" w:hAnsi="Cambria Math"/>
                        <w:sz w:val="24"/>
                        <w:szCs w:val="24"/>
                      </w:rPr>
                      <m:t>t-j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2t</m:t>
                    </m:r>
                  </m:sub>
                </m:sSub>
              </m:e>
            </m:nary>
          </m:e>
        </m:nary>
      </m:oMath>
      <w:r w:rsidR="00902FD7">
        <w:rPr>
          <w:rFonts w:ascii="Times New Roman" w:hAnsi="Times New Roman"/>
          <w:sz w:val="24"/>
          <w:szCs w:val="24"/>
        </w:rPr>
        <w:tab/>
      </w:r>
      <w:r w:rsidR="00902FD7">
        <w:rPr>
          <w:rFonts w:ascii="Times New Roman" w:hAnsi="Times New Roman"/>
          <w:sz w:val="24"/>
          <w:szCs w:val="24"/>
        </w:rPr>
        <w:tab/>
      </w:r>
      <w:r w:rsidR="00902FD7">
        <w:rPr>
          <w:rFonts w:ascii="Times New Roman" w:hAnsi="Times New Roman"/>
          <w:sz w:val="24"/>
          <w:szCs w:val="24"/>
        </w:rPr>
        <w:tab/>
        <w:t xml:space="preserve">           </w:t>
      </w:r>
      <w:r w:rsidR="00E272D8" w:rsidRPr="00A75601">
        <w:rPr>
          <w:rFonts w:ascii="Times New Roman" w:hAnsi="Times New Roman"/>
          <w:sz w:val="24"/>
          <w:szCs w:val="24"/>
        </w:rPr>
        <w:t>(</w:t>
      </w:r>
      <w:r w:rsidR="00902FD7">
        <w:rPr>
          <w:rFonts w:ascii="Times New Roman" w:hAnsi="Times New Roman"/>
          <w:sz w:val="24"/>
          <w:szCs w:val="24"/>
        </w:rPr>
        <w:t>1</w:t>
      </w:r>
      <w:r w:rsidRPr="00A75601">
        <w:rPr>
          <w:rFonts w:ascii="Times New Roman" w:hAnsi="Times New Roman"/>
          <w:sz w:val="24"/>
          <w:szCs w:val="24"/>
        </w:rPr>
        <w:t>b)</w:t>
      </w:r>
    </w:p>
    <w:p w14:paraId="498EEB2C" w14:textId="77777777" w:rsidR="00902FD7" w:rsidRDefault="00FC5908" w:rsidP="00A75601">
      <w:pPr>
        <w:spacing w:line="480" w:lineRule="auto"/>
        <w:jc w:val="both"/>
        <w:outlineLvl w:val="0"/>
        <w:rPr>
          <w:rFonts w:ascii="Times New Roman" w:hAnsi="Times New Roman"/>
          <w:sz w:val="24"/>
          <w:szCs w:val="24"/>
        </w:rPr>
      </w:pPr>
      <w:r w:rsidRPr="002F1A0F">
        <w:rPr>
          <w:rFonts w:ascii="Times New Roman" w:hAnsi="Times New Roman"/>
          <w:sz w:val="24"/>
          <w:szCs w:val="24"/>
        </w:rPr>
        <w:t xml:space="preserve">where </w:t>
      </w:r>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1</m:t>
            </m:r>
          </m:sub>
        </m:sSub>
      </m:oMath>
      <w:r w:rsidRPr="002F1A0F">
        <w:rPr>
          <w:rFonts w:ascii="Times New Roman" w:hAnsi="Times New Roman"/>
          <w:sz w:val="24"/>
          <w:szCs w:val="24"/>
        </w:rPr>
        <w:t xml:space="preserve"> and </w:t>
      </w:r>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oMath>
      <w:r w:rsidRPr="002F1A0F">
        <w:rPr>
          <w:rFonts w:ascii="Times New Roman" w:hAnsi="Times New Roman"/>
          <w:sz w:val="24"/>
          <w:szCs w:val="24"/>
        </w:rPr>
        <w:t xml:space="preserve"> are the </w:t>
      </w:r>
      <w:r w:rsidR="002F1A0F" w:rsidRPr="002F1A0F">
        <w:rPr>
          <w:rFonts w:ascii="Times New Roman" w:hAnsi="Times New Roman"/>
          <w:sz w:val="24"/>
          <w:szCs w:val="24"/>
        </w:rPr>
        <w:t xml:space="preserve">speed-of-adjustment parameters </w:t>
      </w:r>
      <w:r w:rsidR="002F1A0F" w:rsidRPr="00370208">
        <w:rPr>
          <w:rFonts w:ascii="Times New Roman" w:hAnsi="Times New Roman"/>
          <w:sz w:val="24"/>
          <w:szCs w:val="24"/>
        </w:rPr>
        <w:t xml:space="preserve">which define the adjustment of each series of spreads towards the long run equilibrium implied by the model, the </w:t>
      </w:r>
      <w:r w:rsidR="002F1A0F" w:rsidRPr="00370208">
        <w:rPr>
          <w:rFonts w:ascii="Times New Roman" w:hAnsi="Times New Roman"/>
          <w:i/>
          <w:sz w:val="24"/>
          <w:szCs w:val="24"/>
        </w:rPr>
        <w:t>β</w:t>
      </w:r>
      <w:r w:rsidR="002F1A0F" w:rsidRPr="00370208">
        <w:rPr>
          <w:rFonts w:ascii="Times New Roman" w:hAnsi="Times New Roman"/>
          <w:sz w:val="24"/>
          <w:szCs w:val="24"/>
        </w:rPr>
        <w:t xml:space="preserve"> and </w:t>
      </w:r>
      <w:r w:rsidR="002F1A0F" w:rsidRPr="00370208">
        <w:rPr>
          <w:rFonts w:ascii="Times New Roman" w:hAnsi="Times New Roman"/>
          <w:i/>
          <w:sz w:val="24"/>
          <w:szCs w:val="24"/>
        </w:rPr>
        <w:t>γ</w:t>
      </w:r>
      <w:r w:rsidR="002F1A0F" w:rsidRPr="00370208">
        <w:rPr>
          <w:rFonts w:ascii="Times New Roman" w:hAnsi="Times New Roman"/>
          <w:sz w:val="24"/>
          <w:szCs w:val="24"/>
        </w:rPr>
        <w:t xml:space="preserve"> coefficients </w:t>
      </w:r>
      <w:r w:rsidR="002F1A0F" w:rsidRPr="00370208">
        <w:rPr>
          <w:rFonts w:ascii="Times New Roman" w:hAnsi="Times New Roman"/>
          <w:sz w:val="24"/>
          <w:szCs w:val="24"/>
        </w:rPr>
        <w:lastRenderedPageBreak/>
        <w:t>represent the short run dynamics of the system</w:t>
      </w:r>
      <w:r w:rsidR="002F1A0F">
        <w:rPr>
          <w:rFonts w:ascii="Times New Roman" w:hAnsi="Times New Roman"/>
          <w:sz w:val="24"/>
          <w:szCs w:val="24"/>
        </w:rPr>
        <w:t>,</w:t>
      </w:r>
      <w:r w:rsidR="002E228F">
        <w:rPr>
          <w:rFonts w:ascii="Times New Roman" w:hAnsi="Times New Roman"/>
          <w:sz w:val="24"/>
          <w:szCs w:val="24"/>
        </w:rPr>
        <w:t xml:space="preserve"> and</w:t>
      </w:r>
      <w:r w:rsidR="007A6CAA" w:rsidRPr="00A75601">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1t</m:t>
            </m:r>
          </m:sub>
        </m:sSub>
      </m:oMath>
      <w:r w:rsidR="007A6CAA" w:rsidRPr="00A75601">
        <w:rPr>
          <w:rFonts w:ascii="Times New Roman" w:hAnsi="Times New Roman"/>
          <w:sz w:val="24"/>
          <w:szCs w:val="24"/>
        </w:rPr>
        <w:t xml:space="preserve"> and </w:t>
      </w:r>
      <m:oMath>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2t</m:t>
            </m:r>
          </m:sub>
        </m:sSub>
      </m:oMath>
      <w:r w:rsidR="007A6CAA" w:rsidRPr="00A75601">
        <w:rPr>
          <w:rFonts w:ascii="Times New Roman" w:hAnsi="Times New Roman"/>
          <w:sz w:val="24"/>
          <w:szCs w:val="24"/>
        </w:rPr>
        <w:t xml:space="preserve"> are i.i.d. error terms.</w:t>
      </w:r>
      <w:r>
        <w:rPr>
          <w:rFonts w:ascii="Times New Roman" w:hAnsi="Times New Roman"/>
          <w:sz w:val="24"/>
          <w:szCs w:val="24"/>
        </w:rPr>
        <w:t xml:space="preserve"> </w:t>
      </w:r>
      <w:r w:rsidR="007A6CAA" w:rsidRPr="00A75601">
        <w:rPr>
          <w:rFonts w:ascii="Times New Roman" w:hAnsi="Times New Roman"/>
          <w:sz w:val="24"/>
          <w:szCs w:val="24"/>
        </w:rPr>
        <w:t xml:space="preserve"> The cointegrating equation is defined as:</w:t>
      </w:r>
    </w:p>
    <w:p w14:paraId="0AE0DACB" w14:textId="77777777" w:rsidR="007A6CAA" w:rsidRPr="00A75601" w:rsidRDefault="007E3D27" w:rsidP="00902FD7">
      <w:pPr>
        <w:spacing w:line="480" w:lineRule="auto"/>
        <w:ind w:firstLine="720"/>
        <w:jc w:val="both"/>
        <w:outlineLvl w:val="0"/>
        <w:rPr>
          <w:rFonts w:ascii="Times New Roman" w:hAnsi="Times New Roman"/>
          <w:sz w:val="24"/>
          <w:szCs w:val="24"/>
        </w:rPr>
      </w:pPr>
      <m:oMath>
        <m:sSub>
          <m:sSubPr>
            <m:ctrlPr>
              <w:rPr>
                <w:rFonts w:ascii="Cambria Math" w:eastAsiaTheme="minorHAnsi" w:hAnsi="Cambria Math"/>
                <w:i/>
                <w:sz w:val="24"/>
                <w:szCs w:val="24"/>
              </w:rPr>
            </m:ctrlPr>
          </m:sSubPr>
          <m:e>
            <m:r>
              <w:rPr>
                <w:rFonts w:ascii="Cambria Math" w:hAnsi="Cambria Math"/>
                <w:sz w:val="24"/>
                <w:szCs w:val="24"/>
              </w:rPr>
              <m:t>CE</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cds</m:t>
            </m:r>
          </m:e>
          <m:sub>
            <m:r>
              <w:rPr>
                <w:rFonts w:ascii="Cambria Math" w:hAnsi="Cambria Math"/>
                <w:sz w:val="24"/>
                <w:szCs w:val="24"/>
              </w:rPr>
              <m:t>t</m:t>
            </m:r>
          </m:sub>
        </m:sSub>
        <m:r>
          <w:rPr>
            <w:rFonts w:ascii="Cambria Math" w:hAnsi="Cambria Math"/>
            <w:sz w:val="24"/>
            <w:szCs w:val="24"/>
          </w:rPr>
          <m:t>-α∙</m:t>
        </m:r>
        <m:sSub>
          <m:sSubPr>
            <m:ctrlPr>
              <w:rPr>
                <w:rFonts w:ascii="Cambria Math" w:hAnsi="Cambria Math"/>
                <w:i/>
                <w:sz w:val="24"/>
                <w:szCs w:val="24"/>
              </w:rPr>
            </m:ctrlPr>
          </m:sSubPr>
          <m:e>
            <m:r>
              <w:rPr>
                <w:rFonts w:ascii="Cambria Math" w:hAnsi="Cambria Math"/>
                <w:sz w:val="24"/>
                <w:szCs w:val="24"/>
              </w:rPr>
              <m:t>eis</m:t>
            </m:r>
          </m:e>
          <m:sub>
            <m:r>
              <w:rPr>
                <w:rFonts w:ascii="Cambria Math" w:hAnsi="Cambria Math"/>
                <w:sz w:val="24"/>
                <w:szCs w:val="24"/>
              </w:rPr>
              <m:t>t</m:t>
            </m:r>
          </m:sub>
        </m:sSub>
      </m:oMath>
      <w:r w:rsidR="00902FD7">
        <w:rPr>
          <w:rFonts w:ascii="Times New Roman" w:hAnsi="Times New Roman"/>
          <w:sz w:val="24"/>
          <w:szCs w:val="24"/>
        </w:rPr>
        <w:tab/>
      </w:r>
      <w:r w:rsidR="00902FD7">
        <w:rPr>
          <w:rFonts w:ascii="Times New Roman" w:hAnsi="Times New Roman"/>
          <w:sz w:val="24"/>
          <w:szCs w:val="24"/>
        </w:rPr>
        <w:tab/>
      </w:r>
      <w:r w:rsidR="00902FD7">
        <w:rPr>
          <w:rFonts w:ascii="Times New Roman" w:hAnsi="Times New Roman"/>
          <w:sz w:val="24"/>
          <w:szCs w:val="24"/>
        </w:rPr>
        <w:tab/>
      </w:r>
      <w:r w:rsidR="00902FD7">
        <w:rPr>
          <w:rFonts w:ascii="Times New Roman" w:hAnsi="Times New Roman"/>
          <w:sz w:val="24"/>
          <w:szCs w:val="24"/>
        </w:rPr>
        <w:tab/>
      </w:r>
      <w:r w:rsidR="00902FD7">
        <w:rPr>
          <w:rFonts w:ascii="Times New Roman" w:hAnsi="Times New Roman"/>
          <w:sz w:val="24"/>
          <w:szCs w:val="24"/>
        </w:rPr>
        <w:tab/>
      </w:r>
      <w:r w:rsidR="00902FD7">
        <w:rPr>
          <w:rFonts w:ascii="Times New Roman" w:hAnsi="Times New Roman"/>
          <w:sz w:val="24"/>
          <w:szCs w:val="24"/>
        </w:rPr>
        <w:tab/>
      </w:r>
      <w:r w:rsidR="00902FD7">
        <w:rPr>
          <w:rFonts w:ascii="Times New Roman" w:hAnsi="Times New Roman"/>
          <w:sz w:val="24"/>
          <w:szCs w:val="24"/>
        </w:rPr>
        <w:tab/>
      </w:r>
      <w:r w:rsidR="00902FD7">
        <w:rPr>
          <w:rFonts w:ascii="Times New Roman" w:hAnsi="Times New Roman"/>
          <w:sz w:val="24"/>
          <w:szCs w:val="24"/>
        </w:rPr>
        <w:tab/>
      </w:r>
      <w:r w:rsidR="00902FD7">
        <w:rPr>
          <w:rFonts w:ascii="Times New Roman" w:hAnsi="Times New Roman"/>
          <w:sz w:val="24"/>
          <w:szCs w:val="24"/>
        </w:rPr>
        <w:tab/>
        <w:t>(1</w:t>
      </w:r>
      <w:r w:rsidR="002F0D40" w:rsidRPr="00A75601">
        <w:rPr>
          <w:rFonts w:ascii="Times New Roman" w:hAnsi="Times New Roman"/>
          <w:sz w:val="24"/>
          <w:szCs w:val="24"/>
        </w:rPr>
        <w:t xml:space="preserve">c)  </w:t>
      </w:r>
    </w:p>
    <w:p w14:paraId="6F364F1F" w14:textId="77777777" w:rsidR="00902FD7" w:rsidRDefault="002F1A0F" w:rsidP="00902FD7">
      <w:pPr>
        <w:spacing w:line="480" w:lineRule="auto"/>
        <w:jc w:val="both"/>
        <w:outlineLvl w:val="0"/>
        <w:rPr>
          <w:rFonts w:ascii="Times New Roman" w:hAnsi="Times New Roman"/>
          <w:sz w:val="24"/>
          <w:szCs w:val="24"/>
        </w:rPr>
      </w:pPr>
      <w:r>
        <w:rPr>
          <w:rFonts w:ascii="Times New Roman" w:hAnsi="Times New Roman"/>
          <w:sz w:val="24"/>
          <w:szCs w:val="24"/>
        </w:rPr>
        <w:t xml:space="preserve">where the </w:t>
      </w:r>
      <w:r w:rsidRPr="00563094">
        <w:rPr>
          <w:rFonts w:ascii="Times New Roman" w:hAnsi="Times New Roman"/>
          <w:i/>
          <w:sz w:val="24"/>
          <w:szCs w:val="24"/>
        </w:rPr>
        <w:t>α</w:t>
      </w:r>
      <w:r>
        <w:rPr>
          <w:rFonts w:ascii="Times New Roman" w:hAnsi="Times New Roman"/>
          <w:sz w:val="24"/>
          <w:szCs w:val="24"/>
        </w:rPr>
        <w:t xml:space="preserve"> coefficient defines the long run dynamics of the system. The estimated parameters of the VECM are then used to compute the IS measure. Due to potential non-zero correlation of the VECM residuals (</w:t>
      </w:r>
      <m:oMath>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1t</m:t>
            </m:r>
          </m:sub>
        </m:sSub>
      </m:oMath>
      <w:r w:rsidRPr="00A75601">
        <w:rPr>
          <w:rFonts w:ascii="Times New Roman" w:hAnsi="Times New Roman"/>
          <w:sz w:val="24"/>
          <w:szCs w:val="24"/>
        </w:rPr>
        <w:t xml:space="preserve"> and </w:t>
      </w:r>
      <m:oMath>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2t</m:t>
            </m:r>
          </m:sub>
        </m:sSub>
      </m:oMath>
      <w:r>
        <w:rPr>
          <w:rFonts w:ascii="Times New Roman" w:hAnsi="Times New Roman"/>
          <w:sz w:val="24"/>
          <w:szCs w:val="24"/>
        </w:rPr>
        <w:t xml:space="preserve">), Hasbrouck (1995) </w:t>
      </w:r>
      <w:r w:rsidR="00377493" w:rsidRPr="00370208">
        <w:rPr>
          <w:rFonts w:ascii="Times New Roman" w:hAnsi="Times New Roman"/>
          <w:sz w:val="24"/>
          <w:szCs w:val="24"/>
        </w:rPr>
        <w:t xml:space="preserve">suggests </w:t>
      </w:r>
      <w:proofErr w:type="gramStart"/>
      <w:r w:rsidR="00377493" w:rsidRPr="00370208">
        <w:rPr>
          <w:rFonts w:ascii="Times New Roman" w:hAnsi="Times New Roman"/>
          <w:sz w:val="24"/>
          <w:szCs w:val="24"/>
        </w:rPr>
        <w:t>to use</w:t>
      </w:r>
      <w:proofErr w:type="gramEnd"/>
      <w:r w:rsidR="00377493" w:rsidRPr="00370208">
        <w:rPr>
          <w:rFonts w:ascii="Times New Roman" w:hAnsi="Times New Roman"/>
          <w:sz w:val="24"/>
          <w:szCs w:val="24"/>
        </w:rPr>
        <w:t xml:space="preserve"> the Cholesky decomposition to remove this contemporaneous correlation. </w:t>
      </w:r>
      <w:r w:rsidR="00297EAC" w:rsidRPr="00A75601">
        <w:rPr>
          <w:rFonts w:ascii="Times New Roman" w:hAnsi="Times New Roman"/>
          <w:sz w:val="24"/>
          <w:szCs w:val="24"/>
        </w:rPr>
        <w:t>This gives</w:t>
      </w:r>
      <w:r w:rsidR="00ED7EFA" w:rsidRPr="00A75601">
        <w:rPr>
          <w:rFonts w:ascii="Times New Roman" w:hAnsi="Times New Roman"/>
          <w:sz w:val="24"/>
          <w:szCs w:val="24"/>
        </w:rPr>
        <w:t xml:space="preserve"> </w:t>
      </w:r>
      <w:r w:rsidR="002F0D40" w:rsidRPr="00A75601">
        <w:rPr>
          <w:rFonts w:ascii="Times New Roman" w:hAnsi="Times New Roman"/>
          <w:sz w:val="24"/>
          <w:szCs w:val="24"/>
        </w:rPr>
        <w:t>an upper a</w:t>
      </w:r>
      <w:r w:rsidR="00ED7EFA" w:rsidRPr="00A75601">
        <w:rPr>
          <w:rFonts w:ascii="Times New Roman" w:hAnsi="Times New Roman"/>
          <w:sz w:val="24"/>
          <w:szCs w:val="24"/>
        </w:rPr>
        <w:t>nd lower bound</w:t>
      </w:r>
      <w:r w:rsidR="002B549B" w:rsidRPr="00A75601">
        <w:rPr>
          <w:rFonts w:ascii="Times New Roman" w:hAnsi="Times New Roman"/>
          <w:sz w:val="24"/>
          <w:szCs w:val="24"/>
        </w:rPr>
        <w:t>ary</w:t>
      </w:r>
      <w:r w:rsidR="00043E36" w:rsidRPr="00A75601">
        <w:rPr>
          <w:rFonts w:ascii="Times New Roman" w:hAnsi="Times New Roman"/>
          <w:sz w:val="24"/>
          <w:szCs w:val="24"/>
        </w:rPr>
        <w:t xml:space="preserve"> for the price discovery measure</w:t>
      </w:r>
      <w:r w:rsidR="00902FD7">
        <w:rPr>
          <w:rFonts w:ascii="Times New Roman" w:hAnsi="Times New Roman"/>
          <w:sz w:val="24"/>
          <w:szCs w:val="24"/>
        </w:rPr>
        <w:t>; t</w:t>
      </w:r>
      <w:r w:rsidR="00A60B71" w:rsidRPr="00A75601">
        <w:rPr>
          <w:rFonts w:ascii="Times New Roman" w:hAnsi="Times New Roman"/>
          <w:sz w:val="24"/>
          <w:szCs w:val="24"/>
        </w:rPr>
        <w:t>he formulae for these boundaries for</w:t>
      </w:r>
      <w:r w:rsidR="000F7433" w:rsidRPr="00A75601">
        <w:rPr>
          <w:rFonts w:ascii="Times New Roman" w:hAnsi="Times New Roman"/>
          <w:sz w:val="24"/>
          <w:szCs w:val="24"/>
        </w:rPr>
        <w:t xml:space="preserve"> the CDS market </w:t>
      </w:r>
      <w:r w:rsidR="00121E93" w:rsidRPr="00A75601">
        <w:rPr>
          <w:rFonts w:ascii="Times New Roman" w:hAnsi="Times New Roman"/>
          <w:sz w:val="24"/>
          <w:szCs w:val="24"/>
        </w:rPr>
        <w:t>are</w:t>
      </w:r>
    </w:p>
    <w:p w14:paraId="11864D01" w14:textId="77777777" w:rsidR="007D0396" w:rsidRPr="00A75601" w:rsidRDefault="007E3D27" w:rsidP="00902FD7">
      <w:pPr>
        <w:spacing w:line="480" w:lineRule="auto"/>
        <w:ind w:firstLine="720"/>
        <w:jc w:val="both"/>
        <w:outlineLvl w:val="0"/>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IS</m:t>
            </m:r>
          </m:e>
          <m:sub>
            <m:r>
              <w:rPr>
                <w:rFonts w:ascii="Cambria Math" w:hAnsi="Cambria Math"/>
                <w:sz w:val="24"/>
                <w:szCs w:val="24"/>
              </w:rPr>
              <m:t>cds</m:t>
            </m:r>
            <m:r>
              <m:rPr>
                <m:sty m:val="p"/>
              </m:rPr>
              <w:rPr>
                <w:rFonts w:ascii="Cambria Math" w:hAnsi="Cambria Math"/>
                <w:sz w:val="24"/>
                <w:szCs w:val="24"/>
              </w:rPr>
              <m:t>,1</m:t>
            </m:r>
          </m:sub>
        </m:sSub>
        <m:r>
          <m:rPr>
            <m:sty m:val="p"/>
          </m:rPr>
          <w:rPr>
            <w:rFonts w:ascii="Cambria Math" w:hAnsi="Cambria Math"/>
            <w:sz w:val="24"/>
            <w:szCs w:val="24"/>
          </w:rPr>
          <m:t>=</m:t>
        </m:r>
        <m:f>
          <m:fPr>
            <m:ctrlPr>
              <w:rPr>
                <w:rFonts w:ascii="Cambria Math" w:hAnsi="Cambria Math"/>
                <w:sz w:val="24"/>
                <w:szCs w:val="24"/>
              </w:rPr>
            </m:ctrlPr>
          </m:fPr>
          <m:num>
            <m:sSubSup>
              <m:sSubSupPr>
                <m:ctrlPr>
                  <w:rPr>
                    <w:rFonts w:ascii="Cambria Math" w:hAnsi="Cambria Math"/>
                    <w:sz w:val="24"/>
                    <w:szCs w:val="24"/>
                  </w:rPr>
                </m:ctrlPr>
              </m:sSubSupPr>
              <m:e>
                <m:r>
                  <w:rPr>
                    <w:rFonts w:ascii="Cambria Math" w:hAnsi="Cambria Math"/>
                    <w:sz w:val="24"/>
                    <w:szCs w:val="24"/>
                  </w:rPr>
                  <m:t>λ</m:t>
                </m:r>
              </m:e>
              <m:sub>
                <m:r>
                  <m:rPr>
                    <m:sty m:val="p"/>
                  </m:rPr>
                  <w:rPr>
                    <w:rFonts w:ascii="Cambria Math" w:hAnsi="Cambria Math"/>
                    <w:sz w:val="24"/>
                    <w:szCs w:val="24"/>
                  </w:rPr>
                  <m:t>2</m:t>
                </m:r>
              </m:sub>
              <m:sup>
                <m:r>
                  <m:rPr>
                    <m:sty m:val="p"/>
                  </m:rPr>
                  <w:rPr>
                    <w:rFonts w:ascii="Cambria Math" w:hAnsi="Cambria Math"/>
                    <w:sz w:val="24"/>
                    <w:szCs w:val="24"/>
                  </w:rPr>
                  <m:t>2</m:t>
                </m:r>
              </m:sup>
            </m:sSubSup>
            <m:d>
              <m:dPr>
                <m:ctrlPr>
                  <w:rPr>
                    <w:rFonts w:ascii="Cambria Math" w:hAnsi="Cambria Math"/>
                    <w:sz w:val="24"/>
                    <w:szCs w:val="24"/>
                  </w:rPr>
                </m:ctrlPr>
              </m:dPr>
              <m:e>
                <m:sSubSup>
                  <m:sSubSupPr>
                    <m:ctrlPr>
                      <w:rPr>
                        <w:rFonts w:ascii="Cambria Math" w:hAnsi="Cambria Math"/>
                        <w:sz w:val="24"/>
                        <w:szCs w:val="24"/>
                      </w:rPr>
                    </m:ctrlPr>
                  </m:sSubSupPr>
                  <m:e>
                    <m:r>
                      <w:rPr>
                        <w:rFonts w:ascii="Cambria Math" w:hAnsi="Cambria Math"/>
                        <w:sz w:val="24"/>
                        <w:szCs w:val="24"/>
                      </w:rPr>
                      <m:t>σ</m:t>
                    </m:r>
                  </m:e>
                  <m:sub>
                    <m:r>
                      <m:rPr>
                        <m:sty m:val="p"/>
                      </m:rPr>
                      <w:rPr>
                        <w:rFonts w:ascii="Cambria Math" w:hAnsi="Cambria Math"/>
                        <w:sz w:val="24"/>
                        <w:szCs w:val="24"/>
                      </w:rPr>
                      <m:t>1</m:t>
                    </m:r>
                  </m:sub>
                  <m:sup>
                    <m:r>
                      <m:rPr>
                        <m:sty m:val="p"/>
                      </m:rPr>
                      <w:rPr>
                        <w:rFonts w:ascii="Cambria Math" w:hAnsi="Cambria Math"/>
                        <w:sz w:val="24"/>
                        <w:szCs w:val="24"/>
                      </w:rPr>
                      <m:t>2</m:t>
                    </m:r>
                  </m:sup>
                </m:sSubSup>
                <m:r>
                  <m:rPr>
                    <m:sty m:val="p"/>
                  </m:rPr>
                  <w:rPr>
                    <w:rFonts w:ascii="Cambria Math" w:hAnsi="Cambria Math"/>
                    <w:sz w:val="24"/>
                    <w:szCs w:val="24"/>
                  </w:rPr>
                  <m:t>-</m:t>
                </m:r>
                <m:f>
                  <m:fPr>
                    <m:ctrlPr>
                      <w:rPr>
                        <w:rFonts w:ascii="Cambria Math" w:hAnsi="Cambria Math"/>
                        <w:sz w:val="24"/>
                        <w:szCs w:val="24"/>
                      </w:rPr>
                    </m:ctrlPr>
                  </m:fPr>
                  <m:num>
                    <m:sSubSup>
                      <m:sSubSupPr>
                        <m:ctrlPr>
                          <w:rPr>
                            <w:rFonts w:ascii="Cambria Math" w:hAnsi="Cambria Math"/>
                            <w:sz w:val="24"/>
                            <w:szCs w:val="24"/>
                          </w:rPr>
                        </m:ctrlPr>
                      </m:sSubSupPr>
                      <m:e>
                        <m:r>
                          <w:rPr>
                            <w:rFonts w:ascii="Cambria Math" w:hAnsi="Cambria Math"/>
                            <w:sz w:val="24"/>
                            <w:szCs w:val="24"/>
                          </w:rPr>
                          <m:t>σ</m:t>
                        </m:r>
                      </m:e>
                      <m:sub>
                        <m:r>
                          <m:rPr>
                            <m:sty m:val="p"/>
                          </m:rPr>
                          <w:rPr>
                            <w:rFonts w:ascii="Cambria Math" w:hAnsi="Cambria Math"/>
                            <w:sz w:val="24"/>
                            <w:szCs w:val="24"/>
                          </w:rPr>
                          <m:t>12</m:t>
                        </m:r>
                      </m:sub>
                      <m:sup>
                        <m:r>
                          <m:rPr>
                            <m:sty m:val="p"/>
                          </m:rPr>
                          <w:rPr>
                            <w:rFonts w:ascii="Cambria Math" w:hAnsi="Cambria Math"/>
                            <w:sz w:val="24"/>
                            <w:szCs w:val="24"/>
                          </w:rPr>
                          <m:t>2</m:t>
                        </m:r>
                      </m:sup>
                    </m:sSubSup>
                  </m:num>
                  <m:den>
                    <m:sSubSup>
                      <m:sSubSupPr>
                        <m:ctrlPr>
                          <w:rPr>
                            <w:rFonts w:ascii="Cambria Math" w:hAnsi="Cambria Math"/>
                            <w:i/>
                            <w:sz w:val="24"/>
                            <w:szCs w:val="24"/>
                          </w:rPr>
                        </m:ctrlPr>
                      </m:sSubSupPr>
                      <m:e>
                        <m:r>
                          <w:rPr>
                            <w:rFonts w:ascii="Cambria Math" w:hAnsi="Cambria Math"/>
                            <w:sz w:val="24"/>
                            <w:szCs w:val="24"/>
                          </w:rPr>
                          <m:t>σ</m:t>
                        </m:r>
                      </m:e>
                      <m:sub>
                        <m:r>
                          <m:rPr>
                            <m:sty m:val="p"/>
                          </m:rPr>
                          <w:rPr>
                            <w:rFonts w:ascii="Cambria Math" w:hAnsi="Cambria Math"/>
                            <w:sz w:val="24"/>
                            <w:szCs w:val="24"/>
                          </w:rPr>
                          <m:t>2</m:t>
                        </m:r>
                      </m:sub>
                      <m:sup>
                        <m:r>
                          <m:rPr>
                            <m:sty m:val="p"/>
                          </m:rPr>
                          <w:rPr>
                            <w:rFonts w:ascii="Cambria Math" w:hAnsi="Cambria Math"/>
                            <w:sz w:val="24"/>
                            <w:szCs w:val="24"/>
                          </w:rPr>
                          <m:t>2</m:t>
                        </m:r>
                      </m:sup>
                    </m:sSubSup>
                  </m:den>
                </m:f>
              </m:e>
            </m:d>
          </m:num>
          <m:den>
            <m:sSubSup>
              <m:sSubSupPr>
                <m:ctrlPr>
                  <w:rPr>
                    <w:rFonts w:ascii="Cambria Math" w:hAnsi="Cambria Math"/>
                    <w:sz w:val="24"/>
                    <w:szCs w:val="24"/>
                  </w:rPr>
                </m:ctrlPr>
              </m:sSubSupPr>
              <m:e>
                <m:r>
                  <w:rPr>
                    <w:rFonts w:ascii="Cambria Math" w:hAnsi="Cambria Math"/>
                    <w:sz w:val="24"/>
                    <w:szCs w:val="24"/>
                  </w:rPr>
                  <m:t>λ</m:t>
                </m:r>
              </m:e>
              <m:sub>
                <m:r>
                  <m:rPr>
                    <m:sty m:val="p"/>
                  </m:rPr>
                  <w:rPr>
                    <w:rFonts w:ascii="Cambria Math" w:hAnsi="Cambria Math"/>
                    <w:sz w:val="24"/>
                    <w:szCs w:val="24"/>
                  </w:rPr>
                  <m:t>2</m:t>
                </m:r>
              </m:sub>
              <m:sup>
                <m:r>
                  <m:rPr>
                    <m:sty m:val="p"/>
                  </m:rPr>
                  <w:rPr>
                    <w:rFonts w:ascii="Cambria Math" w:hAnsi="Cambria Math"/>
                    <w:sz w:val="24"/>
                    <w:szCs w:val="24"/>
                  </w:rPr>
                  <m:t>2</m:t>
                </m:r>
              </m:sup>
            </m:sSubSup>
            <m:sSubSup>
              <m:sSubSupPr>
                <m:ctrlPr>
                  <w:rPr>
                    <w:rFonts w:ascii="Cambria Math" w:hAnsi="Cambria Math"/>
                    <w:sz w:val="24"/>
                    <w:szCs w:val="24"/>
                  </w:rPr>
                </m:ctrlPr>
              </m:sSubSupPr>
              <m:e>
                <m:r>
                  <w:rPr>
                    <w:rFonts w:ascii="Cambria Math" w:hAnsi="Cambria Math"/>
                    <w:sz w:val="24"/>
                    <w:szCs w:val="24"/>
                  </w:rPr>
                  <m:t>σ</m:t>
                </m:r>
              </m:e>
              <m:sub>
                <m:r>
                  <m:rPr>
                    <m:sty m:val="p"/>
                  </m:rPr>
                  <w:rPr>
                    <w:rFonts w:ascii="Cambria Math" w:hAnsi="Cambria Math"/>
                    <w:sz w:val="24"/>
                    <w:szCs w:val="24"/>
                  </w:rPr>
                  <m:t>1</m:t>
                </m:r>
              </m:sub>
              <m:sup>
                <m:r>
                  <m:rPr>
                    <m:sty m:val="p"/>
                  </m:rPr>
                  <w:rPr>
                    <w:rFonts w:ascii="Cambria Math" w:hAnsi="Cambria Math"/>
                    <w:sz w:val="24"/>
                    <w:szCs w:val="24"/>
                  </w:rPr>
                  <m:t>2</m:t>
                </m:r>
              </m:sup>
            </m:sSubSup>
            <m:r>
              <m:rPr>
                <m:sty m:val="p"/>
              </m:rPr>
              <w:rPr>
                <w:rFonts w:ascii="Cambria Math" w:hAnsi="Cambria Math"/>
                <w:sz w:val="24"/>
                <w:szCs w:val="24"/>
              </w:rPr>
              <m:t>-2</m:t>
            </m:r>
            <m:sSub>
              <m:sSubPr>
                <m:ctrlPr>
                  <w:rPr>
                    <w:rFonts w:ascii="Cambria Math" w:hAnsi="Cambria Math"/>
                    <w:sz w:val="24"/>
                    <w:szCs w:val="24"/>
                  </w:rPr>
                </m:ctrlPr>
              </m:sSubPr>
              <m:e>
                <m:r>
                  <w:rPr>
                    <w:rFonts w:ascii="Cambria Math" w:hAnsi="Cambria Math"/>
                    <w:sz w:val="24"/>
                    <w:szCs w:val="24"/>
                  </w:rPr>
                  <m:t>λ</m:t>
                </m:r>
              </m:e>
              <m:sub>
                <m:r>
                  <m:rPr>
                    <m:sty m:val="p"/>
                  </m:rPr>
                  <w:rPr>
                    <w:rFonts w:ascii="Cambria Math" w:hAnsi="Cambria Math"/>
                    <w:sz w:val="24"/>
                    <w:szCs w:val="24"/>
                  </w:rPr>
                  <m:t>1</m:t>
                </m:r>
              </m:sub>
            </m:sSub>
            <m:sSub>
              <m:sSubPr>
                <m:ctrlPr>
                  <w:rPr>
                    <w:rFonts w:ascii="Cambria Math" w:hAnsi="Cambria Math"/>
                    <w:sz w:val="24"/>
                    <w:szCs w:val="24"/>
                  </w:rPr>
                </m:ctrlPr>
              </m:sSubPr>
              <m:e>
                <m:r>
                  <w:rPr>
                    <w:rFonts w:ascii="Cambria Math" w:hAnsi="Cambria Math"/>
                    <w:sz w:val="24"/>
                    <w:szCs w:val="24"/>
                  </w:rPr>
                  <m:t>λ</m:t>
                </m:r>
              </m:e>
              <m:sub>
                <m:r>
                  <m:rPr>
                    <m:sty m:val="p"/>
                  </m:rPr>
                  <w:rPr>
                    <w:rFonts w:ascii="Cambria Math" w:hAnsi="Cambria Math"/>
                    <w:sz w:val="24"/>
                    <w:szCs w:val="24"/>
                  </w:rPr>
                  <m:t>2</m:t>
                </m:r>
              </m:sub>
            </m:sSub>
            <m:sSub>
              <m:sSubPr>
                <m:ctrlPr>
                  <w:rPr>
                    <w:rFonts w:ascii="Cambria Math" w:hAnsi="Cambria Math"/>
                    <w:sz w:val="24"/>
                    <w:szCs w:val="24"/>
                  </w:rPr>
                </m:ctrlPr>
              </m:sSubPr>
              <m:e>
                <m:r>
                  <w:rPr>
                    <w:rFonts w:ascii="Cambria Math" w:hAnsi="Cambria Math"/>
                    <w:sz w:val="24"/>
                    <w:szCs w:val="24"/>
                  </w:rPr>
                  <m:t>σ</m:t>
                </m:r>
              </m:e>
              <m:sub>
                <m:r>
                  <m:rPr>
                    <m:sty m:val="p"/>
                  </m:rPr>
                  <w:rPr>
                    <w:rFonts w:ascii="Cambria Math" w:hAnsi="Cambria Math"/>
                    <w:sz w:val="24"/>
                    <w:szCs w:val="24"/>
                  </w:rPr>
                  <m:t>12</m:t>
                </m:r>
              </m:sub>
            </m:sSub>
            <m:r>
              <m:rPr>
                <m:sty m:val="p"/>
              </m:rPr>
              <w:rPr>
                <w:rFonts w:ascii="Cambria Math" w:hAnsi="Cambria Math"/>
                <w:sz w:val="24"/>
                <w:szCs w:val="24"/>
              </w:rPr>
              <m:t>+</m:t>
            </m:r>
            <m:sSubSup>
              <m:sSubSupPr>
                <m:ctrlPr>
                  <w:rPr>
                    <w:rFonts w:ascii="Cambria Math" w:hAnsi="Cambria Math"/>
                    <w:sz w:val="24"/>
                    <w:szCs w:val="24"/>
                  </w:rPr>
                </m:ctrlPr>
              </m:sSubSupPr>
              <m:e>
                <m:r>
                  <w:rPr>
                    <w:rFonts w:ascii="Cambria Math" w:hAnsi="Cambria Math"/>
                    <w:sz w:val="24"/>
                    <w:szCs w:val="24"/>
                  </w:rPr>
                  <m:t>λ</m:t>
                </m:r>
              </m:e>
              <m:sub>
                <m:r>
                  <m:rPr>
                    <m:sty m:val="p"/>
                  </m:rPr>
                  <w:rPr>
                    <w:rFonts w:ascii="Cambria Math" w:hAnsi="Cambria Math"/>
                    <w:sz w:val="24"/>
                    <w:szCs w:val="24"/>
                  </w:rPr>
                  <m:t>1</m:t>
                </m:r>
              </m:sub>
              <m:sup>
                <m:r>
                  <m:rPr>
                    <m:sty m:val="p"/>
                  </m:rPr>
                  <w:rPr>
                    <w:rFonts w:ascii="Cambria Math" w:hAnsi="Cambria Math"/>
                    <w:sz w:val="24"/>
                    <w:szCs w:val="24"/>
                  </w:rPr>
                  <m:t>2</m:t>
                </m:r>
              </m:sup>
            </m:sSubSup>
            <m:sSubSup>
              <m:sSubSupPr>
                <m:ctrlPr>
                  <w:rPr>
                    <w:rFonts w:ascii="Cambria Math" w:hAnsi="Cambria Math"/>
                    <w:sz w:val="24"/>
                    <w:szCs w:val="24"/>
                  </w:rPr>
                </m:ctrlPr>
              </m:sSubSupPr>
              <m:e>
                <m:r>
                  <w:rPr>
                    <w:rFonts w:ascii="Cambria Math" w:hAnsi="Cambria Math"/>
                    <w:sz w:val="24"/>
                    <w:szCs w:val="24"/>
                  </w:rPr>
                  <m:t>σ</m:t>
                </m:r>
              </m:e>
              <m:sub>
                <m:r>
                  <m:rPr>
                    <m:sty m:val="p"/>
                  </m:rPr>
                  <w:rPr>
                    <w:rFonts w:ascii="Cambria Math" w:hAnsi="Cambria Math"/>
                    <w:sz w:val="24"/>
                    <w:szCs w:val="24"/>
                  </w:rPr>
                  <m:t>2</m:t>
                </m:r>
              </m:sub>
              <m:sup>
                <m:r>
                  <m:rPr>
                    <m:sty m:val="p"/>
                  </m:rPr>
                  <w:rPr>
                    <w:rFonts w:ascii="Cambria Math" w:hAnsi="Cambria Math"/>
                    <w:sz w:val="24"/>
                    <w:szCs w:val="24"/>
                  </w:rPr>
                  <m:t>2</m:t>
                </m:r>
              </m:sup>
            </m:sSubSup>
          </m:den>
        </m:f>
      </m:oMath>
      <w:r w:rsidR="002B549B" w:rsidRPr="00A75601">
        <w:rPr>
          <w:rFonts w:ascii="Times New Roman" w:hAnsi="Times New Roman"/>
          <w:sz w:val="24"/>
          <w:szCs w:val="24"/>
        </w:rPr>
        <w:t>,</w:t>
      </w:r>
      <w:r w:rsidR="002B549B" w:rsidRPr="00A75601">
        <w:rPr>
          <w:rFonts w:ascii="Times New Roman" w:hAnsi="Times New Roman"/>
          <w:color w:val="FF0000"/>
          <w:sz w:val="24"/>
          <w:szCs w:val="24"/>
        </w:rPr>
        <w:tab/>
      </w:r>
      <m:oMath>
        <m:sSub>
          <m:sSubPr>
            <m:ctrlPr>
              <w:rPr>
                <w:rFonts w:ascii="Cambria Math" w:hAnsi="Cambria Math"/>
                <w:sz w:val="24"/>
                <w:szCs w:val="24"/>
              </w:rPr>
            </m:ctrlPr>
          </m:sSubPr>
          <m:e>
            <m:r>
              <m:rPr>
                <m:sty m:val="p"/>
              </m:rPr>
              <w:rPr>
                <w:rFonts w:ascii="Cambria Math" w:hAnsi="Cambria Math"/>
                <w:sz w:val="24"/>
                <w:szCs w:val="24"/>
              </w:rPr>
              <m:t xml:space="preserve"> </m:t>
            </m:r>
            <m:r>
              <w:rPr>
                <w:rFonts w:ascii="Cambria Math" w:hAnsi="Cambria Math"/>
                <w:sz w:val="24"/>
                <w:szCs w:val="24"/>
              </w:rPr>
              <m:t>IS</m:t>
            </m:r>
          </m:e>
          <m:sub>
            <m:r>
              <w:rPr>
                <w:rFonts w:ascii="Cambria Math" w:hAnsi="Cambria Math"/>
                <w:sz w:val="24"/>
                <w:szCs w:val="24"/>
              </w:rPr>
              <m:t>cds</m:t>
            </m:r>
            <m:r>
              <m:rPr>
                <m:sty m:val="p"/>
              </m:rPr>
              <w:rPr>
                <w:rFonts w:ascii="Cambria Math" w:hAnsi="Cambria Math"/>
                <w:sz w:val="24"/>
                <w:szCs w:val="24"/>
              </w:rPr>
              <m:t>,2</m:t>
            </m:r>
          </m:sub>
        </m:sSub>
        <m:r>
          <m:rPr>
            <m:sty m:val="p"/>
          </m:rPr>
          <w:rPr>
            <w:rFonts w:ascii="Cambria Math" w:hAnsi="Cambria Math"/>
            <w:sz w:val="24"/>
            <w:szCs w:val="24"/>
          </w:rPr>
          <m:t>=</m:t>
        </m:r>
        <m:f>
          <m:fPr>
            <m:ctrlPr>
              <w:rPr>
                <w:rFonts w:ascii="Cambria Math" w:hAnsi="Cambria Math"/>
                <w:sz w:val="24"/>
                <w:szCs w:val="24"/>
              </w:rPr>
            </m:ctrlPr>
          </m:fPr>
          <m:num>
            <m:sSup>
              <m:sSupPr>
                <m:ctrlPr>
                  <w:rPr>
                    <w:rFonts w:ascii="Cambria Math" w:hAnsi="Cambria Math"/>
                    <w:sz w:val="24"/>
                    <w:szCs w:val="24"/>
                  </w:rPr>
                </m:ctrlPr>
              </m:sSupPr>
              <m:e>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λ</m:t>
                        </m:r>
                      </m:e>
                      <m:sub>
                        <m:r>
                          <m:rPr>
                            <m:sty m:val="p"/>
                          </m:rPr>
                          <w:rPr>
                            <w:rFonts w:ascii="Cambria Math" w:hAnsi="Cambria Math"/>
                            <w:sz w:val="24"/>
                            <w:szCs w:val="24"/>
                          </w:rPr>
                          <m:t>2</m:t>
                        </m:r>
                      </m:sub>
                    </m:sSub>
                    <m:sSub>
                      <m:sSubPr>
                        <m:ctrlPr>
                          <w:rPr>
                            <w:rFonts w:ascii="Cambria Math" w:hAnsi="Cambria Math"/>
                            <w:sz w:val="24"/>
                            <w:szCs w:val="24"/>
                          </w:rPr>
                        </m:ctrlPr>
                      </m:sSubPr>
                      <m:e>
                        <m:r>
                          <w:rPr>
                            <w:rFonts w:ascii="Cambria Math" w:hAnsi="Cambria Math"/>
                            <w:sz w:val="24"/>
                            <w:szCs w:val="24"/>
                          </w:rPr>
                          <m:t>σ</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λ</m:t>
                        </m:r>
                      </m:e>
                      <m:sub>
                        <m:r>
                          <m:rPr>
                            <m:sty m:val="p"/>
                          </m:rPr>
                          <w:rPr>
                            <w:rFonts w:ascii="Cambria Math" w:hAnsi="Cambria Math"/>
                            <w:sz w:val="24"/>
                            <w:szCs w:val="24"/>
                          </w:rPr>
                          <m:t>1</m:t>
                        </m:r>
                      </m:sub>
                    </m:sSub>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σ</m:t>
                            </m:r>
                          </m:e>
                          <m:sub>
                            <m:r>
                              <m:rPr>
                                <m:sty m:val="p"/>
                              </m:rPr>
                              <w:rPr>
                                <w:rFonts w:ascii="Cambria Math" w:hAnsi="Cambria Math"/>
                                <w:sz w:val="24"/>
                                <w:szCs w:val="24"/>
                              </w:rPr>
                              <m:t>12</m:t>
                            </m:r>
                          </m:sub>
                        </m:sSub>
                      </m:num>
                      <m:den>
                        <m:sSub>
                          <m:sSubPr>
                            <m:ctrlPr>
                              <w:rPr>
                                <w:rFonts w:ascii="Cambria Math" w:hAnsi="Cambria Math"/>
                                <w:sz w:val="24"/>
                                <w:szCs w:val="24"/>
                              </w:rPr>
                            </m:ctrlPr>
                          </m:sSubPr>
                          <m:e>
                            <m:r>
                              <w:rPr>
                                <w:rFonts w:ascii="Cambria Math" w:hAnsi="Cambria Math"/>
                                <w:sz w:val="24"/>
                                <w:szCs w:val="24"/>
                              </w:rPr>
                              <m:t>σ</m:t>
                            </m:r>
                          </m:e>
                          <m:sub>
                            <m:r>
                              <m:rPr>
                                <m:sty m:val="p"/>
                              </m:rPr>
                              <w:rPr>
                                <w:rFonts w:ascii="Cambria Math" w:hAnsi="Cambria Math"/>
                                <w:sz w:val="24"/>
                                <w:szCs w:val="24"/>
                              </w:rPr>
                              <m:t>1</m:t>
                            </m:r>
                          </m:sub>
                        </m:sSub>
                      </m:den>
                    </m:f>
                  </m:e>
                </m:d>
              </m:e>
              <m:sup>
                <m:r>
                  <m:rPr>
                    <m:sty m:val="p"/>
                  </m:rPr>
                  <w:rPr>
                    <w:rFonts w:ascii="Cambria Math" w:hAnsi="Cambria Math"/>
                    <w:sz w:val="24"/>
                    <w:szCs w:val="24"/>
                  </w:rPr>
                  <m:t>2</m:t>
                </m:r>
              </m:sup>
            </m:sSup>
          </m:num>
          <m:den>
            <m:sSubSup>
              <m:sSubSupPr>
                <m:ctrlPr>
                  <w:rPr>
                    <w:rFonts w:ascii="Cambria Math" w:hAnsi="Cambria Math"/>
                    <w:sz w:val="24"/>
                    <w:szCs w:val="24"/>
                  </w:rPr>
                </m:ctrlPr>
              </m:sSubSupPr>
              <m:e>
                <m:r>
                  <w:rPr>
                    <w:rFonts w:ascii="Cambria Math" w:hAnsi="Cambria Math"/>
                    <w:sz w:val="24"/>
                    <w:szCs w:val="24"/>
                  </w:rPr>
                  <m:t>λ</m:t>
                </m:r>
              </m:e>
              <m:sub>
                <m:r>
                  <m:rPr>
                    <m:sty m:val="p"/>
                  </m:rPr>
                  <w:rPr>
                    <w:rFonts w:ascii="Cambria Math" w:hAnsi="Cambria Math"/>
                    <w:sz w:val="24"/>
                    <w:szCs w:val="24"/>
                  </w:rPr>
                  <m:t>2</m:t>
                </m:r>
              </m:sub>
              <m:sup>
                <m:r>
                  <m:rPr>
                    <m:sty m:val="p"/>
                  </m:rPr>
                  <w:rPr>
                    <w:rFonts w:ascii="Cambria Math" w:hAnsi="Cambria Math"/>
                    <w:sz w:val="24"/>
                    <w:szCs w:val="24"/>
                  </w:rPr>
                  <m:t>2</m:t>
                </m:r>
              </m:sup>
            </m:sSubSup>
            <m:sSubSup>
              <m:sSubSupPr>
                <m:ctrlPr>
                  <w:rPr>
                    <w:rFonts w:ascii="Cambria Math" w:hAnsi="Cambria Math"/>
                    <w:sz w:val="24"/>
                    <w:szCs w:val="24"/>
                  </w:rPr>
                </m:ctrlPr>
              </m:sSubSupPr>
              <m:e>
                <m:r>
                  <w:rPr>
                    <w:rFonts w:ascii="Cambria Math" w:hAnsi="Cambria Math"/>
                    <w:sz w:val="24"/>
                    <w:szCs w:val="24"/>
                  </w:rPr>
                  <m:t>σ</m:t>
                </m:r>
              </m:e>
              <m:sub>
                <m:r>
                  <m:rPr>
                    <m:sty m:val="p"/>
                  </m:rPr>
                  <w:rPr>
                    <w:rFonts w:ascii="Cambria Math" w:hAnsi="Cambria Math"/>
                    <w:sz w:val="24"/>
                    <w:szCs w:val="24"/>
                  </w:rPr>
                  <m:t>1</m:t>
                </m:r>
              </m:sub>
              <m:sup>
                <m:r>
                  <m:rPr>
                    <m:sty m:val="p"/>
                  </m:rPr>
                  <w:rPr>
                    <w:rFonts w:ascii="Cambria Math" w:hAnsi="Cambria Math"/>
                    <w:sz w:val="24"/>
                    <w:szCs w:val="24"/>
                  </w:rPr>
                  <m:t>2</m:t>
                </m:r>
              </m:sup>
            </m:sSubSup>
            <m:r>
              <m:rPr>
                <m:sty m:val="p"/>
              </m:rPr>
              <w:rPr>
                <w:rFonts w:ascii="Cambria Math" w:hAnsi="Cambria Math"/>
                <w:sz w:val="24"/>
                <w:szCs w:val="24"/>
              </w:rPr>
              <m:t>-2</m:t>
            </m:r>
            <m:sSub>
              <m:sSubPr>
                <m:ctrlPr>
                  <w:rPr>
                    <w:rFonts w:ascii="Cambria Math" w:hAnsi="Cambria Math"/>
                    <w:sz w:val="24"/>
                    <w:szCs w:val="24"/>
                  </w:rPr>
                </m:ctrlPr>
              </m:sSubPr>
              <m:e>
                <m:r>
                  <w:rPr>
                    <w:rFonts w:ascii="Cambria Math" w:hAnsi="Cambria Math"/>
                    <w:sz w:val="24"/>
                    <w:szCs w:val="24"/>
                  </w:rPr>
                  <m:t>λ</m:t>
                </m:r>
              </m:e>
              <m:sub>
                <m:r>
                  <m:rPr>
                    <m:sty m:val="p"/>
                  </m:rPr>
                  <w:rPr>
                    <w:rFonts w:ascii="Cambria Math" w:hAnsi="Cambria Math"/>
                    <w:sz w:val="24"/>
                    <w:szCs w:val="24"/>
                  </w:rPr>
                  <m:t>1</m:t>
                </m:r>
              </m:sub>
            </m:sSub>
            <m:sSub>
              <m:sSubPr>
                <m:ctrlPr>
                  <w:rPr>
                    <w:rFonts w:ascii="Cambria Math" w:hAnsi="Cambria Math"/>
                    <w:sz w:val="24"/>
                    <w:szCs w:val="24"/>
                  </w:rPr>
                </m:ctrlPr>
              </m:sSubPr>
              <m:e>
                <m:r>
                  <w:rPr>
                    <w:rFonts w:ascii="Cambria Math" w:hAnsi="Cambria Math"/>
                    <w:sz w:val="24"/>
                    <w:szCs w:val="24"/>
                  </w:rPr>
                  <m:t>λ</m:t>
                </m:r>
              </m:e>
              <m:sub>
                <m:r>
                  <m:rPr>
                    <m:sty m:val="p"/>
                  </m:rPr>
                  <w:rPr>
                    <w:rFonts w:ascii="Cambria Math" w:hAnsi="Cambria Math"/>
                    <w:sz w:val="24"/>
                    <w:szCs w:val="24"/>
                  </w:rPr>
                  <m:t>2</m:t>
                </m:r>
              </m:sub>
            </m:sSub>
            <m:sSub>
              <m:sSubPr>
                <m:ctrlPr>
                  <w:rPr>
                    <w:rFonts w:ascii="Cambria Math" w:hAnsi="Cambria Math"/>
                    <w:sz w:val="24"/>
                    <w:szCs w:val="24"/>
                  </w:rPr>
                </m:ctrlPr>
              </m:sSubPr>
              <m:e>
                <m:r>
                  <w:rPr>
                    <w:rFonts w:ascii="Cambria Math" w:hAnsi="Cambria Math"/>
                    <w:sz w:val="24"/>
                    <w:szCs w:val="24"/>
                  </w:rPr>
                  <m:t>σ</m:t>
                </m:r>
              </m:e>
              <m:sub>
                <m:r>
                  <m:rPr>
                    <m:sty m:val="p"/>
                  </m:rPr>
                  <w:rPr>
                    <w:rFonts w:ascii="Cambria Math" w:hAnsi="Cambria Math"/>
                    <w:sz w:val="24"/>
                    <w:szCs w:val="24"/>
                  </w:rPr>
                  <m:t>12</m:t>
                </m:r>
              </m:sub>
            </m:sSub>
            <m:r>
              <m:rPr>
                <m:sty m:val="p"/>
              </m:rPr>
              <w:rPr>
                <w:rFonts w:ascii="Cambria Math" w:hAnsi="Cambria Math"/>
                <w:sz w:val="24"/>
                <w:szCs w:val="24"/>
              </w:rPr>
              <m:t>+</m:t>
            </m:r>
            <m:sSubSup>
              <m:sSubSupPr>
                <m:ctrlPr>
                  <w:rPr>
                    <w:rFonts w:ascii="Cambria Math" w:hAnsi="Cambria Math"/>
                    <w:sz w:val="24"/>
                    <w:szCs w:val="24"/>
                  </w:rPr>
                </m:ctrlPr>
              </m:sSubSupPr>
              <m:e>
                <m:r>
                  <w:rPr>
                    <w:rFonts w:ascii="Cambria Math" w:hAnsi="Cambria Math"/>
                    <w:sz w:val="24"/>
                    <w:szCs w:val="24"/>
                  </w:rPr>
                  <m:t>λ</m:t>
                </m:r>
              </m:e>
              <m:sub>
                <m:r>
                  <m:rPr>
                    <m:sty m:val="p"/>
                  </m:rPr>
                  <w:rPr>
                    <w:rFonts w:ascii="Cambria Math" w:hAnsi="Cambria Math"/>
                    <w:sz w:val="24"/>
                    <w:szCs w:val="24"/>
                  </w:rPr>
                  <m:t>1</m:t>
                </m:r>
              </m:sub>
              <m:sup>
                <m:r>
                  <m:rPr>
                    <m:sty m:val="p"/>
                  </m:rPr>
                  <w:rPr>
                    <w:rFonts w:ascii="Cambria Math" w:hAnsi="Cambria Math"/>
                    <w:sz w:val="24"/>
                    <w:szCs w:val="24"/>
                  </w:rPr>
                  <m:t>2</m:t>
                </m:r>
              </m:sup>
            </m:sSubSup>
            <m:sSubSup>
              <m:sSubSupPr>
                <m:ctrlPr>
                  <w:rPr>
                    <w:rFonts w:ascii="Cambria Math" w:hAnsi="Cambria Math"/>
                    <w:sz w:val="24"/>
                    <w:szCs w:val="24"/>
                  </w:rPr>
                </m:ctrlPr>
              </m:sSubSupPr>
              <m:e>
                <m:r>
                  <w:rPr>
                    <w:rFonts w:ascii="Cambria Math" w:hAnsi="Cambria Math"/>
                    <w:sz w:val="24"/>
                    <w:szCs w:val="24"/>
                  </w:rPr>
                  <m:t>σ</m:t>
                </m:r>
              </m:e>
              <m:sub>
                <m:r>
                  <m:rPr>
                    <m:sty m:val="p"/>
                  </m:rPr>
                  <w:rPr>
                    <w:rFonts w:ascii="Cambria Math" w:hAnsi="Cambria Math"/>
                    <w:sz w:val="24"/>
                    <w:szCs w:val="24"/>
                  </w:rPr>
                  <m:t>2</m:t>
                </m:r>
              </m:sub>
              <m:sup>
                <m:r>
                  <m:rPr>
                    <m:sty m:val="p"/>
                  </m:rPr>
                  <w:rPr>
                    <w:rFonts w:ascii="Cambria Math" w:hAnsi="Cambria Math"/>
                    <w:sz w:val="24"/>
                    <w:szCs w:val="24"/>
                  </w:rPr>
                  <m:t>2</m:t>
                </m:r>
              </m:sup>
            </m:sSubSup>
          </m:den>
        </m:f>
      </m:oMath>
      <w:r w:rsidR="00902FD7">
        <w:rPr>
          <w:rFonts w:ascii="Times New Roman" w:hAnsi="Times New Roman"/>
          <w:sz w:val="24"/>
          <w:szCs w:val="24"/>
        </w:rPr>
        <w:tab/>
      </w:r>
      <w:r w:rsidR="00902FD7">
        <w:rPr>
          <w:rFonts w:ascii="Times New Roman" w:hAnsi="Times New Roman"/>
          <w:sz w:val="24"/>
          <w:szCs w:val="24"/>
        </w:rPr>
        <w:tab/>
      </w:r>
      <w:r w:rsidR="00902FD7">
        <w:rPr>
          <w:rFonts w:ascii="Times New Roman" w:hAnsi="Times New Roman"/>
          <w:sz w:val="24"/>
          <w:szCs w:val="24"/>
        </w:rPr>
        <w:tab/>
      </w:r>
      <w:r w:rsidR="00902FD7">
        <w:rPr>
          <w:rFonts w:ascii="Times New Roman" w:hAnsi="Times New Roman"/>
          <w:sz w:val="24"/>
          <w:szCs w:val="24"/>
        </w:rPr>
        <w:tab/>
      </w:r>
      <w:r w:rsidR="00835F87" w:rsidRPr="00A75601">
        <w:rPr>
          <w:rFonts w:ascii="Times New Roman" w:hAnsi="Times New Roman"/>
          <w:sz w:val="24"/>
          <w:szCs w:val="24"/>
        </w:rPr>
        <w:t>(</w:t>
      </w:r>
      <w:r w:rsidR="00902FD7">
        <w:rPr>
          <w:rFonts w:ascii="Times New Roman" w:hAnsi="Times New Roman"/>
          <w:sz w:val="24"/>
          <w:szCs w:val="24"/>
        </w:rPr>
        <w:t>2</w:t>
      </w:r>
      <w:r w:rsidR="00C275CB" w:rsidRPr="00A75601">
        <w:rPr>
          <w:rFonts w:ascii="Times New Roman" w:hAnsi="Times New Roman"/>
          <w:sz w:val="24"/>
          <w:szCs w:val="24"/>
        </w:rPr>
        <w:t>)</w:t>
      </w:r>
    </w:p>
    <w:p w14:paraId="6844D2D6" w14:textId="77777777" w:rsidR="002F0D40" w:rsidRPr="00A75601" w:rsidRDefault="008809C5" w:rsidP="00A75601">
      <w:pPr>
        <w:spacing w:line="480" w:lineRule="auto"/>
        <w:jc w:val="both"/>
        <w:outlineLvl w:val="0"/>
        <w:rPr>
          <w:rFonts w:ascii="Times New Roman" w:hAnsi="Times New Roman"/>
          <w:sz w:val="24"/>
          <w:szCs w:val="24"/>
        </w:rPr>
      </w:pPr>
      <w:r w:rsidRPr="00A75601">
        <w:rPr>
          <w:rFonts w:ascii="Times New Roman" w:hAnsi="Times New Roman"/>
          <w:sz w:val="24"/>
          <w:szCs w:val="24"/>
        </w:rPr>
        <w:t>w</w:t>
      </w:r>
      <w:r w:rsidR="00043E36" w:rsidRPr="00A75601">
        <w:rPr>
          <w:rFonts w:ascii="Times New Roman" w:hAnsi="Times New Roman"/>
          <w:sz w:val="24"/>
          <w:szCs w:val="24"/>
        </w:rPr>
        <w:t xml:space="preserve">here </w:t>
      </w:r>
      <m:oMath>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1</m:t>
            </m:r>
          </m:sub>
          <m:sup>
            <m:r>
              <w:rPr>
                <w:rFonts w:ascii="Cambria Math" w:hAnsi="Cambria Math"/>
                <w:sz w:val="24"/>
                <w:szCs w:val="24"/>
              </w:rPr>
              <m:t>2</m:t>
            </m:r>
          </m:sup>
        </m:sSubSup>
      </m:oMath>
      <w:r w:rsidR="00043E36" w:rsidRPr="00A75601">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12</m:t>
            </m:r>
          </m:sub>
        </m:sSub>
      </m:oMath>
      <w:r w:rsidR="00043E36" w:rsidRPr="00A75601">
        <w:rPr>
          <w:rFonts w:ascii="Times New Roman" w:hAnsi="Times New Roman"/>
          <w:sz w:val="24"/>
          <w:szCs w:val="24"/>
        </w:rPr>
        <w:t xml:space="preserve">, and </w:t>
      </w:r>
      <m:oMath>
        <m:sSubSup>
          <m:sSubSupPr>
            <m:ctrlPr>
              <w:rPr>
                <w:rFonts w:ascii="Cambria Math" w:hAnsi="Cambria Math"/>
                <w:i/>
                <w:sz w:val="24"/>
                <w:szCs w:val="24"/>
              </w:rPr>
            </m:ctrlPr>
          </m:sSubSupPr>
          <m:e>
            <m:r>
              <w:rPr>
                <w:rFonts w:ascii="Cambria Math" w:hAnsi="Cambria Math"/>
                <w:sz w:val="24"/>
                <w:szCs w:val="24"/>
              </w:rPr>
              <m:t>σ</m:t>
            </m:r>
          </m:e>
          <m:sub>
            <m:r>
              <m:rPr>
                <m:sty m:val="p"/>
              </m:rPr>
              <w:rPr>
                <w:rFonts w:ascii="Cambria Math" w:hAnsi="Cambria Math"/>
                <w:sz w:val="24"/>
                <w:szCs w:val="24"/>
              </w:rPr>
              <m:t>2</m:t>
            </m:r>
          </m:sub>
          <m:sup>
            <m:r>
              <m:rPr>
                <m:sty m:val="p"/>
              </m:rPr>
              <w:rPr>
                <w:rFonts w:ascii="Cambria Math" w:hAnsi="Cambria Math"/>
                <w:sz w:val="24"/>
                <w:szCs w:val="24"/>
              </w:rPr>
              <m:t>2</m:t>
            </m:r>
          </m:sup>
        </m:sSubSup>
      </m:oMath>
      <w:r w:rsidR="00043E36" w:rsidRPr="00A75601">
        <w:rPr>
          <w:rFonts w:ascii="Times New Roman" w:hAnsi="Times New Roman"/>
          <w:sz w:val="24"/>
          <w:szCs w:val="24"/>
        </w:rPr>
        <w:t xml:space="preserve"> give the </w:t>
      </w:r>
      <w:r w:rsidR="005D2BAA" w:rsidRPr="00A75601">
        <w:rPr>
          <w:rFonts w:ascii="Times New Roman" w:hAnsi="Times New Roman"/>
          <w:sz w:val="24"/>
          <w:szCs w:val="24"/>
        </w:rPr>
        <w:t xml:space="preserve">time-invariant </w:t>
      </w:r>
      <w:r w:rsidR="00043E36" w:rsidRPr="00A75601">
        <w:rPr>
          <w:rFonts w:ascii="Times New Roman" w:hAnsi="Times New Roman"/>
          <w:sz w:val="24"/>
          <w:szCs w:val="24"/>
        </w:rPr>
        <w:t xml:space="preserve">covariance matrix of </w:t>
      </w:r>
      <m:oMath>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1t</m:t>
            </m:r>
          </m:sub>
        </m:sSub>
      </m:oMath>
      <w:r w:rsidR="00043E36" w:rsidRPr="00A75601">
        <w:rPr>
          <w:rFonts w:ascii="Times New Roman" w:hAnsi="Times New Roman"/>
          <w:sz w:val="24"/>
          <w:szCs w:val="24"/>
        </w:rPr>
        <w:t xml:space="preserve"> and </w:t>
      </w:r>
      <m:oMath>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2t</m:t>
            </m:r>
          </m:sub>
        </m:sSub>
      </m:oMath>
      <w:r w:rsidR="00043E36" w:rsidRPr="00A75601">
        <w:rPr>
          <w:rFonts w:ascii="Times New Roman" w:hAnsi="Times New Roman"/>
          <w:sz w:val="24"/>
          <w:szCs w:val="24"/>
        </w:rPr>
        <w:t xml:space="preserve">. </w:t>
      </w:r>
      <w:r w:rsidR="00A60B71" w:rsidRPr="00A75601">
        <w:rPr>
          <w:rFonts w:ascii="Times New Roman" w:hAnsi="Times New Roman"/>
          <w:sz w:val="24"/>
          <w:szCs w:val="24"/>
        </w:rPr>
        <w:t>Baillie et al. (2002) show that the midpoint of these IS bounds</w:t>
      </w:r>
      <w:r w:rsidR="00C91B89" w:rsidRPr="00A75601">
        <w:rPr>
          <w:rFonts w:ascii="Times New Roman" w:hAnsi="Times New Roman"/>
          <w:sz w:val="24"/>
          <w:szCs w:val="24"/>
        </w:rPr>
        <w:t>,</w:t>
      </w:r>
      <w:r w:rsidR="00A60B71" w:rsidRPr="00A75601">
        <w:rPr>
          <w:rFonts w:ascii="Times New Roman" w:hAnsi="Times New Roman"/>
          <w:sz w:val="24"/>
          <w:szCs w:val="24"/>
        </w:rPr>
        <w:t xml:space="preserve"> </w:t>
      </w:r>
      <w:r w:rsidR="00C91B89" w:rsidRPr="00A75601">
        <w:rPr>
          <w:rFonts w:ascii="Times New Roman" w:hAnsi="Times New Roman"/>
          <w:sz w:val="24"/>
          <w:szCs w:val="24"/>
        </w:rPr>
        <w:t xml:space="preserve">denoted by </w:t>
      </w:r>
      <w:proofErr w:type="spellStart"/>
      <w:r w:rsidR="00C91B89" w:rsidRPr="00A75601">
        <w:rPr>
          <w:rFonts w:ascii="Times New Roman" w:hAnsi="Times New Roman"/>
          <w:i/>
          <w:sz w:val="24"/>
          <w:szCs w:val="24"/>
        </w:rPr>
        <w:t>IS</w:t>
      </w:r>
      <w:r w:rsidR="00C91B89" w:rsidRPr="00A75601">
        <w:rPr>
          <w:rFonts w:ascii="Times New Roman" w:hAnsi="Times New Roman"/>
          <w:i/>
          <w:sz w:val="24"/>
          <w:szCs w:val="24"/>
          <w:vertAlign w:val="subscript"/>
        </w:rPr>
        <w:t>cds</w:t>
      </w:r>
      <w:proofErr w:type="spellEnd"/>
      <w:r w:rsidR="00C91B89" w:rsidRPr="00A75601">
        <w:rPr>
          <w:rFonts w:ascii="Times New Roman" w:hAnsi="Times New Roman"/>
          <w:sz w:val="24"/>
          <w:szCs w:val="24"/>
        </w:rPr>
        <w:t xml:space="preserve">, </w:t>
      </w:r>
      <w:r w:rsidR="00A60B71" w:rsidRPr="00A75601">
        <w:rPr>
          <w:rFonts w:ascii="Times New Roman" w:hAnsi="Times New Roman"/>
          <w:sz w:val="24"/>
          <w:szCs w:val="24"/>
        </w:rPr>
        <w:t>can be considered a reasonable estimate of the price discovery of a given market</w:t>
      </w:r>
      <w:r w:rsidR="00FA0270">
        <w:rPr>
          <w:rFonts w:ascii="Times New Roman" w:hAnsi="Times New Roman"/>
          <w:sz w:val="24"/>
          <w:szCs w:val="24"/>
        </w:rPr>
        <w:t>, and we use this in the following</w:t>
      </w:r>
      <w:r w:rsidR="007B28AE">
        <w:rPr>
          <w:rFonts w:ascii="Times New Roman" w:hAnsi="Times New Roman"/>
          <w:sz w:val="24"/>
          <w:szCs w:val="24"/>
        </w:rPr>
        <w:t xml:space="preserve"> analysis</w:t>
      </w:r>
      <w:r w:rsidR="00A60B71" w:rsidRPr="00A75601">
        <w:rPr>
          <w:rFonts w:ascii="Times New Roman" w:hAnsi="Times New Roman"/>
          <w:sz w:val="24"/>
          <w:szCs w:val="24"/>
        </w:rPr>
        <w:t xml:space="preserve">. </w:t>
      </w:r>
    </w:p>
    <w:p w14:paraId="335953C7" w14:textId="77777777" w:rsidR="00F75E52" w:rsidRDefault="00AA6611" w:rsidP="00A75601">
      <w:pPr>
        <w:spacing w:line="480" w:lineRule="auto"/>
        <w:jc w:val="both"/>
        <w:outlineLvl w:val="0"/>
        <w:rPr>
          <w:rFonts w:ascii="Times New Roman" w:hAnsi="Times New Roman"/>
          <w:sz w:val="24"/>
          <w:szCs w:val="24"/>
        </w:rPr>
      </w:pPr>
      <w:r w:rsidRPr="00A75601">
        <w:rPr>
          <w:rFonts w:ascii="Times New Roman" w:hAnsi="Times New Roman"/>
          <w:sz w:val="24"/>
          <w:szCs w:val="24"/>
        </w:rPr>
        <w:t xml:space="preserve">Ideally, a capital structure arbitrageur would be interested </w:t>
      </w:r>
      <w:r w:rsidR="000E00E1" w:rsidRPr="00A75601">
        <w:rPr>
          <w:rFonts w:ascii="Times New Roman" w:hAnsi="Times New Roman"/>
          <w:sz w:val="24"/>
          <w:szCs w:val="24"/>
        </w:rPr>
        <w:t>in having</w:t>
      </w:r>
      <w:r w:rsidRPr="00A75601">
        <w:rPr>
          <w:rFonts w:ascii="Times New Roman" w:hAnsi="Times New Roman"/>
          <w:sz w:val="24"/>
          <w:szCs w:val="24"/>
        </w:rPr>
        <w:t xml:space="preserve"> an estimate of the price discovery of the CDS and equity markets every day, </w:t>
      </w:r>
      <w:r w:rsidR="00FA0270">
        <w:rPr>
          <w:rFonts w:ascii="Times New Roman" w:hAnsi="Times New Roman"/>
          <w:sz w:val="24"/>
          <w:szCs w:val="24"/>
        </w:rPr>
        <w:t>based on which</w:t>
      </w:r>
      <w:r w:rsidRPr="00A75601">
        <w:rPr>
          <w:rFonts w:ascii="Times New Roman" w:hAnsi="Times New Roman"/>
          <w:sz w:val="24"/>
          <w:szCs w:val="24"/>
        </w:rPr>
        <w:t xml:space="preserve"> </w:t>
      </w:r>
      <w:r w:rsidR="00E35B2F">
        <w:rPr>
          <w:rFonts w:ascii="Times New Roman" w:hAnsi="Times New Roman"/>
          <w:sz w:val="24"/>
          <w:szCs w:val="24"/>
        </w:rPr>
        <w:t>she/</w:t>
      </w:r>
      <w:r w:rsidR="000E00E1" w:rsidRPr="00A75601">
        <w:rPr>
          <w:rFonts w:ascii="Times New Roman" w:hAnsi="Times New Roman"/>
          <w:sz w:val="24"/>
          <w:szCs w:val="24"/>
        </w:rPr>
        <w:t xml:space="preserve">he </w:t>
      </w:r>
      <w:r w:rsidR="005D2BAA" w:rsidRPr="00A75601">
        <w:rPr>
          <w:rFonts w:ascii="Times New Roman" w:hAnsi="Times New Roman"/>
          <w:sz w:val="24"/>
          <w:szCs w:val="24"/>
        </w:rPr>
        <w:t xml:space="preserve">can define and </w:t>
      </w:r>
      <w:r w:rsidR="00B0699B" w:rsidRPr="00A75601">
        <w:rPr>
          <w:rFonts w:ascii="Times New Roman" w:hAnsi="Times New Roman"/>
          <w:sz w:val="24"/>
          <w:szCs w:val="24"/>
        </w:rPr>
        <w:t>execute</w:t>
      </w:r>
      <w:r w:rsidR="000E00E1" w:rsidRPr="00A75601">
        <w:rPr>
          <w:rFonts w:ascii="Times New Roman" w:hAnsi="Times New Roman"/>
          <w:sz w:val="24"/>
          <w:szCs w:val="24"/>
        </w:rPr>
        <w:t xml:space="preserve"> </w:t>
      </w:r>
      <w:r w:rsidR="00E35B2F">
        <w:rPr>
          <w:rFonts w:ascii="Times New Roman" w:hAnsi="Times New Roman"/>
          <w:sz w:val="24"/>
          <w:szCs w:val="24"/>
        </w:rPr>
        <w:t>her/</w:t>
      </w:r>
      <w:r w:rsidR="000E00E1" w:rsidRPr="00A75601">
        <w:rPr>
          <w:rFonts w:ascii="Times New Roman" w:hAnsi="Times New Roman"/>
          <w:sz w:val="24"/>
          <w:szCs w:val="24"/>
        </w:rPr>
        <w:t>his trades</w:t>
      </w:r>
      <w:r w:rsidR="00141588" w:rsidRPr="00A75601">
        <w:rPr>
          <w:rFonts w:ascii="Times New Roman" w:hAnsi="Times New Roman"/>
          <w:sz w:val="24"/>
          <w:szCs w:val="24"/>
        </w:rPr>
        <w:t>.</w:t>
      </w:r>
      <w:r w:rsidRPr="00A75601">
        <w:rPr>
          <w:rFonts w:ascii="Times New Roman" w:hAnsi="Times New Roman"/>
          <w:sz w:val="24"/>
          <w:szCs w:val="24"/>
        </w:rPr>
        <w:t xml:space="preserve"> </w:t>
      </w:r>
      <w:r w:rsidR="007F2E81" w:rsidRPr="00A75601">
        <w:rPr>
          <w:rFonts w:ascii="Times New Roman" w:hAnsi="Times New Roman"/>
          <w:sz w:val="24"/>
          <w:szCs w:val="24"/>
        </w:rPr>
        <w:t>W</w:t>
      </w:r>
      <w:r w:rsidR="00EA70A7" w:rsidRPr="00A75601">
        <w:rPr>
          <w:rFonts w:ascii="Times New Roman" w:hAnsi="Times New Roman"/>
          <w:sz w:val="24"/>
          <w:szCs w:val="24"/>
        </w:rPr>
        <w:t>e apply a bivariate GARCH model to the residuals of the VECM estimated in (</w:t>
      </w:r>
      <w:r w:rsidR="00F75E52">
        <w:rPr>
          <w:rFonts w:ascii="Times New Roman" w:hAnsi="Times New Roman"/>
          <w:sz w:val="24"/>
          <w:szCs w:val="24"/>
        </w:rPr>
        <w:t>1</w:t>
      </w:r>
      <w:r w:rsidR="00EA70A7" w:rsidRPr="00A75601">
        <w:rPr>
          <w:rFonts w:ascii="Times New Roman" w:hAnsi="Times New Roman"/>
          <w:sz w:val="24"/>
          <w:szCs w:val="24"/>
        </w:rPr>
        <w:t>).</w:t>
      </w:r>
      <w:r w:rsidR="00C875AE">
        <w:rPr>
          <w:rStyle w:val="EndnoteReference"/>
          <w:rFonts w:ascii="Times New Roman" w:hAnsi="Times New Roman"/>
          <w:sz w:val="24"/>
          <w:szCs w:val="24"/>
        </w:rPr>
        <w:endnoteReference w:id="6"/>
      </w:r>
      <w:r w:rsidR="00EA70A7" w:rsidRPr="00A75601">
        <w:rPr>
          <w:rFonts w:ascii="Times New Roman" w:hAnsi="Times New Roman"/>
          <w:sz w:val="24"/>
          <w:szCs w:val="24"/>
        </w:rPr>
        <w:t xml:space="preserve"> In particular, we use the BEKK specification </w:t>
      </w:r>
      <w:r w:rsidR="00FA0270">
        <w:rPr>
          <w:rFonts w:ascii="Times New Roman" w:hAnsi="Times New Roman"/>
          <w:sz w:val="24"/>
          <w:szCs w:val="24"/>
        </w:rPr>
        <w:t>of</w:t>
      </w:r>
      <w:r w:rsidR="00EA70A7" w:rsidRPr="00A75601">
        <w:rPr>
          <w:rFonts w:ascii="Times New Roman" w:hAnsi="Times New Roman"/>
          <w:sz w:val="24"/>
          <w:szCs w:val="24"/>
        </w:rPr>
        <w:t xml:space="preserve"> Engle and Kroner (1995)</w:t>
      </w:r>
      <w:r w:rsidR="004D2043" w:rsidRPr="00A75601">
        <w:rPr>
          <w:rFonts w:ascii="Times New Roman" w:hAnsi="Times New Roman"/>
          <w:sz w:val="24"/>
          <w:szCs w:val="24"/>
        </w:rPr>
        <w:t>:</w:t>
      </w:r>
    </w:p>
    <w:p w14:paraId="04EFD2B0" w14:textId="77777777" w:rsidR="00CB5E5D" w:rsidRPr="00A75601" w:rsidRDefault="007E3D27" w:rsidP="00F75E52">
      <w:pPr>
        <w:spacing w:line="480" w:lineRule="auto"/>
        <w:ind w:firstLine="720"/>
        <w:jc w:val="both"/>
        <w:outlineLvl w:val="0"/>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t</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C</m:t>
            </m:r>
          </m:e>
          <m:sup>
            <m:r>
              <w:rPr>
                <w:rFonts w:ascii="Cambria Math" w:hAnsi="Cambria Math"/>
                <w:sz w:val="24"/>
                <w:szCs w:val="24"/>
              </w:rPr>
              <m:t>'</m:t>
            </m:r>
          </m:sup>
        </m:sSup>
        <m:r>
          <w:rPr>
            <w:rFonts w:ascii="Cambria Math" w:hAnsi="Cambria Math"/>
            <w:sz w:val="24"/>
            <w:szCs w:val="24"/>
          </w:rPr>
          <m:t>C+</m:t>
        </m:r>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m:t>
            </m:r>
          </m:sup>
        </m:sSup>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t-1</m:t>
                </m:r>
              </m:sub>
            </m:sSub>
            <m:sSubSup>
              <m:sSubSupPr>
                <m:ctrlPr>
                  <w:rPr>
                    <w:rFonts w:ascii="Cambria Math" w:hAnsi="Cambria Math"/>
                    <w:i/>
                    <w:sz w:val="24"/>
                    <w:szCs w:val="24"/>
                  </w:rPr>
                </m:ctrlPr>
              </m:sSubSupPr>
              <m:e>
                <m:r>
                  <w:rPr>
                    <w:rFonts w:ascii="Cambria Math" w:hAnsi="Cambria Math"/>
                    <w:sz w:val="24"/>
                    <w:szCs w:val="24"/>
                  </w:rPr>
                  <m:t>ε</m:t>
                </m:r>
              </m:e>
              <m:sub>
                <m:r>
                  <w:rPr>
                    <w:rFonts w:ascii="Cambria Math" w:hAnsi="Cambria Math"/>
                    <w:sz w:val="24"/>
                    <w:szCs w:val="24"/>
                  </w:rPr>
                  <m:t>t-1</m:t>
                </m:r>
              </m:sub>
              <m:sup>
                <m:r>
                  <w:rPr>
                    <w:rFonts w:ascii="Cambria Math" w:hAnsi="Cambria Math"/>
                    <w:sz w:val="24"/>
                    <w:szCs w:val="24"/>
                  </w:rPr>
                  <m:t>'</m:t>
                </m:r>
              </m:sup>
            </m:sSubSup>
          </m:e>
        </m:d>
        <m:r>
          <w:rPr>
            <w:rFonts w:ascii="Cambria Math" w:hAnsi="Cambria Math"/>
            <w:sz w:val="24"/>
            <w:szCs w:val="24"/>
          </w:rPr>
          <m:t>A+</m:t>
        </m:r>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m:t>
            </m:r>
          </m:sup>
        </m:sSup>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t-1</m:t>
            </m:r>
          </m:sub>
        </m:sSub>
        <m:r>
          <w:rPr>
            <w:rFonts w:ascii="Cambria Math" w:hAnsi="Cambria Math"/>
            <w:sz w:val="24"/>
            <w:szCs w:val="24"/>
          </w:rPr>
          <m:t>B</m:t>
        </m:r>
      </m:oMath>
      <w:r w:rsidR="00F75E52">
        <w:rPr>
          <w:rFonts w:ascii="Times New Roman" w:hAnsi="Times New Roman"/>
          <w:sz w:val="24"/>
          <w:szCs w:val="24"/>
        </w:rPr>
        <w:tab/>
      </w:r>
      <w:r w:rsidR="00F75E52">
        <w:rPr>
          <w:rFonts w:ascii="Times New Roman" w:hAnsi="Times New Roman"/>
          <w:sz w:val="24"/>
          <w:szCs w:val="24"/>
        </w:rPr>
        <w:tab/>
      </w:r>
      <w:r w:rsidR="00F75E52">
        <w:rPr>
          <w:rFonts w:ascii="Times New Roman" w:hAnsi="Times New Roman"/>
          <w:sz w:val="24"/>
          <w:szCs w:val="24"/>
        </w:rPr>
        <w:tab/>
      </w:r>
      <w:r w:rsidR="00F75E52">
        <w:rPr>
          <w:rFonts w:ascii="Times New Roman" w:hAnsi="Times New Roman"/>
          <w:sz w:val="24"/>
          <w:szCs w:val="24"/>
        </w:rPr>
        <w:tab/>
      </w:r>
      <w:r w:rsidR="00F75E52">
        <w:rPr>
          <w:rFonts w:ascii="Times New Roman" w:hAnsi="Times New Roman"/>
          <w:sz w:val="24"/>
          <w:szCs w:val="24"/>
        </w:rPr>
        <w:tab/>
      </w:r>
      <w:r w:rsidR="00F75E52">
        <w:rPr>
          <w:rFonts w:ascii="Times New Roman" w:hAnsi="Times New Roman"/>
          <w:sz w:val="24"/>
          <w:szCs w:val="24"/>
        </w:rPr>
        <w:tab/>
      </w:r>
      <w:r w:rsidR="00CB5E5D" w:rsidRPr="00A75601">
        <w:rPr>
          <w:rFonts w:ascii="Times New Roman" w:hAnsi="Times New Roman"/>
          <w:sz w:val="24"/>
          <w:szCs w:val="24"/>
        </w:rPr>
        <w:t>(</w:t>
      </w:r>
      <w:r w:rsidR="00F75E52">
        <w:rPr>
          <w:rFonts w:ascii="Times New Roman" w:hAnsi="Times New Roman"/>
          <w:sz w:val="24"/>
          <w:szCs w:val="24"/>
        </w:rPr>
        <w:t>3</w:t>
      </w:r>
      <w:r w:rsidR="00CB5E5D" w:rsidRPr="00A75601">
        <w:rPr>
          <w:rFonts w:ascii="Times New Roman" w:hAnsi="Times New Roman"/>
          <w:sz w:val="24"/>
          <w:szCs w:val="24"/>
        </w:rPr>
        <w:t>)</w:t>
      </w:r>
    </w:p>
    <w:p w14:paraId="7F7251CC" w14:textId="77777777" w:rsidR="00CB5E5D" w:rsidRPr="00A75601" w:rsidRDefault="003A424D" w:rsidP="00A75601">
      <w:pPr>
        <w:spacing w:line="480" w:lineRule="auto"/>
        <w:jc w:val="both"/>
        <w:outlineLvl w:val="0"/>
        <w:rPr>
          <w:rFonts w:ascii="Times New Roman" w:hAnsi="Times New Roman"/>
          <w:sz w:val="24"/>
          <w:szCs w:val="24"/>
        </w:rPr>
      </w:pPr>
      <w:r w:rsidRPr="00A75601">
        <w:rPr>
          <w:rFonts w:ascii="Times New Roman" w:hAnsi="Times New Roman"/>
          <w:sz w:val="24"/>
          <w:szCs w:val="24"/>
        </w:rPr>
        <w:t xml:space="preserve">where </w:t>
      </w:r>
      <m:oMath>
        <m:sSub>
          <m:sSubPr>
            <m:ctrlPr>
              <w:rPr>
                <w:rFonts w:ascii="Cambria Math" w:hAnsi="Cambria Math"/>
                <w:sz w:val="24"/>
                <w:szCs w:val="24"/>
              </w:rPr>
            </m:ctrlPr>
          </m:sSubPr>
          <m:e>
            <m:r>
              <w:rPr>
                <w:rFonts w:ascii="Cambria Math" w:hAnsi="Cambria Math"/>
                <w:sz w:val="24"/>
                <w:szCs w:val="24"/>
              </w:rPr>
              <m:t>H</m:t>
            </m:r>
          </m:e>
          <m:sub>
            <m:r>
              <m:rPr>
                <m:sty m:val="p"/>
              </m:rPr>
              <w:rPr>
                <w:rFonts w:ascii="Cambria Math" w:hAnsi="Cambria Math"/>
                <w:sz w:val="24"/>
                <w:szCs w:val="24"/>
              </w:rPr>
              <m:t>t</m:t>
            </m:r>
          </m:sub>
        </m:sSub>
        <m:r>
          <m:rPr>
            <m:sty m:val="p"/>
          </m:rPr>
          <w:rPr>
            <w:rFonts w:ascii="Cambria Math" w:hAnsi="Cambria Math"/>
            <w:sz w:val="24"/>
            <w:szCs w:val="24"/>
          </w:rPr>
          <m:t>=</m:t>
        </m:r>
        <m:d>
          <m:dPr>
            <m:ctrlPr>
              <w:rPr>
                <w:rFonts w:ascii="Cambria Math" w:hAnsi="Cambria Math"/>
                <w:sz w:val="24"/>
                <w:szCs w:val="24"/>
              </w:rPr>
            </m:ctrlPr>
          </m:dPr>
          <m:e>
            <m:m>
              <m:mPr>
                <m:mcs>
                  <m:mc>
                    <m:mcPr>
                      <m:count m:val="2"/>
                      <m:mcJc m:val="center"/>
                    </m:mcPr>
                  </m:mc>
                </m:mcs>
                <m:ctrlPr>
                  <w:rPr>
                    <w:rFonts w:ascii="Cambria Math" w:hAnsi="Cambria Math"/>
                    <w:sz w:val="24"/>
                    <w:szCs w:val="24"/>
                  </w:rPr>
                </m:ctrlPr>
              </m:mPr>
              <m:mr>
                <m:e>
                  <m:sSubSup>
                    <m:sSubSupPr>
                      <m:ctrlPr>
                        <w:rPr>
                          <w:rFonts w:ascii="Cambria Math" w:hAnsi="Cambria Math"/>
                          <w:sz w:val="24"/>
                          <w:szCs w:val="24"/>
                        </w:rPr>
                      </m:ctrlPr>
                    </m:sSubSupPr>
                    <m:e>
                      <m:r>
                        <w:rPr>
                          <w:rFonts w:ascii="Cambria Math" w:hAnsi="Cambria Math"/>
                          <w:sz w:val="24"/>
                          <w:szCs w:val="24"/>
                        </w:rPr>
                        <m:t>σ</m:t>
                      </m:r>
                    </m:e>
                    <m:sub>
                      <m:r>
                        <m:rPr>
                          <m:sty m:val="p"/>
                        </m:rPr>
                        <w:rPr>
                          <w:rFonts w:ascii="Cambria Math" w:hAnsi="Cambria Math"/>
                          <w:sz w:val="24"/>
                          <w:szCs w:val="24"/>
                        </w:rPr>
                        <m:t>1,t</m:t>
                      </m:r>
                    </m:sub>
                    <m:sup>
                      <m:r>
                        <m:rPr>
                          <m:sty m:val="p"/>
                        </m:rPr>
                        <w:rPr>
                          <w:rFonts w:ascii="Cambria Math" w:hAnsi="Cambria Math"/>
                          <w:sz w:val="24"/>
                          <w:szCs w:val="24"/>
                        </w:rPr>
                        <m:t>2</m:t>
                      </m:r>
                    </m:sup>
                  </m:sSubSup>
                </m:e>
                <m:e>
                  <m:sSub>
                    <m:sSubPr>
                      <m:ctrlPr>
                        <w:rPr>
                          <w:rFonts w:ascii="Cambria Math" w:hAnsi="Cambria Math"/>
                          <w:sz w:val="24"/>
                          <w:szCs w:val="24"/>
                        </w:rPr>
                      </m:ctrlPr>
                    </m:sSubPr>
                    <m:e>
                      <m:r>
                        <w:rPr>
                          <w:rFonts w:ascii="Cambria Math" w:hAnsi="Cambria Math"/>
                          <w:sz w:val="24"/>
                          <w:szCs w:val="24"/>
                        </w:rPr>
                        <m:t>σ</m:t>
                      </m:r>
                    </m:e>
                    <m:sub>
                      <m:r>
                        <m:rPr>
                          <m:sty m:val="p"/>
                        </m:rPr>
                        <w:rPr>
                          <w:rFonts w:ascii="Cambria Math" w:hAnsi="Cambria Math"/>
                          <w:sz w:val="24"/>
                          <w:szCs w:val="24"/>
                        </w:rPr>
                        <m:t>12,t</m:t>
                      </m:r>
                    </m:sub>
                  </m:sSub>
                </m:e>
              </m:mr>
              <m:mr>
                <m:e>
                  <m:sSub>
                    <m:sSubPr>
                      <m:ctrlPr>
                        <w:rPr>
                          <w:rFonts w:ascii="Cambria Math" w:hAnsi="Cambria Math"/>
                          <w:sz w:val="24"/>
                          <w:szCs w:val="24"/>
                        </w:rPr>
                      </m:ctrlPr>
                    </m:sSubPr>
                    <m:e>
                      <m:r>
                        <w:rPr>
                          <w:rFonts w:ascii="Cambria Math" w:hAnsi="Cambria Math"/>
                          <w:sz w:val="24"/>
                          <w:szCs w:val="24"/>
                        </w:rPr>
                        <m:t>σ</m:t>
                      </m:r>
                    </m:e>
                    <m:sub>
                      <m:r>
                        <m:rPr>
                          <m:sty m:val="p"/>
                        </m:rPr>
                        <w:rPr>
                          <w:rFonts w:ascii="Cambria Math" w:hAnsi="Cambria Math"/>
                          <w:sz w:val="24"/>
                          <w:szCs w:val="24"/>
                        </w:rPr>
                        <m:t>12,t</m:t>
                      </m:r>
                    </m:sub>
                  </m:sSub>
                </m:e>
                <m:e>
                  <m:sSubSup>
                    <m:sSubSupPr>
                      <m:ctrlPr>
                        <w:rPr>
                          <w:rFonts w:ascii="Cambria Math" w:hAnsi="Cambria Math"/>
                          <w:sz w:val="24"/>
                          <w:szCs w:val="24"/>
                        </w:rPr>
                      </m:ctrlPr>
                    </m:sSubSupPr>
                    <m:e>
                      <m:r>
                        <w:rPr>
                          <w:rFonts w:ascii="Cambria Math" w:hAnsi="Cambria Math"/>
                          <w:sz w:val="24"/>
                          <w:szCs w:val="24"/>
                        </w:rPr>
                        <m:t>σ</m:t>
                      </m:r>
                    </m:e>
                    <m:sub>
                      <m:r>
                        <m:rPr>
                          <m:sty m:val="p"/>
                        </m:rPr>
                        <w:rPr>
                          <w:rFonts w:ascii="Cambria Math" w:hAnsi="Cambria Math"/>
                          <w:sz w:val="24"/>
                          <w:szCs w:val="24"/>
                        </w:rPr>
                        <m:t>2,t</m:t>
                      </m:r>
                    </m:sub>
                    <m:sup>
                      <m:r>
                        <m:rPr>
                          <m:sty m:val="p"/>
                        </m:rPr>
                        <w:rPr>
                          <w:rFonts w:ascii="Cambria Math" w:hAnsi="Cambria Math"/>
                          <w:sz w:val="24"/>
                          <w:szCs w:val="24"/>
                        </w:rPr>
                        <m:t>2</m:t>
                      </m:r>
                    </m:sup>
                  </m:sSubSup>
                </m:e>
              </m:mr>
            </m:m>
          </m:e>
        </m:d>
      </m:oMath>
      <w:r w:rsidR="002C4F72" w:rsidRPr="00A75601">
        <w:rPr>
          <w:rFonts w:ascii="Times New Roman" w:hAnsi="Times New Roman"/>
          <w:sz w:val="24"/>
          <w:szCs w:val="24"/>
        </w:rPr>
        <w:t xml:space="preserve">, </w:t>
      </w:r>
      <m:oMath>
        <m:r>
          <w:rPr>
            <w:rFonts w:ascii="Cambria Math" w:hAnsi="Cambria Math"/>
            <w:sz w:val="24"/>
            <w:szCs w:val="24"/>
          </w:rPr>
          <m:t>C=</m:t>
        </m:r>
        <m:d>
          <m:dPr>
            <m:ctrlPr>
              <w:rPr>
                <w:rFonts w:ascii="Cambria Math" w:hAnsi="Cambria Math"/>
                <w:i/>
                <w:sz w:val="24"/>
                <w:szCs w:val="24"/>
              </w:rPr>
            </m:ctrlPr>
          </m:dPr>
          <m:e>
            <m:m>
              <m:mPr>
                <m:mcs>
                  <m:mc>
                    <m:mcPr>
                      <m:count m:val="2"/>
                      <m:mcJc m:val="center"/>
                    </m:mcPr>
                  </m:mc>
                </m:mcs>
                <m:ctrlPr>
                  <w:rPr>
                    <w:rFonts w:ascii="Cambria Math" w:hAnsi="Cambria Math"/>
                    <w:i/>
                    <w:sz w:val="24"/>
                    <w:szCs w:val="24"/>
                  </w:rPr>
                </m:ctrlPr>
              </m:mPr>
              <m:m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11</m:t>
                      </m:r>
                    </m:sub>
                  </m:sSub>
                </m:e>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12</m:t>
                      </m:r>
                    </m:sub>
                  </m:sSub>
                </m:e>
              </m:mr>
              <m:mr>
                <m:e>
                  <m:r>
                    <w:rPr>
                      <w:rFonts w:ascii="Cambria Math" w:hAnsi="Cambria Math"/>
                      <w:sz w:val="24"/>
                      <w:szCs w:val="24"/>
                    </w:rPr>
                    <m:t>0</m:t>
                  </m:r>
                </m:e>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22</m:t>
                      </m:r>
                    </m:sub>
                  </m:sSub>
                </m:e>
              </m:mr>
            </m:m>
          </m:e>
        </m:d>
      </m:oMath>
      <w:r w:rsidR="002C4F72" w:rsidRPr="00A75601">
        <w:rPr>
          <w:rFonts w:ascii="Times New Roman" w:hAnsi="Times New Roman"/>
          <w:sz w:val="24"/>
          <w:szCs w:val="24"/>
        </w:rPr>
        <w:t xml:space="preserve">, </w:t>
      </w:r>
      <m:oMath>
        <m:r>
          <w:rPr>
            <w:rFonts w:ascii="Cambria Math" w:hAnsi="Cambria Math"/>
            <w:sz w:val="24"/>
            <w:szCs w:val="24"/>
          </w:rPr>
          <m:t>A=</m:t>
        </m:r>
        <m:d>
          <m:dPr>
            <m:ctrlPr>
              <w:rPr>
                <w:rFonts w:ascii="Cambria Math" w:hAnsi="Cambria Math"/>
                <w:i/>
                <w:sz w:val="24"/>
                <w:szCs w:val="24"/>
              </w:rPr>
            </m:ctrlPr>
          </m:dPr>
          <m:e>
            <m:m>
              <m:mPr>
                <m:mcs>
                  <m:mc>
                    <m:mcPr>
                      <m:count m:val="2"/>
                      <m:mcJc m:val="center"/>
                    </m:mcPr>
                  </m:mc>
                </m:mcs>
                <m:ctrlPr>
                  <w:rPr>
                    <w:rFonts w:ascii="Cambria Math" w:hAnsi="Cambria Math"/>
                    <w:i/>
                    <w:sz w:val="24"/>
                    <w:szCs w:val="24"/>
                  </w:rPr>
                </m:ctrlPr>
              </m:mPr>
              <m:m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11</m:t>
                      </m:r>
                    </m:sub>
                  </m:sSub>
                </m:e>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12</m:t>
                      </m:r>
                    </m:sub>
                  </m:sSub>
                </m:e>
              </m:mr>
              <m:m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21</m:t>
                      </m:r>
                    </m:sub>
                  </m:sSub>
                </m:e>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22</m:t>
                      </m:r>
                    </m:sub>
                  </m:sSub>
                </m:e>
              </m:mr>
            </m:m>
          </m:e>
        </m:d>
      </m:oMath>
      <w:r w:rsidR="002C4F72" w:rsidRPr="00A75601">
        <w:rPr>
          <w:rFonts w:ascii="Times New Roman" w:hAnsi="Times New Roman"/>
          <w:sz w:val="24"/>
          <w:szCs w:val="24"/>
        </w:rPr>
        <w:t>,</w:t>
      </w:r>
      <w:r w:rsidR="002E228F">
        <w:rPr>
          <w:rFonts w:ascii="Times New Roman" w:hAnsi="Times New Roman"/>
          <w:sz w:val="24"/>
          <w:szCs w:val="24"/>
        </w:rPr>
        <w:t xml:space="preserve"> and </w:t>
      </w:r>
      <w:r w:rsidR="002C4F72" w:rsidRPr="00A75601">
        <w:rPr>
          <w:rFonts w:ascii="Times New Roman" w:hAnsi="Times New Roman"/>
          <w:sz w:val="24"/>
          <w:szCs w:val="24"/>
        </w:rPr>
        <w:t xml:space="preserve"> </w:t>
      </w:r>
      <m:oMath>
        <m:r>
          <w:rPr>
            <w:rFonts w:ascii="Cambria Math" w:hAnsi="Cambria Math"/>
            <w:sz w:val="24"/>
            <w:szCs w:val="24"/>
          </w:rPr>
          <m:t>B=</m:t>
        </m:r>
        <m:d>
          <m:dPr>
            <m:ctrlPr>
              <w:rPr>
                <w:rFonts w:ascii="Cambria Math" w:hAnsi="Cambria Math"/>
                <w:i/>
                <w:sz w:val="24"/>
                <w:szCs w:val="24"/>
              </w:rPr>
            </m:ctrlPr>
          </m:dPr>
          <m:e>
            <m:m>
              <m:mPr>
                <m:mcs>
                  <m:mc>
                    <m:mcPr>
                      <m:count m:val="2"/>
                      <m:mcJc m:val="center"/>
                    </m:mcPr>
                  </m:mc>
                </m:mcs>
                <m:ctrlPr>
                  <w:rPr>
                    <w:rFonts w:ascii="Cambria Math" w:hAnsi="Cambria Math"/>
                    <w:i/>
                    <w:sz w:val="24"/>
                    <w:szCs w:val="24"/>
                  </w:rPr>
                </m:ctrlPr>
              </m:mPr>
              <m:mr>
                <m:e>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11</m:t>
                      </m:r>
                    </m:sub>
                  </m:sSub>
                </m:e>
                <m:e>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12</m:t>
                      </m:r>
                    </m:sub>
                  </m:sSub>
                </m:e>
              </m:mr>
              <m:mr>
                <m:e>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21</m:t>
                      </m:r>
                    </m:sub>
                  </m:sSub>
                </m:e>
                <m:e>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22</m:t>
                      </m:r>
                    </m:sub>
                  </m:sSub>
                </m:e>
              </m:mr>
            </m:m>
          </m:e>
        </m:d>
      </m:oMath>
      <w:r w:rsidR="002C4F72" w:rsidRPr="00A75601">
        <w:rPr>
          <w:rFonts w:ascii="Times New Roman" w:hAnsi="Times New Roman"/>
          <w:sz w:val="24"/>
          <w:szCs w:val="24"/>
        </w:rPr>
        <w:t>.</w:t>
      </w:r>
    </w:p>
    <w:p w14:paraId="5FB8F139" w14:textId="77777777" w:rsidR="00C275CB" w:rsidRPr="00A75601" w:rsidRDefault="00FA0270" w:rsidP="00A75601">
      <w:pPr>
        <w:spacing w:line="480" w:lineRule="auto"/>
        <w:jc w:val="both"/>
        <w:outlineLvl w:val="0"/>
        <w:rPr>
          <w:rFonts w:ascii="Times New Roman" w:hAnsi="Times New Roman"/>
          <w:sz w:val="24"/>
          <w:szCs w:val="24"/>
        </w:rPr>
      </w:pPr>
      <w:r>
        <w:rPr>
          <w:rFonts w:ascii="Times New Roman" w:hAnsi="Times New Roman"/>
          <w:sz w:val="24"/>
          <w:szCs w:val="24"/>
        </w:rPr>
        <w:lastRenderedPageBreak/>
        <w:t>We define the time dependent</w:t>
      </w:r>
      <w:r w:rsidR="00C275CB" w:rsidRPr="00A75601">
        <w:rPr>
          <w:rFonts w:ascii="Times New Roman" w:hAnsi="Times New Roman"/>
          <w:sz w:val="24"/>
          <w:szCs w:val="24"/>
        </w:rPr>
        <w:t xml:space="preserve"> </w:t>
      </w:r>
      <w:r>
        <w:rPr>
          <w:rFonts w:ascii="Times New Roman" w:hAnsi="Times New Roman"/>
          <w:sz w:val="24"/>
          <w:szCs w:val="24"/>
        </w:rPr>
        <w:t xml:space="preserve">(daily) </w:t>
      </w:r>
      <w:r w:rsidR="00C275CB" w:rsidRPr="00A75601">
        <w:rPr>
          <w:rFonts w:ascii="Times New Roman" w:hAnsi="Times New Roman"/>
          <w:sz w:val="24"/>
          <w:szCs w:val="24"/>
        </w:rPr>
        <w:t xml:space="preserve">IS </w:t>
      </w:r>
      <w:r>
        <w:rPr>
          <w:rFonts w:ascii="Times New Roman" w:hAnsi="Times New Roman"/>
          <w:sz w:val="24"/>
          <w:szCs w:val="24"/>
        </w:rPr>
        <w:t xml:space="preserve">measure </w:t>
      </w:r>
      <w:r w:rsidR="00C275CB" w:rsidRPr="00A75601">
        <w:rPr>
          <w:rFonts w:ascii="Times New Roman" w:hAnsi="Times New Roman"/>
          <w:sz w:val="24"/>
          <w:szCs w:val="24"/>
        </w:rPr>
        <w:t xml:space="preserve">by replacing the unconditional error volatilities </w:t>
      </w:r>
      <w:r w:rsidR="00FB20A3" w:rsidRPr="00A75601">
        <w:rPr>
          <w:rFonts w:ascii="Times New Roman" w:hAnsi="Times New Roman"/>
          <w:sz w:val="24"/>
          <w:szCs w:val="24"/>
        </w:rPr>
        <w:t xml:space="preserve">and covariance </w:t>
      </w:r>
      <w:r w:rsidR="00C275CB" w:rsidRPr="00A75601">
        <w:rPr>
          <w:rFonts w:ascii="Times New Roman" w:hAnsi="Times New Roman"/>
          <w:sz w:val="24"/>
          <w:szCs w:val="24"/>
        </w:rPr>
        <w:t>in (</w:t>
      </w:r>
      <w:r w:rsidR="00F75E52">
        <w:rPr>
          <w:rFonts w:ascii="Times New Roman" w:hAnsi="Times New Roman"/>
          <w:sz w:val="24"/>
          <w:szCs w:val="24"/>
        </w:rPr>
        <w:t>2</w:t>
      </w:r>
      <w:r w:rsidR="00C275CB" w:rsidRPr="00A75601">
        <w:rPr>
          <w:rFonts w:ascii="Times New Roman" w:hAnsi="Times New Roman"/>
          <w:sz w:val="24"/>
          <w:szCs w:val="24"/>
        </w:rPr>
        <w:t xml:space="preserve">) with the conditional volatilities </w:t>
      </w:r>
      <w:r w:rsidR="00FB20A3" w:rsidRPr="00A75601">
        <w:rPr>
          <w:rFonts w:ascii="Times New Roman" w:hAnsi="Times New Roman"/>
          <w:sz w:val="24"/>
          <w:szCs w:val="24"/>
        </w:rPr>
        <w:t xml:space="preserve">and covariance </w:t>
      </w:r>
      <w:r w:rsidR="00C275CB" w:rsidRPr="00A75601">
        <w:rPr>
          <w:rFonts w:ascii="Times New Roman" w:hAnsi="Times New Roman"/>
          <w:sz w:val="24"/>
          <w:szCs w:val="24"/>
        </w:rPr>
        <w:t>obtained with (</w:t>
      </w:r>
      <w:r w:rsidR="00F75E52">
        <w:rPr>
          <w:rFonts w:ascii="Times New Roman" w:hAnsi="Times New Roman"/>
          <w:sz w:val="24"/>
          <w:szCs w:val="24"/>
        </w:rPr>
        <w:t>3</w:t>
      </w:r>
      <w:r>
        <w:rPr>
          <w:rFonts w:ascii="Times New Roman" w:hAnsi="Times New Roman"/>
          <w:sz w:val="24"/>
          <w:szCs w:val="24"/>
        </w:rPr>
        <w:t>)</w:t>
      </w:r>
      <w:r w:rsidR="00712F7B" w:rsidRPr="00A75601">
        <w:rPr>
          <w:rFonts w:ascii="Times New Roman" w:hAnsi="Times New Roman"/>
          <w:sz w:val="24"/>
          <w:szCs w:val="24"/>
        </w:rPr>
        <w:t>.</w:t>
      </w:r>
      <w:r w:rsidR="00AE48D5" w:rsidRPr="00A75601">
        <w:rPr>
          <w:rFonts w:ascii="Times New Roman" w:hAnsi="Times New Roman"/>
          <w:sz w:val="24"/>
          <w:szCs w:val="24"/>
        </w:rPr>
        <w:t xml:space="preserve"> </w:t>
      </w:r>
      <w:r>
        <w:rPr>
          <w:rFonts w:ascii="Times New Roman" w:hAnsi="Times New Roman"/>
          <w:sz w:val="24"/>
          <w:szCs w:val="24"/>
        </w:rPr>
        <w:t>The first step is to</w:t>
      </w:r>
      <w:r w:rsidR="00851DA6" w:rsidRPr="00A75601">
        <w:rPr>
          <w:rFonts w:ascii="Times New Roman" w:hAnsi="Times New Roman"/>
          <w:sz w:val="24"/>
          <w:szCs w:val="24"/>
        </w:rPr>
        <w:t xml:space="preserve"> estimat</w:t>
      </w:r>
      <w:r>
        <w:rPr>
          <w:rFonts w:ascii="Times New Roman" w:hAnsi="Times New Roman"/>
          <w:sz w:val="24"/>
          <w:szCs w:val="24"/>
        </w:rPr>
        <w:t>e</w:t>
      </w:r>
      <w:r w:rsidR="00876843" w:rsidRPr="00A75601">
        <w:rPr>
          <w:rFonts w:ascii="Times New Roman" w:hAnsi="Times New Roman"/>
          <w:sz w:val="24"/>
          <w:szCs w:val="24"/>
        </w:rPr>
        <w:t xml:space="preserve"> (</w:t>
      </w:r>
      <w:r w:rsidR="00F75E52">
        <w:rPr>
          <w:rFonts w:ascii="Times New Roman" w:hAnsi="Times New Roman"/>
          <w:sz w:val="24"/>
          <w:szCs w:val="24"/>
        </w:rPr>
        <w:t>1</w:t>
      </w:r>
      <w:r w:rsidR="00876843" w:rsidRPr="00A75601">
        <w:rPr>
          <w:rFonts w:ascii="Times New Roman" w:hAnsi="Times New Roman"/>
          <w:sz w:val="24"/>
          <w:szCs w:val="24"/>
        </w:rPr>
        <w:t>) and</w:t>
      </w:r>
      <w:r w:rsidR="00851DA6" w:rsidRPr="00A75601">
        <w:rPr>
          <w:rFonts w:ascii="Times New Roman" w:hAnsi="Times New Roman"/>
          <w:sz w:val="24"/>
          <w:szCs w:val="24"/>
        </w:rPr>
        <w:t xml:space="preserve"> (</w:t>
      </w:r>
      <w:r w:rsidR="00F75E52">
        <w:rPr>
          <w:rFonts w:ascii="Times New Roman" w:hAnsi="Times New Roman"/>
          <w:sz w:val="24"/>
          <w:szCs w:val="24"/>
        </w:rPr>
        <w:t>3</w:t>
      </w:r>
      <w:r w:rsidR="00851DA6" w:rsidRPr="00A75601">
        <w:rPr>
          <w:rFonts w:ascii="Times New Roman" w:hAnsi="Times New Roman"/>
          <w:sz w:val="24"/>
          <w:szCs w:val="24"/>
        </w:rPr>
        <w:t xml:space="preserve">) </w:t>
      </w:r>
      <w:r w:rsidR="00917598" w:rsidRPr="00A75601">
        <w:rPr>
          <w:rFonts w:ascii="Times New Roman" w:hAnsi="Times New Roman"/>
          <w:sz w:val="24"/>
          <w:szCs w:val="24"/>
        </w:rPr>
        <w:t xml:space="preserve">for all companies </w:t>
      </w:r>
      <w:r w:rsidR="00851DA6" w:rsidRPr="00A75601">
        <w:rPr>
          <w:rFonts w:ascii="Times New Roman" w:hAnsi="Times New Roman"/>
          <w:sz w:val="24"/>
          <w:szCs w:val="24"/>
        </w:rPr>
        <w:t xml:space="preserve">by using </w:t>
      </w:r>
      <w:r w:rsidR="002B549B" w:rsidRPr="00A75601">
        <w:rPr>
          <w:rFonts w:ascii="Times New Roman" w:hAnsi="Times New Roman"/>
          <w:sz w:val="24"/>
          <w:szCs w:val="24"/>
        </w:rPr>
        <w:t xml:space="preserve">a rolling window of </w:t>
      </w:r>
      <w:r w:rsidR="00851DA6" w:rsidRPr="00A75601">
        <w:rPr>
          <w:rFonts w:ascii="Times New Roman" w:hAnsi="Times New Roman"/>
          <w:sz w:val="24"/>
          <w:szCs w:val="24"/>
        </w:rPr>
        <w:t xml:space="preserve">1 year of </w:t>
      </w:r>
      <w:r w:rsidR="002B549B" w:rsidRPr="00A75601">
        <w:rPr>
          <w:rFonts w:ascii="Times New Roman" w:hAnsi="Times New Roman"/>
          <w:sz w:val="24"/>
          <w:szCs w:val="24"/>
        </w:rPr>
        <w:t>data</w:t>
      </w:r>
      <w:r w:rsidR="00851DA6" w:rsidRPr="00A75601">
        <w:rPr>
          <w:rFonts w:ascii="Times New Roman" w:hAnsi="Times New Roman"/>
          <w:sz w:val="24"/>
          <w:szCs w:val="24"/>
        </w:rPr>
        <w:t xml:space="preserve"> (250 observations)</w:t>
      </w:r>
      <w:r w:rsidR="00C875AE">
        <w:rPr>
          <w:rStyle w:val="EndnoteReference"/>
          <w:rFonts w:ascii="Times New Roman" w:hAnsi="Times New Roman"/>
          <w:sz w:val="24"/>
          <w:szCs w:val="24"/>
        </w:rPr>
        <w:endnoteReference w:id="7"/>
      </w:r>
      <w:r w:rsidR="002B549B" w:rsidRPr="00A75601">
        <w:rPr>
          <w:rFonts w:ascii="Times New Roman" w:hAnsi="Times New Roman"/>
          <w:sz w:val="24"/>
          <w:szCs w:val="24"/>
        </w:rPr>
        <w:t>, starting from January 2004</w:t>
      </w:r>
      <w:r w:rsidR="00851DA6" w:rsidRPr="00A75601">
        <w:rPr>
          <w:rFonts w:ascii="Times New Roman" w:hAnsi="Times New Roman"/>
          <w:sz w:val="24"/>
          <w:szCs w:val="24"/>
        </w:rPr>
        <w:t xml:space="preserve">. We use the </w:t>
      </w:r>
      <w:r w:rsidR="00917598" w:rsidRPr="00A75601">
        <w:rPr>
          <w:rFonts w:ascii="Times New Roman" w:hAnsi="Times New Roman"/>
          <w:sz w:val="24"/>
          <w:szCs w:val="24"/>
        </w:rPr>
        <w:t xml:space="preserve">one step ahead </w:t>
      </w:r>
      <w:r w:rsidR="00851DA6" w:rsidRPr="00A75601">
        <w:rPr>
          <w:rFonts w:ascii="Times New Roman" w:hAnsi="Times New Roman"/>
          <w:sz w:val="24"/>
          <w:szCs w:val="24"/>
        </w:rPr>
        <w:t xml:space="preserve">covariance matrix of </w:t>
      </w:r>
      <w:r w:rsidR="002B549B" w:rsidRPr="00A75601">
        <w:rPr>
          <w:rFonts w:ascii="Times New Roman" w:hAnsi="Times New Roman"/>
          <w:sz w:val="24"/>
          <w:szCs w:val="24"/>
        </w:rPr>
        <w:t xml:space="preserve">the </w:t>
      </w:r>
      <w:r w:rsidR="00851DA6" w:rsidRPr="00A75601">
        <w:rPr>
          <w:rFonts w:ascii="Times New Roman" w:hAnsi="Times New Roman"/>
          <w:sz w:val="24"/>
          <w:szCs w:val="24"/>
        </w:rPr>
        <w:t>error terms</w:t>
      </w:r>
      <w:r w:rsidR="00F75E52">
        <w:rPr>
          <w:rFonts w:ascii="Times New Roman" w:hAnsi="Times New Roman"/>
          <w:sz w:val="24"/>
          <w:szCs w:val="24"/>
        </w:rPr>
        <w:t xml:space="preserve"> </w:t>
      </w:r>
      <w:r w:rsidR="00876843" w:rsidRPr="00A75601">
        <w:rPr>
          <w:rFonts w:ascii="Times New Roman" w:hAnsi="Times New Roman"/>
          <w:sz w:val="24"/>
          <w:szCs w:val="24"/>
        </w:rPr>
        <w:t>obtained with (</w:t>
      </w:r>
      <w:r w:rsidR="00F75E52">
        <w:rPr>
          <w:rFonts w:ascii="Times New Roman" w:hAnsi="Times New Roman"/>
          <w:sz w:val="24"/>
          <w:szCs w:val="24"/>
        </w:rPr>
        <w:t>3</w:t>
      </w:r>
      <w:r w:rsidR="00876843" w:rsidRPr="00A75601">
        <w:rPr>
          <w:rFonts w:ascii="Times New Roman" w:hAnsi="Times New Roman"/>
          <w:sz w:val="24"/>
          <w:szCs w:val="24"/>
        </w:rPr>
        <w:t>)</w:t>
      </w:r>
      <w:r w:rsidR="00851DA6" w:rsidRPr="00A75601">
        <w:rPr>
          <w:rFonts w:ascii="Times New Roman" w:hAnsi="Times New Roman"/>
          <w:sz w:val="24"/>
          <w:szCs w:val="24"/>
        </w:rPr>
        <w:t xml:space="preserve"> to compute the IS measure</w:t>
      </w:r>
      <w:r w:rsidR="00C875AE">
        <w:rPr>
          <w:rStyle w:val="EndnoteReference"/>
          <w:rFonts w:ascii="Times New Roman" w:hAnsi="Times New Roman"/>
          <w:sz w:val="24"/>
          <w:szCs w:val="24"/>
        </w:rPr>
        <w:endnoteReference w:id="8"/>
      </w:r>
      <w:r w:rsidR="00851DA6" w:rsidRPr="00A75601">
        <w:rPr>
          <w:rFonts w:ascii="Times New Roman" w:hAnsi="Times New Roman"/>
          <w:sz w:val="24"/>
          <w:szCs w:val="24"/>
        </w:rPr>
        <w:t xml:space="preserve">, and we use the latter as a </w:t>
      </w:r>
      <w:r w:rsidR="00917598" w:rsidRPr="00A75601">
        <w:rPr>
          <w:rFonts w:ascii="Times New Roman" w:hAnsi="Times New Roman"/>
          <w:sz w:val="24"/>
          <w:szCs w:val="24"/>
        </w:rPr>
        <w:t>forecast</w:t>
      </w:r>
      <w:r w:rsidR="00851DA6" w:rsidRPr="00A75601">
        <w:rPr>
          <w:rFonts w:ascii="Times New Roman" w:hAnsi="Times New Roman"/>
          <w:sz w:val="24"/>
          <w:szCs w:val="24"/>
        </w:rPr>
        <w:t xml:space="preserve"> of the </w:t>
      </w:r>
      <w:r w:rsidR="007E3FD0" w:rsidRPr="00A75601">
        <w:rPr>
          <w:rFonts w:ascii="Times New Roman" w:hAnsi="Times New Roman"/>
          <w:sz w:val="24"/>
          <w:szCs w:val="24"/>
        </w:rPr>
        <w:t xml:space="preserve">price discovery </w:t>
      </w:r>
      <w:r w:rsidR="00851DA6" w:rsidRPr="00A75601">
        <w:rPr>
          <w:rFonts w:ascii="Times New Roman" w:hAnsi="Times New Roman"/>
          <w:sz w:val="24"/>
          <w:szCs w:val="24"/>
        </w:rPr>
        <w:t>for the following day</w:t>
      </w:r>
      <w:r w:rsidR="007E3FD0" w:rsidRPr="00A75601">
        <w:rPr>
          <w:rFonts w:ascii="Times New Roman" w:hAnsi="Times New Roman"/>
          <w:sz w:val="24"/>
          <w:szCs w:val="24"/>
        </w:rPr>
        <w:t xml:space="preserve">. The next day we roll over the </w:t>
      </w:r>
      <w:r w:rsidR="00876843" w:rsidRPr="00A75601">
        <w:rPr>
          <w:rFonts w:ascii="Times New Roman" w:hAnsi="Times New Roman"/>
          <w:sz w:val="24"/>
          <w:szCs w:val="24"/>
        </w:rPr>
        <w:t xml:space="preserve">1-year </w:t>
      </w:r>
      <w:r w:rsidR="007E3FD0" w:rsidRPr="00A75601">
        <w:rPr>
          <w:rFonts w:ascii="Times New Roman" w:hAnsi="Times New Roman"/>
          <w:sz w:val="24"/>
          <w:szCs w:val="24"/>
        </w:rPr>
        <w:t>window</w:t>
      </w:r>
      <w:r>
        <w:rPr>
          <w:rFonts w:ascii="Times New Roman" w:hAnsi="Times New Roman"/>
          <w:sz w:val="24"/>
          <w:szCs w:val="24"/>
        </w:rPr>
        <w:t xml:space="preserve"> and</w:t>
      </w:r>
      <w:r w:rsidR="007E3FD0" w:rsidRPr="00A75601">
        <w:rPr>
          <w:rFonts w:ascii="Times New Roman" w:hAnsi="Times New Roman"/>
          <w:sz w:val="24"/>
          <w:szCs w:val="24"/>
        </w:rPr>
        <w:t xml:space="preserve"> we re-estimate</w:t>
      </w:r>
      <w:r w:rsidR="00876843" w:rsidRPr="00A75601">
        <w:rPr>
          <w:rFonts w:ascii="Times New Roman" w:hAnsi="Times New Roman"/>
          <w:sz w:val="24"/>
          <w:szCs w:val="24"/>
        </w:rPr>
        <w:t xml:space="preserve"> (</w:t>
      </w:r>
      <w:r w:rsidR="00F75E52">
        <w:rPr>
          <w:rFonts w:ascii="Times New Roman" w:hAnsi="Times New Roman"/>
          <w:sz w:val="24"/>
          <w:szCs w:val="24"/>
        </w:rPr>
        <w:t>1</w:t>
      </w:r>
      <w:r w:rsidR="00876843" w:rsidRPr="00A75601">
        <w:rPr>
          <w:rFonts w:ascii="Times New Roman" w:hAnsi="Times New Roman"/>
          <w:sz w:val="24"/>
          <w:szCs w:val="24"/>
        </w:rPr>
        <w:t>) and</w:t>
      </w:r>
      <w:r w:rsidR="007E3FD0" w:rsidRPr="00A75601">
        <w:rPr>
          <w:rFonts w:ascii="Times New Roman" w:hAnsi="Times New Roman"/>
          <w:sz w:val="24"/>
          <w:szCs w:val="24"/>
        </w:rPr>
        <w:t xml:space="preserve"> (</w:t>
      </w:r>
      <w:r w:rsidR="00F75E52">
        <w:rPr>
          <w:rFonts w:ascii="Times New Roman" w:hAnsi="Times New Roman"/>
          <w:sz w:val="24"/>
          <w:szCs w:val="24"/>
        </w:rPr>
        <w:t>3</w:t>
      </w:r>
      <w:r w:rsidR="007E3FD0" w:rsidRPr="00A75601">
        <w:rPr>
          <w:rFonts w:ascii="Times New Roman" w:hAnsi="Times New Roman"/>
          <w:sz w:val="24"/>
          <w:szCs w:val="24"/>
        </w:rPr>
        <w:t>) to get a new IS estimate for the following day. We follow this procedure ti</w:t>
      </w:r>
      <w:r>
        <w:rPr>
          <w:rFonts w:ascii="Times New Roman" w:hAnsi="Times New Roman"/>
          <w:sz w:val="24"/>
          <w:szCs w:val="24"/>
        </w:rPr>
        <w:t xml:space="preserve">ll the end of our sample period. </w:t>
      </w:r>
      <w:proofErr w:type="gramStart"/>
      <w:r>
        <w:rPr>
          <w:rFonts w:ascii="Times New Roman" w:hAnsi="Times New Roman"/>
          <w:sz w:val="24"/>
          <w:szCs w:val="24"/>
        </w:rPr>
        <w:t>Hence</w:t>
      </w:r>
      <w:proofErr w:type="gramEnd"/>
      <w:r w:rsidR="007E3FD0" w:rsidRPr="00A75601">
        <w:rPr>
          <w:rFonts w:ascii="Times New Roman" w:hAnsi="Times New Roman"/>
          <w:sz w:val="24"/>
          <w:szCs w:val="24"/>
        </w:rPr>
        <w:t xml:space="preserve"> we have a series of estimates of price discovery for the CDS and equity markets for each </w:t>
      </w:r>
      <w:r>
        <w:rPr>
          <w:rFonts w:ascii="Times New Roman" w:hAnsi="Times New Roman"/>
          <w:sz w:val="24"/>
          <w:szCs w:val="24"/>
        </w:rPr>
        <w:t>obligor</w:t>
      </w:r>
      <w:r w:rsidR="007E3FD0" w:rsidRPr="00A75601">
        <w:rPr>
          <w:rFonts w:ascii="Times New Roman" w:hAnsi="Times New Roman"/>
          <w:sz w:val="24"/>
          <w:szCs w:val="24"/>
        </w:rPr>
        <w:t xml:space="preserve">. </w:t>
      </w:r>
    </w:p>
    <w:p w14:paraId="550B0A1F" w14:textId="0FFDF16E" w:rsidR="00A32057" w:rsidRPr="000B1A1E" w:rsidRDefault="00F75E52" w:rsidP="000B1A1E">
      <w:pPr>
        <w:pStyle w:val="ListParagraph"/>
        <w:numPr>
          <w:ilvl w:val="1"/>
          <w:numId w:val="18"/>
        </w:numPr>
        <w:spacing w:after="120" w:line="480" w:lineRule="auto"/>
        <w:ind w:left="426"/>
        <w:jc w:val="both"/>
        <w:outlineLvl w:val="0"/>
        <w:rPr>
          <w:rFonts w:ascii="Times New Roman" w:hAnsi="Times New Roman"/>
          <w:b/>
          <w:sz w:val="24"/>
          <w:szCs w:val="24"/>
        </w:rPr>
      </w:pPr>
      <w:r w:rsidRPr="000B1A1E">
        <w:rPr>
          <w:rFonts w:ascii="Times New Roman" w:hAnsi="Times New Roman"/>
          <w:b/>
          <w:sz w:val="24"/>
          <w:szCs w:val="24"/>
        </w:rPr>
        <w:t>T</w:t>
      </w:r>
      <w:r w:rsidR="00764F33" w:rsidRPr="000B1A1E">
        <w:rPr>
          <w:rFonts w:ascii="Times New Roman" w:hAnsi="Times New Roman"/>
          <w:b/>
          <w:sz w:val="24"/>
          <w:szCs w:val="24"/>
        </w:rPr>
        <w:t>rading strategies</w:t>
      </w:r>
    </w:p>
    <w:p w14:paraId="23902F1D" w14:textId="77777777" w:rsidR="00CF3EF1" w:rsidRPr="00A75601" w:rsidRDefault="008B0FF3" w:rsidP="00A75601">
      <w:pPr>
        <w:spacing w:line="480" w:lineRule="auto"/>
        <w:jc w:val="both"/>
        <w:outlineLvl w:val="0"/>
        <w:rPr>
          <w:rFonts w:ascii="Times New Roman" w:hAnsi="Times New Roman"/>
          <w:sz w:val="24"/>
          <w:szCs w:val="24"/>
        </w:rPr>
      </w:pPr>
      <w:r w:rsidRPr="00A75601">
        <w:rPr>
          <w:rFonts w:ascii="Times New Roman" w:hAnsi="Times New Roman"/>
          <w:sz w:val="24"/>
          <w:szCs w:val="24"/>
        </w:rPr>
        <w:t>We</w:t>
      </w:r>
      <w:r w:rsidR="00CF3EF1" w:rsidRPr="00A75601">
        <w:rPr>
          <w:rFonts w:ascii="Times New Roman" w:hAnsi="Times New Roman"/>
          <w:sz w:val="24"/>
          <w:szCs w:val="24"/>
        </w:rPr>
        <w:t xml:space="preserve"> describe the main features of the </w:t>
      </w:r>
      <w:r w:rsidR="003A0AD8" w:rsidRPr="00A75601">
        <w:rPr>
          <w:rFonts w:ascii="Times New Roman" w:hAnsi="Times New Roman"/>
          <w:sz w:val="24"/>
          <w:szCs w:val="24"/>
        </w:rPr>
        <w:t>4</w:t>
      </w:r>
      <w:r w:rsidR="00CF3EF1" w:rsidRPr="00A75601">
        <w:rPr>
          <w:rFonts w:ascii="Times New Roman" w:hAnsi="Times New Roman"/>
          <w:sz w:val="24"/>
          <w:szCs w:val="24"/>
        </w:rPr>
        <w:t xml:space="preserve"> strategies implemented</w:t>
      </w:r>
      <w:r w:rsidR="00BD5021" w:rsidRPr="00A75601">
        <w:rPr>
          <w:rFonts w:ascii="Times New Roman" w:hAnsi="Times New Roman"/>
          <w:sz w:val="24"/>
          <w:szCs w:val="24"/>
        </w:rPr>
        <w:t>.</w:t>
      </w:r>
      <w:r w:rsidR="004A7F6B" w:rsidRPr="00A75601">
        <w:rPr>
          <w:rFonts w:ascii="Times New Roman" w:hAnsi="Times New Roman"/>
          <w:sz w:val="24"/>
          <w:szCs w:val="24"/>
        </w:rPr>
        <w:t xml:space="preserve"> The trading rules are summarised in </w:t>
      </w:r>
      <w:r w:rsidR="00F75E52">
        <w:rPr>
          <w:rFonts w:ascii="Times New Roman" w:hAnsi="Times New Roman"/>
          <w:sz w:val="24"/>
          <w:szCs w:val="24"/>
        </w:rPr>
        <w:t>Exhibit</w:t>
      </w:r>
      <w:r w:rsidR="004A7F6B" w:rsidRPr="00A75601">
        <w:rPr>
          <w:rFonts w:ascii="Times New Roman" w:hAnsi="Times New Roman"/>
          <w:sz w:val="24"/>
          <w:szCs w:val="24"/>
        </w:rPr>
        <w:t xml:space="preserve"> 1.</w:t>
      </w:r>
      <w:r w:rsidR="002A7A8B" w:rsidRPr="00A75601">
        <w:rPr>
          <w:rFonts w:ascii="Times New Roman" w:hAnsi="Times New Roman"/>
          <w:sz w:val="24"/>
          <w:szCs w:val="24"/>
        </w:rPr>
        <w:t xml:space="preserve"> </w:t>
      </w:r>
    </w:p>
    <w:p w14:paraId="6D6C3BEE" w14:textId="77777777" w:rsidR="00CF3EF1" w:rsidRPr="00A75601" w:rsidRDefault="00CF3EF1" w:rsidP="00563094">
      <w:pPr>
        <w:spacing w:after="120" w:line="480" w:lineRule="auto"/>
        <w:jc w:val="both"/>
        <w:outlineLvl w:val="0"/>
        <w:rPr>
          <w:rFonts w:ascii="Times New Roman" w:hAnsi="Times New Roman"/>
          <w:b/>
          <w:i/>
          <w:sz w:val="24"/>
          <w:szCs w:val="24"/>
        </w:rPr>
      </w:pPr>
      <w:r w:rsidRPr="00A75601">
        <w:rPr>
          <w:rFonts w:ascii="Times New Roman" w:hAnsi="Times New Roman"/>
          <w:b/>
          <w:i/>
          <w:sz w:val="24"/>
          <w:szCs w:val="24"/>
        </w:rPr>
        <w:t>Strateg</w:t>
      </w:r>
      <w:r w:rsidR="000E00E1" w:rsidRPr="00A75601">
        <w:rPr>
          <w:rFonts w:ascii="Times New Roman" w:hAnsi="Times New Roman"/>
          <w:b/>
          <w:i/>
          <w:sz w:val="24"/>
          <w:szCs w:val="24"/>
        </w:rPr>
        <w:t xml:space="preserve">y 1: Standard </w:t>
      </w:r>
      <w:r w:rsidRPr="00A75601">
        <w:rPr>
          <w:rFonts w:ascii="Times New Roman" w:hAnsi="Times New Roman"/>
          <w:b/>
          <w:i/>
          <w:sz w:val="24"/>
          <w:szCs w:val="24"/>
        </w:rPr>
        <w:t>CSA</w:t>
      </w:r>
    </w:p>
    <w:p w14:paraId="6C4415D7" w14:textId="77777777" w:rsidR="0086474E" w:rsidRPr="00A75601" w:rsidRDefault="003B1578" w:rsidP="00A75601">
      <w:pPr>
        <w:spacing w:line="480" w:lineRule="auto"/>
        <w:jc w:val="both"/>
        <w:outlineLvl w:val="0"/>
        <w:rPr>
          <w:rFonts w:ascii="Times New Roman" w:hAnsi="Times New Roman"/>
          <w:sz w:val="24"/>
          <w:szCs w:val="24"/>
        </w:rPr>
      </w:pPr>
      <w:r w:rsidRPr="00A75601">
        <w:rPr>
          <w:rFonts w:ascii="Times New Roman" w:hAnsi="Times New Roman"/>
          <w:sz w:val="24"/>
          <w:szCs w:val="24"/>
        </w:rPr>
        <w:t xml:space="preserve">Capital structure arbitrage is originally based on the market CDS spread and the </w:t>
      </w:r>
      <w:r w:rsidR="00157068">
        <w:rPr>
          <w:rFonts w:ascii="Times New Roman" w:hAnsi="Times New Roman"/>
          <w:sz w:val="24"/>
          <w:szCs w:val="24"/>
        </w:rPr>
        <w:t xml:space="preserve">equity-implied </w:t>
      </w:r>
      <w:r w:rsidRPr="00A75601">
        <w:rPr>
          <w:rFonts w:ascii="Times New Roman" w:hAnsi="Times New Roman"/>
          <w:sz w:val="24"/>
          <w:szCs w:val="24"/>
        </w:rPr>
        <w:t>spread of a given entity. When these two series of spreads deviate from each other by a threshold value (set by the trader), a trading opportunity arises.</w:t>
      </w:r>
      <w:r w:rsidR="001C2490" w:rsidRPr="00A75601">
        <w:rPr>
          <w:rFonts w:ascii="Times New Roman" w:hAnsi="Times New Roman"/>
          <w:sz w:val="24"/>
          <w:szCs w:val="24"/>
        </w:rPr>
        <w:t xml:space="preserve"> </w:t>
      </w:r>
      <w:r w:rsidR="002A7A8B" w:rsidRPr="00A75601">
        <w:rPr>
          <w:rFonts w:ascii="Times New Roman" w:hAnsi="Times New Roman"/>
          <w:sz w:val="24"/>
          <w:szCs w:val="24"/>
        </w:rPr>
        <w:t>In particular, if the CDS spread is higher</w:t>
      </w:r>
      <w:r w:rsidR="006F309E">
        <w:rPr>
          <w:rFonts w:ascii="Times New Roman" w:hAnsi="Times New Roman"/>
          <w:sz w:val="24"/>
          <w:szCs w:val="24"/>
        </w:rPr>
        <w:t xml:space="preserve"> (or lower)</w:t>
      </w:r>
      <w:r w:rsidR="002A7A8B" w:rsidRPr="00A75601">
        <w:rPr>
          <w:rFonts w:ascii="Times New Roman" w:hAnsi="Times New Roman"/>
          <w:sz w:val="24"/>
          <w:szCs w:val="24"/>
        </w:rPr>
        <w:t xml:space="preserve"> tha</w:t>
      </w:r>
      <w:r w:rsidR="001B298D" w:rsidRPr="00A75601">
        <w:rPr>
          <w:rFonts w:ascii="Times New Roman" w:hAnsi="Times New Roman"/>
          <w:sz w:val="24"/>
          <w:szCs w:val="24"/>
        </w:rPr>
        <w:t>n</w:t>
      </w:r>
      <w:r w:rsidR="002A7A8B" w:rsidRPr="00A75601">
        <w:rPr>
          <w:rFonts w:ascii="Times New Roman" w:hAnsi="Times New Roman"/>
          <w:sz w:val="24"/>
          <w:szCs w:val="24"/>
        </w:rPr>
        <w:t xml:space="preserve"> the </w:t>
      </w:r>
      <w:r w:rsidR="00B67C51" w:rsidRPr="00A75601">
        <w:rPr>
          <w:rFonts w:ascii="Times New Roman" w:hAnsi="Times New Roman"/>
          <w:sz w:val="24"/>
          <w:szCs w:val="24"/>
        </w:rPr>
        <w:t>equity-implied</w:t>
      </w:r>
      <w:r w:rsidR="002A7A8B" w:rsidRPr="00A75601">
        <w:rPr>
          <w:rFonts w:ascii="Times New Roman" w:hAnsi="Times New Roman"/>
          <w:sz w:val="24"/>
          <w:szCs w:val="24"/>
        </w:rPr>
        <w:t xml:space="preserve"> spread by a defined trading trigger </w:t>
      </w:r>
      <w:r w:rsidR="002A7A8B" w:rsidRPr="00A75601">
        <w:rPr>
          <w:rFonts w:ascii="Times New Roman" w:hAnsi="Times New Roman"/>
          <w:i/>
          <w:sz w:val="24"/>
          <w:szCs w:val="24"/>
        </w:rPr>
        <w:t>θ</w:t>
      </w:r>
      <w:r w:rsidR="002A7A8B" w:rsidRPr="00A75601">
        <w:rPr>
          <w:rFonts w:ascii="Times New Roman" w:hAnsi="Times New Roman"/>
          <w:sz w:val="24"/>
          <w:szCs w:val="24"/>
        </w:rPr>
        <w:t xml:space="preserve">, </w:t>
      </w:r>
      <w:r w:rsidR="003825B0" w:rsidRPr="00A75601">
        <w:rPr>
          <w:rFonts w:ascii="Times New Roman" w:hAnsi="Times New Roman"/>
          <w:sz w:val="24"/>
          <w:szCs w:val="24"/>
        </w:rPr>
        <w:t>a trader would short</w:t>
      </w:r>
      <w:r w:rsidR="006F309E">
        <w:rPr>
          <w:rFonts w:ascii="Times New Roman" w:hAnsi="Times New Roman"/>
          <w:sz w:val="24"/>
          <w:szCs w:val="24"/>
        </w:rPr>
        <w:t xml:space="preserve"> (long)</w:t>
      </w:r>
      <w:r w:rsidR="003825B0" w:rsidRPr="00A75601">
        <w:rPr>
          <w:rFonts w:ascii="Times New Roman" w:hAnsi="Times New Roman"/>
          <w:sz w:val="24"/>
          <w:szCs w:val="24"/>
        </w:rPr>
        <w:t xml:space="preserve"> a CDS posi</w:t>
      </w:r>
      <w:r w:rsidR="00C32881" w:rsidRPr="00A75601">
        <w:rPr>
          <w:rFonts w:ascii="Times New Roman" w:hAnsi="Times New Roman"/>
          <w:sz w:val="24"/>
          <w:szCs w:val="24"/>
        </w:rPr>
        <w:t xml:space="preserve">tion with a notional amount of USD </w:t>
      </w:r>
      <w:r w:rsidR="003825B0" w:rsidRPr="00A75601">
        <w:rPr>
          <w:rFonts w:ascii="Times New Roman" w:hAnsi="Times New Roman"/>
          <w:sz w:val="24"/>
          <w:szCs w:val="24"/>
        </w:rPr>
        <w:t>1</w:t>
      </w:r>
      <w:r w:rsidR="00C875AE">
        <w:rPr>
          <w:rStyle w:val="EndnoteReference"/>
          <w:rFonts w:ascii="Times New Roman" w:hAnsi="Times New Roman"/>
          <w:sz w:val="24"/>
          <w:szCs w:val="24"/>
        </w:rPr>
        <w:endnoteReference w:id="9"/>
      </w:r>
      <w:r w:rsidR="003825B0" w:rsidRPr="00A75601">
        <w:rPr>
          <w:rFonts w:ascii="Times New Roman" w:hAnsi="Times New Roman"/>
          <w:sz w:val="24"/>
          <w:szCs w:val="24"/>
        </w:rPr>
        <w:t xml:space="preserve"> and </w:t>
      </w: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t-1</m:t>
            </m:r>
          </m:sub>
        </m:sSub>
      </m:oMath>
      <w:r w:rsidR="003825B0" w:rsidRPr="00A75601">
        <w:rPr>
          <w:rFonts w:ascii="Times New Roman" w:hAnsi="Times New Roman"/>
          <w:sz w:val="24"/>
          <w:szCs w:val="24"/>
        </w:rPr>
        <w:t xml:space="preserve"> shares of the common stock.</w:t>
      </w:r>
      <w:r w:rsidR="00231190" w:rsidRPr="00A75601">
        <w:rPr>
          <w:rFonts w:ascii="Times New Roman" w:hAnsi="Times New Roman"/>
          <w:sz w:val="24"/>
          <w:szCs w:val="24"/>
        </w:rPr>
        <w:t xml:space="preserve"> These positions are typically kept for a fixed holding period.</w:t>
      </w:r>
    </w:p>
    <w:p w14:paraId="0B06C707" w14:textId="77777777" w:rsidR="003825B0" w:rsidRPr="00A75601" w:rsidRDefault="00BD5021" w:rsidP="00563094">
      <w:pPr>
        <w:spacing w:after="120" w:line="480" w:lineRule="auto"/>
        <w:jc w:val="both"/>
        <w:outlineLvl w:val="0"/>
        <w:rPr>
          <w:rFonts w:ascii="Times New Roman" w:hAnsi="Times New Roman"/>
          <w:b/>
          <w:i/>
          <w:sz w:val="24"/>
          <w:szCs w:val="24"/>
        </w:rPr>
      </w:pPr>
      <w:r w:rsidRPr="00A75601">
        <w:rPr>
          <w:rFonts w:ascii="Times New Roman" w:hAnsi="Times New Roman"/>
          <w:b/>
          <w:i/>
          <w:sz w:val="24"/>
          <w:szCs w:val="24"/>
        </w:rPr>
        <w:t>Strategy 2</w:t>
      </w:r>
    </w:p>
    <w:p w14:paraId="1E0E1D01" w14:textId="77777777" w:rsidR="006F0873" w:rsidRPr="00A75601" w:rsidRDefault="00414CC3" w:rsidP="00A75601">
      <w:pPr>
        <w:spacing w:line="480" w:lineRule="auto"/>
        <w:jc w:val="both"/>
        <w:outlineLvl w:val="0"/>
        <w:rPr>
          <w:rFonts w:ascii="Times New Roman" w:hAnsi="Times New Roman"/>
          <w:sz w:val="24"/>
          <w:szCs w:val="24"/>
        </w:rPr>
      </w:pPr>
      <w:r w:rsidRPr="00A75601">
        <w:rPr>
          <w:rFonts w:ascii="Times New Roman" w:hAnsi="Times New Roman"/>
          <w:sz w:val="24"/>
          <w:szCs w:val="24"/>
        </w:rPr>
        <w:t xml:space="preserve">We augment Strategy 1 by introducing a price discovery </w:t>
      </w:r>
      <w:r w:rsidR="00CB4A15" w:rsidRPr="00A75601">
        <w:rPr>
          <w:rFonts w:ascii="Times New Roman" w:hAnsi="Times New Roman"/>
          <w:sz w:val="24"/>
          <w:szCs w:val="24"/>
        </w:rPr>
        <w:t>t</w:t>
      </w:r>
      <w:r w:rsidRPr="00A75601">
        <w:rPr>
          <w:rFonts w:ascii="Times New Roman" w:hAnsi="Times New Roman"/>
          <w:sz w:val="24"/>
          <w:szCs w:val="24"/>
        </w:rPr>
        <w:t>rigger</w:t>
      </w:r>
      <w:r w:rsidR="00DC32C6" w:rsidRPr="00A75601">
        <w:rPr>
          <w:rFonts w:ascii="Times New Roman" w:hAnsi="Times New Roman"/>
          <w:sz w:val="24"/>
          <w:szCs w:val="24"/>
        </w:rPr>
        <w:t xml:space="preserve">. </w:t>
      </w:r>
      <w:r w:rsidR="00093481" w:rsidRPr="00A75601">
        <w:rPr>
          <w:rFonts w:ascii="Times New Roman" w:hAnsi="Times New Roman"/>
          <w:sz w:val="24"/>
          <w:szCs w:val="24"/>
        </w:rPr>
        <w:t xml:space="preserve">We filter Strategy 1 trades and </w:t>
      </w:r>
      <w:r w:rsidR="001D0D30" w:rsidRPr="00A75601">
        <w:rPr>
          <w:rFonts w:ascii="Times New Roman" w:hAnsi="Times New Roman"/>
          <w:sz w:val="24"/>
          <w:szCs w:val="24"/>
        </w:rPr>
        <w:t>execute</w:t>
      </w:r>
      <w:r w:rsidR="00093481" w:rsidRPr="00A75601">
        <w:rPr>
          <w:rFonts w:ascii="Times New Roman" w:hAnsi="Times New Roman"/>
          <w:sz w:val="24"/>
          <w:szCs w:val="24"/>
        </w:rPr>
        <w:t xml:space="preserve"> them only if </w:t>
      </w:r>
      <w:r w:rsidR="00B017C1">
        <w:rPr>
          <w:rFonts w:ascii="Times New Roman" w:hAnsi="Times New Roman"/>
          <w:sz w:val="24"/>
          <w:szCs w:val="24"/>
        </w:rPr>
        <w:t xml:space="preserve">our price discovery estimates suggest that </w:t>
      </w:r>
      <w:r w:rsidR="00093481" w:rsidRPr="00A75601">
        <w:rPr>
          <w:rFonts w:ascii="Times New Roman" w:hAnsi="Times New Roman"/>
          <w:sz w:val="24"/>
          <w:szCs w:val="24"/>
        </w:rPr>
        <w:t xml:space="preserve">one market </w:t>
      </w:r>
      <w:r w:rsidR="00B017C1">
        <w:rPr>
          <w:rFonts w:ascii="Times New Roman" w:hAnsi="Times New Roman"/>
          <w:sz w:val="24"/>
          <w:szCs w:val="24"/>
        </w:rPr>
        <w:t xml:space="preserve">strongly </w:t>
      </w:r>
      <w:r w:rsidR="00093481" w:rsidRPr="00A75601">
        <w:rPr>
          <w:rFonts w:ascii="Times New Roman" w:hAnsi="Times New Roman"/>
          <w:sz w:val="24"/>
          <w:szCs w:val="24"/>
        </w:rPr>
        <w:t>lead</w:t>
      </w:r>
      <w:r w:rsidR="00B017C1">
        <w:rPr>
          <w:rFonts w:ascii="Times New Roman" w:hAnsi="Times New Roman"/>
          <w:sz w:val="24"/>
          <w:szCs w:val="24"/>
        </w:rPr>
        <w:t>s</w:t>
      </w:r>
      <w:r w:rsidR="00093481" w:rsidRPr="00A75601">
        <w:rPr>
          <w:rFonts w:ascii="Times New Roman" w:hAnsi="Times New Roman"/>
          <w:sz w:val="24"/>
          <w:szCs w:val="24"/>
        </w:rPr>
        <w:t xml:space="preserve"> the other one.</w:t>
      </w:r>
      <w:r w:rsidR="00B017C1">
        <w:rPr>
          <w:rStyle w:val="EndnoteReference"/>
          <w:rFonts w:ascii="Times New Roman" w:hAnsi="Times New Roman"/>
          <w:sz w:val="24"/>
          <w:szCs w:val="24"/>
        </w:rPr>
        <w:endnoteReference w:id="10"/>
      </w:r>
      <w:r w:rsidR="00093481" w:rsidRPr="00A75601">
        <w:rPr>
          <w:rFonts w:ascii="Times New Roman" w:hAnsi="Times New Roman"/>
          <w:sz w:val="24"/>
          <w:szCs w:val="24"/>
        </w:rPr>
        <w:t xml:space="preserve"> However, we still hedge the positions. </w:t>
      </w:r>
      <w:r w:rsidR="008A47B8" w:rsidRPr="00A75601">
        <w:rPr>
          <w:rFonts w:ascii="Times New Roman" w:hAnsi="Times New Roman"/>
          <w:sz w:val="24"/>
          <w:szCs w:val="24"/>
        </w:rPr>
        <w:t>Hence, if</w:t>
      </w:r>
      <w:r w:rsidR="00870806" w:rsidRPr="00A75601">
        <w:rPr>
          <w:rFonts w:ascii="Times New Roman" w:hAnsi="Times New Roman"/>
          <w:sz w:val="24"/>
          <w:szCs w:val="24"/>
        </w:rPr>
        <w:t xml:space="preserve"> the CDS spread is higher </w:t>
      </w:r>
      <w:r w:rsidR="006F309E">
        <w:rPr>
          <w:rFonts w:ascii="Times New Roman" w:hAnsi="Times New Roman"/>
          <w:sz w:val="24"/>
          <w:szCs w:val="24"/>
        </w:rPr>
        <w:t xml:space="preserve">(lower) </w:t>
      </w:r>
      <w:r w:rsidR="00870806" w:rsidRPr="00A75601">
        <w:rPr>
          <w:rFonts w:ascii="Times New Roman" w:hAnsi="Times New Roman"/>
          <w:sz w:val="24"/>
          <w:szCs w:val="24"/>
        </w:rPr>
        <w:t>tha</w:t>
      </w:r>
      <w:r w:rsidR="001B298D" w:rsidRPr="00A75601">
        <w:rPr>
          <w:rFonts w:ascii="Times New Roman" w:hAnsi="Times New Roman"/>
          <w:sz w:val="24"/>
          <w:szCs w:val="24"/>
        </w:rPr>
        <w:t>n</w:t>
      </w:r>
      <w:r w:rsidR="00870806" w:rsidRPr="00A75601">
        <w:rPr>
          <w:rFonts w:ascii="Times New Roman" w:hAnsi="Times New Roman"/>
          <w:sz w:val="24"/>
          <w:szCs w:val="24"/>
        </w:rPr>
        <w:t xml:space="preserve"> the </w:t>
      </w:r>
      <w:r w:rsidR="00B67C51" w:rsidRPr="00A75601">
        <w:rPr>
          <w:rFonts w:ascii="Times New Roman" w:hAnsi="Times New Roman"/>
          <w:sz w:val="24"/>
          <w:szCs w:val="24"/>
        </w:rPr>
        <w:t>equity-implied</w:t>
      </w:r>
      <w:r w:rsidR="00870806" w:rsidRPr="00A75601">
        <w:rPr>
          <w:rFonts w:ascii="Times New Roman" w:hAnsi="Times New Roman"/>
          <w:sz w:val="24"/>
          <w:szCs w:val="24"/>
        </w:rPr>
        <w:t xml:space="preserve"> spread by a defined trading trigger </w:t>
      </w:r>
      <w:r w:rsidR="00870806" w:rsidRPr="00A75601">
        <w:rPr>
          <w:rFonts w:ascii="Times New Roman" w:hAnsi="Times New Roman"/>
          <w:i/>
          <w:sz w:val="24"/>
          <w:szCs w:val="24"/>
        </w:rPr>
        <w:t>θ</w:t>
      </w:r>
      <w:r w:rsidR="00870806" w:rsidRPr="00A75601">
        <w:rPr>
          <w:rFonts w:ascii="Times New Roman" w:hAnsi="Times New Roman"/>
          <w:sz w:val="24"/>
          <w:szCs w:val="24"/>
        </w:rPr>
        <w:t xml:space="preserve"> and the price discovery of </w:t>
      </w:r>
      <w:r w:rsidR="00870806" w:rsidRPr="00A75601">
        <w:rPr>
          <w:rFonts w:ascii="Times New Roman" w:hAnsi="Times New Roman"/>
          <w:sz w:val="24"/>
          <w:szCs w:val="24"/>
        </w:rPr>
        <w:lastRenderedPageBreak/>
        <w:t xml:space="preserve">the CDS market is either lower than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l</m:t>
            </m:r>
          </m:sub>
        </m:sSub>
      </m:oMath>
      <w:r w:rsidR="00870806" w:rsidRPr="00A75601">
        <w:rPr>
          <w:rFonts w:ascii="Times New Roman" w:hAnsi="Times New Roman"/>
          <w:sz w:val="24"/>
          <w:szCs w:val="24"/>
        </w:rPr>
        <w:t xml:space="preserve"> or higher than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u</m:t>
            </m:r>
          </m:sub>
        </m:sSub>
      </m:oMath>
      <w:r w:rsidR="00F02BFB" w:rsidRPr="00A75601">
        <w:rPr>
          <w:rFonts w:ascii="Times New Roman" w:hAnsi="Times New Roman"/>
          <w:sz w:val="24"/>
          <w:szCs w:val="24"/>
        </w:rPr>
        <w:t>, a CDS posi</w:t>
      </w:r>
      <w:r w:rsidR="00093481" w:rsidRPr="00A75601">
        <w:rPr>
          <w:rFonts w:ascii="Times New Roman" w:hAnsi="Times New Roman"/>
          <w:sz w:val="24"/>
          <w:szCs w:val="24"/>
        </w:rPr>
        <w:t xml:space="preserve">tion with a notional amount of USD </w:t>
      </w:r>
      <w:r w:rsidR="00F02BFB" w:rsidRPr="00A75601">
        <w:rPr>
          <w:rFonts w:ascii="Times New Roman" w:hAnsi="Times New Roman"/>
          <w:sz w:val="24"/>
          <w:szCs w:val="24"/>
        </w:rPr>
        <w:t xml:space="preserve">1 and </w:t>
      </w:r>
      <m:oMath>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δ</m:t>
            </m:r>
          </m:e>
          <m:sub>
            <m:r>
              <w:rPr>
                <w:rFonts w:ascii="Cambria Math" w:hAnsi="Cambria Math"/>
                <w:sz w:val="24"/>
                <w:szCs w:val="24"/>
              </w:rPr>
              <m:t>t</m:t>
            </m:r>
            <m:r>
              <m:rPr>
                <m:sty m:val="p"/>
              </m:rPr>
              <w:rPr>
                <w:rFonts w:ascii="Cambria Math" w:hAnsi="Cambria Math"/>
                <w:sz w:val="24"/>
                <w:szCs w:val="24"/>
              </w:rPr>
              <m:t>-1</m:t>
            </m:r>
          </m:sub>
        </m:sSub>
      </m:oMath>
      <w:r w:rsidR="00F02BFB" w:rsidRPr="00A75601">
        <w:rPr>
          <w:rFonts w:ascii="Times New Roman" w:hAnsi="Times New Roman"/>
          <w:sz w:val="24"/>
          <w:szCs w:val="24"/>
        </w:rPr>
        <w:t xml:space="preserve"> shares of the common stock are shorted</w:t>
      </w:r>
      <w:r w:rsidR="006F309E">
        <w:rPr>
          <w:rFonts w:ascii="Times New Roman" w:hAnsi="Times New Roman"/>
          <w:sz w:val="24"/>
          <w:szCs w:val="24"/>
        </w:rPr>
        <w:t xml:space="preserve"> (bought)</w:t>
      </w:r>
      <w:r w:rsidR="00F02BFB" w:rsidRPr="00A75601">
        <w:rPr>
          <w:rFonts w:ascii="Times New Roman" w:hAnsi="Times New Roman"/>
          <w:sz w:val="24"/>
          <w:szCs w:val="24"/>
        </w:rPr>
        <w:t xml:space="preserve">. </w:t>
      </w:r>
      <w:r w:rsidR="006F0873" w:rsidRPr="00A75601">
        <w:rPr>
          <w:rFonts w:ascii="Times New Roman" w:hAnsi="Times New Roman"/>
          <w:sz w:val="24"/>
          <w:szCs w:val="24"/>
        </w:rPr>
        <w:t xml:space="preserve">Thus, trades are filtered not only on the basis of the deviation between the spreads, but also according to </w:t>
      </w:r>
      <w:r w:rsidR="00DC32C6" w:rsidRPr="00A75601">
        <w:rPr>
          <w:rFonts w:ascii="Times New Roman" w:hAnsi="Times New Roman"/>
          <w:sz w:val="24"/>
          <w:szCs w:val="24"/>
        </w:rPr>
        <w:t xml:space="preserve">the </w:t>
      </w:r>
      <w:r w:rsidR="006F0873" w:rsidRPr="00A75601">
        <w:rPr>
          <w:rFonts w:ascii="Times New Roman" w:hAnsi="Times New Roman"/>
          <w:sz w:val="24"/>
          <w:szCs w:val="24"/>
        </w:rPr>
        <w:t>informational efficiency</w:t>
      </w:r>
      <w:r w:rsidR="00DC32C6" w:rsidRPr="00A75601">
        <w:rPr>
          <w:rFonts w:ascii="Times New Roman" w:hAnsi="Times New Roman"/>
          <w:sz w:val="24"/>
          <w:szCs w:val="24"/>
        </w:rPr>
        <w:t xml:space="preserve"> of the markets</w:t>
      </w:r>
      <w:r w:rsidR="006F0873" w:rsidRPr="00A75601">
        <w:rPr>
          <w:rFonts w:ascii="Times New Roman" w:hAnsi="Times New Roman"/>
          <w:sz w:val="24"/>
          <w:szCs w:val="24"/>
        </w:rPr>
        <w:t xml:space="preserve">. </w:t>
      </w:r>
    </w:p>
    <w:p w14:paraId="1E7B7174" w14:textId="77777777" w:rsidR="00414CC3" w:rsidRPr="00A75601" w:rsidRDefault="008A47B8" w:rsidP="00563094">
      <w:pPr>
        <w:spacing w:after="120" w:line="480" w:lineRule="auto"/>
        <w:jc w:val="both"/>
        <w:outlineLvl w:val="0"/>
        <w:rPr>
          <w:rFonts w:ascii="Times New Roman" w:hAnsi="Times New Roman"/>
          <w:b/>
          <w:i/>
          <w:sz w:val="24"/>
          <w:szCs w:val="24"/>
        </w:rPr>
      </w:pPr>
      <w:r w:rsidRPr="00A75601">
        <w:rPr>
          <w:rFonts w:ascii="Times New Roman" w:hAnsi="Times New Roman"/>
          <w:b/>
          <w:i/>
          <w:sz w:val="24"/>
          <w:szCs w:val="24"/>
        </w:rPr>
        <w:t>Strategy 3</w:t>
      </w:r>
      <w:r w:rsidR="007676CF" w:rsidRPr="00A75601">
        <w:rPr>
          <w:rFonts w:ascii="Times New Roman" w:hAnsi="Times New Roman"/>
          <w:b/>
          <w:i/>
          <w:sz w:val="24"/>
          <w:szCs w:val="24"/>
        </w:rPr>
        <w:t xml:space="preserve"> </w:t>
      </w:r>
    </w:p>
    <w:p w14:paraId="00BC2A90" w14:textId="77777777" w:rsidR="004574B2" w:rsidRPr="00A75601" w:rsidRDefault="00C91B89" w:rsidP="00A75601">
      <w:pPr>
        <w:spacing w:line="480" w:lineRule="auto"/>
        <w:jc w:val="both"/>
        <w:outlineLvl w:val="0"/>
        <w:rPr>
          <w:rFonts w:ascii="Times New Roman" w:hAnsi="Times New Roman"/>
          <w:sz w:val="24"/>
          <w:szCs w:val="24"/>
        </w:rPr>
      </w:pPr>
      <w:r w:rsidRPr="00A75601">
        <w:rPr>
          <w:rFonts w:ascii="Times New Roman" w:hAnsi="Times New Roman"/>
          <w:sz w:val="24"/>
          <w:szCs w:val="24"/>
        </w:rPr>
        <w:t>Here w</w:t>
      </w:r>
      <w:r w:rsidR="008B0FF3" w:rsidRPr="00A75601">
        <w:rPr>
          <w:rFonts w:ascii="Times New Roman" w:hAnsi="Times New Roman"/>
          <w:sz w:val="24"/>
          <w:szCs w:val="24"/>
        </w:rPr>
        <w:t>e explore the possibility to t</w:t>
      </w:r>
      <w:r w:rsidR="00417E65" w:rsidRPr="00A75601">
        <w:rPr>
          <w:rFonts w:ascii="Times New Roman" w:hAnsi="Times New Roman"/>
          <w:sz w:val="24"/>
          <w:szCs w:val="24"/>
        </w:rPr>
        <w:t>rade one market</w:t>
      </w:r>
      <w:r w:rsidR="008B0FF3" w:rsidRPr="00A75601">
        <w:rPr>
          <w:rFonts w:ascii="Times New Roman" w:hAnsi="Times New Roman"/>
          <w:sz w:val="24"/>
          <w:szCs w:val="24"/>
        </w:rPr>
        <w:t xml:space="preserve"> only</w:t>
      </w:r>
      <w:r w:rsidR="00157068">
        <w:rPr>
          <w:rFonts w:ascii="Times New Roman" w:hAnsi="Times New Roman"/>
          <w:sz w:val="24"/>
          <w:szCs w:val="24"/>
        </w:rPr>
        <w:t>, namely the one that is being led</w:t>
      </w:r>
      <w:r w:rsidR="00DA0447">
        <w:rPr>
          <w:rFonts w:ascii="Times New Roman" w:hAnsi="Times New Roman"/>
          <w:sz w:val="24"/>
          <w:szCs w:val="24"/>
        </w:rPr>
        <w:t xml:space="preserve"> and is responsible for the adjustment towards the long-run equilibrium</w:t>
      </w:r>
      <w:r w:rsidR="004F70DF">
        <w:rPr>
          <w:rFonts w:ascii="Times New Roman" w:hAnsi="Times New Roman"/>
          <w:sz w:val="24"/>
          <w:szCs w:val="24"/>
        </w:rPr>
        <w:t xml:space="preserve"> implied by the error correction term of the VECM</w:t>
      </w:r>
      <w:r w:rsidR="00417E65" w:rsidRPr="00A75601">
        <w:rPr>
          <w:rFonts w:ascii="Times New Roman" w:hAnsi="Times New Roman"/>
          <w:sz w:val="24"/>
          <w:szCs w:val="24"/>
        </w:rPr>
        <w:t xml:space="preserve">. </w:t>
      </w:r>
      <w:r w:rsidR="00870806" w:rsidRPr="00A75601">
        <w:rPr>
          <w:rFonts w:ascii="Times New Roman" w:hAnsi="Times New Roman"/>
          <w:sz w:val="24"/>
          <w:szCs w:val="24"/>
        </w:rPr>
        <w:t xml:space="preserve">In particular, </w:t>
      </w:r>
      <w:r w:rsidR="006F309E" w:rsidRPr="00A75601">
        <w:rPr>
          <w:rFonts w:ascii="Times New Roman" w:hAnsi="Times New Roman"/>
          <w:sz w:val="24"/>
          <w:szCs w:val="24"/>
        </w:rPr>
        <w:t xml:space="preserve">if the CDS spread is higher than the equity-implied spread by a defined trading trigger </w:t>
      </w:r>
      <w:r w:rsidR="006F309E" w:rsidRPr="00A75601">
        <w:rPr>
          <w:rFonts w:ascii="Times New Roman" w:hAnsi="Times New Roman"/>
          <w:i/>
          <w:sz w:val="24"/>
          <w:szCs w:val="24"/>
        </w:rPr>
        <w:t>θ</w:t>
      </w:r>
      <w:r w:rsidR="006F309E" w:rsidRPr="00A75601">
        <w:rPr>
          <w:rFonts w:ascii="Times New Roman" w:hAnsi="Times New Roman"/>
          <w:sz w:val="24"/>
          <w:szCs w:val="24"/>
        </w:rPr>
        <w:t xml:space="preserve"> and the price discovery of the CDS market is lower than a benchmark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l</m:t>
            </m:r>
          </m:sub>
        </m:sSub>
      </m:oMath>
      <w:r w:rsidR="006F309E" w:rsidRPr="00A75601">
        <w:rPr>
          <w:rFonts w:ascii="Times New Roman" w:hAnsi="Times New Roman"/>
          <w:sz w:val="24"/>
          <w:szCs w:val="24"/>
        </w:rPr>
        <w:t xml:space="preserve"> </w:t>
      </w:r>
      <w:r w:rsidR="006F309E">
        <w:rPr>
          <w:rFonts w:ascii="Times New Roman" w:hAnsi="Times New Roman"/>
          <w:sz w:val="24"/>
          <w:szCs w:val="24"/>
        </w:rPr>
        <w:t>(</w:t>
      </w:r>
      <w:r w:rsidR="006F309E" w:rsidRPr="00A75601">
        <w:rPr>
          <w:rFonts w:ascii="Times New Roman" w:hAnsi="Times New Roman"/>
          <w:sz w:val="24"/>
          <w:szCs w:val="24"/>
        </w:rPr>
        <w:t>meaning that the CDS market is being led</w:t>
      </w:r>
      <w:r w:rsidR="006F309E">
        <w:rPr>
          <w:rFonts w:ascii="Times New Roman" w:hAnsi="Times New Roman"/>
          <w:sz w:val="24"/>
          <w:szCs w:val="24"/>
        </w:rPr>
        <w:t xml:space="preserve">), </w:t>
      </w:r>
      <w:r w:rsidR="00870806" w:rsidRPr="00A75601">
        <w:rPr>
          <w:rFonts w:ascii="Times New Roman" w:hAnsi="Times New Roman"/>
          <w:sz w:val="24"/>
          <w:szCs w:val="24"/>
        </w:rPr>
        <w:t xml:space="preserve">a trader </w:t>
      </w:r>
      <w:r w:rsidR="00F42071" w:rsidRPr="00A75601">
        <w:rPr>
          <w:rFonts w:ascii="Times New Roman" w:hAnsi="Times New Roman"/>
          <w:sz w:val="24"/>
          <w:szCs w:val="24"/>
        </w:rPr>
        <w:t>wo</w:t>
      </w:r>
      <w:r w:rsidR="00870806" w:rsidRPr="00A75601">
        <w:rPr>
          <w:rFonts w:ascii="Times New Roman" w:hAnsi="Times New Roman"/>
          <w:sz w:val="24"/>
          <w:szCs w:val="24"/>
        </w:rPr>
        <w:t xml:space="preserve">uld sell a CDS contract with a notional of </w:t>
      </w:r>
      <w:r w:rsidR="00393BE4" w:rsidRPr="00A75601">
        <w:rPr>
          <w:rFonts w:ascii="Times New Roman" w:hAnsi="Times New Roman"/>
          <w:sz w:val="24"/>
          <w:szCs w:val="24"/>
        </w:rPr>
        <w:t xml:space="preserve">USD </w:t>
      </w:r>
      <w:r w:rsidR="00870806" w:rsidRPr="00A75601">
        <w:rPr>
          <w:rFonts w:ascii="Times New Roman" w:hAnsi="Times New Roman"/>
          <w:sz w:val="24"/>
          <w:szCs w:val="24"/>
        </w:rPr>
        <w:t>1</w:t>
      </w:r>
      <w:r w:rsidR="0092370E" w:rsidRPr="00A75601">
        <w:rPr>
          <w:rFonts w:ascii="Times New Roman" w:hAnsi="Times New Roman"/>
          <w:sz w:val="24"/>
          <w:szCs w:val="24"/>
        </w:rPr>
        <w:t xml:space="preserve">. On the other hand, he </w:t>
      </w:r>
      <w:r w:rsidR="00F42071" w:rsidRPr="00A75601">
        <w:rPr>
          <w:rFonts w:ascii="Times New Roman" w:hAnsi="Times New Roman"/>
          <w:sz w:val="24"/>
          <w:szCs w:val="24"/>
        </w:rPr>
        <w:t>w</w:t>
      </w:r>
      <w:r w:rsidR="0092370E" w:rsidRPr="00A75601">
        <w:rPr>
          <w:rFonts w:ascii="Times New Roman" w:hAnsi="Times New Roman"/>
          <w:sz w:val="24"/>
          <w:szCs w:val="24"/>
        </w:rPr>
        <w:t>ou</w:t>
      </w:r>
      <w:r w:rsidR="006F309E">
        <w:rPr>
          <w:rFonts w:ascii="Times New Roman" w:hAnsi="Times New Roman"/>
          <w:sz w:val="24"/>
          <w:szCs w:val="24"/>
        </w:rPr>
        <w:t xml:space="preserve">ld short the equity market </w:t>
      </w:r>
      <w:r w:rsidR="0092370E" w:rsidRPr="00A75601">
        <w:rPr>
          <w:rFonts w:ascii="Times New Roman" w:hAnsi="Times New Roman"/>
          <w:sz w:val="24"/>
          <w:szCs w:val="24"/>
        </w:rPr>
        <w:t xml:space="preserve">if the CDS spread is higher than the </w:t>
      </w:r>
      <w:r w:rsidR="00B67C51" w:rsidRPr="00A75601">
        <w:rPr>
          <w:rFonts w:ascii="Times New Roman" w:hAnsi="Times New Roman"/>
          <w:sz w:val="24"/>
          <w:szCs w:val="24"/>
        </w:rPr>
        <w:t>equity-implied</w:t>
      </w:r>
      <w:r w:rsidR="0092370E" w:rsidRPr="00A75601">
        <w:rPr>
          <w:rFonts w:ascii="Times New Roman" w:hAnsi="Times New Roman"/>
          <w:sz w:val="24"/>
          <w:szCs w:val="24"/>
        </w:rPr>
        <w:t xml:space="preserve"> spread by a defined trading trigger </w:t>
      </w:r>
      <w:r w:rsidR="0092370E" w:rsidRPr="00A75601">
        <w:rPr>
          <w:rFonts w:ascii="Times New Roman" w:hAnsi="Times New Roman"/>
          <w:i/>
          <w:sz w:val="24"/>
          <w:szCs w:val="24"/>
        </w:rPr>
        <w:t>θ</w:t>
      </w:r>
      <w:r w:rsidR="0092370E" w:rsidRPr="00A75601">
        <w:rPr>
          <w:rFonts w:ascii="Times New Roman" w:hAnsi="Times New Roman"/>
          <w:sz w:val="24"/>
          <w:szCs w:val="24"/>
        </w:rPr>
        <w:t xml:space="preserve"> and the price discovery of the CDS market is higher than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u</m:t>
            </m:r>
          </m:sub>
        </m:sSub>
      </m:oMath>
      <w:r w:rsidR="0092370E" w:rsidRPr="00A75601">
        <w:rPr>
          <w:rFonts w:ascii="Times New Roman" w:hAnsi="Times New Roman"/>
          <w:sz w:val="24"/>
          <w:szCs w:val="24"/>
        </w:rPr>
        <w:t xml:space="preserve"> </w:t>
      </w:r>
      <w:r w:rsidR="006F309E">
        <w:rPr>
          <w:rFonts w:ascii="Times New Roman" w:hAnsi="Times New Roman"/>
          <w:sz w:val="24"/>
          <w:szCs w:val="24"/>
        </w:rPr>
        <w:t>(in which case</w:t>
      </w:r>
      <w:r w:rsidR="0092370E" w:rsidRPr="00A75601">
        <w:rPr>
          <w:rFonts w:ascii="Times New Roman" w:hAnsi="Times New Roman"/>
          <w:sz w:val="24"/>
          <w:szCs w:val="24"/>
        </w:rPr>
        <w:t xml:space="preserve"> the equity market is being led</w:t>
      </w:r>
      <w:r w:rsidR="006F309E">
        <w:rPr>
          <w:rFonts w:ascii="Times New Roman" w:hAnsi="Times New Roman"/>
          <w:sz w:val="24"/>
          <w:szCs w:val="24"/>
        </w:rPr>
        <w:t>)</w:t>
      </w:r>
      <w:r w:rsidR="0092370E" w:rsidRPr="00A75601">
        <w:rPr>
          <w:rFonts w:ascii="Times New Roman" w:hAnsi="Times New Roman"/>
          <w:sz w:val="24"/>
          <w:szCs w:val="24"/>
        </w:rPr>
        <w:t xml:space="preserve">. Similarly, </w:t>
      </w:r>
      <w:r w:rsidR="006F309E">
        <w:rPr>
          <w:rFonts w:ascii="Times New Roman" w:hAnsi="Times New Roman"/>
          <w:sz w:val="24"/>
          <w:szCs w:val="24"/>
        </w:rPr>
        <w:t xml:space="preserve">if </w:t>
      </w:r>
      <w:r w:rsidR="006F309E" w:rsidRPr="00A75601">
        <w:rPr>
          <w:rFonts w:ascii="Times New Roman" w:hAnsi="Times New Roman"/>
          <w:sz w:val="24"/>
          <w:szCs w:val="24"/>
        </w:rPr>
        <w:t xml:space="preserve">the equity-implied spread is higher than the CDS spread by a defined trading trigger </w:t>
      </w:r>
      <w:r w:rsidR="006F309E" w:rsidRPr="00A75601">
        <w:rPr>
          <w:rFonts w:ascii="Times New Roman" w:hAnsi="Times New Roman"/>
          <w:i/>
          <w:sz w:val="24"/>
          <w:szCs w:val="24"/>
        </w:rPr>
        <w:t>θ</w:t>
      </w:r>
      <w:r w:rsidR="006F309E" w:rsidRPr="00A75601">
        <w:rPr>
          <w:rFonts w:ascii="Times New Roman" w:hAnsi="Times New Roman"/>
          <w:sz w:val="24"/>
          <w:szCs w:val="24"/>
        </w:rPr>
        <w:t xml:space="preserve"> and the price discovery of the CDS market is lower than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l</m:t>
            </m:r>
          </m:sub>
        </m:sSub>
      </m:oMath>
      <w:r w:rsidR="006F309E">
        <w:rPr>
          <w:rFonts w:ascii="Times New Roman" w:hAnsi="Times New Roman"/>
          <w:sz w:val="24"/>
          <w:szCs w:val="24"/>
        </w:rPr>
        <w:t xml:space="preserve">, </w:t>
      </w:r>
      <w:r w:rsidR="0092370E" w:rsidRPr="00A75601">
        <w:rPr>
          <w:rFonts w:ascii="Times New Roman" w:hAnsi="Times New Roman"/>
          <w:sz w:val="24"/>
          <w:szCs w:val="24"/>
        </w:rPr>
        <w:t>a C</w:t>
      </w:r>
      <w:r w:rsidR="00393BE4" w:rsidRPr="00A75601">
        <w:rPr>
          <w:rFonts w:ascii="Times New Roman" w:hAnsi="Times New Roman"/>
          <w:sz w:val="24"/>
          <w:szCs w:val="24"/>
        </w:rPr>
        <w:t xml:space="preserve">DS contract with a notional of USD </w:t>
      </w:r>
      <w:r w:rsidR="0092370E" w:rsidRPr="00A75601">
        <w:rPr>
          <w:rFonts w:ascii="Times New Roman" w:hAnsi="Times New Roman"/>
          <w:sz w:val="24"/>
          <w:szCs w:val="24"/>
        </w:rPr>
        <w:t xml:space="preserve">1 </w:t>
      </w:r>
      <w:r w:rsidR="00F42071" w:rsidRPr="00A75601">
        <w:rPr>
          <w:rFonts w:ascii="Times New Roman" w:hAnsi="Times New Roman"/>
          <w:sz w:val="24"/>
          <w:szCs w:val="24"/>
        </w:rPr>
        <w:t>w</w:t>
      </w:r>
      <w:r w:rsidR="0092370E" w:rsidRPr="00A75601">
        <w:rPr>
          <w:rFonts w:ascii="Times New Roman" w:hAnsi="Times New Roman"/>
          <w:sz w:val="24"/>
          <w:szCs w:val="24"/>
        </w:rPr>
        <w:t xml:space="preserve">ould be bought. Finally, shares are bought if the </w:t>
      </w:r>
      <w:r w:rsidR="00B67C51" w:rsidRPr="00A75601">
        <w:rPr>
          <w:rFonts w:ascii="Times New Roman" w:hAnsi="Times New Roman"/>
          <w:sz w:val="24"/>
          <w:szCs w:val="24"/>
        </w:rPr>
        <w:t>equity-implied</w:t>
      </w:r>
      <w:r w:rsidR="0092370E" w:rsidRPr="00A75601">
        <w:rPr>
          <w:rFonts w:ascii="Times New Roman" w:hAnsi="Times New Roman"/>
          <w:sz w:val="24"/>
          <w:szCs w:val="24"/>
        </w:rPr>
        <w:t xml:space="preserve"> spread is higher than the CDS spread by a defined trading trigger </w:t>
      </w:r>
      <w:r w:rsidR="0092370E" w:rsidRPr="00A75601">
        <w:rPr>
          <w:rFonts w:ascii="Times New Roman" w:hAnsi="Times New Roman"/>
          <w:i/>
          <w:sz w:val="24"/>
          <w:szCs w:val="24"/>
        </w:rPr>
        <w:t>θ</w:t>
      </w:r>
      <w:r w:rsidR="0092370E" w:rsidRPr="00A75601">
        <w:rPr>
          <w:rFonts w:ascii="Times New Roman" w:hAnsi="Times New Roman"/>
          <w:sz w:val="24"/>
          <w:szCs w:val="24"/>
        </w:rPr>
        <w:t xml:space="preserve"> and the CDS market is leading the equity market.  </w:t>
      </w:r>
      <w:r w:rsidR="00507D5C" w:rsidRPr="00A75601">
        <w:rPr>
          <w:rFonts w:ascii="Times New Roman" w:hAnsi="Times New Roman"/>
          <w:sz w:val="24"/>
          <w:szCs w:val="24"/>
        </w:rPr>
        <w:t xml:space="preserve"> </w:t>
      </w:r>
    </w:p>
    <w:p w14:paraId="4DB98B5C" w14:textId="77777777" w:rsidR="00E22C66" w:rsidRPr="00A75601" w:rsidRDefault="00417E65" w:rsidP="00563094">
      <w:pPr>
        <w:spacing w:after="120" w:line="480" w:lineRule="auto"/>
        <w:jc w:val="both"/>
        <w:outlineLvl w:val="0"/>
        <w:rPr>
          <w:rFonts w:ascii="Times New Roman" w:hAnsi="Times New Roman"/>
          <w:b/>
          <w:i/>
          <w:sz w:val="24"/>
          <w:szCs w:val="24"/>
        </w:rPr>
      </w:pPr>
      <w:r w:rsidRPr="00A75601">
        <w:rPr>
          <w:rFonts w:ascii="Times New Roman" w:hAnsi="Times New Roman"/>
          <w:b/>
          <w:i/>
          <w:sz w:val="24"/>
          <w:szCs w:val="24"/>
        </w:rPr>
        <w:t xml:space="preserve">Strategy 4 </w:t>
      </w:r>
    </w:p>
    <w:p w14:paraId="62243957" w14:textId="77777777" w:rsidR="00CB709A" w:rsidRPr="00A75601" w:rsidRDefault="00ED5E42" w:rsidP="00A75601">
      <w:pPr>
        <w:spacing w:line="480" w:lineRule="auto"/>
        <w:jc w:val="both"/>
        <w:outlineLvl w:val="0"/>
        <w:rPr>
          <w:rFonts w:ascii="Times New Roman" w:hAnsi="Times New Roman"/>
          <w:sz w:val="24"/>
          <w:szCs w:val="24"/>
        </w:rPr>
      </w:pPr>
      <w:r w:rsidRPr="00A75601">
        <w:rPr>
          <w:rFonts w:ascii="Times New Roman" w:hAnsi="Times New Roman"/>
          <w:sz w:val="24"/>
          <w:szCs w:val="24"/>
        </w:rPr>
        <w:t xml:space="preserve">We use the estimated </w:t>
      </w:r>
      <w:r w:rsidR="005F34E6" w:rsidRPr="00A75601">
        <w:rPr>
          <w:rFonts w:ascii="Times New Roman" w:hAnsi="Times New Roman"/>
          <w:sz w:val="24"/>
          <w:szCs w:val="24"/>
        </w:rPr>
        <w:t>parameter</w:t>
      </w:r>
      <w:r w:rsidR="004F70DF">
        <w:rPr>
          <w:rFonts w:ascii="Times New Roman" w:hAnsi="Times New Roman"/>
          <w:sz w:val="24"/>
          <w:szCs w:val="24"/>
        </w:rPr>
        <w:t xml:space="preserve"> </w:t>
      </w:r>
      <m:oMath>
        <m:r>
          <w:rPr>
            <w:rFonts w:ascii="Cambria Math" w:hAnsi="Cambria Math"/>
            <w:sz w:val="24"/>
            <w:szCs w:val="24"/>
          </w:rPr>
          <m:t>α</m:t>
        </m:r>
      </m:oMath>
      <w:r w:rsidR="005F34E6" w:rsidRPr="00A75601">
        <w:rPr>
          <w:rFonts w:ascii="Times New Roman" w:hAnsi="Times New Roman"/>
          <w:sz w:val="24"/>
          <w:szCs w:val="24"/>
        </w:rPr>
        <w:t xml:space="preserve"> in the </w:t>
      </w:r>
      <w:r w:rsidRPr="00A75601">
        <w:rPr>
          <w:rFonts w:ascii="Times New Roman" w:hAnsi="Times New Roman"/>
          <w:sz w:val="24"/>
          <w:szCs w:val="24"/>
        </w:rPr>
        <w:t>cointegrating</w:t>
      </w:r>
      <w:r w:rsidRPr="00A75601">
        <w:rPr>
          <w:rFonts w:ascii="Times New Roman" w:hAnsi="Times New Roman"/>
          <w:color w:val="FF0000"/>
          <w:sz w:val="24"/>
          <w:szCs w:val="24"/>
        </w:rPr>
        <w:t xml:space="preserve"> </w:t>
      </w:r>
      <w:r w:rsidR="005C4AFB" w:rsidRPr="00A75601">
        <w:rPr>
          <w:rFonts w:ascii="Times New Roman" w:hAnsi="Times New Roman"/>
          <w:sz w:val="24"/>
          <w:szCs w:val="24"/>
        </w:rPr>
        <w:t>equation (</w:t>
      </w:r>
      <w:r w:rsidR="00157068">
        <w:rPr>
          <w:rFonts w:ascii="Times New Roman" w:hAnsi="Times New Roman"/>
          <w:sz w:val="24"/>
          <w:szCs w:val="24"/>
        </w:rPr>
        <w:t>1</w:t>
      </w:r>
      <w:r w:rsidR="00B8251C" w:rsidRPr="00A75601">
        <w:rPr>
          <w:rFonts w:ascii="Times New Roman" w:hAnsi="Times New Roman"/>
          <w:sz w:val="24"/>
          <w:szCs w:val="24"/>
        </w:rPr>
        <w:t>c)</w:t>
      </w:r>
      <w:r w:rsidRPr="00A75601">
        <w:rPr>
          <w:rFonts w:ascii="Times New Roman" w:hAnsi="Times New Roman"/>
          <w:sz w:val="24"/>
          <w:szCs w:val="24"/>
        </w:rPr>
        <w:t xml:space="preserve"> in order to define the minimum deviation between </w:t>
      </w:r>
      <w:r w:rsidR="002E228F">
        <w:rPr>
          <w:rFonts w:ascii="Times New Roman" w:hAnsi="Times New Roman"/>
          <w:sz w:val="24"/>
          <w:szCs w:val="24"/>
        </w:rPr>
        <w:t xml:space="preserve">the </w:t>
      </w:r>
      <w:r w:rsidRPr="00A75601">
        <w:rPr>
          <w:rFonts w:ascii="Times New Roman" w:hAnsi="Times New Roman"/>
          <w:sz w:val="24"/>
          <w:szCs w:val="24"/>
        </w:rPr>
        <w:t xml:space="preserve">market and model spreads necessary to generate a trading opportunity. </w:t>
      </w:r>
      <w:r w:rsidR="00AE3ED2" w:rsidRPr="00A75601">
        <w:rPr>
          <w:rFonts w:ascii="Times New Roman" w:hAnsi="Times New Roman"/>
          <w:sz w:val="24"/>
          <w:szCs w:val="24"/>
        </w:rPr>
        <w:t xml:space="preserve">In cointegrated systems, we would expect the coefficient on the equity-implied spread </w:t>
      </w:r>
      <m:oMath>
        <m:r>
          <w:rPr>
            <w:rFonts w:ascii="Cambria Math" w:hAnsi="Cambria Math"/>
            <w:sz w:val="24"/>
            <w:szCs w:val="24"/>
          </w:rPr>
          <m:t>α</m:t>
        </m:r>
      </m:oMath>
      <w:r w:rsidR="005F34E6" w:rsidRPr="00A75601">
        <w:rPr>
          <w:rFonts w:ascii="Times New Roman" w:hAnsi="Times New Roman"/>
          <w:sz w:val="24"/>
          <w:szCs w:val="24"/>
        </w:rPr>
        <w:t xml:space="preserve"> to equal </w:t>
      </w:r>
      <w:r w:rsidR="00AE3ED2" w:rsidRPr="00A75601">
        <w:rPr>
          <w:rFonts w:ascii="Times New Roman" w:hAnsi="Times New Roman"/>
          <w:sz w:val="24"/>
          <w:szCs w:val="24"/>
        </w:rPr>
        <w:t>1</w:t>
      </w:r>
      <w:r w:rsidR="00110F01" w:rsidRPr="00A75601">
        <w:rPr>
          <w:rFonts w:ascii="Times New Roman" w:hAnsi="Times New Roman"/>
          <w:sz w:val="24"/>
          <w:szCs w:val="24"/>
        </w:rPr>
        <w:t xml:space="preserve"> in the cointegrating</w:t>
      </w:r>
      <w:r w:rsidR="00232246" w:rsidRPr="00A75601">
        <w:rPr>
          <w:rFonts w:ascii="Times New Roman" w:hAnsi="Times New Roman"/>
          <w:sz w:val="24"/>
          <w:szCs w:val="24"/>
        </w:rPr>
        <w:t xml:space="preserve"> vector</w:t>
      </w:r>
      <w:r w:rsidR="00110F01" w:rsidRPr="00A75601">
        <w:rPr>
          <w:rFonts w:ascii="Times New Roman" w:hAnsi="Times New Roman"/>
          <w:sz w:val="24"/>
          <w:szCs w:val="24"/>
        </w:rPr>
        <w:t xml:space="preserve">; and this is assumed </w:t>
      </w:r>
      <w:r w:rsidR="00AE3ED2" w:rsidRPr="00A75601">
        <w:rPr>
          <w:rFonts w:ascii="Times New Roman" w:hAnsi="Times New Roman"/>
          <w:sz w:val="24"/>
          <w:szCs w:val="24"/>
        </w:rPr>
        <w:t xml:space="preserve">in Strategies 1, 2 and 3. </w:t>
      </w:r>
      <w:r w:rsidR="006E7CF6" w:rsidRPr="00A75601">
        <w:rPr>
          <w:rFonts w:ascii="Times New Roman" w:hAnsi="Times New Roman"/>
          <w:sz w:val="24"/>
          <w:szCs w:val="24"/>
        </w:rPr>
        <w:t xml:space="preserve">However, while from a statistical perspective </w:t>
      </w:r>
      <m:oMath>
        <m:r>
          <w:rPr>
            <w:rFonts w:ascii="Cambria Math" w:hAnsi="Cambria Math"/>
            <w:sz w:val="24"/>
            <w:szCs w:val="24"/>
          </w:rPr>
          <m:t>α</m:t>
        </m:r>
      </m:oMath>
      <w:r w:rsidR="006E7CF6" w:rsidRPr="00A75601">
        <w:rPr>
          <w:rFonts w:ascii="Times New Roman" w:hAnsi="Times New Roman"/>
          <w:sz w:val="24"/>
          <w:szCs w:val="24"/>
        </w:rPr>
        <w:t xml:space="preserve"> </w:t>
      </w:r>
      <w:r w:rsidR="004F70DF">
        <w:rPr>
          <w:rFonts w:ascii="Times New Roman" w:hAnsi="Times New Roman"/>
          <w:sz w:val="24"/>
          <w:szCs w:val="24"/>
        </w:rPr>
        <w:t>may</w:t>
      </w:r>
      <w:r w:rsidR="006E7CF6" w:rsidRPr="00A75601">
        <w:rPr>
          <w:rFonts w:ascii="Times New Roman" w:hAnsi="Times New Roman"/>
          <w:sz w:val="24"/>
          <w:szCs w:val="24"/>
        </w:rPr>
        <w:t xml:space="preserve"> no</w:t>
      </w:r>
      <w:r w:rsidR="005F34E6" w:rsidRPr="00A75601">
        <w:rPr>
          <w:rFonts w:ascii="Times New Roman" w:hAnsi="Times New Roman"/>
          <w:sz w:val="24"/>
          <w:szCs w:val="24"/>
        </w:rPr>
        <w:t xml:space="preserve">t </w:t>
      </w:r>
      <w:r w:rsidR="004F70DF">
        <w:rPr>
          <w:rFonts w:ascii="Times New Roman" w:hAnsi="Times New Roman"/>
          <w:sz w:val="24"/>
          <w:szCs w:val="24"/>
        </w:rPr>
        <w:t xml:space="preserve">be </w:t>
      </w:r>
      <w:r w:rsidR="005F34E6" w:rsidRPr="00A75601">
        <w:rPr>
          <w:rFonts w:ascii="Times New Roman" w:hAnsi="Times New Roman"/>
          <w:sz w:val="24"/>
          <w:szCs w:val="24"/>
        </w:rPr>
        <w:t xml:space="preserve">significantly different from </w:t>
      </w:r>
      <w:r w:rsidR="006E7CF6" w:rsidRPr="00A75601">
        <w:rPr>
          <w:rFonts w:ascii="Times New Roman" w:hAnsi="Times New Roman"/>
          <w:sz w:val="24"/>
          <w:szCs w:val="24"/>
        </w:rPr>
        <w:t>1,</w:t>
      </w:r>
      <w:r w:rsidR="00AE3ED2" w:rsidRPr="00A75601">
        <w:rPr>
          <w:rFonts w:ascii="Times New Roman" w:hAnsi="Times New Roman"/>
          <w:sz w:val="24"/>
          <w:szCs w:val="24"/>
        </w:rPr>
        <w:t xml:space="preserve"> in </w:t>
      </w:r>
      <w:r w:rsidR="00AE3ED2" w:rsidRPr="00A75601">
        <w:rPr>
          <w:rFonts w:ascii="Times New Roman" w:hAnsi="Times New Roman"/>
          <w:sz w:val="24"/>
          <w:szCs w:val="24"/>
        </w:rPr>
        <w:lastRenderedPageBreak/>
        <w:t xml:space="preserve">practice the </w:t>
      </w:r>
      <w:r w:rsidR="006E7CF6" w:rsidRPr="00A75601">
        <w:rPr>
          <w:rFonts w:ascii="Times New Roman" w:hAnsi="Times New Roman"/>
          <w:sz w:val="24"/>
          <w:szCs w:val="24"/>
        </w:rPr>
        <w:t xml:space="preserve">actual values of the </w:t>
      </w:r>
      <w:r w:rsidR="004F70DF">
        <w:rPr>
          <w:rFonts w:ascii="Times New Roman" w:hAnsi="Times New Roman"/>
          <w:sz w:val="24"/>
          <w:szCs w:val="24"/>
        </w:rPr>
        <w:t xml:space="preserve">estimated </w:t>
      </w:r>
      <w:r w:rsidR="00AE3ED2" w:rsidRPr="00A75601">
        <w:rPr>
          <w:rFonts w:ascii="Times New Roman" w:hAnsi="Times New Roman"/>
          <w:sz w:val="24"/>
          <w:szCs w:val="24"/>
        </w:rPr>
        <w:t xml:space="preserve">coefficient </w:t>
      </w:r>
      <w:r w:rsidR="006E7CF6" w:rsidRPr="00A75601">
        <w:rPr>
          <w:rFonts w:ascii="Times New Roman" w:hAnsi="Times New Roman"/>
          <w:sz w:val="24"/>
          <w:szCs w:val="24"/>
        </w:rPr>
        <w:t>are</w:t>
      </w:r>
      <w:r w:rsidR="005F34E6" w:rsidRPr="00A75601">
        <w:rPr>
          <w:rFonts w:ascii="Times New Roman" w:hAnsi="Times New Roman"/>
          <w:sz w:val="24"/>
          <w:szCs w:val="24"/>
        </w:rPr>
        <w:t xml:space="preserve"> different from </w:t>
      </w:r>
      <w:r w:rsidR="00110F01" w:rsidRPr="00A75601">
        <w:rPr>
          <w:rFonts w:ascii="Times New Roman" w:hAnsi="Times New Roman"/>
          <w:sz w:val="24"/>
          <w:szCs w:val="24"/>
        </w:rPr>
        <w:t>1 and</w:t>
      </w:r>
      <w:r w:rsidR="00AE3ED2" w:rsidRPr="00A75601">
        <w:rPr>
          <w:rFonts w:ascii="Times New Roman" w:hAnsi="Times New Roman"/>
          <w:sz w:val="24"/>
          <w:szCs w:val="24"/>
        </w:rPr>
        <w:t xml:space="preserve"> </w:t>
      </w:r>
      <w:r w:rsidR="005F34E6" w:rsidRPr="00A75601">
        <w:rPr>
          <w:rFonts w:ascii="Times New Roman" w:hAnsi="Times New Roman"/>
          <w:sz w:val="24"/>
          <w:szCs w:val="24"/>
        </w:rPr>
        <w:t xml:space="preserve">could be economically significant, </w:t>
      </w:r>
      <w:r w:rsidR="00AE3ED2" w:rsidRPr="00A75601">
        <w:rPr>
          <w:rFonts w:ascii="Times New Roman" w:hAnsi="Times New Roman"/>
          <w:sz w:val="24"/>
          <w:szCs w:val="24"/>
        </w:rPr>
        <w:t>provid</w:t>
      </w:r>
      <w:r w:rsidR="005F34E6" w:rsidRPr="00A75601">
        <w:rPr>
          <w:rFonts w:ascii="Times New Roman" w:hAnsi="Times New Roman"/>
          <w:sz w:val="24"/>
          <w:szCs w:val="24"/>
        </w:rPr>
        <w:t>ing</w:t>
      </w:r>
      <w:r w:rsidR="00AE3ED2" w:rsidRPr="00A75601">
        <w:rPr>
          <w:rFonts w:ascii="Times New Roman" w:hAnsi="Times New Roman"/>
          <w:sz w:val="24"/>
          <w:szCs w:val="24"/>
        </w:rPr>
        <w:t xml:space="preserve"> the trader with valuable information.</w:t>
      </w:r>
      <w:r w:rsidR="00232246" w:rsidRPr="00A75601">
        <w:rPr>
          <w:rFonts w:ascii="Times New Roman" w:hAnsi="Times New Roman"/>
          <w:sz w:val="24"/>
          <w:szCs w:val="24"/>
        </w:rPr>
        <w:t xml:space="preserve"> The trading is then done similarly to Strategy 3</w:t>
      </w:r>
      <w:r w:rsidR="00C80747" w:rsidRPr="00A75601">
        <w:rPr>
          <w:rFonts w:ascii="Times New Roman" w:hAnsi="Times New Roman"/>
          <w:sz w:val="24"/>
          <w:szCs w:val="24"/>
        </w:rPr>
        <w:t>,</w:t>
      </w:r>
      <w:r w:rsidR="00110F01" w:rsidRPr="00A75601">
        <w:rPr>
          <w:rFonts w:ascii="Times New Roman" w:hAnsi="Times New Roman"/>
          <w:sz w:val="24"/>
          <w:szCs w:val="24"/>
        </w:rPr>
        <w:t xml:space="preserve"> except that </w:t>
      </w:r>
      <m:oMath>
        <m:r>
          <w:rPr>
            <w:rFonts w:ascii="Cambria Math" w:hAnsi="Cambria Math"/>
            <w:sz w:val="24"/>
            <w:szCs w:val="24"/>
          </w:rPr>
          <m:t>α</m:t>
        </m:r>
      </m:oMath>
      <w:r w:rsidR="005F34E6" w:rsidRPr="00A75601">
        <w:rPr>
          <w:rFonts w:ascii="Times New Roman" w:hAnsi="Times New Roman"/>
          <w:sz w:val="24"/>
          <w:szCs w:val="24"/>
        </w:rPr>
        <w:t xml:space="preserve"> is not assumed to be </w:t>
      </w:r>
      <w:r w:rsidR="00110F01" w:rsidRPr="00A75601">
        <w:rPr>
          <w:rFonts w:ascii="Times New Roman" w:hAnsi="Times New Roman"/>
          <w:sz w:val="24"/>
          <w:szCs w:val="24"/>
        </w:rPr>
        <w:t>1</w:t>
      </w:r>
      <w:r w:rsidR="004F70DF">
        <w:rPr>
          <w:rFonts w:ascii="Times New Roman" w:hAnsi="Times New Roman"/>
          <w:sz w:val="24"/>
          <w:szCs w:val="24"/>
        </w:rPr>
        <w:t xml:space="preserve"> but estimated from the VECM</w:t>
      </w:r>
      <w:r w:rsidR="00232246" w:rsidRPr="00A75601">
        <w:rPr>
          <w:rFonts w:ascii="Times New Roman" w:hAnsi="Times New Roman"/>
          <w:sz w:val="24"/>
          <w:szCs w:val="24"/>
        </w:rPr>
        <w:t>.</w:t>
      </w:r>
    </w:p>
    <w:p w14:paraId="22B899A5" w14:textId="77777777" w:rsidR="00417E65" w:rsidRPr="00A75601" w:rsidRDefault="00157068" w:rsidP="00A75601">
      <w:pPr>
        <w:spacing w:line="480" w:lineRule="auto"/>
        <w:jc w:val="both"/>
        <w:outlineLvl w:val="0"/>
        <w:rPr>
          <w:rFonts w:ascii="Times New Roman" w:hAnsi="Times New Roman"/>
          <w:sz w:val="24"/>
          <w:szCs w:val="24"/>
        </w:rPr>
      </w:pPr>
      <w:r>
        <w:rPr>
          <w:rFonts w:ascii="Times New Roman" w:hAnsi="Times New Roman"/>
          <w:sz w:val="24"/>
          <w:szCs w:val="24"/>
        </w:rPr>
        <w:t>Exhibit</w:t>
      </w:r>
      <w:r w:rsidR="00523718" w:rsidRPr="00A75601">
        <w:rPr>
          <w:rFonts w:ascii="Times New Roman" w:hAnsi="Times New Roman"/>
          <w:sz w:val="24"/>
          <w:szCs w:val="24"/>
        </w:rPr>
        <w:t xml:space="preserve"> </w:t>
      </w:r>
      <w:r w:rsidR="00CC2D04" w:rsidRPr="00A75601">
        <w:rPr>
          <w:rFonts w:ascii="Times New Roman" w:hAnsi="Times New Roman"/>
          <w:sz w:val="24"/>
          <w:szCs w:val="24"/>
        </w:rPr>
        <w:t>2</w:t>
      </w:r>
      <w:r w:rsidR="000F21C2" w:rsidRPr="00A75601">
        <w:rPr>
          <w:rFonts w:ascii="Times New Roman" w:hAnsi="Times New Roman"/>
          <w:sz w:val="24"/>
          <w:szCs w:val="24"/>
        </w:rPr>
        <w:t xml:space="preserve"> summarise</w:t>
      </w:r>
      <w:r w:rsidR="008D3440" w:rsidRPr="00A75601">
        <w:rPr>
          <w:rFonts w:ascii="Times New Roman" w:hAnsi="Times New Roman"/>
          <w:sz w:val="24"/>
          <w:szCs w:val="24"/>
        </w:rPr>
        <w:t>s</w:t>
      </w:r>
      <w:r w:rsidR="00523718" w:rsidRPr="00A75601">
        <w:rPr>
          <w:rFonts w:ascii="Times New Roman" w:hAnsi="Times New Roman"/>
          <w:sz w:val="24"/>
          <w:szCs w:val="24"/>
        </w:rPr>
        <w:t xml:space="preserve"> the main features of the strategies. </w:t>
      </w:r>
      <w:r w:rsidR="008D3440" w:rsidRPr="00A75601">
        <w:rPr>
          <w:rFonts w:ascii="Times New Roman" w:hAnsi="Times New Roman"/>
          <w:sz w:val="24"/>
          <w:szCs w:val="24"/>
        </w:rPr>
        <w:t xml:space="preserve">It </w:t>
      </w:r>
      <w:r w:rsidR="000F21C2" w:rsidRPr="00A75601">
        <w:rPr>
          <w:rFonts w:ascii="Times New Roman" w:hAnsi="Times New Roman"/>
          <w:sz w:val="24"/>
          <w:szCs w:val="24"/>
        </w:rPr>
        <w:t>is worth highlighting</w:t>
      </w:r>
      <w:r w:rsidR="008D3440" w:rsidRPr="00A75601">
        <w:rPr>
          <w:rFonts w:ascii="Times New Roman" w:hAnsi="Times New Roman"/>
          <w:sz w:val="24"/>
          <w:szCs w:val="24"/>
        </w:rPr>
        <w:t xml:space="preserve"> that </w:t>
      </w:r>
      <w:r w:rsidR="00523718" w:rsidRPr="00A75601">
        <w:rPr>
          <w:rFonts w:ascii="Times New Roman" w:hAnsi="Times New Roman"/>
          <w:sz w:val="24"/>
          <w:szCs w:val="24"/>
        </w:rPr>
        <w:t xml:space="preserve">only Strategy 1 and 2 </w:t>
      </w:r>
      <w:r w:rsidR="008B14C3">
        <w:rPr>
          <w:rFonts w:ascii="Times New Roman" w:hAnsi="Times New Roman"/>
          <w:sz w:val="24"/>
          <w:szCs w:val="24"/>
        </w:rPr>
        <w:t>assume hedging</w:t>
      </w:r>
      <w:r w:rsidR="00523718" w:rsidRPr="00A75601">
        <w:rPr>
          <w:rFonts w:ascii="Times New Roman" w:hAnsi="Times New Roman"/>
          <w:sz w:val="24"/>
          <w:szCs w:val="24"/>
        </w:rPr>
        <w:t xml:space="preserve"> and all new strategies we propose </w:t>
      </w:r>
      <w:r w:rsidR="00392F2F" w:rsidRPr="00A75601">
        <w:rPr>
          <w:rFonts w:ascii="Times New Roman" w:hAnsi="Times New Roman"/>
          <w:sz w:val="24"/>
          <w:szCs w:val="24"/>
        </w:rPr>
        <w:t xml:space="preserve">(2 to </w:t>
      </w:r>
      <w:r w:rsidR="0016236C" w:rsidRPr="00A75601">
        <w:rPr>
          <w:rFonts w:ascii="Times New Roman" w:hAnsi="Times New Roman"/>
          <w:sz w:val="24"/>
          <w:szCs w:val="24"/>
        </w:rPr>
        <w:t>4</w:t>
      </w:r>
      <w:r w:rsidR="00392F2F" w:rsidRPr="00A75601">
        <w:rPr>
          <w:rFonts w:ascii="Times New Roman" w:hAnsi="Times New Roman"/>
          <w:sz w:val="24"/>
          <w:szCs w:val="24"/>
        </w:rPr>
        <w:t xml:space="preserve">) </w:t>
      </w:r>
      <w:r w:rsidR="00523718" w:rsidRPr="00A75601">
        <w:rPr>
          <w:rFonts w:ascii="Times New Roman" w:hAnsi="Times New Roman"/>
          <w:sz w:val="24"/>
          <w:szCs w:val="24"/>
        </w:rPr>
        <w:t xml:space="preserve">are based on a price discovery trigger. </w:t>
      </w:r>
    </w:p>
    <w:p w14:paraId="1EEB1D05" w14:textId="77777777" w:rsidR="002E228F" w:rsidRDefault="002E228F" w:rsidP="00A75601">
      <w:pPr>
        <w:spacing w:line="480" w:lineRule="auto"/>
        <w:jc w:val="both"/>
        <w:outlineLvl w:val="0"/>
        <w:rPr>
          <w:rFonts w:ascii="Times New Roman" w:hAnsi="Times New Roman"/>
          <w:b/>
          <w:sz w:val="24"/>
          <w:szCs w:val="24"/>
        </w:rPr>
      </w:pPr>
    </w:p>
    <w:p w14:paraId="3CC506A2" w14:textId="77777777" w:rsidR="00A32057" w:rsidRPr="000B1A1E" w:rsidRDefault="009832FF" w:rsidP="000B1A1E">
      <w:pPr>
        <w:pStyle w:val="ListParagraph"/>
        <w:numPr>
          <w:ilvl w:val="0"/>
          <w:numId w:val="18"/>
        </w:numPr>
        <w:spacing w:after="120" w:line="480" w:lineRule="auto"/>
        <w:jc w:val="both"/>
        <w:outlineLvl w:val="0"/>
        <w:rPr>
          <w:rFonts w:ascii="Times New Roman" w:hAnsi="Times New Roman"/>
          <w:b/>
          <w:sz w:val="24"/>
          <w:szCs w:val="24"/>
        </w:rPr>
      </w:pPr>
      <w:r w:rsidRPr="000B1A1E">
        <w:rPr>
          <w:rFonts w:ascii="Times New Roman" w:hAnsi="Times New Roman"/>
          <w:b/>
          <w:sz w:val="24"/>
          <w:szCs w:val="24"/>
        </w:rPr>
        <w:t>Data</w:t>
      </w:r>
      <w:r w:rsidR="00157068" w:rsidRPr="000B1A1E">
        <w:rPr>
          <w:rFonts w:ascii="Times New Roman" w:hAnsi="Times New Roman"/>
          <w:b/>
          <w:sz w:val="24"/>
          <w:szCs w:val="24"/>
        </w:rPr>
        <w:t xml:space="preserve"> description</w:t>
      </w:r>
    </w:p>
    <w:p w14:paraId="6D9C4912" w14:textId="40A4F69D" w:rsidR="00DA2989" w:rsidRPr="00A75601" w:rsidRDefault="00DA2989" w:rsidP="00A75601">
      <w:pPr>
        <w:spacing w:line="480" w:lineRule="auto"/>
        <w:jc w:val="both"/>
        <w:outlineLvl w:val="0"/>
        <w:rPr>
          <w:rFonts w:ascii="Times New Roman" w:hAnsi="Times New Roman"/>
          <w:sz w:val="24"/>
          <w:szCs w:val="24"/>
        </w:rPr>
      </w:pPr>
      <w:r w:rsidRPr="00A75601">
        <w:rPr>
          <w:rFonts w:ascii="Times New Roman" w:hAnsi="Times New Roman"/>
          <w:sz w:val="24"/>
          <w:szCs w:val="24"/>
        </w:rPr>
        <w:t xml:space="preserve">We use daily mid-market </w:t>
      </w:r>
      <w:r w:rsidR="00594386" w:rsidRPr="00A75601">
        <w:rPr>
          <w:rFonts w:ascii="Times New Roman" w:hAnsi="Times New Roman"/>
          <w:sz w:val="24"/>
          <w:szCs w:val="24"/>
        </w:rPr>
        <w:t xml:space="preserve">CDS </w:t>
      </w:r>
      <w:r w:rsidRPr="00A75601">
        <w:rPr>
          <w:rFonts w:ascii="Times New Roman" w:hAnsi="Times New Roman"/>
          <w:sz w:val="24"/>
          <w:szCs w:val="24"/>
        </w:rPr>
        <w:t>quotes</w:t>
      </w:r>
      <w:r w:rsidR="00594386" w:rsidRPr="00A75601">
        <w:rPr>
          <w:rFonts w:ascii="Times New Roman" w:hAnsi="Times New Roman"/>
          <w:sz w:val="24"/>
          <w:szCs w:val="24"/>
        </w:rPr>
        <w:t xml:space="preserve"> provided by CMA</w:t>
      </w:r>
      <w:r w:rsidR="00C875AE">
        <w:rPr>
          <w:rStyle w:val="EndnoteReference"/>
          <w:rFonts w:ascii="Times New Roman" w:hAnsi="Times New Roman"/>
          <w:sz w:val="24"/>
          <w:szCs w:val="24"/>
        </w:rPr>
        <w:endnoteReference w:id="11"/>
      </w:r>
      <w:r w:rsidRPr="00A75601">
        <w:rPr>
          <w:rFonts w:ascii="Times New Roman" w:hAnsi="Times New Roman"/>
          <w:sz w:val="24"/>
          <w:szCs w:val="24"/>
        </w:rPr>
        <w:t xml:space="preserve"> on</w:t>
      </w:r>
      <w:r w:rsidR="00087836" w:rsidRPr="00A75601">
        <w:rPr>
          <w:rFonts w:ascii="Times New Roman" w:hAnsi="Times New Roman"/>
          <w:sz w:val="24"/>
          <w:szCs w:val="24"/>
        </w:rPr>
        <w:t xml:space="preserve"> senior unsecured debt for</w:t>
      </w:r>
      <w:r w:rsidRPr="00A75601">
        <w:rPr>
          <w:rFonts w:ascii="Times New Roman" w:hAnsi="Times New Roman"/>
          <w:sz w:val="24"/>
          <w:szCs w:val="24"/>
        </w:rPr>
        <w:t xml:space="preserve"> non-financial companies </w:t>
      </w:r>
      <w:r w:rsidR="00087836" w:rsidRPr="00A75601">
        <w:rPr>
          <w:rFonts w:ascii="Times New Roman" w:hAnsi="Times New Roman"/>
          <w:sz w:val="24"/>
          <w:szCs w:val="24"/>
        </w:rPr>
        <w:t>with</w:t>
      </w:r>
      <w:r w:rsidRPr="00A75601">
        <w:rPr>
          <w:rFonts w:ascii="Times New Roman" w:hAnsi="Times New Roman"/>
          <w:sz w:val="24"/>
          <w:szCs w:val="24"/>
        </w:rPr>
        <w:t xml:space="preserve"> 5</w:t>
      </w:r>
      <w:r w:rsidR="00594386" w:rsidRPr="00A75601">
        <w:rPr>
          <w:rFonts w:ascii="Times New Roman" w:hAnsi="Times New Roman"/>
          <w:sz w:val="24"/>
          <w:szCs w:val="24"/>
        </w:rPr>
        <w:t>-</w:t>
      </w:r>
      <w:r w:rsidRPr="00A75601">
        <w:rPr>
          <w:rFonts w:ascii="Times New Roman" w:hAnsi="Times New Roman"/>
          <w:sz w:val="24"/>
          <w:szCs w:val="24"/>
        </w:rPr>
        <w:t>year maturity</w:t>
      </w:r>
      <w:r w:rsidR="008B14C3">
        <w:rPr>
          <w:rFonts w:ascii="Times New Roman" w:hAnsi="Times New Roman"/>
          <w:sz w:val="24"/>
          <w:szCs w:val="24"/>
        </w:rPr>
        <w:t>, both</w:t>
      </w:r>
      <w:r w:rsidR="00087836" w:rsidRPr="00A75601">
        <w:rPr>
          <w:rFonts w:ascii="Times New Roman" w:hAnsi="Times New Roman"/>
          <w:sz w:val="24"/>
          <w:szCs w:val="24"/>
        </w:rPr>
        <w:t xml:space="preserve"> North American and European obligors with</w:t>
      </w:r>
      <w:r w:rsidR="00E4785C" w:rsidRPr="00A75601">
        <w:rPr>
          <w:rFonts w:ascii="Times New Roman" w:hAnsi="Times New Roman"/>
          <w:sz w:val="24"/>
          <w:szCs w:val="24"/>
        </w:rPr>
        <w:t xml:space="preserve"> a modified restructuring and modified-modified restructuring</w:t>
      </w:r>
      <w:r w:rsidR="00087836" w:rsidRPr="00A75601">
        <w:rPr>
          <w:rFonts w:ascii="Times New Roman" w:hAnsi="Times New Roman"/>
          <w:sz w:val="24"/>
          <w:szCs w:val="24"/>
        </w:rPr>
        <w:t xml:space="preserve"> </w:t>
      </w:r>
      <w:r w:rsidR="00E4785C" w:rsidRPr="00A75601">
        <w:rPr>
          <w:rFonts w:ascii="Times New Roman" w:hAnsi="Times New Roman"/>
          <w:sz w:val="24"/>
          <w:szCs w:val="24"/>
        </w:rPr>
        <w:t xml:space="preserve">clause, respectively, and </w:t>
      </w:r>
      <w:r w:rsidR="00087836" w:rsidRPr="00A75601">
        <w:rPr>
          <w:rFonts w:ascii="Times New Roman" w:hAnsi="Times New Roman"/>
          <w:sz w:val="24"/>
          <w:szCs w:val="24"/>
        </w:rPr>
        <w:t>currencies denominated in US</w:t>
      </w:r>
      <w:r w:rsidR="00CD7D57" w:rsidRPr="00A75601">
        <w:rPr>
          <w:rFonts w:ascii="Times New Roman" w:hAnsi="Times New Roman"/>
          <w:sz w:val="24"/>
          <w:szCs w:val="24"/>
        </w:rPr>
        <w:t>D and</w:t>
      </w:r>
      <w:r w:rsidR="00087836" w:rsidRPr="00A75601">
        <w:rPr>
          <w:rFonts w:ascii="Times New Roman" w:hAnsi="Times New Roman"/>
          <w:sz w:val="24"/>
          <w:szCs w:val="24"/>
        </w:rPr>
        <w:t xml:space="preserve"> E</w:t>
      </w:r>
      <w:r w:rsidR="00CD7D57" w:rsidRPr="00A75601">
        <w:rPr>
          <w:rFonts w:ascii="Times New Roman" w:hAnsi="Times New Roman"/>
          <w:sz w:val="24"/>
          <w:szCs w:val="24"/>
        </w:rPr>
        <w:t>UR</w:t>
      </w:r>
      <w:r w:rsidR="00157068">
        <w:rPr>
          <w:rFonts w:ascii="Times New Roman" w:hAnsi="Times New Roman"/>
          <w:sz w:val="24"/>
          <w:szCs w:val="24"/>
        </w:rPr>
        <w:t xml:space="preserve">, </w:t>
      </w:r>
      <w:r w:rsidR="00615BC7" w:rsidRPr="00A75601">
        <w:rPr>
          <w:rFonts w:ascii="Times New Roman" w:hAnsi="Times New Roman"/>
          <w:sz w:val="24"/>
          <w:szCs w:val="24"/>
        </w:rPr>
        <w:t>from 2005 to 2009.</w:t>
      </w:r>
      <w:r w:rsidR="00C15AAC" w:rsidRPr="00A75601">
        <w:rPr>
          <w:rFonts w:ascii="Times New Roman" w:hAnsi="Times New Roman"/>
          <w:sz w:val="24"/>
          <w:szCs w:val="24"/>
        </w:rPr>
        <w:t xml:space="preserve"> </w:t>
      </w:r>
      <w:r w:rsidR="009366EE">
        <w:rPr>
          <w:rFonts w:ascii="Times New Roman" w:hAnsi="Times New Roman"/>
          <w:sz w:val="24"/>
          <w:szCs w:val="24"/>
        </w:rPr>
        <w:t xml:space="preserve">The recent financial crisis had its biggest impact between mid-2008 and April 2009, hence the inclusion of 2008 and 2009 in the study period will help us understand the markets during the crisis period. </w:t>
      </w:r>
      <w:r w:rsidR="005305F0" w:rsidRPr="00A75601">
        <w:rPr>
          <w:rFonts w:ascii="Times New Roman" w:hAnsi="Times New Roman"/>
          <w:sz w:val="24"/>
          <w:szCs w:val="24"/>
        </w:rPr>
        <w:t xml:space="preserve">We match the CDS data with information required by the </w:t>
      </w:r>
      <w:proofErr w:type="spellStart"/>
      <w:r w:rsidR="005305F0" w:rsidRPr="00A75601">
        <w:rPr>
          <w:rFonts w:ascii="Times New Roman" w:hAnsi="Times New Roman"/>
          <w:sz w:val="24"/>
          <w:szCs w:val="24"/>
        </w:rPr>
        <w:t>CreditGrades</w:t>
      </w:r>
      <w:proofErr w:type="spellEnd"/>
      <w:r w:rsidR="005305F0" w:rsidRPr="00A75601">
        <w:rPr>
          <w:rFonts w:ascii="Times New Roman" w:hAnsi="Times New Roman"/>
          <w:sz w:val="24"/>
          <w:szCs w:val="24"/>
        </w:rPr>
        <w:t xml:space="preserve"> model to get the equity</w:t>
      </w:r>
      <w:r w:rsidR="00AC6FF0" w:rsidRPr="00A75601">
        <w:rPr>
          <w:rFonts w:ascii="Times New Roman" w:hAnsi="Times New Roman"/>
          <w:sz w:val="24"/>
          <w:szCs w:val="24"/>
        </w:rPr>
        <w:t>-</w:t>
      </w:r>
      <w:r w:rsidR="005305F0" w:rsidRPr="00A75601">
        <w:rPr>
          <w:rFonts w:ascii="Times New Roman" w:hAnsi="Times New Roman"/>
          <w:sz w:val="24"/>
          <w:szCs w:val="24"/>
        </w:rPr>
        <w:t>implied sprea</w:t>
      </w:r>
      <w:r w:rsidR="008B0C7C" w:rsidRPr="00A75601">
        <w:rPr>
          <w:rFonts w:ascii="Times New Roman" w:hAnsi="Times New Roman"/>
          <w:sz w:val="24"/>
          <w:szCs w:val="24"/>
        </w:rPr>
        <w:t>ds</w:t>
      </w:r>
      <w:r w:rsidR="005305F0" w:rsidRPr="00A75601">
        <w:rPr>
          <w:rFonts w:ascii="Times New Roman" w:hAnsi="Times New Roman"/>
          <w:sz w:val="24"/>
          <w:szCs w:val="24"/>
        </w:rPr>
        <w:t xml:space="preserve">. </w:t>
      </w:r>
      <w:r w:rsidR="0008406C" w:rsidRPr="00A75601">
        <w:rPr>
          <w:rFonts w:ascii="Times New Roman" w:hAnsi="Times New Roman"/>
          <w:sz w:val="24"/>
          <w:szCs w:val="24"/>
        </w:rPr>
        <w:t xml:space="preserve">We </w:t>
      </w:r>
      <w:r w:rsidR="009271C1" w:rsidRPr="00A75601">
        <w:rPr>
          <w:rFonts w:ascii="Times New Roman" w:hAnsi="Times New Roman"/>
          <w:sz w:val="24"/>
          <w:szCs w:val="24"/>
        </w:rPr>
        <w:t>focus our attention on a sample comprising the most</w:t>
      </w:r>
      <w:r w:rsidR="0008406C" w:rsidRPr="00A75601">
        <w:rPr>
          <w:rFonts w:ascii="Times New Roman" w:hAnsi="Times New Roman"/>
          <w:sz w:val="24"/>
          <w:szCs w:val="24"/>
        </w:rPr>
        <w:t xml:space="preserve"> capitalised companies in the US and Europe </w:t>
      </w:r>
      <w:r w:rsidR="00157068">
        <w:rPr>
          <w:rFonts w:ascii="Times New Roman" w:hAnsi="Times New Roman"/>
          <w:sz w:val="24"/>
          <w:szCs w:val="24"/>
        </w:rPr>
        <w:t>with</w:t>
      </w:r>
      <w:r w:rsidR="0008406C" w:rsidRPr="00A75601">
        <w:rPr>
          <w:rFonts w:ascii="Times New Roman" w:hAnsi="Times New Roman"/>
          <w:sz w:val="24"/>
          <w:szCs w:val="24"/>
        </w:rPr>
        <w:t xml:space="preserve"> CDS and equity data</w:t>
      </w:r>
      <w:r w:rsidR="00157068">
        <w:rPr>
          <w:rFonts w:ascii="Times New Roman" w:hAnsi="Times New Roman"/>
          <w:sz w:val="24"/>
          <w:szCs w:val="24"/>
        </w:rPr>
        <w:t xml:space="preserve"> available</w:t>
      </w:r>
      <w:r w:rsidR="0008406C" w:rsidRPr="00A75601">
        <w:rPr>
          <w:rFonts w:ascii="Times New Roman" w:hAnsi="Times New Roman"/>
          <w:sz w:val="24"/>
          <w:szCs w:val="24"/>
        </w:rPr>
        <w:t xml:space="preserve">. </w:t>
      </w:r>
      <w:r w:rsidR="00C15AAC" w:rsidRPr="00A75601">
        <w:rPr>
          <w:rFonts w:ascii="Times New Roman" w:hAnsi="Times New Roman"/>
          <w:sz w:val="24"/>
          <w:szCs w:val="24"/>
        </w:rPr>
        <w:t xml:space="preserve"> </w:t>
      </w:r>
    </w:p>
    <w:p w14:paraId="1FAC17AD" w14:textId="77777777" w:rsidR="006900DD" w:rsidRPr="00A75601" w:rsidRDefault="00474E88" w:rsidP="00A75601">
      <w:pPr>
        <w:pStyle w:val="ListParagraph"/>
        <w:spacing w:line="480" w:lineRule="auto"/>
        <w:ind w:left="0"/>
        <w:jc w:val="both"/>
        <w:rPr>
          <w:rFonts w:ascii="Times New Roman" w:hAnsi="Times New Roman"/>
          <w:sz w:val="24"/>
          <w:szCs w:val="24"/>
        </w:rPr>
      </w:pPr>
      <w:r w:rsidRPr="00A75601">
        <w:rPr>
          <w:rFonts w:ascii="Times New Roman" w:hAnsi="Times New Roman"/>
          <w:sz w:val="24"/>
          <w:szCs w:val="24"/>
        </w:rPr>
        <w:t xml:space="preserve">In order to implement </w:t>
      </w:r>
      <w:proofErr w:type="spellStart"/>
      <w:r w:rsidRPr="00A75601">
        <w:rPr>
          <w:rFonts w:ascii="Times New Roman" w:hAnsi="Times New Roman"/>
          <w:sz w:val="24"/>
          <w:szCs w:val="24"/>
        </w:rPr>
        <w:t>CreditGrades</w:t>
      </w:r>
      <w:proofErr w:type="spellEnd"/>
      <w:r w:rsidRPr="00A75601">
        <w:rPr>
          <w:rFonts w:ascii="Times New Roman" w:hAnsi="Times New Roman"/>
          <w:sz w:val="24"/>
          <w:szCs w:val="24"/>
        </w:rPr>
        <w:t>, we need the following inputs for each company: daily s</w:t>
      </w:r>
      <w:r w:rsidR="00F979E1" w:rsidRPr="00A75601">
        <w:rPr>
          <w:rFonts w:ascii="Times New Roman" w:hAnsi="Times New Roman"/>
          <w:sz w:val="24"/>
          <w:szCs w:val="24"/>
        </w:rPr>
        <w:t>tock prices and market capitalis</w:t>
      </w:r>
      <w:r w:rsidRPr="00A75601">
        <w:rPr>
          <w:rFonts w:ascii="Times New Roman" w:hAnsi="Times New Roman"/>
          <w:sz w:val="24"/>
          <w:szCs w:val="24"/>
        </w:rPr>
        <w:t xml:space="preserve">ations; accounting data including short- and long-term liabilities, minority interest, </w:t>
      </w:r>
      <w:r w:rsidR="009B1B48" w:rsidRPr="00A75601">
        <w:rPr>
          <w:rFonts w:ascii="Times New Roman" w:hAnsi="Times New Roman"/>
          <w:sz w:val="24"/>
          <w:szCs w:val="24"/>
        </w:rPr>
        <w:t xml:space="preserve">and </w:t>
      </w:r>
      <w:r w:rsidRPr="00A75601">
        <w:rPr>
          <w:rFonts w:ascii="Times New Roman" w:hAnsi="Times New Roman"/>
          <w:sz w:val="24"/>
          <w:szCs w:val="24"/>
        </w:rPr>
        <w:t>preferred shares</w:t>
      </w:r>
      <w:r w:rsidR="009B1B48" w:rsidRPr="00A75601">
        <w:rPr>
          <w:rFonts w:ascii="Times New Roman" w:hAnsi="Times New Roman"/>
          <w:sz w:val="24"/>
          <w:szCs w:val="24"/>
        </w:rPr>
        <w:t xml:space="preserve"> (downloaded from Bloomberg). Also, we need</w:t>
      </w:r>
      <w:r w:rsidRPr="00A75601">
        <w:rPr>
          <w:rFonts w:ascii="Times New Roman" w:hAnsi="Times New Roman"/>
          <w:sz w:val="24"/>
          <w:szCs w:val="24"/>
        </w:rPr>
        <w:t xml:space="preserve"> the mean global recovery rate and its standard deviation</w:t>
      </w:r>
      <w:r w:rsidR="00157068">
        <w:rPr>
          <w:rFonts w:ascii="Times New Roman" w:hAnsi="Times New Roman"/>
          <w:sz w:val="24"/>
          <w:szCs w:val="24"/>
        </w:rPr>
        <w:t xml:space="preserve"> (assumed to be </w:t>
      </w:r>
      <w:r w:rsidR="00157068" w:rsidRPr="00A75601">
        <w:rPr>
          <w:rFonts w:ascii="Times New Roman" w:hAnsi="Times New Roman"/>
          <w:sz w:val="24"/>
          <w:szCs w:val="24"/>
        </w:rPr>
        <w:t xml:space="preserve">0.3 as reported in the </w:t>
      </w:r>
      <w:proofErr w:type="spellStart"/>
      <w:r w:rsidR="00157068" w:rsidRPr="00A75601">
        <w:rPr>
          <w:rFonts w:ascii="Times New Roman" w:hAnsi="Times New Roman"/>
          <w:sz w:val="24"/>
          <w:szCs w:val="24"/>
        </w:rPr>
        <w:t>CreditGrades</w:t>
      </w:r>
      <w:proofErr w:type="spellEnd"/>
      <w:r w:rsidR="00157068" w:rsidRPr="00A75601">
        <w:rPr>
          <w:rFonts w:ascii="Times New Roman" w:hAnsi="Times New Roman"/>
          <w:sz w:val="24"/>
          <w:szCs w:val="24"/>
        </w:rPr>
        <w:t xml:space="preserve"> Technical Document</w:t>
      </w:r>
      <w:r w:rsidR="00157068">
        <w:rPr>
          <w:rFonts w:ascii="Times New Roman" w:hAnsi="Times New Roman"/>
          <w:sz w:val="24"/>
          <w:szCs w:val="24"/>
        </w:rPr>
        <w:t xml:space="preserve">, </w:t>
      </w:r>
      <w:r w:rsidR="00157068" w:rsidRPr="00A75601">
        <w:rPr>
          <w:rFonts w:ascii="Times New Roman" w:hAnsi="Times New Roman"/>
          <w:sz w:val="24"/>
          <w:szCs w:val="24"/>
        </w:rPr>
        <w:t>2002</w:t>
      </w:r>
      <w:r w:rsidR="00157068">
        <w:rPr>
          <w:rFonts w:ascii="Times New Roman" w:hAnsi="Times New Roman"/>
          <w:sz w:val="24"/>
          <w:szCs w:val="24"/>
        </w:rPr>
        <w:t>)</w:t>
      </w:r>
      <w:r w:rsidRPr="00A75601">
        <w:rPr>
          <w:rFonts w:ascii="Times New Roman" w:hAnsi="Times New Roman"/>
          <w:sz w:val="24"/>
          <w:szCs w:val="24"/>
        </w:rPr>
        <w:t>; the recovery rate of the firm’s senior unsecured debt</w:t>
      </w:r>
      <w:r w:rsidR="00157068">
        <w:rPr>
          <w:rFonts w:ascii="Times New Roman" w:hAnsi="Times New Roman"/>
          <w:sz w:val="24"/>
          <w:szCs w:val="24"/>
        </w:rPr>
        <w:t xml:space="preserve"> (</w:t>
      </w:r>
      <w:r w:rsidR="00157068" w:rsidRPr="00A75601">
        <w:rPr>
          <w:rFonts w:ascii="Times New Roman" w:hAnsi="Times New Roman"/>
          <w:sz w:val="24"/>
          <w:szCs w:val="24"/>
        </w:rPr>
        <w:t>estimated as the Moody’s average historical recovery rate on senior unsecured debt over the period 1982-2009</w:t>
      </w:r>
      <w:r w:rsidR="009A14C5">
        <w:rPr>
          <w:rFonts w:ascii="Times New Roman" w:hAnsi="Times New Roman"/>
          <w:sz w:val="24"/>
          <w:szCs w:val="24"/>
        </w:rPr>
        <w:t>,</w:t>
      </w:r>
      <w:r w:rsidR="00157068" w:rsidRPr="00A75601">
        <w:rPr>
          <w:rFonts w:ascii="Times New Roman" w:hAnsi="Times New Roman"/>
          <w:sz w:val="24"/>
          <w:szCs w:val="24"/>
        </w:rPr>
        <w:t xml:space="preserve"> and equal to 0.326</w:t>
      </w:r>
      <w:r w:rsidR="006C592F">
        <w:rPr>
          <w:rStyle w:val="EndnoteReference"/>
          <w:rFonts w:ascii="Times New Roman" w:hAnsi="Times New Roman"/>
          <w:sz w:val="24"/>
          <w:szCs w:val="24"/>
        </w:rPr>
        <w:endnoteReference w:id="12"/>
      </w:r>
      <w:r w:rsidR="00157068">
        <w:rPr>
          <w:rFonts w:ascii="Times New Roman" w:hAnsi="Times New Roman"/>
          <w:sz w:val="24"/>
          <w:szCs w:val="24"/>
        </w:rPr>
        <w:t>)</w:t>
      </w:r>
      <w:r w:rsidRPr="00A75601">
        <w:rPr>
          <w:rFonts w:ascii="Times New Roman" w:hAnsi="Times New Roman"/>
          <w:sz w:val="24"/>
          <w:szCs w:val="24"/>
        </w:rPr>
        <w:t>;</w:t>
      </w:r>
      <w:r w:rsidRPr="00A75601">
        <w:rPr>
          <w:rFonts w:ascii="Times New Roman" w:hAnsi="Times New Roman"/>
          <w:position w:val="-4"/>
          <w:sz w:val="24"/>
          <w:szCs w:val="24"/>
        </w:rPr>
        <w:t xml:space="preserve"> </w:t>
      </w:r>
      <w:r w:rsidRPr="00A75601">
        <w:rPr>
          <w:rFonts w:ascii="Times New Roman" w:hAnsi="Times New Roman"/>
          <w:sz w:val="24"/>
          <w:szCs w:val="24"/>
        </w:rPr>
        <w:t xml:space="preserve">the annualized equity volatility and the 5-year </w:t>
      </w:r>
      <w:r w:rsidRPr="00A75601">
        <w:rPr>
          <w:rFonts w:ascii="Times New Roman" w:hAnsi="Times New Roman"/>
          <w:sz w:val="24"/>
          <w:szCs w:val="24"/>
        </w:rPr>
        <w:lastRenderedPageBreak/>
        <w:t>risk-free interest rate.</w:t>
      </w:r>
      <w:r w:rsidR="009B1B48" w:rsidRPr="00A75601">
        <w:rPr>
          <w:rFonts w:ascii="Times New Roman" w:hAnsi="Times New Roman"/>
          <w:sz w:val="24"/>
          <w:szCs w:val="24"/>
        </w:rPr>
        <w:t xml:space="preserve"> </w:t>
      </w:r>
      <w:r w:rsidR="00FA0669" w:rsidRPr="00A75601">
        <w:rPr>
          <w:rFonts w:ascii="Times New Roman" w:hAnsi="Times New Roman"/>
          <w:sz w:val="24"/>
          <w:szCs w:val="24"/>
        </w:rPr>
        <w:t>We follow Yu (2006) to define the value of</w:t>
      </w:r>
      <w:r w:rsidR="009A14C5">
        <w:rPr>
          <w:rFonts w:ascii="Times New Roman" w:hAnsi="Times New Roman"/>
          <w:sz w:val="24"/>
          <w:szCs w:val="24"/>
        </w:rPr>
        <w:t xml:space="preserve"> the global recovery rate</w:t>
      </w:r>
      <w:r w:rsidR="00FA0669" w:rsidRPr="00A75601">
        <w:rPr>
          <w:rFonts w:ascii="Times New Roman" w:hAnsi="Times New Roman"/>
          <w:sz w:val="24"/>
          <w:szCs w:val="24"/>
        </w:rPr>
        <w:t xml:space="preserve"> and, for each reference entity, we use the first 10 daily CDS spreads to minimize the sum of squared pricing errors. The implied value </w:t>
      </w:r>
      <w:r w:rsidR="009A14C5">
        <w:rPr>
          <w:rFonts w:ascii="Times New Roman" w:hAnsi="Times New Roman"/>
          <w:sz w:val="24"/>
          <w:szCs w:val="24"/>
        </w:rPr>
        <w:t xml:space="preserve">is </w:t>
      </w:r>
      <w:r w:rsidR="00FA0669" w:rsidRPr="00A75601">
        <w:rPr>
          <w:rFonts w:ascii="Times New Roman" w:hAnsi="Times New Roman"/>
          <w:sz w:val="24"/>
          <w:szCs w:val="24"/>
        </w:rPr>
        <w:t xml:space="preserve">then used in the credit model together to generate theoretical CDS spreads. </w:t>
      </w:r>
      <w:r w:rsidR="0008406C" w:rsidRPr="00A75601">
        <w:rPr>
          <w:rFonts w:ascii="Times New Roman" w:hAnsi="Times New Roman"/>
          <w:sz w:val="24"/>
          <w:szCs w:val="24"/>
        </w:rPr>
        <w:t>We</w:t>
      </w:r>
      <w:r w:rsidR="00FB3007" w:rsidRPr="00A75601">
        <w:rPr>
          <w:rFonts w:ascii="Times New Roman" w:hAnsi="Times New Roman"/>
          <w:sz w:val="24"/>
          <w:szCs w:val="24"/>
        </w:rPr>
        <w:t xml:space="preserve"> also download rating data for each company from Bloomberg.</w:t>
      </w:r>
      <w:r w:rsidR="00FA0669" w:rsidRPr="00A75601">
        <w:rPr>
          <w:rFonts w:ascii="Times New Roman" w:hAnsi="Times New Roman"/>
          <w:sz w:val="24"/>
          <w:szCs w:val="24"/>
        </w:rPr>
        <w:t xml:space="preserve"> </w:t>
      </w:r>
    </w:p>
    <w:p w14:paraId="2814FD20" w14:textId="77777777" w:rsidR="00A406DE" w:rsidRPr="00A75601" w:rsidRDefault="00474E88" w:rsidP="00A75601">
      <w:pPr>
        <w:spacing w:line="480" w:lineRule="auto"/>
        <w:jc w:val="both"/>
        <w:outlineLvl w:val="0"/>
        <w:rPr>
          <w:rFonts w:ascii="Times New Roman" w:hAnsi="Times New Roman"/>
          <w:sz w:val="24"/>
          <w:szCs w:val="24"/>
        </w:rPr>
      </w:pPr>
      <w:r w:rsidRPr="00A75601">
        <w:rPr>
          <w:rFonts w:ascii="Times New Roman" w:hAnsi="Times New Roman"/>
          <w:sz w:val="24"/>
          <w:szCs w:val="24"/>
        </w:rPr>
        <w:t>T</w:t>
      </w:r>
      <w:r w:rsidR="00410A11" w:rsidRPr="00A75601">
        <w:rPr>
          <w:rFonts w:ascii="Times New Roman" w:hAnsi="Times New Roman"/>
          <w:sz w:val="24"/>
          <w:szCs w:val="24"/>
        </w:rPr>
        <w:t>he most important input of the model is the</w:t>
      </w:r>
      <w:r w:rsidRPr="00A75601">
        <w:rPr>
          <w:rFonts w:ascii="Times New Roman" w:hAnsi="Times New Roman"/>
          <w:sz w:val="24"/>
          <w:szCs w:val="24"/>
        </w:rPr>
        <w:t xml:space="preserve"> equity volat</w:t>
      </w:r>
      <w:r w:rsidR="00A9281E" w:rsidRPr="00A75601">
        <w:rPr>
          <w:rFonts w:ascii="Times New Roman" w:hAnsi="Times New Roman"/>
          <w:sz w:val="24"/>
          <w:szCs w:val="24"/>
        </w:rPr>
        <w:t>ility</w:t>
      </w:r>
      <w:r w:rsidR="00AC4CCD" w:rsidRPr="00A75601">
        <w:rPr>
          <w:rFonts w:ascii="Times New Roman" w:hAnsi="Times New Roman"/>
          <w:sz w:val="24"/>
          <w:szCs w:val="24"/>
        </w:rPr>
        <w:t xml:space="preserve">. </w:t>
      </w:r>
      <w:r w:rsidR="006C592F">
        <w:rPr>
          <w:rFonts w:ascii="Times New Roman" w:hAnsi="Times New Roman"/>
          <w:sz w:val="24"/>
          <w:szCs w:val="24"/>
        </w:rPr>
        <w:t>Our main findings are based on</w:t>
      </w:r>
      <w:r w:rsidR="00366D7C" w:rsidRPr="00A75601">
        <w:rPr>
          <w:rFonts w:ascii="Times New Roman" w:hAnsi="Times New Roman"/>
          <w:sz w:val="24"/>
          <w:szCs w:val="24"/>
        </w:rPr>
        <w:t xml:space="preserve"> a 250-day moving avera</w:t>
      </w:r>
      <w:r w:rsidR="00AC4CCD" w:rsidRPr="00A75601">
        <w:rPr>
          <w:rFonts w:ascii="Times New Roman" w:hAnsi="Times New Roman"/>
          <w:sz w:val="24"/>
          <w:szCs w:val="24"/>
        </w:rPr>
        <w:t>ge of past equity stock returns</w:t>
      </w:r>
      <w:r w:rsidR="006C592F">
        <w:rPr>
          <w:rFonts w:ascii="Times New Roman" w:hAnsi="Times New Roman"/>
          <w:sz w:val="24"/>
          <w:szCs w:val="24"/>
        </w:rPr>
        <w:t>.</w:t>
      </w:r>
      <w:r w:rsidR="00AC4CCD" w:rsidRPr="00A75601">
        <w:rPr>
          <w:rFonts w:ascii="Times New Roman" w:hAnsi="Times New Roman"/>
          <w:sz w:val="24"/>
          <w:szCs w:val="24"/>
        </w:rPr>
        <w:t xml:space="preserve"> </w:t>
      </w:r>
      <w:r w:rsidR="006C592F">
        <w:rPr>
          <w:rFonts w:ascii="Times New Roman" w:hAnsi="Times New Roman"/>
          <w:sz w:val="24"/>
          <w:szCs w:val="24"/>
        </w:rPr>
        <w:t>However, w</w:t>
      </w:r>
      <w:r w:rsidRPr="00A75601">
        <w:rPr>
          <w:rFonts w:ascii="Times New Roman" w:hAnsi="Times New Roman"/>
          <w:sz w:val="24"/>
          <w:szCs w:val="24"/>
        </w:rPr>
        <w:t>e</w:t>
      </w:r>
      <w:r w:rsidR="00366D7C" w:rsidRPr="00A75601">
        <w:rPr>
          <w:rFonts w:ascii="Times New Roman" w:hAnsi="Times New Roman"/>
          <w:sz w:val="24"/>
          <w:szCs w:val="24"/>
        </w:rPr>
        <w:t xml:space="preserve"> also employ a 1,000-day moving average as suggested in</w:t>
      </w:r>
      <w:r w:rsidRPr="00A75601">
        <w:rPr>
          <w:rFonts w:ascii="Times New Roman" w:hAnsi="Times New Roman"/>
          <w:sz w:val="24"/>
          <w:szCs w:val="24"/>
        </w:rPr>
        <w:t xml:space="preserve"> </w:t>
      </w:r>
      <w:r w:rsidR="006C592F">
        <w:rPr>
          <w:rFonts w:ascii="Times New Roman" w:hAnsi="Times New Roman"/>
          <w:sz w:val="24"/>
          <w:szCs w:val="24"/>
        </w:rPr>
        <w:t xml:space="preserve">the </w:t>
      </w:r>
      <w:proofErr w:type="spellStart"/>
      <w:r w:rsidRPr="00A75601">
        <w:rPr>
          <w:rFonts w:ascii="Times New Roman" w:hAnsi="Times New Roman"/>
          <w:sz w:val="24"/>
          <w:szCs w:val="24"/>
        </w:rPr>
        <w:t>CreditGrades</w:t>
      </w:r>
      <w:proofErr w:type="spellEnd"/>
      <w:r w:rsidRPr="00A75601">
        <w:rPr>
          <w:rFonts w:ascii="Times New Roman" w:hAnsi="Times New Roman"/>
          <w:sz w:val="24"/>
          <w:szCs w:val="24"/>
        </w:rPr>
        <w:t xml:space="preserve"> Technical Document</w:t>
      </w:r>
      <w:r w:rsidR="00AC4CCD" w:rsidRPr="00A75601">
        <w:rPr>
          <w:rFonts w:ascii="Times New Roman" w:hAnsi="Times New Roman"/>
          <w:sz w:val="24"/>
          <w:szCs w:val="24"/>
        </w:rPr>
        <w:t xml:space="preserve"> (2002</w:t>
      </w:r>
      <w:r w:rsidR="00857B2B" w:rsidRPr="00A75601">
        <w:rPr>
          <w:rFonts w:ascii="Times New Roman" w:hAnsi="Times New Roman"/>
          <w:sz w:val="24"/>
          <w:szCs w:val="24"/>
        </w:rPr>
        <w:t>)</w:t>
      </w:r>
      <w:r w:rsidR="008C2260" w:rsidRPr="00A75601">
        <w:rPr>
          <w:rFonts w:ascii="Times New Roman" w:hAnsi="Times New Roman"/>
          <w:sz w:val="24"/>
          <w:szCs w:val="24"/>
        </w:rPr>
        <w:t>.</w:t>
      </w:r>
      <w:r w:rsidR="008233EB" w:rsidRPr="00A75601">
        <w:rPr>
          <w:rFonts w:ascii="Times New Roman" w:hAnsi="Times New Roman"/>
          <w:sz w:val="24"/>
          <w:szCs w:val="24"/>
        </w:rPr>
        <w:t xml:space="preserve"> </w:t>
      </w:r>
      <w:r w:rsidR="00AC4CCD" w:rsidRPr="00A75601">
        <w:rPr>
          <w:rFonts w:ascii="Times New Roman" w:hAnsi="Times New Roman"/>
          <w:sz w:val="24"/>
          <w:szCs w:val="24"/>
        </w:rPr>
        <w:t>F</w:t>
      </w:r>
      <w:r w:rsidR="008233EB" w:rsidRPr="00A75601">
        <w:rPr>
          <w:rFonts w:ascii="Times New Roman" w:hAnsi="Times New Roman"/>
          <w:sz w:val="24"/>
          <w:szCs w:val="24"/>
        </w:rPr>
        <w:t>rom a trading p</w:t>
      </w:r>
      <w:r w:rsidR="0096383F" w:rsidRPr="00A75601">
        <w:rPr>
          <w:rFonts w:ascii="Times New Roman" w:hAnsi="Times New Roman"/>
          <w:sz w:val="24"/>
          <w:szCs w:val="24"/>
        </w:rPr>
        <w:t>e</w:t>
      </w:r>
      <w:r w:rsidR="008233EB" w:rsidRPr="00A75601">
        <w:rPr>
          <w:rFonts w:ascii="Times New Roman" w:hAnsi="Times New Roman"/>
          <w:sz w:val="24"/>
          <w:szCs w:val="24"/>
        </w:rPr>
        <w:t xml:space="preserve">rspective it </w:t>
      </w:r>
      <w:r w:rsidR="00AC4CCD" w:rsidRPr="00A75601">
        <w:rPr>
          <w:rFonts w:ascii="Times New Roman" w:hAnsi="Times New Roman"/>
          <w:sz w:val="24"/>
          <w:szCs w:val="24"/>
        </w:rPr>
        <w:t>would be</w:t>
      </w:r>
      <w:r w:rsidR="008233EB" w:rsidRPr="00A75601">
        <w:rPr>
          <w:rFonts w:ascii="Times New Roman" w:hAnsi="Times New Roman"/>
          <w:sz w:val="24"/>
          <w:szCs w:val="24"/>
        </w:rPr>
        <w:t xml:space="preserve"> interesting </w:t>
      </w:r>
      <w:r w:rsidR="00AC4CCD" w:rsidRPr="00A75601">
        <w:rPr>
          <w:rFonts w:ascii="Times New Roman" w:hAnsi="Times New Roman"/>
          <w:sz w:val="24"/>
          <w:szCs w:val="24"/>
        </w:rPr>
        <w:t xml:space="preserve">to see </w:t>
      </w:r>
      <w:r w:rsidR="008233EB" w:rsidRPr="00A75601">
        <w:rPr>
          <w:rFonts w:ascii="Times New Roman" w:hAnsi="Times New Roman"/>
          <w:sz w:val="24"/>
          <w:szCs w:val="24"/>
        </w:rPr>
        <w:t>how the profitability of the strategies would change</w:t>
      </w:r>
      <w:r w:rsidR="00AC4CCD" w:rsidRPr="00A75601">
        <w:rPr>
          <w:rFonts w:ascii="Times New Roman" w:hAnsi="Times New Roman"/>
          <w:sz w:val="24"/>
          <w:szCs w:val="24"/>
        </w:rPr>
        <w:t xml:space="preserve"> when we alter the length of the volatility estimation window</w:t>
      </w:r>
      <w:r w:rsidR="008233EB" w:rsidRPr="00A75601">
        <w:rPr>
          <w:rFonts w:ascii="Times New Roman" w:hAnsi="Times New Roman"/>
          <w:sz w:val="24"/>
          <w:szCs w:val="24"/>
        </w:rPr>
        <w:t xml:space="preserve">. In fact, using a 1000-day moving average, especially during the crisis, </w:t>
      </w:r>
      <w:r w:rsidR="001A27F7" w:rsidRPr="00A75601">
        <w:rPr>
          <w:rFonts w:ascii="Times New Roman" w:hAnsi="Times New Roman"/>
          <w:sz w:val="24"/>
          <w:szCs w:val="24"/>
        </w:rPr>
        <w:t>might</w:t>
      </w:r>
      <w:r w:rsidR="008233EB" w:rsidRPr="00A75601">
        <w:rPr>
          <w:rFonts w:ascii="Times New Roman" w:hAnsi="Times New Roman"/>
          <w:sz w:val="24"/>
          <w:szCs w:val="24"/>
        </w:rPr>
        <w:t xml:space="preserve"> result in spreads whic</w:t>
      </w:r>
      <w:r w:rsidR="001A27F7" w:rsidRPr="00A75601">
        <w:rPr>
          <w:rFonts w:ascii="Times New Roman" w:hAnsi="Times New Roman"/>
          <w:sz w:val="24"/>
          <w:szCs w:val="24"/>
        </w:rPr>
        <w:t xml:space="preserve">h underestimate </w:t>
      </w:r>
      <w:r w:rsidR="008B14C3">
        <w:rPr>
          <w:rFonts w:ascii="Times New Roman" w:hAnsi="Times New Roman"/>
          <w:sz w:val="24"/>
          <w:szCs w:val="24"/>
        </w:rPr>
        <w:t>the market spreads.</w:t>
      </w:r>
      <w:r w:rsidR="001A27F7" w:rsidRPr="00A75601">
        <w:rPr>
          <w:rFonts w:ascii="Times New Roman" w:hAnsi="Times New Roman"/>
          <w:sz w:val="24"/>
          <w:szCs w:val="24"/>
        </w:rPr>
        <w:t xml:space="preserve"> </w:t>
      </w:r>
      <w:r w:rsidR="008B14C3">
        <w:rPr>
          <w:rFonts w:ascii="Times New Roman" w:hAnsi="Times New Roman"/>
          <w:sz w:val="24"/>
          <w:szCs w:val="24"/>
        </w:rPr>
        <w:t>A</w:t>
      </w:r>
      <w:r w:rsidR="001A27F7" w:rsidRPr="00A75601">
        <w:rPr>
          <w:rFonts w:ascii="Times New Roman" w:hAnsi="Times New Roman"/>
          <w:sz w:val="24"/>
          <w:szCs w:val="24"/>
        </w:rPr>
        <w:t>s a robustness test</w:t>
      </w:r>
      <w:r w:rsidR="004C2AF2" w:rsidRPr="00A75601">
        <w:rPr>
          <w:rFonts w:ascii="Times New Roman" w:hAnsi="Times New Roman"/>
          <w:sz w:val="24"/>
          <w:szCs w:val="24"/>
        </w:rPr>
        <w:t xml:space="preserve">, we </w:t>
      </w:r>
      <w:r w:rsidR="008B14C3">
        <w:rPr>
          <w:rFonts w:ascii="Times New Roman" w:hAnsi="Times New Roman"/>
          <w:sz w:val="24"/>
          <w:szCs w:val="24"/>
        </w:rPr>
        <w:t>repeat our analysis</w:t>
      </w:r>
      <w:r w:rsidR="001A27F7" w:rsidRPr="00A75601">
        <w:rPr>
          <w:rFonts w:ascii="Times New Roman" w:hAnsi="Times New Roman"/>
          <w:sz w:val="24"/>
          <w:szCs w:val="24"/>
        </w:rPr>
        <w:t xml:space="preserve"> </w:t>
      </w:r>
      <w:r w:rsidR="004C2AF2" w:rsidRPr="00A75601">
        <w:rPr>
          <w:rFonts w:ascii="Times New Roman" w:hAnsi="Times New Roman"/>
          <w:sz w:val="24"/>
          <w:szCs w:val="24"/>
        </w:rPr>
        <w:t>us</w:t>
      </w:r>
      <w:r w:rsidR="001A27F7" w:rsidRPr="00A75601">
        <w:rPr>
          <w:rFonts w:ascii="Times New Roman" w:hAnsi="Times New Roman"/>
          <w:sz w:val="24"/>
          <w:szCs w:val="24"/>
        </w:rPr>
        <w:t>ing equity volatilities estimated as</w:t>
      </w:r>
      <w:r w:rsidR="004C2AF2" w:rsidRPr="00A75601">
        <w:rPr>
          <w:rFonts w:ascii="Times New Roman" w:hAnsi="Times New Roman"/>
          <w:sz w:val="24"/>
          <w:szCs w:val="24"/>
        </w:rPr>
        <w:t xml:space="preserve"> </w:t>
      </w:r>
      <w:r w:rsidR="00F03811">
        <w:rPr>
          <w:rFonts w:ascii="Times New Roman" w:hAnsi="Times New Roman"/>
          <w:sz w:val="24"/>
          <w:szCs w:val="24"/>
        </w:rPr>
        <w:t>100</w:t>
      </w:r>
      <w:r w:rsidR="004C2AF2" w:rsidRPr="00A75601">
        <w:rPr>
          <w:rFonts w:ascii="Times New Roman" w:hAnsi="Times New Roman"/>
          <w:sz w:val="24"/>
          <w:szCs w:val="24"/>
        </w:rPr>
        <w:t xml:space="preserve">0-day </w:t>
      </w:r>
      <w:r w:rsidR="001A27F7" w:rsidRPr="00A75601">
        <w:rPr>
          <w:rFonts w:ascii="Times New Roman" w:hAnsi="Times New Roman"/>
          <w:sz w:val="24"/>
          <w:szCs w:val="24"/>
        </w:rPr>
        <w:t xml:space="preserve">moving averages. </w:t>
      </w:r>
    </w:p>
    <w:p w14:paraId="1BE1149D" w14:textId="77777777" w:rsidR="00A22FD3" w:rsidRDefault="00C04201" w:rsidP="00A75601">
      <w:pPr>
        <w:spacing w:line="480" w:lineRule="auto"/>
        <w:jc w:val="both"/>
        <w:outlineLvl w:val="0"/>
        <w:rPr>
          <w:rFonts w:ascii="Times New Roman" w:hAnsi="Times New Roman"/>
          <w:sz w:val="24"/>
          <w:szCs w:val="24"/>
        </w:rPr>
      </w:pPr>
      <w:r w:rsidRPr="00A75601">
        <w:rPr>
          <w:rFonts w:ascii="Times New Roman" w:hAnsi="Times New Roman"/>
          <w:sz w:val="24"/>
          <w:szCs w:val="24"/>
        </w:rPr>
        <w:t>The following step is to</w:t>
      </w:r>
      <w:r w:rsidR="001624FE" w:rsidRPr="00A75601">
        <w:rPr>
          <w:rFonts w:ascii="Times New Roman" w:hAnsi="Times New Roman"/>
          <w:sz w:val="24"/>
          <w:szCs w:val="24"/>
        </w:rPr>
        <w:t xml:space="preserve"> make sure that we have a fairly continuous time series of CDS quotes. For each reference entity </w:t>
      </w:r>
      <w:r w:rsidR="007E4AAD" w:rsidRPr="00A75601">
        <w:rPr>
          <w:rFonts w:ascii="Times New Roman" w:hAnsi="Times New Roman"/>
          <w:sz w:val="24"/>
          <w:szCs w:val="24"/>
        </w:rPr>
        <w:t xml:space="preserve">we </w:t>
      </w:r>
      <w:r w:rsidR="00B93144" w:rsidRPr="00A75601">
        <w:rPr>
          <w:rFonts w:ascii="Times New Roman" w:hAnsi="Times New Roman"/>
          <w:sz w:val="24"/>
          <w:szCs w:val="24"/>
        </w:rPr>
        <w:t>ensure that consecutive daily quotes</w:t>
      </w:r>
      <w:r w:rsidR="007E4AAD" w:rsidRPr="00A75601">
        <w:rPr>
          <w:rFonts w:ascii="Times New Roman" w:hAnsi="Times New Roman"/>
          <w:sz w:val="24"/>
          <w:szCs w:val="24"/>
        </w:rPr>
        <w:t xml:space="preserve"> </w:t>
      </w:r>
      <w:r w:rsidR="00B93144" w:rsidRPr="00A75601">
        <w:rPr>
          <w:rFonts w:ascii="Times New Roman" w:hAnsi="Times New Roman"/>
          <w:sz w:val="24"/>
          <w:szCs w:val="24"/>
        </w:rPr>
        <w:t>are</w:t>
      </w:r>
      <w:r w:rsidR="007E4AAD" w:rsidRPr="00A75601">
        <w:rPr>
          <w:rFonts w:ascii="Times New Roman" w:hAnsi="Times New Roman"/>
          <w:sz w:val="24"/>
          <w:szCs w:val="24"/>
        </w:rPr>
        <w:t xml:space="preserve"> no more than 14 days apart and </w:t>
      </w:r>
      <w:r w:rsidRPr="00A75601">
        <w:rPr>
          <w:rFonts w:ascii="Times New Roman" w:hAnsi="Times New Roman"/>
          <w:sz w:val="24"/>
          <w:szCs w:val="24"/>
        </w:rPr>
        <w:t xml:space="preserve">we check that we </w:t>
      </w:r>
      <w:r w:rsidR="007E4AAD" w:rsidRPr="00A75601">
        <w:rPr>
          <w:rFonts w:ascii="Times New Roman" w:hAnsi="Times New Roman"/>
          <w:sz w:val="24"/>
          <w:szCs w:val="24"/>
        </w:rPr>
        <w:t xml:space="preserve">have all </w:t>
      </w:r>
      <w:r w:rsidRPr="00A75601">
        <w:rPr>
          <w:rFonts w:ascii="Times New Roman" w:hAnsi="Times New Roman"/>
          <w:sz w:val="24"/>
          <w:szCs w:val="24"/>
        </w:rPr>
        <w:t xml:space="preserve">the </w:t>
      </w:r>
      <w:r w:rsidR="007E4AAD" w:rsidRPr="00A75601">
        <w:rPr>
          <w:rFonts w:ascii="Times New Roman" w:hAnsi="Times New Roman"/>
          <w:sz w:val="24"/>
          <w:szCs w:val="24"/>
        </w:rPr>
        <w:t>information needed for the computation of model spreads.</w:t>
      </w:r>
      <w:r w:rsidR="001624FE" w:rsidRPr="00A75601">
        <w:rPr>
          <w:rFonts w:ascii="Times New Roman" w:hAnsi="Times New Roman"/>
          <w:sz w:val="24"/>
          <w:szCs w:val="24"/>
        </w:rPr>
        <w:t xml:space="preserve"> </w:t>
      </w:r>
      <w:r w:rsidR="009271C1" w:rsidRPr="00A75601">
        <w:rPr>
          <w:rFonts w:ascii="Times New Roman" w:hAnsi="Times New Roman"/>
          <w:sz w:val="24"/>
          <w:szCs w:val="24"/>
        </w:rPr>
        <w:t xml:space="preserve">After applying these filters, our </w:t>
      </w:r>
      <w:r w:rsidR="003B227F" w:rsidRPr="00A75601">
        <w:rPr>
          <w:rFonts w:ascii="Times New Roman" w:hAnsi="Times New Roman"/>
          <w:sz w:val="24"/>
          <w:szCs w:val="24"/>
        </w:rPr>
        <w:t xml:space="preserve">final sample </w:t>
      </w:r>
      <w:r w:rsidR="009271C1" w:rsidRPr="00A75601">
        <w:rPr>
          <w:rFonts w:ascii="Times New Roman" w:hAnsi="Times New Roman"/>
          <w:sz w:val="24"/>
          <w:szCs w:val="24"/>
        </w:rPr>
        <w:t>includes</w:t>
      </w:r>
      <w:r w:rsidR="003B227F" w:rsidRPr="00A75601">
        <w:rPr>
          <w:rFonts w:ascii="Times New Roman" w:hAnsi="Times New Roman"/>
          <w:sz w:val="24"/>
          <w:szCs w:val="24"/>
        </w:rPr>
        <w:t xml:space="preserve"> 70 companies</w:t>
      </w:r>
      <w:r w:rsidR="00DC32C6" w:rsidRPr="00A75601">
        <w:rPr>
          <w:rFonts w:ascii="Times New Roman" w:hAnsi="Times New Roman"/>
          <w:sz w:val="24"/>
          <w:szCs w:val="24"/>
        </w:rPr>
        <w:t xml:space="preserve"> (35 are US-based </w:t>
      </w:r>
      <w:r w:rsidR="008B14C3">
        <w:rPr>
          <w:rFonts w:ascii="Times New Roman" w:hAnsi="Times New Roman"/>
          <w:sz w:val="24"/>
          <w:szCs w:val="24"/>
        </w:rPr>
        <w:t>and</w:t>
      </w:r>
      <w:r w:rsidR="00DC32C6" w:rsidRPr="00A75601">
        <w:rPr>
          <w:rFonts w:ascii="Times New Roman" w:hAnsi="Times New Roman"/>
          <w:sz w:val="24"/>
          <w:szCs w:val="24"/>
        </w:rPr>
        <w:t xml:space="preserve"> 35 are European obligors)</w:t>
      </w:r>
      <w:r w:rsidR="00FB2B45" w:rsidRPr="00A75601">
        <w:rPr>
          <w:rFonts w:ascii="Times New Roman" w:hAnsi="Times New Roman"/>
          <w:sz w:val="24"/>
          <w:szCs w:val="24"/>
        </w:rPr>
        <w:t xml:space="preserve"> with 101,799 composite daily quotes</w:t>
      </w:r>
      <w:r w:rsidR="003F4B2C" w:rsidRPr="00A75601">
        <w:rPr>
          <w:rFonts w:ascii="Times New Roman" w:hAnsi="Times New Roman"/>
          <w:sz w:val="24"/>
          <w:szCs w:val="24"/>
        </w:rPr>
        <w:t xml:space="preserve"> starting fr</w:t>
      </w:r>
      <w:r w:rsidR="005B13B9" w:rsidRPr="00A75601">
        <w:rPr>
          <w:rFonts w:ascii="Times New Roman" w:hAnsi="Times New Roman"/>
          <w:sz w:val="24"/>
          <w:szCs w:val="24"/>
        </w:rPr>
        <w:t>om January 2005 till the end of</w:t>
      </w:r>
      <w:r w:rsidR="003F4B2C" w:rsidRPr="00A75601">
        <w:rPr>
          <w:rFonts w:ascii="Times New Roman" w:hAnsi="Times New Roman"/>
          <w:sz w:val="24"/>
          <w:szCs w:val="24"/>
        </w:rPr>
        <w:t xml:space="preserve"> 20</w:t>
      </w:r>
      <w:r w:rsidR="00F52B0C" w:rsidRPr="00A75601">
        <w:rPr>
          <w:rFonts w:ascii="Times New Roman" w:hAnsi="Times New Roman"/>
          <w:sz w:val="24"/>
          <w:szCs w:val="24"/>
        </w:rPr>
        <w:t>0</w:t>
      </w:r>
      <w:r w:rsidR="00E21CFC" w:rsidRPr="00A75601">
        <w:rPr>
          <w:rFonts w:ascii="Times New Roman" w:hAnsi="Times New Roman"/>
          <w:sz w:val="24"/>
          <w:szCs w:val="24"/>
        </w:rPr>
        <w:t>9</w:t>
      </w:r>
      <w:r w:rsidR="00D1269D" w:rsidRPr="00A75601">
        <w:rPr>
          <w:rFonts w:ascii="Times New Roman" w:hAnsi="Times New Roman"/>
          <w:sz w:val="24"/>
          <w:szCs w:val="24"/>
        </w:rPr>
        <w:t>.</w:t>
      </w:r>
      <w:r w:rsidR="00DC32C6" w:rsidRPr="00A75601">
        <w:rPr>
          <w:rFonts w:ascii="Times New Roman" w:hAnsi="Times New Roman"/>
          <w:sz w:val="24"/>
          <w:szCs w:val="24"/>
        </w:rPr>
        <w:t xml:space="preserve"> We actually use a total of 120,000 CDS quotes starting from January 2004, but the </w:t>
      </w:r>
      <w:proofErr w:type="gramStart"/>
      <w:r w:rsidR="00DC32C6" w:rsidRPr="00A75601">
        <w:rPr>
          <w:rFonts w:ascii="Times New Roman" w:hAnsi="Times New Roman"/>
          <w:sz w:val="24"/>
          <w:szCs w:val="24"/>
        </w:rPr>
        <w:t>first year</w:t>
      </w:r>
      <w:proofErr w:type="gramEnd"/>
      <w:r w:rsidR="00DC32C6" w:rsidRPr="00A75601">
        <w:rPr>
          <w:rFonts w:ascii="Times New Roman" w:hAnsi="Times New Roman"/>
          <w:sz w:val="24"/>
          <w:szCs w:val="24"/>
        </w:rPr>
        <w:t xml:space="preserve"> quotes are used to estimate the inputs for the </w:t>
      </w:r>
      <w:r w:rsidR="00C05283">
        <w:rPr>
          <w:rFonts w:ascii="Times New Roman" w:hAnsi="Times New Roman"/>
          <w:sz w:val="24"/>
          <w:szCs w:val="24"/>
        </w:rPr>
        <w:t xml:space="preserve">new </w:t>
      </w:r>
      <w:r w:rsidR="00DC32C6" w:rsidRPr="00A75601">
        <w:rPr>
          <w:rFonts w:ascii="Times New Roman" w:hAnsi="Times New Roman"/>
          <w:sz w:val="24"/>
          <w:szCs w:val="24"/>
        </w:rPr>
        <w:t>trading strategies</w:t>
      </w:r>
      <w:r w:rsidR="00C05283">
        <w:rPr>
          <w:rFonts w:ascii="Times New Roman" w:hAnsi="Times New Roman"/>
          <w:sz w:val="24"/>
          <w:szCs w:val="24"/>
        </w:rPr>
        <w:t xml:space="preserve">. As a result, </w:t>
      </w:r>
      <w:r w:rsidR="00DC32C6" w:rsidRPr="00A75601">
        <w:rPr>
          <w:rFonts w:ascii="Times New Roman" w:hAnsi="Times New Roman"/>
          <w:sz w:val="24"/>
          <w:szCs w:val="24"/>
        </w:rPr>
        <w:t xml:space="preserve">trading </w:t>
      </w:r>
      <w:r w:rsidR="00C05283">
        <w:rPr>
          <w:rFonts w:ascii="Times New Roman" w:hAnsi="Times New Roman"/>
          <w:sz w:val="24"/>
          <w:szCs w:val="24"/>
        </w:rPr>
        <w:t xml:space="preserve">starts </w:t>
      </w:r>
      <w:r w:rsidR="00DC32C6" w:rsidRPr="00A75601">
        <w:rPr>
          <w:rFonts w:ascii="Times New Roman" w:hAnsi="Times New Roman"/>
          <w:sz w:val="24"/>
          <w:szCs w:val="24"/>
        </w:rPr>
        <w:t>from January 2005.</w:t>
      </w:r>
      <w:r w:rsidR="001C6BC9" w:rsidRPr="00A75601">
        <w:rPr>
          <w:rFonts w:ascii="Times New Roman" w:hAnsi="Times New Roman"/>
          <w:sz w:val="24"/>
          <w:szCs w:val="24"/>
        </w:rPr>
        <w:t xml:space="preserve"> </w:t>
      </w:r>
    </w:p>
    <w:p w14:paraId="483F6DB8" w14:textId="3A564D52" w:rsidR="001624FE" w:rsidRPr="00A75601" w:rsidRDefault="00AF6B44" w:rsidP="00A75601">
      <w:pPr>
        <w:spacing w:line="480" w:lineRule="auto"/>
        <w:jc w:val="both"/>
        <w:outlineLvl w:val="0"/>
        <w:rPr>
          <w:rFonts w:ascii="Times New Roman" w:hAnsi="Times New Roman"/>
          <w:sz w:val="24"/>
          <w:szCs w:val="24"/>
        </w:rPr>
      </w:pPr>
      <w:r>
        <w:rPr>
          <w:rFonts w:ascii="Times New Roman" w:hAnsi="Times New Roman"/>
          <w:sz w:val="24"/>
          <w:szCs w:val="24"/>
        </w:rPr>
        <w:t xml:space="preserve">Our </w:t>
      </w:r>
      <w:r w:rsidR="00084ABE">
        <w:rPr>
          <w:rFonts w:ascii="Times New Roman" w:hAnsi="Times New Roman"/>
          <w:sz w:val="24"/>
          <w:szCs w:val="24"/>
        </w:rPr>
        <w:t xml:space="preserve">sample includes highly capitalized firms whose CDS contracts are actively traded. In </w:t>
      </w:r>
      <w:proofErr w:type="spellStart"/>
      <w:r w:rsidR="00084ABE">
        <w:rPr>
          <w:rFonts w:ascii="Times New Roman" w:hAnsi="Times New Roman"/>
          <w:sz w:val="24"/>
          <w:szCs w:val="24"/>
        </w:rPr>
        <w:t>untabulated</w:t>
      </w:r>
      <w:proofErr w:type="spellEnd"/>
      <w:r w:rsidR="00084ABE">
        <w:rPr>
          <w:rFonts w:ascii="Times New Roman" w:hAnsi="Times New Roman"/>
          <w:sz w:val="24"/>
          <w:szCs w:val="24"/>
        </w:rPr>
        <w:t xml:space="preserve"> results, we compare our sample of firms to the Depository Trust and Clearing Corporation (DTCC) universe in terms of CDS trading activity and find that, on average, our sample of firms have larger transaction amounts and a higher number of traded contracts. </w:t>
      </w:r>
      <w:r w:rsidR="00084ABE">
        <w:rPr>
          <w:rFonts w:ascii="Times New Roman" w:hAnsi="Times New Roman"/>
          <w:sz w:val="24"/>
          <w:szCs w:val="24"/>
        </w:rPr>
        <w:lastRenderedPageBreak/>
        <w:t xml:space="preserve">Liquid and actively traded securities are important to mitigate any concern related to the uncertainty of the parameter estimates which </w:t>
      </w:r>
      <w:r w:rsidR="00A22FD3">
        <w:rPr>
          <w:rFonts w:ascii="Times New Roman" w:hAnsi="Times New Roman"/>
          <w:sz w:val="24"/>
          <w:szCs w:val="24"/>
        </w:rPr>
        <w:t>define our trading strategies.</w:t>
      </w:r>
    </w:p>
    <w:p w14:paraId="4461156B" w14:textId="77777777" w:rsidR="00044F51" w:rsidRPr="00A75601" w:rsidRDefault="009A14C5" w:rsidP="00A75601">
      <w:pPr>
        <w:spacing w:line="480" w:lineRule="auto"/>
        <w:jc w:val="both"/>
        <w:outlineLvl w:val="0"/>
        <w:rPr>
          <w:rFonts w:ascii="Times New Roman" w:hAnsi="Times New Roman"/>
          <w:sz w:val="24"/>
          <w:szCs w:val="24"/>
        </w:rPr>
      </w:pPr>
      <w:r>
        <w:rPr>
          <w:rFonts w:ascii="Times New Roman" w:hAnsi="Times New Roman"/>
          <w:sz w:val="24"/>
          <w:szCs w:val="24"/>
        </w:rPr>
        <w:t>Exhibit</w:t>
      </w:r>
      <w:r w:rsidR="00802941" w:rsidRPr="00A75601">
        <w:rPr>
          <w:rFonts w:ascii="Times New Roman" w:hAnsi="Times New Roman"/>
          <w:sz w:val="24"/>
          <w:szCs w:val="24"/>
        </w:rPr>
        <w:t xml:space="preserve"> </w:t>
      </w:r>
      <w:r w:rsidR="004A7F6B" w:rsidRPr="00A75601">
        <w:rPr>
          <w:rFonts w:ascii="Times New Roman" w:hAnsi="Times New Roman"/>
          <w:sz w:val="24"/>
          <w:szCs w:val="24"/>
        </w:rPr>
        <w:t>3</w:t>
      </w:r>
      <w:r w:rsidR="007E18DE" w:rsidRPr="00A75601">
        <w:rPr>
          <w:rFonts w:ascii="Times New Roman" w:hAnsi="Times New Roman"/>
          <w:sz w:val="24"/>
          <w:szCs w:val="24"/>
        </w:rPr>
        <w:t xml:space="preserve"> presents</w:t>
      </w:r>
      <w:r w:rsidR="00547DFE" w:rsidRPr="00A75601">
        <w:rPr>
          <w:rFonts w:ascii="Times New Roman" w:hAnsi="Times New Roman"/>
          <w:sz w:val="24"/>
          <w:szCs w:val="24"/>
        </w:rPr>
        <w:t xml:space="preserve"> summary statistics for the 70 obligors.</w:t>
      </w:r>
      <w:r w:rsidR="006A0F4E" w:rsidRPr="00A75601">
        <w:rPr>
          <w:rFonts w:ascii="Times New Roman" w:hAnsi="Times New Roman"/>
          <w:sz w:val="24"/>
          <w:szCs w:val="24"/>
        </w:rPr>
        <w:t xml:space="preserve"> </w:t>
      </w:r>
      <w:r w:rsidR="00780F3A" w:rsidRPr="00A75601">
        <w:rPr>
          <w:rFonts w:ascii="Times New Roman" w:hAnsi="Times New Roman"/>
          <w:sz w:val="24"/>
          <w:szCs w:val="24"/>
        </w:rPr>
        <w:t>Over 8</w:t>
      </w:r>
      <w:r w:rsidR="00BA64B9" w:rsidRPr="00A75601">
        <w:rPr>
          <w:rFonts w:ascii="Times New Roman" w:hAnsi="Times New Roman"/>
          <w:sz w:val="24"/>
          <w:szCs w:val="24"/>
        </w:rPr>
        <w:t>0% of the obligors are rated investment grade. W</w:t>
      </w:r>
      <w:r w:rsidR="00C04201" w:rsidRPr="00A75601">
        <w:rPr>
          <w:rFonts w:ascii="Times New Roman" w:hAnsi="Times New Roman"/>
          <w:sz w:val="24"/>
          <w:szCs w:val="24"/>
        </w:rPr>
        <w:t xml:space="preserve">e </w:t>
      </w:r>
      <w:r w:rsidR="00BA64B9" w:rsidRPr="00A75601">
        <w:rPr>
          <w:rFonts w:ascii="Times New Roman" w:hAnsi="Times New Roman"/>
          <w:sz w:val="24"/>
          <w:szCs w:val="24"/>
        </w:rPr>
        <w:t>report</w:t>
      </w:r>
      <w:r w:rsidR="006A0F4E" w:rsidRPr="00A75601">
        <w:rPr>
          <w:rFonts w:ascii="Times New Roman" w:hAnsi="Times New Roman"/>
          <w:sz w:val="24"/>
          <w:szCs w:val="24"/>
        </w:rPr>
        <w:t xml:space="preserve"> averages over time and </w:t>
      </w:r>
      <w:r w:rsidR="00D77D53" w:rsidRPr="00A75601">
        <w:rPr>
          <w:rFonts w:ascii="Times New Roman" w:hAnsi="Times New Roman"/>
          <w:sz w:val="24"/>
          <w:szCs w:val="24"/>
        </w:rPr>
        <w:t>through firms</w:t>
      </w:r>
      <w:r w:rsidR="00C04201" w:rsidRPr="00A75601">
        <w:rPr>
          <w:rFonts w:ascii="Times New Roman" w:hAnsi="Times New Roman"/>
          <w:sz w:val="24"/>
          <w:szCs w:val="24"/>
        </w:rPr>
        <w:t>,</w:t>
      </w:r>
      <w:r w:rsidR="00D77D53" w:rsidRPr="00A75601">
        <w:rPr>
          <w:rFonts w:ascii="Times New Roman" w:hAnsi="Times New Roman"/>
          <w:sz w:val="24"/>
          <w:szCs w:val="24"/>
        </w:rPr>
        <w:t xml:space="preserve"> for the rating categories of investment grade and speculative grade.</w:t>
      </w:r>
      <w:r w:rsidR="00547DFE" w:rsidRPr="00A75601">
        <w:rPr>
          <w:rFonts w:ascii="Times New Roman" w:hAnsi="Times New Roman"/>
          <w:sz w:val="24"/>
          <w:szCs w:val="24"/>
        </w:rPr>
        <w:t xml:space="preserve"> </w:t>
      </w:r>
      <w:r w:rsidR="007D2FA2" w:rsidRPr="00A75601">
        <w:rPr>
          <w:rFonts w:ascii="Times New Roman" w:hAnsi="Times New Roman"/>
          <w:sz w:val="24"/>
          <w:szCs w:val="24"/>
        </w:rPr>
        <w:t>A</w:t>
      </w:r>
      <w:r w:rsidR="00BA64B9" w:rsidRPr="00A75601">
        <w:rPr>
          <w:rFonts w:ascii="Times New Roman" w:hAnsi="Times New Roman"/>
          <w:sz w:val="24"/>
          <w:szCs w:val="24"/>
        </w:rPr>
        <w:t>s a structural credit risk model would predict, w</w:t>
      </w:r>
      <w:r w:rsidR="00390699" w:rsidRPr="00A75601">
        <w:rPr>
          <w:rFonts w:ascii="Times New Roman" w:hAnsi="Times New Roman"/>
          <w:sz w:val="24"/>
          <w:szCs w:val="24"/>
        </w:rPr>
        <w:t xml:space="preserve">e find a positive relationship between the CDS spread and the level of leverage and volatility. </w:t>
      </w:r>
      <w:r w:rsidR="007213E0" w:rsidRPr="00A75601">
        <w:rPr>
          <w:rFonts w:ascii="Times New Roman" w:hAnsi="Times New Roman"/>
          <w:sz w:val="24"/>
          <w:szCs w:val="24"/>
        </w:rPr>
        <w:t xml:space="preserve">The </w:t>
      </w:r>
      <w:r w:rsidR="00CD17E8" w:rsidRPr="00A75601">
        <w:rPr>
          <w:rFonts w:ascii="Times New Roman" w:hAnsi="Times New Roman"/>
          <w:sz w:val="24"/>
          <w:szCs w:val="24"/>
        </w:rPr>
        <w:t xml:space="preserve">average </w:t>
      </w:r>
      <w:r w:rsidR="007213E0" w:rsidRPr="00A75601">
        <w:rPr>
          <w:rFonts w:ascii="Times New Roman" w:hAnsi="Times New Roman"/>
          <w:sz w:val="24"/>
          <w:szCs w:val="24"/>
        </w:rPr>
        <w:t>correlation</w:t>
      </w:r>
      <w:r w:rsidR="00CD17E8" w:rsidRPr="00A75601">
        <w:rPr>
          <w:rFonts w:ascii="Times New Roman" w:hAnsi="Times New Roman"/>
          <w:sz w:val="24"/>
          <w:szCs w:val="24"/>
        </w:rPr>
        <w:t xml:space="preserve"> between changes in CDS spreads and equity prices </w:t>
      </w:r>
      <w:r w:rsidR="00BA64B9" w:rsidRPr="00A75601">
        <w:rPr>
          <w:rFonts w:ascii="Times New Roman" w:hAnsi="Times New Roman"/>
          <w:sz w:val="24"/>
          <w:szCs w:val="24"/>
        </w:rPr>
        <w:t>is</w:t>
      </w:r>
      <w:r>
        <w:rPr>
          <w:rFonts w:ascii="Times New Roman" w:hAnsi="Times New Roman"/>
          <w:sz w:val="24"/>
          <w:szCs w:val="24"/>
        </w:rPr>
        <w:t xml:space="preserve"> negative</w:t>
      </w:r>
      <w:r w:rsidR="00CD17E8" w:rsidRPr="00A75601">
        <w:rPr>
          <w:rFonts w:ascii="Times New Roman" w:hAnsi="Times New Roman"/>
          <w:sz w:val="24"/>
          <w:szCs w:val="24"/>
        </w:rPr>
        <w:t xml:space="preserve"> but very low</w:t>
      </w:r>
      <w:r w:rsidR="00BA64B9" w:rsidRPr="00A75601">
        <w:rPr>
          <w:rFonts w:ascii="Times New Roman" w:hAnsi="Times New Roman"/>
          <w:sz w:val="24"/>
          <w:szCs w:val="24"/>
        </w:rPr>
        <w:t xml:space="preserve">, </w:t>
      </w:r>
      <w:r w:rsidR="00490C8D" w:rsidRPr="00A75601">
        <w:rPr>
          <w:rFonts w:ascii="Times New Roman" w:hAnsi="Times New Roman"/>
          <w:sz w:val="24"/>
          <w:szCs w:val="24"/>
        </w:rPr>
        <w:t>which c</w:t>
      </w:r>
      <w:r w:rsidR="00BA64B9" w:rsidRPr="00A75601">
        <w:rPr>
          <w:rFonts w:ascii="Times New Roman" w:hAnsi="Times New Roman"/>
          <w:sz w:val="24"/>
          <w:szCs w:val="24"/>
        </w:rPr>
        <w:t>ould</w:t>
      </w:r>
      <w:r w:rsidR="00CD17E8" w:rsidRPr="00A75601">
        <w:rPr>
          <w:rFonts w:ascii="Times New Roman" w:hAnsi="Times New Roman"/>
          <w:sz w:val="24"/>
          <w:szCs w:val="24"/>
        </w:rPr>
        <w:t xml:space="preserve"> raise concerns on the effectiveness of the equity hedge</w:t>
      </w:r>
      <w:r w:rsidR="00AE1701" w:rsidRPr="00A75601">
        <w:rPr>
          <w:rFonts w:ascii="Times New Roman" w:hAnsi="Times New Roman"/>
          <w:sz w:val="24"/>
          <w:szCs w:val="24"/>
        </w:rPr>
        <w:t>.</w:t>
      </w:r>
      <w:r w:rsidR="00CD17E8" w:rsidRPr="00A75601">
        <w:rPr>
          <w:rFonts w:ascii="Times New Roman" w:hAnsi="Times New Roman"/>
          <w:sz w:val="24"/>
          <w:szCs w:val="24"/>
        </w:rPr>
        <w:t xml:space="preserve"> </w:t>
      </w:r>
      <w:r w:rsidR="00C05283">
        <w:rPr>
          <w:rFonts w:ascii="Times New Roman" w:hAnsi="Times New Roman"/>
          <w:sz w:val="24"/>
          <w:szCs w:val="24"/>
        </w:rPr>
        <w:t>Based on this evidence, we suggest that trading of CDS and equity markets should be based on the cointegration of the two prices (</w:t>
      </w:r>
      <w:r w:rsidR="001E028C">
        <w:rPr>
          <w:rFonts w:ascii="Times New Roman" w:hAnsi="Times New Roman"/>
          <w:sz w:val="24"/>
          <w:szCs w:val="24"/>
        </w:rPr>
        <w:t>the exact form of</w:t>
      </w:r>
      <w:r w:rsidR="00C05283">
        <w:rPr>
          <w:rFonts w:ascii="Times New Roman" w:hAnsi="Times New Roman"/>
          <w:sz w:val="24"/>
          <w:szCs w:val="24"/>
        </w:rPr>
        <w:t xml:space="preserve"> the long-run relationship of the variables).</w:t>
      </w:r>
    </w:p>
    <w:p w14:paraId="5B7F8116" w14:textId="77777777" w:rsidR="00BE1FED" w:rsidRDefault="008B14C3" w:rsidP="00A75601">
      <w:pPr>
        <w:spacing w:line="480" w:lineRule="auto"/>
        <w:jc w:val="both"/>
        <w:outlineLvl w:val="0"/>
        <w:rPr>
          <w:rFonts w:ascii="Times New Roman" w:hAnsi="Times New Roman"/>
          <w:sz w:val="24"/>
          <w:szCs w:val="24"/>
        </w:rPr>
      </w:pPr>
      <w:r>
        <w:rPr>
          <w:rFonts w:ascii="Times New Roman" w:hAnsi="Times New Roman"/>
          <w:sz w:val="24"/>
          <w:szCs w:val="24"/>
        </w:rPr>
        <w:t xml:space="preserve">It </w:t>
      </w:r>
      <w:r w:rsidR="00BE1FED" w:rsidRPr="00A75601">
        <w:rPr>
          <w:rFonts w:ascii="Times New Roman" w:hAnsi="Times New Roman"/>
          <w:sz w:val="24"/>
          <w:szCs w:val="24"/>
        </w:rPr>
        <w:t xml:space="preserve">is evident </w:t>
      </w:r>
      <w:r w:rsidR="00BA64B9" w:rsidRPr="00A75601">
        <w:rPr>
          <w:rFonts w:ascii="Times New Roman" w:hAnsi="Times New Roman"/>
          <w:sz w:val="24"/>
          <w:szCs w:val="24"/>
        </w:rPr>
        <w:t>that</w:t>
      </w:r>
      <w:r w:rsidR="00BE1FED" w:rsidRPr="00A75601">
        <w:rPr>
          <w:rFonts w:ascii="Times New Roman" w:hAnsi="Times New Roman"/>
          <w:sz w:val="24"/>
          <w:szCs w:val="24"/>
        </w:rPr>
        <w:t xml:space="preserve"> two regimes</w:t>
      </w:r>
      <w:r w:rsidR="009A14C5">
        <w:rPr>
          <w:rFonts w:ascii="Times New Roman" w:hAnsi="Times New Roman"/>
          <w:sz w:val="24"/>
          <w:szCs w:val="24"/>
        </w:rPr>
        <w:t xml:space="preserve"> can be distinguished</w:t>
      </w:r>
      <w:r w:rsidR="00BA64B9" w:rsidRPr="00A75601">
        <w:rPr>
          <w:rFonts w:ascii="Times New Roman" w:hAnsi="Times New Roman"/>
          <w:sz w:val="24"/>
          <w:szCs w:val="24"/>
        </w:rPr>
        <w:t>,</w:t>
      </w:r>
      <w:r w:rsidR="00BE1FED" w:rsidRPr="00A75601">
        <w:rPr>
          <w:rFonts w:ascii="Times New Roman" w:hAnsi="Times New Roman"/>
          <w:sz w:val="24"/>
          <w:szCs w:val="24"/>
        </w:rPr>
        <w:t xml:space="preserve"> the period preceding the recent financial crisis and the crisis period</w:t>
      </w:r>
      <w:r w:rsidR="00BA64B9" w:rsidRPr="00A75601">
        <w:rPr>
          <w:rFonts w:ascii="Times New Roman" w:hAnsi="Times New Roman"/>
          <w:sz w:val="24"/>
          <w:szCs w:val="24"/>
        </w:rPr>
        <w:t xml:space="preserve"> itself</w:t>
      </w:r>
      <w:r w:rsidR="00BE1FED" w:rsidRPr="00A75601">
        <w:rPr>
          <w:rFonts w:ascii="Times New Roman" w:hAnsi="Times New Roman"/>
          <w:sz w:val="24"/>
          <w:szCs w:val="24"/>
        </w:rPr>
        <w:t>.</w:t>
      </w:r>
      <w:r w:rsidR="006C5A83">
        <w:rPr>
          <w:rFonts w:ascii="Times New Roman" w:hAnsi="Times New Roman"/>
          <w:sz w:val="24"/>
          <w:szCs w:val="24"/>
        </w:rPr>
        <w:t xml:space="preserve"> T</w:t>
      </w:r>
      <w:r w:rsidR="00BE1FED" w:rsidRPr="00A75601">
        <w:rPr>
          <w:rFonts w:ascii="Times New Roman" w:hAnsi="Times New Roman"/>
          <w:sz w:val="24"/>
          <w:szCs w:val="24"/>
        </w:rPr>
        <w:t xml:space="preserve">he level of spreads, </w:t>
      </w:r>
      <w:r w:rsidR="006C5A83">
        <w:rPr>
          <w:rFonts w:ascii="Times New Roman" w:hAnsi="Times New Roman"/>
          <w:sz w:val="24"/>
          <w:szCs w:val="24"/>
        </w:rPr>
        <w:t xml:space="preserve">their </w:t>
      </w:r>
      <w:r w:rsidR="00BE1FED" w:rsidRPr="00A75601">
        <w:rPr>
          <w:rFonts w:ascii="Times New Roman" w:hAnsi="Times New Roman"/>
          <w:sz w:val="24"/>
          <w:szCs w:val="24"/>
        </w:rPr>
        <w:t xml:space="preserve">volatility and leverage increase substantially during the crisis </w:t>
      </w:r>
      <w:r>
        <w:rPr>
          <w:rFonts w:ascii="Times New Roman" w:hAnsi="Times New Roman"/>
          <w:sz w:val="24"/>
          <w:szCs w:val="24"/>
        </w:rPr>
        <w:t>(</w:t>
      </w:r>
      <w:r w:rsidR="00BE1FED" w:rsidRPr="00A75601">
        <w:rPr>
          <w:rFonts w:ascii="Times New Roman" w:hAnsi="Times New Roman"/>
          <w:sz w:val="24"/>
          <w:szCs w:val="24"/>
        </w:rPr>
        <w:t>especially for speculative grade companies</w:t>
      </w:r>
      <w:r>
        <w:rPr>
          <w:rFonts w:ascii="Times New Roman" w:hAnsi="Times New Roman"/>
          <w:sz w:val="24"/>
          <w:szCs w:val="24"/>
        </w:rPr>
        <w:t>)</w:t>
      </w:r>
      <w:r w:rsidR="006C5A83">
        <w:rPr>
          <w:rFonts w:ascii="Times New Roman" w:hAnsi="Times New Roman"/>
          <w:sz w:val="24"/>
          <w:szCs w:val="24"/>
        </w:rPr>
        <w:t xml:space="preserve"> whilst t</w:t>
      </w:r>
      <w:r w:rsidR="00662938" w:rsidRPr="00A75601">
        <w:rPr>
          <w:rFonts w:ascii="Times New Roman" w:hAnsi="Times New Roman"/>
          <w:sz w:val="24"/>
          <w:szCs w:val="24"/>
        </w:rPr>
        <w:t xml:space="preserve">he equity market capitalisation of the obligors shrinks. Surprisingly, the correlation between CDS spreads and equity prices </w:t>
      </w:r>
      <w:r w:rsidR="00BA64B9" w:rsidRPr="00A75601">
        <w:rPr>
          <w:rFonts w:ascii="Times New Roman" w:hAnsi="Times New Roman"/>
          <w:sz w:val="24"/>
          <w:szCs w:val="24"/>
        </w:rPr>
        <w:t>is</w:t>
      </w:r>
      <w:r w:rsidR="00662938" w:rsidRPr="00A75601">
        <w:rPr>
          <w:rFonts w:ascii="Times New Roman" w:hAnsi="Times New Roman"/>
          <w:sz w:val="24"/>
          <w:szCs w:val="24"/>
        </w:rPr>
        <w:t xml:space="preserve"> reduced</w:t>
      </w:r>
      <w:r w:rsidR="00BA64B9" w:rsidRPr="00A75601">
        <w:rPr>
          <w:rFonts w:ascii="Times New Roman" w:hAnsi="Times New Roman"/>
          <w:sz w:val="24"/>
          <w:szCs w:val="24"/>
        </w:rPr>
        <w:t>, especially for</w:t>
      </w:r>
      <w:r w:rsidR="00662938" w:rsidRPr="00A75601">
        <w:rPr>
          <w:rFonts w:ascii="Times New Roman" w:hAnsi="Times New Roman"/>
          <w:sz w:val="24"/>
          <w:szCs w:val="24"/>
        </w:rPr>
        <w:t xml:space="preserve"> speculative grade obligors. </w:t>
      </w:r>
      <w:r w:rsidR="00BA64B9" w:rsidRPr="00A75601">
        <w:rPr>
          <w:rFonts w:ascii="Times New Roman" w:hAnsi="Times New Roman"/>
          <w:sz w:val="24"/>
          <w:szCs w:val="24"/>
        </w:rPr>
        <w:t>This is in contrast with p</w:t>
      </w:r>
      <w:r w:rsidR="00662938" w:rsidRPr="00A75601">
        <w:rPr>
          <w:rFonts w:ascii="Times New Roman" w:hAnsi="Times New Roman"/>
          <w:sz w:val="24"/>
          <w:szCs w:val="24"/>
        </w:rPr>
        <w:t xml:space="preserve">ast studies </w:t>
      </w:r>
      <w:r w:rsidR="00BA64B9" w:rsidRPr="00A75601">
        <w:rPr>
          <w:rFonts w:ascii="Times New Roman" w:hAnsi="Times New Roman"/>
          <w:sz w:val="24"/>
          <w:szCs w:val="24"/>
        </w:rPr>
        <w:t xml:space="preserve">which </w:t>
      </w:r>
      <w:r w:rsidR="00662938" w:rsidRPr="00A75601">
        <w:rPr>
          <w:rFonts w:ascii="Times New Roman" w:hAnsi="Times New Roman"/>
          <w:sz w:val="24"/>
          <w:szCs w:val="24"/>
        </w:rPr>
        <w:t xml:space="preserve">have </w:t>
      </w:r>
      <w:r w:rsidR="007E18DE" w:rsidRPr="00A75601">
        <w:rPr>
          <w:rFonts w:ascii="Times New Roman" w:hAnsi="Times New Roman"/>
          <w:sz w:val="24"/>
          <w:szCs w:val="24"/>
        </w:rPr>
        <w:t>reported</w:t>
      </w:r>
      <w:r w:rsidR="00BA64B9" w:rsidRPr="00A75601">
        <w:rPr>
          <w:rFonts w:ascii="Times New Roman" w:hAnsi="Times New Roman"/>
          <w:sz w:val="24"/>
          <w:szCs w:val="24"/>
        </w:rPr>
        <w:t xml:space="preserve"> </w:t>
      </w:r>
      <w:r w:rsidR="00A2579D" w:rsidRPr="00A75601">
        <w:rPr>
          <w:rFonts w:ascii="Times New Roman" w:hAnsi="Times New Roman"/>
          <w:sz w:val="24"/>
          <w:szCs w:val="24"/>
        </w:rPr>
        <w:t>more negative</w:t>
      </w:r>
      <w:r w:rsidR="00662938" w:rsidRPr="00A75601">
        <w:rPr>
          <w:rFonts w:ascii="Times New Roman" w:hAnsi="Times New Roman"/>
          <w:sz w:val="24"/>
          <w:szCs w:val="24"/>
        </w:rPr>
        <w:t xml:space="preserve"> correlations for this category of obligors</w:t>
      </w:r>
      <w:r w:rsidR="007E18DE" w:rsidRPr="00A75601">
        <w:rPr>
          <w:rFonts w:ascii="Times New Roman" w:hAnsi="Times New Roman"/>
          <w:sz w:val="24"/>
          <w:szCs w:val="24"/>
        </w:rPr>
        <w:t>.</w:t>
      </w:r>
      <w:r w:rsidR="00BA64B9" w:rsidRPr="00A75601">
        <w:rPr>
          <w:rFonts w:ascii="Times New Roman" w:hAnsi="Times New Roman"/>
          <w:sz w:val="24"/>
          <w:szCs w:val="24"/>
        </w:rPr>
        <w:t xml:space="preserve"> </w:t>
      </w:r>
      <w:r w:rsidR="007E18DE" w:rsidRPr="00A75601">
        <w:rPr>
          <w:rFonts w:ascii="Times New Roman" w:hAnsi="Times New Roman"/>
          <w:sz w:val="24"/>
          <w:szCs w:val="24"/>
        </w:rPr>
        <w:t>This may be due to several factors</w:t>
      </w:r>
      <w:r w:rsidR="00662938" w:rsidRPr="00A75601">
        <w:rPr>
          <w:rFonts w:ascii="Times New Roman" w:hAnsi="Times New Roman"/>
          <w:sz w:val="24"/>
          <w:szCs w:val="24"/>
        </w:rPr>
        <w:t xml:space="preserve">: (1) our sample includes a very </w:t>
      </w:r>
      <w:r w:rsidR="00DF2D39" w:rsidRPr="00A75601">
        <w:rPr>
          <w:rFonts w:ascii="Times New Roman" w:hAnsi="Times New Roman"/>
          <w:sz w:val="24"/>
          <w:szCs w:val="24"/>
        </w:rPr>
        <w:t>small</w:t>
      </w:r>
      <w:r w:rsidR="00662938" w:rsidRPr="00A75601">
        <w:rPr>
          <w:rFonts w:ascii="Times New Roman" w:hAnsi="Times New Roman"/>
          <w:sz w:val="24"/>
          <w:szCs w:val="24"/>
        </w:rPr>
        <w:t xml:space="preserve"> number of B-rated an</w:t>
      </w:r>
      <w:r w:rsidR="00BA64B9" w:rsidRPr="00A75601">
        <w:rPr>
          <w:rFonts w:ascii="Times New Roman" w:hAnsi="Times New Roman"/>
          <w:sz w:val="24"/>
          <w:szCs w:val="24"/>
        </w:rPr>
        <w:t>d CCC-rated obligors and for the</w:t>
      </w:r>
      <w:r w:rsidR="00662938" w:rsidRPr="00A75601">
        <w:rPr>
          <w:rFonts w:ascii="Times New Roman" w:hAnsi="Times New Roman"/>
          <w:sz w:val="24"/>
          <w:szCs w:val="24"/>
        </w:rPr>
        <w:t>se categories the relationship betwe</w:t>
      </w:r>
      <w:r w:rsidR="00843084" w:rsidRPr="00A75601">
        <w:rPr>
          <w:rFonts w:ascii="Times New Roman" w:hAnsi="Times New Roman"/>
          <w:sz w:val="24"/>
          <w:szCs w:val="24"/>
        </w:rPr>
        <w:t xml:space="preserve">en CDS and equity markets </w:t>
      </w:r>
      <w:r w:rsidR="0028313C" w:rsidRPr="00A75601">
        <w:rPr>
          <w:rFonts w:ascii="Times New Roman" w:hAnsi="Times New Roman"/>
          <w:sz w:val="24"/>
          <w:szCs w:val="24"/>
        </w:rPr>
        <w:t xml:space="preserve">is stronger; (2) </w:t>
      </w:r>
      <w:r w:rsidR="00E77890" w:rsidRPr="00A75601">
        <w:rPr>
          <w:rFonts w:ascii="Times New Roman" w:hAnsi="Times New Roman"/>
          <w:sz w:val="24"/>
          <w:szCs w:val="24"/>
        </w:rPr>
        <w:t xml:space="preserve">the </w:t>
      </w:r>
      <w:r w:rsidR="00D933A5" w:rsidRPr="00A75601">
        <w:rPr>
          <w:rFonts w:ascii="Times New Roman" w:hAnsi="Times New Roman"/>
          <w:sz w:val="24"/>
          <w:szCs w:val="24"/>
        </w:rPr>
        <w:t>di</w:t>
      </w:r>
      <w:r w:rsidR="007E18DE" w:rsidRPr="00A75601">
        <w:rPr>
          <w:rFonts w:ascii="Times New Roman" w:hAnsi="Times New Roman"/>
          <w:sz w:val="24"/>
          <w:szCs w:val="24"/>
        </w:rPr>
        <w:t>vergence</w:t>
      </w:r>
      <w:r w:rsidR="00E77890" w:rsidRPr="00A75601">
        <w:rPr>
          <w:rFonts w:ascii="Times New Roman" w:hAnsi="Times New Roman"/>
          <w:sz w:val="24"/>
          <w:szCs w:val="24"/>
        </w:rPr>
        <w:t xml:space="preserve"> of views </w:t>
      </w:r>
      <w:r>
        <w:rPr>
          <w:rFonts w:ascii="Times New Roman" w:hAnsi="Times New Roman"/>
          <w:sz w:val="24"/>
          <w:szCs w:val="24"/>
        </w:rPr>
        <w:t>of the two markets</w:t>
      </w:r>
      <w:r w:rsidR="00E77890" w:rsidRPr="00A75601">
        <w:rPr>
          <w:rFonts w:ascii="Times New Roman" w:hAnsi="Times New Roman"/>
          <w:sz w:val="24"/>
          <w:szCs w:val="24"/>
        </w:rPr>
        <w:t xml:space="preserve"> on the price of credit risk increased in times of financial instability; (3) Pearson’s correlation coefficient </w:t>
      </w:r>
      <w:r w:rsidR="00812950" w:rsidRPr="00A75601">
        <w:rPr>
          <w:rFonts w:ascii="Times New Roman" w:hAnsi="Times New Roman"/>
          <w:sz w:val="24"/>
          <w:szCs w:val="24"/>
        </w:rPr>
        <w:t xml:space="preserve">does not capture the non-linear relationship </w:t>
      </w:r>
      <w:r w:rsidR="00A967CD" w:rsidRPr="00A75601">
        <w:rPr>
          <w:rFonts w:ascii="Times New Roman" w:hAnsi="Times New Roman"/>
          <w:sz w:val="24"/>
          <w:szCs w:val="24"/>
        </w:rPr>
        <w:t>between</w:t>
      </w:r>
      <w:r w:rsidR="00275AB2" w:rsidRPr="00A75601">
        <w:rPr>
          <w:rFonts w:ascii="Times New Roman" w:hAnsi="Times New Roman"/>
          <w:sz w:val="24"/>
          <w:szCs w:val="24"/>
        </w:rPr>
        <w:t xml:space="preserve"> changes in </w:t>
      </w:r>
      <w:r w:rsidR="006C5A83">
        <w:rPr>
          <w:rFonts w:ascii="Times New Roman" w:hAnsi="Times New Roman"/>
          <w:sz w:val="24"/>
          <w:szCs w:val="24"/>
        </w:rPr>
        <w:t xml:space="preserve">CDS </w:t>
      </w:r>
      <w:r w:rsidR="00275AB2" w:rsidRPr="00A75601">
        <w:rPr>
          <w:rFonts w:ascii="Times New Roman" w:hAnsi="Times New Roman"/>
          <w:sz w:val="24"/>
          <w:szCs w:val="24"/>
        </w:rPr>
        <w:t>spreads</w:t>
      </w:r>
      <w:r w:rsidR="006C5A83">
        <w:rPr>
          <w:rFonts w:ascii="Times New Roman" w:hAnsi="Times New Roman"/>
          <w:sz w:val="24"/>
          <w:szCs w:val="24"/>
        </w:rPr>
        <w:t xml:space="preserve"> and equity prices</w:t>
      </w:r>
      <w:r w:rsidR="00A967CD" w:rsidRPr="00A75601">
        <w:rPr>
          <w:rFonts w:ascii="Times New Roman" w:hAnsi="Times New Roman"/>
          <w:sz w:val="24"/>
          <w:szCs w:val="24"/>
        </w:rPr>
        <w:t xml:space="preserve">. </w:t>
      </w:r>
    </w:p>
    <w:p w14:paraId="4D542B01" w14:textId="77777777" w:rsidR="00F06093" w:rsidRPr="00A75601" w:rsidRDefault="00F06093" w:rsidP="00A75601">
      <w:pPr>
        <w:spacing w:line="480" w:lineRule="auto"/>
        <w:jc w:val="both"/>
        <w:outlineLvl w:val="0"/>
        <w:rPr>
          <w:rFonts w:ascii="Times New Roman" w:hAnsi="Times New Roman"/>
          <w:sz w:val="24"/>
          <w:szCs w:val="24"/>
        </w:rPr>
      </w:pPr>
    </w:p>
    <w:p w14:paraId="45881351" w14:textId="77777777" w:rsidR="00A32057" w:rsidRPr="000B1A1E" w:rsidRDefault="00E85AA9" w:rsidP="000B1A1E">
      <w:pPr>
        <w:pStyle w:val="ListParagraph"/>
        <w:numPr>
          <w:ilvl w:val="0"/>
          <w:numId w:val="18"/>
        </w:numPr>
        <w:spacing w:after="120" w:line="480" w:lineRule="auto"/>
        <w:jc w:val="both"/>
        <w:outlineLvl w:val="0"/>
        <w:rPr>
          <w:rFonts w:ascii="Times New Roman" w:hAnsi="Times New Roman"/>
          <w:b/>
          <w:sz w:val="24"/>
          <w:szCs w:val="24"/>
        </w:rPr>
      </w:pPr>
      <w:r w:rsidRPr="000B1A1E">
        <w:rPr>
          <w:rFonts w:ascii="Times New Roman" w:hAnsi="Times New Roman"/>
          <w:b/>
          <w:sz w:val="24"/>
          <w:szCs w:val="24"/>
        </w:rPr>
        <w:t>Methodology</w:t>
      </w:r>
    </w:p>
    <w:p w14:paraId="1059DA9A" w14:textId="77777777" w:rsidR="00A811BC" w:rsidRDefault="00DB3EF6" w:rsidP="00A75601">
      <w:pPr>
        <w:spacing w:line="480" w:lineRule="auto"/>
        <w:jc w:val="both"/>
        <w:outlineLvl w:val="0"/>
        <w:rPr>
          <w:rFonts w:ascii="Times New Roman" w:hAnsi="Times New Roman"/>
          <w:sz w:val="24"/>
          <w:szCs w:val="24"/>
        </w:rPr>
      </w:pPr>
      <w:r w:rsidRPr="00A75601">
        <w:rPr>
          <w:rFonts w:ascii="Times New Roman" w:hAnsi="Times New Roman"/>
          <w:sz w:val="24"/>
          <w:szCs w:val="24"/>
        </w:rPr>
        <w:lastRenderedPageBreak/>
        <w:t xml:space="preserve">After </w:t>
      </w:r>
      <w:r w:rsidR="00DB59F3" w:rsidRPr="00A75601">
        <w:rPr>
          <w:rFonts w:ascii="Times New Roman" w:hAnsi="Times New Roman"/>
          <w:sz w:val="24"/>
          <w:szCs w:val="24"/>
        </w:rPr>
        <w:t>comput</w:t>
      </w:r>
      <w:r w:rsidRPr="00A75601">
        <w:rPr>
          <w:rFonts w:ascii="Times New Roman" w:hAnsi="Times New Roman"/>
          <w:sz w:val="24"/>
          <w:szCs w:val="24"/>
        </w:rPr>
        <w:t>ing</w:t>
      </w:r>
      <w:r w:rsidR="00DB59F3" w:rsidRPr="00A75601">
        <w:rPr>
          <w:rFonts w:ascii="Times New Roman" w:hAnsi="Times New Roman"/>
          <w:sz w:val="24"/>
          <w:szCs w:val="24"/>
        </w:rPr>
        <w:t xml:space="preserve"> the equity implied spreads for all </w:t>
      </w:r>
      <w:proofErr w:type="gramStart"/>
      <w:r w:rsidR="00DB59F3" w:rsidRPr="00A75601">
        <w:rPr>
          <w:rFonts w:ascii="Times New Roman" w:hAnsi="Times New Roman"/>
          <w:sz w:val="24"/>
          <w:szCs w:val="24"/>
        </w:rPr>
        <w:t>companies</w:t>
      </w:r>
      <w:proofErr w:type="gramEnd"/>
      <w:r w:rsidR="00DB59F3" w:rsidRPr="00A75601">
        <w:rPr>
          <w:rFonts w:ascii="Times New Roman" w:hAnsi="Times New Roman"/>
          <w:sz w:val="24"/>
          <w:szCs w:val="24"/>
        </w:rPr>
        <w:t xml:space="preserve"> w</w:t>
      </w:r>
      <w:r w:rsidR="00186217" w:rsidRPr="00A75601">
        <w:rPr>
          <w:rFonts w:ascii="Times New Roman" w:hAnsi="Times New Roman"/>
          <w:sz w:val="24"/>
          <w:szCs w:val="24"/>
        </w:rPr>
        <w:t>e r</w:t>
      </w:r>
      <w:r w:rsidR="00DB59F3" w:rsidRPr="00A75601">
        <w:rPr>
          <w:rFonts w:ascii="Times New Roman" w:hAnsi="Times New Roman"/>
          <w:sz w:val="24"/>
          <w:szCs w:val="24"/>
        </w:rPr>
        <w:t>u</w:t>
      </w:r>
      <w:r w:rsidR="00186217" w:rsidRPr="00A75601">
        <w:rPr>
          <w:rFonts w:ascii="Times New Roman" w:hAnsi="Times New Roman"/>
          <w:sz w:val="24"/>
          <w:szCs w:val="24"/>
        </w:rPr>
        <w:t xml:space="preserve">n </w:t>
      </w:r>
      <w:r w:rsidR="00DB59F3" w:rsidRPr="00A75601">
        <w:rPr>
          <w:rFonts w:ascii="Times New Roman" w:hAnsi="Times New Roman"/>
          <w:sz w:val="24"/>
          <w:szCs w:val="24"/>
        </w:rPr>
        <w:t xml:space="preserve">ARCH tests </w:t>
      </w:r>
      <w:r w:rsidR="00E85AA9">
        <w:rPr>
          <w:rFonts w:ascii="Times New Roman" w:hAnsi="Times New Roman"/>
          <w:sz w:val="24"/>
          <w:szCs w:val="24"/>
        </w:rPr>
        <w:t>and</w:t>
      </w:r>
      <w:r w:rsidRPr="00A75601">
        <w:rPr>
          <w:rFonts w:ascii="Times New Roman" w:hAnsi="Times New Roman"/>
          <w:sz w:val="24"/>
          <w:szCs w:val="24"/>
        </w:rPr>
        <w:t xml:space="preserve"> </w:t>
      </w:r>
      <w:r w:rsidR="00E85AA9">
        <w:rPr>
          <w:rFonts w:ascii="Times New Roman" w:hAnsi="Times New Roman"/>
          <w:sz w:val="24"/>
          <w:szCs w:val="24"/>
        </w:rPr>
        <w:t>w</w:t>
      </w:r>
      <w:r w:rsidRPr="00A75601">
        <w:rPr>
          <w:rFonts w:ascii="Times New Roman" w:hAnsi="Times New Roman"/>
          <w:sz w:val="24"/>
          <w:szCs w:val="24"/>
        </w:rPr>
        <w:t>e find that</w:t>
      </w:r>
      <w:r w:rsidR="00DB59F3" w:rsidRPr="00A75601">
        <w:rPr>
          <w:rFonts w:ascii="Times New Roman" w:hAnsi="Times New Roman"/>
          <w:sz w:val="24"/>
          <w:szCs w:val="24"/>
        </w:rPr>
        <w:t xml:space="preserve"> </w:t>
      </w:r>
      <w:r w:rsidR="00D14A2A" w:rsidRPr="00A75601">
        <w:rPr>
          <w:rFonts w:ascii="Times New Roman" w:hAnsi="Times New Roman"/>
          <w:sz w:val="24"/>
          <w:szCs w:val="24"/>
        </w:rPr>
        <w:t>9</w:t>
      </w:r>
      <w:r w:rsidR="00A511E3" w:rsidRPr="00A75601">
        <w:rPr>
          <w:rFonts w:ascii="Times New Roman" w:hAnsi="Times New Roman"/>
          <w:sz w:val="24"/>
          <w:szCs w:val="24"/>
        </w:rPr>
        <w:t>4</w:t>
      </w:r>
      <w:r w:rsidR="00DB59F3" w:rsidRPr="00A75601">
        <w:rPr>
          <w:rFonts w:ascii="Times New Roman" w:hAnsi="Times New Roman"/>
          <w:sz w:val="24"/>
          <w:szCs w:val="24"/>
        </w:rPr>
        <w:t xml:space="preserve">% of the companies have spreads characterized by autoregressive variance. </w:t>
      </w:r>
      <w:r w:rsidRPr="00A75601">
        <w:rPr>
          <w:rFonts w:ascii="Times New Roman" w:hAnsi="Times New Roman"/>
          <w:sz w:val="24"/>
          <w:szCs w:val="24"/>
        </w:rPr>
        <w:t>After fitting the BEKK</w:t>
      </w:r>
      <w:r w:rsidR="00DB59F3" w:rsidRPr="00A75601">
        <w:rPr>
          <w:rFonts w:ascii="Times New Roman" w:hAnsi="Times New Roman"/>
          <w:sz w:val="24"/>
          <w:szCs w:val="24"/>
        </w:rPr>
        <w:t xml:space="preserve"> model </w:t>
      </w:r>
      <w:r w:rsidR="00954383">
        <w:rPr>
          <w:rFonts w:ascii="Times New Roman" w:hAnsi="Times New Roman"/>
          <w:sz w:val="24"/>
          <w:szCs w:val="24"/>
        </w:rPr>
        <w:t xml:space="preserve">in </w:t>
      </w:r>
      <w:r w:rsidR="00E31CE1" w:rsidRPr="00A75601">
        <w:rPr>
          <w:rFonts w:ascii="Times New Roman" w:hAnsi="Times New Roman"/>
          <w:sz w:val="24"/>
          <w:szCs w:val="24"/>
        </w:rPr>
        <w:t>(</w:t>
      </w:r>
      <w:r w:rsidR="00E85AA9">
        <w:rPr>
          <w:rFonts w:ascii="Times New Roman" w:hAnsi="Times New Roman"/>
          <w:sz w:val="24"/>
          <w:szCs w:val="24"/>
        </w:rPr>
        <w:t>3</w:t>
      </w:r>
      <w:r w:rsidR="00E31CE1" w:rsidRPr="00A75601">
        <w:rPr>
          <w:rFonts w:ascii="Times New Roman" w:hAnsi="Times New Roman"/>
          <w:sz w:val="24"/>
          <w:szCs w:val="24"/>
        </w:rPr>
        <w:t xml:space="preserve">) </w:t>
      </w:r>
      <w:r w:rsidR="00DB59F3" w:rsidRPr="00A75601">
        <w:rPr>
          <w:rFonts w:ascii="Times New Roman" w:hAnsi="Times New Roman"/>
          <w:sz w:val="24"/>
          <w:szCs w:val="24"/>
        </w:rPr>
        <w:t>to the CDS spread</w:t>
      </w:r>
      <w:r w:rsidR="00954383">
        <w:rPr>
          <w:rFonts w:ascii="Times New Roman" w:hAnsi="Times New Roman"/>
          <w:sz w:val="24"/>
          <w:szCs w:val="24"/>
        </w:rPr>
        <w:t>s</w:t>
      </w:r>
      <w:r w:rsidR="00DB59F3" w:rsidRPr="00A75601">
        <w:rPr>
          <w:rFonts w:ascii="Times New Roman" w:hAnsi="Times New Roman"/>
          <w:sz w:val="24"/>
          <w:szCs w:val="24"/>
        </w:rPr>
        <w:t xml:space="preserve"> and the equity implied spreads</w:t>
      </w:r>
      <w:r w:rsidRPr="00A75601">
        <w:rPr>
          <w:rFonts w:ascii="Times New Roman" w:hAnsi="Times New Roman"/>
          <w:sz w:val="24"/>
          <w:szCs w:val="24"/>
        </w:rPr>
        <w:t xml:space="preserve"> we </w:t>
      </w:r>
      <w:r w:rsidR="00DB59F3" w:rsidRPr="00A75601">
        <w:rPr>
          <w:rFonts w:ascii="Times New Roman" w:hAnsi="Times New Roman"/>
          <w:sz w:val="24"/>
          <w:szCs w:val="24"/>
        </w:rPr>
        <w:t xml:space="preserve">compute the time-varying IS measure </w:t>
      </w:r>
      <w:r w:rsidR="00FD5D94">
        <w:rPr>
          <w:rFonts w:ascii="Times New Roman" w:hAnsi="Times New Roman"/>
          <w:sz w:val="24"/>
          <w:szCs w:val="24"/>
        </w:rPr>
        <w:t>(</w:t>
      </w:r>
      <w:r w:rsidR="00E31CE1" w:rsidRPr="00A75601">
        <w:rPr>
          <w:rFonts w:ascii="Times New Roman" w:hAnsi="Times New Roman"/>
          <w:sz w:val="24"/>
          <w:szCs w:val="24"/>
        </w:rPr>
        <w:t>given as the midpoint of the boundaries in (</w:t>
      </w:r>
      <w:r w:rsidR="00E85AA9">
        <w:rPr>
          <w:rFonts w:ascii="Times New Roman" w:hAnsi="Times New Roman"/>
          <w:sz w:val="24"/>
          <w:szCs w:val="24"/>
        </w:rPr>
        <w:t>2</w:t>
      </w:r>
      <w:r w:rsidR="00E31CE1" w:rsidRPr="00A75601">
        <w:rPr>
          <w:rFonts w:ascii="Times New Roman" w:hAnsi="Times New Roman"/>
          <w:sz w:val="24"/>
          <w:szCs w:val="24"/>
        </w:rPr>
        <w:t>)</w:t>
      </w:r>
      <w:r w:rsidR="00FD5D94">
        <w:rPr>
          <w:rFonts w:ascii="Times New Roman" w:hAnsi="Times New Roman"/>
          <w:sz w:val="24"/>
          <w:szCs w:val="24"/>
        </w:rPr>
        <w:t>)</w:t>
      </w:r>
      <w:r w:rsidR="00E31CE1" w:rsidRPr="00A75601">
        <w:rPr>
          <w:rFonts w:ascii="Times New Roman" w:hAnsi="Times New Roman"/>
          <w:sz w:val="24"/>
          <w:szCs w:val="24"/>
        </w:rPr>
        <w:t xml:space="preserve"> </w:t>
      </w:r>
      <w:r w:rsidR="00DB59F3" w:rsidRPr="00A75601">
        <w:rPr>
          <w:rFonts w:ascii="Times New Roman" w:hAnsi="Times New Roman"/>
          <w:sz w:val="24"/>
          <w:szCs w:val="24"/>
        </w:rPr>
        <w:t>of the equity and CDS markets for all the companies. Then w</w:t>
      </w:r>
      <w:r w:rsidR="0023525D" w:rsidRPr="00A75601">
        <w:rPr>
          <w:rFonts w:ascii="Times New Roman" w:hAnsi="Times New Roman"/>
          <w:sz w:val="24"/>
          <w:szCs w:val="24"/>
        </w:rPr>
        <w:t xml:space="preserve">e implement the </w:t>
      </w:r>
      <w:r w:rsidRPr="00A75601">
        <w:rPr>
          <w:rFonts w:ascii="Times New Roman" w:hAnsi="Times New Roman"/>
          <w:sz w:val="24"/>
          <w:szCs w:val="24"/>
        </w:rPr>
        <w:t>trading</w:t>
      </w:r>
      <w:r w:rsidR="0023525D" w:rsidRPr="00A75601">
        <w:rPr>
          <w:rFonts w:ascii="Times New Roman" w:hAnsi="Times New Roman"/>
          <w:sz w:val="24"/>
          <w:szCs w:val="24"/>
        </w:rPr>
        <w:t xml:space="preserve"> strategies </w:t>
      </w:r>
      <w:r w:rsidR="00FD5D94">
        <w:rPr>
          <w:rFonts w:ascii="Times New Roman" w:hAnsi="Times New Roman"/>
          <w:sz w:val="24"/>
          <w:szCs w:val="24"/>
        </w:rPr>
        <w:t>summarized in Exhibit 1</w:t>
      </w:r>
      <w:r w:rsidRPr="00A75601">
        <w:rPr>
          <w:rFonts w:ascii="Times New Roman" w:hAnsi="Times New Roman"/>
          <w:sz w:val="24"/>
          <w:szCs w:val="24"/>
        </w:rPr>
        <w:t xml:space="preserve"> </w:t>
      </w:r>
      <w:r w:rsidR="0023525D" w:rsidRPr="00A75601">
        <w:rPr>
          <w:rFonts w:ascii="Times New Roman" w:hAnsi="Times New Roman"/>
          <w:sz w:val="24"/>
          <w:szCs w:val="24"/>
        </w:rPr>
        <w:t>for the 70 obligors. As we have thousands of open trades</w:t>
      </w:r>
      <w:r w:rsidR="00461D3E" w:rsidRPr="00A75601">
        <w:rPr>
          <w:rFonts w:ascii="Times New Roman" w:hAnsi="Times New Roman"/>
          <w:sz w:val="24"/>
          <w:szCs w:val="24"/>
        </w:rPr>
        <w:t xml:space="preserve"> every day, we construct a monthly index return for each strategy</w:t>
      </w:r>
      <w:r w:rsidR="00A700AC" w:rsidRPr="00A75601">
        <w:rPr>
          <w:rFonts w:ascii="Times New Roman" w:hAnsi="Times New Roman"/>
          <w:sz w:val="24"/>
          <w:szCs w:val="24"/>
        </w:rPr>
        <w:t>, which would</w:t>
      </w:r>
      <w:r w:rsidR="00461D3E" w:rsidRPr="00A75601">
        <w:rPr>
          <w:rFonts w:ascii="Times New Roman" w:hAnsi="Times New Roman"/>
          <w:sz w:val="24"/>
          <w:szCs w:val="24"/>
        </w:rPr>
        <w:t xml:space="preserve"> facilitate the comparison of our results with returns reported by hedge fund industry benchmarks</w:t>
      </w:r>
      <w:r w:rsidR="00E85AA9">
        <w:rPr>
          <w:rFonts w:ascii="Times New Roman" w:hAnsi="Times New Roman"/>
          <w:sz w:val="24"/>
          <w:szCs w:val="24"/>
        </w:rPr>
        <w:t>.</w:t>
      </w:r>
    </w:p>
    <w:p w14:paraId="3102B096" w14:textId="77777777" w:rsidR="00F06093" w:rsidRDefault="00F06093" w:rsidP="00A75601">
      <w:pPr>
        <w:spacing w:line="480" w:lineRule="auto"/>
        <w:jc w:val="both"/>
        <w:outlineLvl w:val="0"/>
        <w:rPr>
          <w:rFonts w:ascii="Times New Roman" w:hAnsi="Times New Roman"/>
          <w:sz w:val="24"/>
          <w:szCs w:val="24"/>
        </w:rPr>
      </w:pPr>
    </w:p>
    <w:p w14:paraId="3BF98713" w14:textId="4A211FF9" w:rsidR="000B1A1E" w:rsidRPr="000B1A1E" w:rsidRDefault="000B1A1E" w:rsidP="000B1A1E">
      <w:pPr>
        <w:pStyle w:val="ListParagraph"/>
        <w:numPr>
          <w:ilvl w:val="0"/>
          <w:numId w:val="18"/>
        </w:numPr>
        <w:spacing w:line="480" w:lineRule="auto"/>
        <w:jc w:val="both"/>
        <w:outlineLvl w:val="0"/>
        <w:rPr>
          <w:rFonts w:ascii="Times New Roman" w:hAnsi="Times New Roman"/>
          <w:b/>
          <w:sz w:val="24"/>
          <w:szCs w:val="24"/>
        </w:rPr>
      </w:pPr>
      <w:r w:rsidRPr="000B1A1E">
        <w:rPr>
          <w:rFonts w:ascii="Times New Roman" w:hAnsi="Times New Roman"/>
          <w:b/>
          <w:sz w:val="24"/>
          <w:szCs w:val="24"/>
        </w:rPr>
        <w:t>Results</w:t>
      </w:r>
    </w:p>
    <w:p w14:paraId="6224070E" w14:textId="77777777" w:rsidR="00A811BC" w:rsidRPr="000B1A1E" w:rsidRDefault="00A811BC" w:rsidP="000B1A1E">
      <w:pPr>
        <w:pStyle w:val="ListParagraph"/>
        <w:numPr>
          <w:ilvl w:val="1"/>
          <w:numId w:val="18"/>
        </w:numPr>
        <w:spacing w:after="120" w:line="480" w:lineRule="auto"/>
        <w:ind w:left="426"/>
        <w:jc w:val="both"/>
        <w:outlineLvl w:val="0"/>
        <w:rPr>
          <w:rFonts w:ascii="Times New Roman" w:hAnsi="Times New Roman"/>
          <w:b/>
          <w:iCs/>
          <w:sz w:val="24"/>
          <w:szCs w:val="24"/>
        </w:rPr>
      </w:pPr>
      <w:r w:rsidRPr="000B1A1E">
        <w:rPr>
          <w:rFonts w:ascii="Times New Roman" w:hAnsi="Times New Roman"/>
          <w:b/>
          <w:iCs/>
          <w:sz w:val="24"/>
          <w:szCs w:val="24"/>
        </w:rPr>
        <w:t xml:space="preserve">Analysis of the </w:t>
      </w:r>
      <w:r w:rsidR="00FF5181" w:rsidRPr="000B1A1E">
        <w:rPr>
          <w:rFonts w:ascii="Times New Roman" w:hAnsi="Times New Roman"/>
          <w:b/>
          <w:iCs/>
          <w:sz w:val="24"/>
          <w:szCs w:val="24"/>
        </w:rPr>
        <w:t xml:space="preserve">returns of the </w:t>
      </w:r>
      <w:r w:rsidRPr="000B1A1E">
        <w:rPr>
          <w:rFonts w:ascii="Times New Roman" w:hAnsi="Times New Roman"/>
          <w:b/>
          <w:iCs/>
          <w:sz w:val="24"/>
          <w:szCs w:val="24"/>
        </w:rPr>
        <w:t>strategies</w:t>
      </w:r>
    </w:p>
    <w:p w14:paraId="1B2F9E5F" w14:textId="77777777" w:rsidR="00296F11" w:rsidRPr="00A75601" w:rsidRDefault="00EB76B3" w:rsidP="00A75601">
      <w:pPr>
        <w:spacing w:line="480" w:lineRule="auto"/>
        <w:jc w:val="both"/>
        <w:outlineLvl w:val="0"/>
        <w:rPr>
          <w:rFonts w:ascii="Times New Roman" w:hAnsi="Times New Roman"/>
          <w:sz w:val="24"/>
          <w:szCs w:val="24"/>
        </w:rPr>
      </w:pPr>
      <w:r w:rsidRPr="00A75601">
        <w:rPr>
          <w:rFonts w:ascii="Times New Roman" w:hAnsi="Times New Roman"/>
          <w:sz w:val="24"/>
          <w:szCs w:val="24"/>
        </w:rPr>
        <w:t>A</w:t>
      </w:r>
      <w:r w:rsidR="00F64903" w:rsidRPr="00A75601">
        <w:rPr>
          <w:rFonts w:ascii="Times New Roman" w:hAnsi="Times New Roman"/>
          <w:sz w:val="24"/>
          <w:szCs w:val="24"/>
        </w:rPr>
        <w:t xml:space="preserve">s the CDS position has a value of zero at initiation, </w:t>
      </w:r>
      <w:r w:rsidR="00461D3E" w:rsidRPr="00A75601">
        <w:rPr>
          <w:rFonts w:ascii="Times New Roman" w:hAnsi="Times New Roman"/>
          <w:sz w:val="24"/>
          <w:szCs w:val="24"/>
        </w:rPr>
        <w:t xml:space="preserve">we assume </w:t>
      </w:r>
      <w:r w:rsidR="00A700AC" w:rsidRPr="00A75601">
        <w:rPr>
          <w:rFonts w:ascii="Times New Roman" w:hAnsi="Times New Roman"/>
          <w:sz w:val="24"/>
          <w:szCs w:val="24"/>
        </w:rPr>
        <w:t xml:space="preserve">USD </w:t>
      </w:r>
      <w:r w:rsidR="00C71A95" w:rsidRPr="00A75601">
        <w:rPr>
          <w:rFonts w:ascii="Times New Roman" w:hAnsi="Times New Roman"/>
          <w:sz w:val="24"/>
          <w:szCs w:val="24"/>
        </w:rPr>
        <w:t>0.5 initial capital</w:t>
      </w:r>
      <w:r w:rsidR="00C875AE">
        <w:rPr>
          <w:rStyle w:val="EndnoteReference"/>
          <w:rFonts w:ascii="Times New Roman" w:hAnsi="Times New Roman"/>
          <w:sz w:val="24"/>
          <w:szCs w:val="24"/>
        </w:rPr>
        <w:endnoteReference w:id="13"/>
      </w:r>
      <w:r w:rsidR="00F64903" w:rsidRPr="00A75601">
        <w:rPr>
          <w:rFonts w:ascii="Times New Roman" w:hAnsi="Times New Roman"/>
          <w:sz w:val="24"/>
          <w:szCs w:val="24"/>
        </w:rPr>
        <w:t xml:space="preserve"> for every trade we make</w:t>
      </w:r>
      <w:r w:rsidR="00AD5212">
        <w:rPr>
          <w:rFonts w:ascii="Times New Roman" w:hAnsi="Times New Roman"/>
          <w:sz w:val="24"/>
          <w:szCs w:val="24"/>
        </w:rPr>
        <w:t>.</w:t>
      </w:r>
      <w:r w:rsidR="00F64903" w:rsidRPr="00A75601">
        <w:rPr>
          <w:rFonts w:ascii="Times New Roman" w:hAnsi="Times New Roman"/>
          <w:sz w:val="24"/>
          <w:szCs w:val="24"/>
        </w:rPr>
        <w:t xml:space="preserve"> </w:t>
      </w:r>
      <w:r w:rsidR="00AD5212" w:rsidRPr="00A75601">
        <w:rPr>
          <w:rFonts w:ascii="Times New Roman" w:hAnsi="Times New Roman"/>
          <w:sz w:val="24"/>
          <w:szCs w:val="24"/>
        </w:rPr>
        <w:t xml:space="preserve">If hedging is not required, then only one market is </w:t>
      </w:r>
      <w:proofErr w:type="gramStart"/>
      <w:r w:rsidR="00AD5212" w:rsidRPr="00A75601">
        <w:rPr>
          <w:rFonts w:ascii="Times New Roman" w:hAnsi="Times New Roman"/>
          <w:sz w:val="24"/>
          <w:szCs w:val="24"/>
        </w:rPr>
        <w:t>traded</w:t>
      </w:r>
      <w:proofErr w:type="gramEnd"/>
      <w:r w:rsidR="00AD5212" w:rsidRPr="00A75601">
        <w:rPr>
          <w:rFonts w:ascii="Times New Roman" w:hAnsi="Times New Roman"/>
          <w:sz w:val="24"/>
          <w:szCs w:val="24"/>
        </w:rPr>
        <w:t xml:space="preserve"> and the entire initial capital is invested in that single market.</w:t>
      </w:r>
      <w:r w:rsidR="00AD5212">
        <w:rPr>
          <w:rFonts w:ascii="Times New Roman" w:hAnsi="Times New Roman"/>
          <w:sz w:val="24"/>
          <w:szCs w:val="24"/>
        </w:rPr>
        <w:t xml:space="preserve"> If hedging is </w:t>
      </w:r>
      <w:proofErr w:type="gramStart"/>
      <w:r w:rsidR="00AD5212">
        <w:rPr>
          <w:rFonts w:ascii="Times New Roman" w:hAnsi="Times New Roman"/>
          <w:sz w:val="24"/>
          <w:szCs w:val="24"/>
        </w:rPr>
        <w:t>required</w:t>
      </w:r>
      <w:proofErr w:type="gramEnd"/>
      <w:r w:rsidR="00AD5212">
        <w:rPr>
          <w:rFonts w:ascii="Times New Roman" w:hAnsi="Times New Roman"/>
          <w:sz w:val="24"/>
          <w:szCs w:val="24"/>
        </w:rPr>
        <w:t xml:space="preserve"> then we</w:t>
      </w:r>
      <w:r w:rsidR="00AD5212" w:rsidRPr="00A75601">
        <w:rPr>
          <w:rFonts w:ascii="Times New Roman" w:hAnsi="Times New Roman"/>
          <w:sz w:val="24"/>
          <w:szCs w:val="24"/>
        </w:rPr>
        <w:t xml:space="preserve"> use the capital to finance the equity hedge.</w:t>
      </w:r>
      <w:r w:rsidR="00AD5212">
        <w:rPr>
          <w:rFonts w:ascii="Times New Roman" w:hAnsi="Times New Roman"/>
          <w:sz w:val="24"/>
          <w:szCs w:val="24"/>
        </w:rPr>
        <w:t xml:space="preserve"> </w:t>
      </w:r>
      <w:r w:rsidR="00E31CE1" w:rsidRPr="00A75601">
        <w:rPr>
          <w:rFonts w:ascii="Times New Roman" w:hAnsi="Times New Roman"/>
          <w:sz w:val="24"/>
          <w:szCs w:val="24"/>
        </w:rPr>
        <w:t xml:space="preserve">For instance, if the trade involves buying equity, a trader will invest USD 0.5 initial capital to buy equity, whereas if he has to sell equity, he will sell shares for USD 0.5 of capital. In the case of buying/selling CDS, USD 0.5 initial capital represents the trader’s deposit into a margin account. </w:t>
      </w:r>
    </w:p>
    <w:p w14:paraId="0CDB66C6" w14:textId="77777777" w:rsidR="008042EB" w:rsidRPr="00A75601" w:rsidRDefault="00A04798" w:rsidP="00A75601">
      <w:pPr>
        <w:spacing w:line="480" w:lineRule="auto"/>
        <w:jc w:val="both"/>
        <w:outlineLvl w:val="0"/>
        <w:rPr>
          <w:rFonts w:ascii="Times New Roman" w:hAnsi="Times New Roman"/>
          <w:sz w:val="24"/>
          <w:szCs w:val="24"/>
        </w:rPr>
      </w:pPr>
      <w:r w:rsidRPr="00A75601">
        <w:rPr>
          <w:rFonts w:ascii="Times New Roman" w:hAnsi="Times New Roman"/>
          <w:sz w:val="24"/>
          <w:szCs w:val="24"/>
        </w:rPr>
        <w:t xml:space="preserve">All cash flows arising from the positions in the CDS and equity such as CDS premiums and cash dividends are deducted </w:t>
      </w:r>
      <w:r w:rsidR="00E31CE1" w:rsidRPr="00A75601">
        <w:rPr>
          <w:rFonts w:ascii="Times New Roman" w:hAnsi="Times New Roman"/>
          <w:sz w:val="24"/>
          <w:szCs w:val="24"/>
        </w:rPr>
        <w:t xml:space="preserve">from </w:t>
      </w:r>
      <w:r w:rsidRPr="00A75601">
        <w:rPr>
          <w:rFonts w:ascii="Times New Roman" w:hAnsi="Times New Roman"/>
          <w:sz w:val="24"/>
          <w:szCs w:val="24"/>
        </w:rPr>
        <w:t>or credited to the initial capital.</w:t>
      </w:r>
      <w:r w:rsidR="00D358D2" w:rsidRPr="00A75601">
        <w:rPr>
          <w:rFonts w:ascii="Times New Roman" w:hAnsi="Times New Roman"/>
          <w:sz w:val="24"/>
          <w:szCs w:val="24"/>
        </w:rPr>
        <w:t xml:space="preserve"> </w:t>
      </w:r>
      <w:r w:rsidR="00834B4F" w:rsidRPr="00A75601">
        <w:rPr>
          <w:rFonts w:ascii="Times New Roman" w:hAnsi="Times New Roman"/>
          <w:sz w:val="24"/>
          <w:szCs w:val="24"/>
        </w:rPr>
        <w:t>W</w:t>
      </w:r>
      <w:r w:rsidR="00C73698" w:rsidRPr="00A75601">
        <w:rPr>
          <w:rFonts w:ascii="Times New Roman" w:hAnsi="Times New Roman"/>
          <w:sz w:val="24"/>
          <w:szCs w:val="24"/>
        </w:rPr>
        <w:t>e assume</w:t>
      </w:r>
      <w:r w:rsidR="00EB476C" w:rsidRPr="00A75601">
        <w:rPr>
          <w:rFonts w:ascii="Times New Roman" w:hAnsi="Times New Roman"/>
          <w:sz w:val="24"/>
          <w:szCs w:val="24"/>
        </w:rPr>
        <w:t>, for all strategies,</w:t>
      </w:r>
      <w:r w:rsidR="00C73698" w:rsidRPr="00A75601">
        <w:rPr>
          <w:rFonts w:ascii="Times New Roman" w:hAnsi="Times New Roman"/>
          <w:sz w:val="24"/>
          <w:szCs w:val="24"/>
        </w:rPr>
        <w:t xml:space="preserve"> a 10% bid-</w:t>
      </w:r>
      <w:r w:rsidR="006A7F7C" w:rsidRPr="00A75601">
        <w:rPr>
          <w:rFonts w:ascii="Times New Roman" w:hAnsi="Times New Roman"/>
          <w:sz w:val="24"/>
          <w:szCs w:val="24"/>
        </w:rPr>
        <w:t>ask spread for trading CDS.</w:t>
      </w:r>
      <w:r w:rsidR="00EB476C" w:rsidRPr="00A75601">
        <w:rPr>
          <w:rFonts w:ascii="Times New Roman" w:hAnsi="Times New Roman"/>
          <w:sz w:val="24"/>
          <w:szCs w:val="24"/>
        </w:rPr>
        <w:t xml:space="preserve"> </w:t>
      </w:r>
      <w:proofErr w:type="gramStart"/>
      <w:r w:rsidR="00EB476C" w:rsidRPr="00A75601">
        <w:rPr>
          <w:rFonts w:ascii="Times New Roman" w:hAnsi="Times New Roman"/>
          <w:sz w:val="24"/>
          <w:szCs w:val="24"/>
        </w:rPr>
        <w:t>Similarly</w:t>
      </w:r>
      <w:proofErr w:type="gramEnd"/>
      <w:r w:rsidR="00EB476C" w:rsidRPr="00A75601">
        <w:rPr>
          <w:rFonts w:ascii="Times New Roman" w:hAnsi="Times New Roman"/>
          <w:sz w:val="24"/>
          <w:szCs w:val="24"/>
        </w:rPr>
        <w:t xml:space="preserve"> to Yu (2006), we ignore transaction costs on common stocks</w:t>
      </w:r>
      <w:r w:rsidR="00C875AE">
        <w:rPr>
          <w:rStyle w:val="EndnoteReference"/>
          <w:rFonts w:ascii="Times New Roman" w:hAnsi="Times New Roman"/>
          <w:sz w:val="24"/>
          <w:szCs w:val="24"/>
        </w:rPr>
        <w:endnoteReference w:id="14"/>
      </w:r>
      <w:r w:rsidR="009C7DAC" w:rsidRPr="00A75601">
        <w:rPr>
          <w:rFonts w:ascii="Times New Roman" w:hAnsi="Times New Roman"/>
          <w:sz w:val="24"/>
          <w:szCs w:val="24"/>
        </w:rPr>
        <w:t xml:space="preserve">, which should be minimal </w:t>
      </w:r>
      <w:r w:rsidR="00FD5D94">
        <w:rPr>
          <w:rFonts w:ascii="Times New Roman" w:hAnsi="Times New Roman"/>
          <w:sz w:val="24"/>
          <w:szCs w:val="24"/>
        </w:rPr>
        <w:t xml:space="preserve">due to the use of </w:t>
      </w:r>
      <w:r w:rsidR="009C7DAC" w:rsidRPr="00A75601">
        <w:rPr>
          <w:rFonts w:ascii="Times New Roman" w:hAnsi="Times New Roman"/>
          <w:sz w:val="24"/>
          <w:szCs w:val="24"/>
        </w:rPr>
        <w:t>static hedging</w:t>
      </w:r>
      <w:r w:rsidR="00EB476C" w:rsidRPr="00A75601">
        <w:rPr>
          <w:rFonts w:ascii="Times New Roman" w:hAnsi="Times New Roman"/>
          <w:sz w:val="24"/>
          <w:szCs w:val="24"/>
        </w:rPr>
        <w:t>.</w:t>
      </w:r>
    </w:p>
    <w:p w14:paraId="58027F9D" w14:textId="77777777" w:rsidR="00466CF9" w:rsidRPr="00A75601" w:rsidRDefault="00523EF8" w:rsidP="00A75601">
      <w:pPr>
        <w:spacing w:line="480" w:lineRule="auto"/>
        <w:jc w:val="both"/>
        <w:outlineLvl w:val="0"/>
        <w:rPr>
          <w:rFonts w:ascii="Times New Roman" w:hAnsi="Times New Roman"/>
          <w:sz w:val="24"/>
          <w:szCs w:val="24"/>
        </w:rPr>
      </w:pPr>
      <w:r w:rsidRPr="00A75601">
        <w:rPr>
          <w:rFonts w:ascii="Times New Roman" w:hAnsi="Times New Roman"/>
          <w:sz w:val="24"/>
          <w:szCs w:val="24"/>
        </w:rPr>
        <w:t xml:space="preserve">Using </w:t>
      </w:r>
      <w:proofErr w:type="spellStart"/>
      <w:r w:rsidRPr="00A75601">
        <w:rPr>
          <w:rFonts w:ascii="Times New Roman" w:hAnsi="Times New Roman"/>
          <w:sz w:val="24"/>
          <w:szCs w:val="24"/>
        </w:rPr>
        <w:t>CreditGrades</w:t>
      </w:r>
      <w:proofErr w:type="spellEnd"/>
      <w:r w:rsidRPr="00A75601">
        <w:rPr>
          <w:rFonts w:ascii="Times New Roman" w:hAnsi="Times New Roman"/>
          <w:sz w:val="24"/>
          <w:szCs w:val="24"/>
        </w:rPr>
        <w:t>, we can track the daily market value of the CDS positions and hence compute the daily excess returns for every trade.</w:t>
      </w:r>
      <w:r w:rsidR="000A37FB" w:rsidRPr="00A75601">
        <w:rPr>
          <w:rFonts w:ascii="Times New Roman" w:hAnsi="Times New Roman"/>
          <w:sz w:val="24"/>
          <w:szCs w:val="24"/>
        </w:rPr>
        <w:t xml:space="preserve"> After that, we compute an equally-weighted</w:t>
      </w:r>
      <w:r w:rsidRPr="00A75601">
        <w:rPr>
          <w:rFonts w:ascii="Times New Roman" w:hAnsi="Times New Roman"/>
          <w:sz w:val="24"/>
          <w:szCs w:val="24"/>
        </w:rPr>
        <w:t xml:space="preserve"> </w:t>
      </w:r>
      <w:r w:rsidR="000A37FB" w:rsidRPr="00A75601">
        <w:rPr>
          <w:rFonts w:ascii="Times New Roman" w:hAnsi="Times New Roman"/>
          <w:sz w:val="24"/>
          <w:szCs w:val="24"/>
        </w:rPr>
        <w:lastRenderedPageBreak/>
        <w:t>average daily return acr</w:t>
      </w:r>
      <w:r w:rsidR="002735FB" w:rsidRPr="00A75601">
        <w:rPr>
          <w:rFonts w:ascii="Times New Roman" w:hAnsi="Times New Roman"/>
          <w:sz w:val="24"/>
          <w:szCs w:val="24"/>
        </w:rPr>
        <w:t>oss all trades which are open, for</w:t>
      </w:r>
      <w:r w:rsidR="000A37FB" w:rsidRPr="00A75601">
        <w:rPr>
          <w:rFonts w:ascii="Times New Roman" w:hAnsi="Times New Roman"/>
          <w:sz w:val="24"/>
          <w:szCs w:val="24"/>
        </w:rPr>
        <w:t xml:space="preserve"> every day of our sample. We finally compound the daily returns into monthly returns. </w:t>
      </w:r>
      <w:r w:rsidR="005549AF" w:rsidRPr="00A75601">
        <w:rPr>
          <w:rFonts w:ascii="Times New Roman" w:hAnsi="Times New Roman"/>
          <w:sz w:val="24"/>
          <w:szCs w:val="24"/>
        </w:rPr>
        <w:t xml:space="preserve">Hence, we </w:t>
      </w:r>
      <w:r w:rsidR="00A700AC" w:rsidRPr="00A75601">
        <w:rPr>
          <w:rFonts w:ascii="Times New Roman" w:hAnsi="Times New Roman"/>
          <w:sz w:val="24"/>
          <w:szCs w:val="24"/>
        </w:rPr>
        <w:t xml:space="preserve">end up </w:t>
      </w:r>
      <w:r w:rsidR="005549AF" w:rsidRPr="00A75601">
        <w:rPr>
          <w:rFonts w:ascii="Times New Roman" w:hAnsi="Times New Roman"/>
          <w:sz w:val="24"/>
          <w:szCs w:val="24"/>
        </w:rPr>
        <w:t>h</w:t>
      </w:r>
      <w:r w:rsidR="00A700AC" w:rsidRPr="00A75601">
        <w:rPr>
          <w:rFonts w:ascii="Times New Roman" w:hAnsi="Times New Roman"/>
          <w:sz w:val="24"/>
          <w:szCs w:val="24"/>
        </w:rPr>
        <w:t>aving</w:t>
      </w:r>
      <w:r w:rsidR="005549AF" w:rsidRPr="00A75601">
        <w:rPr>
          <w:rFonts w:ascii="Times New Roman" w:hAnsi="Times New Roman"/>
          <w:sz w:val="24"/>
          <w:szCs w:val="24"/>
        </w:rPr>
        <w:t xml:space="preserve"> a total of 60 monthly excess returns which are generated by holding an equally-weighted portfolio of all available trades for each of the </w:t>
      </w:r>
      <w:r w:rsidR="001D0E19" w:rsidRPr="00A75601">
        <w:rPr>
          <w:rFonts w:ascii="Times New Roman" w:hAnsi="Times New Roman"/>
          <w:sz w:val="24"/>
          <w:szCs w:val="24"/>
        </w:rPr>
        <w:t>4</w:t>
      </w:r>
      <w:r w:rsidR="005549AF" w:rsidRPr="00A75601">
        <w:rPr>
          <w:rFonts w:ascii="Times New Roman" w:hAnsi="Times New Roman"/>
          <w:sz w:val="24"/>
          <w:szCs w:val="24"/>
        </w:rPr>
        <w:t xml:space="preserve"> strategies we implement.</w:t>
      </w:r>
      <w:r w:rsidRPr="00A75601">
        <w:rPr>
          <w:rFonts w:ascii="Times New Roman" w:hAnsi="Times New Roman"/>
          <w:sz w:val="24"/>
          <w:szCs w:val="24"/>
        </w:rPr>
        <w:t xml:space="preserve"> </w:t>
      </w:r>
      <w:r w:rsidR="00C234F7" w:rsidRPr="00A75601">
        <w:rPr>
          <w:rFonts w:ascii="Times New Roman" w:hAnsi="Times New Roman"/>
          <w:sz w:val="24"/>
          <w:szCs w:val="24"/>
        </w:rPr>
        <w:t>For Strategy 4, in case of speculative grade obligors for which we have a small sample, we do not have individual trades available for some months</w:t>
      </w:r>
      <w:r w:rsidR="00A700AC" w:rsidRPr="00A75601">
        <w:rPr>
          <w:rFonts w:ascii="Times New Roman" w:hAnsi="Times New Roman"/>
          <w:sz w:val="24"/>
          <w:szCs w:val="24"/>
        </w:rPr>
        <w:t>, in which</w:t>
      </w:r>
      <w:r w:rsidR="00C234F7" w:rsidRPr="00A75601">
        <w:rPr>
          <w:rFonts w:ascii="Times New Roman" w:hAnsi="Times New Roman"/>
          <w:sz w:val="24"/>
          <w:szCs w:val="24"/>
        </w:rPr>
        <w:t xml:space="preserve"> case we assume a zero </w:t>
      </w:r>
      <w:r w:rsidR="00A700AC" w:rsidRPr="00A75601">
        <w:rPr>
          <w:rFonts w:ascii="Times New Roman" w:hAnsi="Times New Roman"/>
          <w:sz w:val="24"/>
          <w:szCs w:val="24"/>
        </w:rPr>
        <w:t xml:space="preserve">monthly </w:t>
      </w:r>
      <w:r w:rsidR="00C234F7" w:rsidRPr="00A75601">
        <w:rPr>
          <w:rFonts w:ascii="Times New Roman" w:hAnsi="Times New Roman"/>
          <w:sz w:val="24"/>
          <w:szCs w:val="24"/>
        </w:rPr>
        <w:t>excess return</w:t>
      </w:r>
      <w:r w:rsidR="00A700AC" w:rsidRPr="00A75601">
        <w:rPr>
          <w:rFonts w:ascii="Times New Roman" w:hAnsi="Times New Roman"/>
          <w:sz w:val="24"/>
          <w:szCs w:val="24"/>
        </w:rPr>
        <w:t>.</w:t>
      </w:r>
    </w:p>
    <w:p w14:paraId="72E68106" w14:textId="77777777" w:rsidR="00A1304B" w:rsidRPr="00A75601" w:rsidRDefault="002735FB" w:rsidP="00A75601">
      <w:pPr>
        <w:spacing w:line="480" w:lineRule="auto"/>
        <w:jc w:val="both"/>
        <w:outlineLvl w:val="0"/>
        <w:rPr>
          <w:rFonts w:ascii="Times New Roman" w:hAnsi="Times New Roman"/>
          <w:sz w:val="24"/>
          <w:szCs w:val="24"/>
        </w:rPr>
      </w:pPr>
      <w:r w:rsidRPr="00A75601">
        <w:rPr>
          <w:rFonts w:ascii="Times New Roman" w:hAnsi="Times New Roman"/>
          <w:sz w:val="24"/>
          <w:szCs w:val="24"/>
        </w:rPr>
        <w:t>To implement the new strategies</w:t>
      </w:r>
      <w:r w:rsidR="00403CEE" w:rsidRPr="00A75601">
        <w:rPr>
          <w:rFonts w:ascii="Times New Roman" w:hAnsi="Times New Roman"/>
          <w:sz w:val="24"/>
          <w:szCs w:val="24"/>
        </w:rPr>
        <w:t>, a trader needs to choose a reasonable</w:t>
      </w:r>
      <w:r w:rsidR="00A803A3" w:rsidRPr="00A75601">
        <w:rPr>
          <w:rFonts w:ascii="Times New Roman" w:hAnsi="Times New Roman"/>
          <w:sz w:val="24"/>
          <w:szCs w:val="24"/>
        </w:rPr>
        <w:t xml:space="preserve"> price discovery trigger</w:t>
      </w:r>
      <w:r w:rsidR="00E31CE1" w:rsidRPr="00A75601">
        <w:rPr>
          <w:rFonts w:ascii="Times New Roman" w:hAnsi="Times New Roman"/>
          <w:sz w:val="24"/>
          <w:szCs w:val="24"/>
        </w:rPr>
        <w:t xml:space="preserve">, which </w:t>
      </w:r>
      <w:r w:rsidR="0001272D" w:rsidRPr="00A75601">
        <w:rPr>
          <w:rFonts w:ascii="Times New Roman" w:hAnsi="Times New Roman"/>
          <w:sz w:val="24"/>
          <w:szCs w:val="24"/>
        </w:rPr>
        <w:t xml:space="preserve">can be used to filter strong </w:t>
      </w:r>
      <w:r w:rsidR="00A700AC" w:rsidRPr="00A75601">
        <w:rPr>
          <w:rFonts w:ascii="Times New Roman" w:hAnsi="Times New Roman"/>
          <w:sz w:val="24"/>
          <w:szCs w:val="24"/>
        </w:rPr>
        <w:t>s</w:t>
      </w:r>
      <w:r w:rsidR="0001272D" w:rsidRPr="00A75601">
        <w:rPr>
          <w:rFonts w:ascii="Times New Roman" w:hAnsi="Times New Roman"/>
          <w:sz w:val="24"/>
          <w:szCs w:val="24"/>
        </w:rPr>
        <w:t xml:space="preserve">ignals. </w:t>
      </w:r>
      <w:r w:rsidR="00067BDB">
        <w:rPr>
          <w:rFonts w:ascii="Times New Roman" w:hAnsi="Times New Roman"/>
          <w:sz w:val="24"/>
          <w:szCs w:val="24"/>
        </w:rPr>
        <w:t>S</w:t>
      </w:r>
      <w:r w:rsidR="006521C1" w:rsidRPr="00A75601">
        <w:rPr>
          <w:rFonts w:ascii="Times New Roman" w:hAnsi="Times New Roman"/>
          <w:sz w:val="24"/>
          <w:szCs w:val="24"/>
        </w:rPr>
        <w:t xml:space="preserve">electing higher triggers should generate higher profits </w:t>
      </w:r>
      <w:r w:rsidR="00AE1701" w:rsidRPr="00A75601">
        <w:rPr>
          <w:rFonts w:ascii="Times New Roman" w:hAnsi="Times New Roman"/>
          <w:sz w:val="24"/>
          <w:szCs w:val="24"/>
        </w:rPr>
        <w:t>because a stronger evidence</w:t>
      </w:r>
      <w:r w:rsidR="00F51158" w:rsidRPr="00A75601">
        <w:rPr>
          <w:rFonts w:ascii="Times New Roman" w:hAnsi="Times New Roman"/>
          <w:sz w:val="24"/>
          <w:szCs w:val="24"/>
        </w:rPr>
        <w:t xml:space="preserve"> </w:t>
      </w:r>
      <w:r w:rsidR="00AE1701" w:rsidRPr="00A75601">
        <w:rPr>
          <w:rFonts w:ascii="Times New Roman" w:hAnsi="Times New Roman"/>
          <w:sz w:val="24"/>
          <w:szCs w:val="24"/>
        </w:rPr>
        <w:t>of a market’s inefficiency should make that market</w:t>
      </w:r>
      <w:r w:rsidR="00F51158" w:rsidRPr="00A75601">
        <w:rPr>
          <w:rFonts w:ascii="Times New Roman" w:hAnsi="Times New Roman"/>
          <w:sz w:val="24"/>
          <w:szCs w:val="24"/>
        </w:rPr>
        <w:t xml:space="preserve"> </w:t>
      </w:r>
      <w:r w:rsidR="00AE1701" w:rsidRPr="00A75601">
        <w:rPr>
          <w:rFonts w:ascii="Times New Roman" w:hAnsi="Times New Roman"/>
          <w:sz w:val="24"/>
          <w:szCs w:val="24"/>
        </w:rPr>
        <w:t xml:space="preserve">more </w:t>
      </w:r>
      <w:r w:rsidR="00F51158" w:rsidRPr="00A75601">
        <w:rPr>
          <w:rFonts w:ascii="Times New Roman" w:hAnsi="Times New Roman"/>
          <w:sz w:val="24"/>
          <w:szCs w:val="24"/>
        </w:rPr>
        <w:t>predict</w:t>
      </w:r>
      <w:r w:rsidR="00AE1701" w:rsidRPr="00A75601">
        <w:rPr>
          <w:rFonts w:ascii="Times New Roman" w:hAnsi="Times New Roman"/>
          <w:sz w:val="24"/>
          <w:szCs w:val="24"/>
        </w:rPr>
        <w:t>able</w:t>
      </w:r>
      <w:r w:rsidR="00714D2D" w:rsidRPr="00A75601">
        <w:rPr>
          <w:rFonts w:ascii="Times New Roman" w:hAnsi="Times New Roman"/>
          <w:sz w:val="24"/>
          <w:szCs w:val="24"/>
        </w:rPr>
        <w:t>.</w:t>
      </w:r>
      <w:r w:rsidR="006521C1" w:rsidRPr="00A75601">
        <w:rPr>
          <w:rFonts w:ascii="Times New Roman" w:hAnsi="Times New Roman"/>
          <w:sz w:val="24"/>
          <w:szCs w:val="24"/>
        </w:rPr>
        <w:t xml:space="preserve"> </w:t>
      </w:r>
      <w:r w:rsidR="00714D2D" w:rsidRPr="00A75601">
        <w:rPr>
          <w:rFonts w:ascii="Times New Roman" w:hAnsi="Times New Roman"/>
          <w:sz w:val="24"/>
          <w:szCs w:val="24"/>
        </w:rPr>
        <w:t xml:space="preserve">However, too high triggers would lead to less profit due to the sharp decrease in the number of </w:t>
      </w:r>
      <w:r w:rsidR="00916A01">
        <w:rPr>
          <w:rFonts w:ascii="Times New Roman" w:hAnsi="Times New Roman"/>
          <w:sz w:val="24"/>
          <w:szCs w:val="24"/>
        </w:rPr>
        <w:t xml:space="preserve">potentially profitable </w:t>
      </w:r>
      <w:r w:rsidR="00714D2D" w:rsidRPr="00A75601">
        <w:rPr>
          <w:rFonts w:ascii="Times New Roman" w:hAnsi="Times New Roman"/>
          <w:sz w:val="24"/>
          <w:szCs w:val="24"/>
        </w:rPr>
        <w:t>transactions. We cho</w:t>
      </w:r>
      <w:r w:rsidR="00B168D1" w:rsidRPr="00A75601">
        <w:rPr>
          <w:rFonts w:ascii="Times New Roman" w:hAnsi="Times New Roman"/>
          <w:sz w:val="24"/>
          <w:szCs w:val="24"/>
        </w:rPr>
        <w:t>o</w:t>
      </w:r>
      <w:r w:rsidR="00714D2D" w:rsidRPr="00A75601">
        <w:rPr>
          <w:rFonts w:ascii="Times New Roman" w:hAnsi="Times New Roman"/>
          <w:sz w:val="24"/>
          <w:szCs w:val="24"/>
        </w:rPr>
        <w:t>se a value of 80% for the price discovery trigger</w:t>
      </w:r>
      <w:r w:rsidR="008D0AE4" w:rsidRPr="00A75601">
        <w:rPr>
          <w:rFonts w:ascii="Times New Roman" w:hAnsi="Times New Roman"/>
          <w:sz w:val="24"/>
          <w:szCs w:val="24"/>
        </w:rPr>
        <w:t>.</w:t>
      </w:r>
      <w:r w:rsidR="006521C1" w:rsidRPr="00A75601">
        <w:rPr>
          <w:rFonts w:ascii="Times New Roman" w:hAnsi="Times New Roman"/>
          <w:sz w:val="24"/>
          <w:szCs w:val="24"/>
        </w:rPr>
        <w:t xml:space="preserve"> </w:t>
      </w:r>
      <w:r w:rsidR="00EB2C6C" w:rsidRPr="00A75601">
        <w:rPr>
          <w:rFonts w:ascii="Times New Roman" w:hAnsi="Times New Roman"/>
          <w:sz w:val="24"/>
          <w:szCs w:val="24"/>
        </w:rPr>
        <w:t xml:space="preserve">Hence, </w:t>
      </w:r>
      <w:r w:rsidR="00E1258F" w:rsidRPr="00A75601">
        <w:rPr>
          <w:rFonts w:ascii="Times New Roman" w:hAnsi="Times New Roman"/>
          <w:sz w:val="24"/>
          <w:szCs w:val="24"/>
        </w:rPr>
        <w:t xml:space="preserve">in </w:t>
      </w:r>
      <w:r w:rsidR="00EB2C6C" w:rsidRPr="00A75601">
        <w:rPr>
          <w:rFonts w:ascii="Times New Roman" w:hAnsi="Times New Roman"/>
          <w:sz w:val="24"/>
          <w:szCs w:val="24"/>
        </w:rPr>
        <w:t xml:space="preserve">the trading rules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l</m:t>
            </m:r>
          </m:sub>
        </m:sSub>
      </m:oMath>
      <w:r w:rsidR="00E1258F" w:rsidRPr="00A75601">
        <w:rPr>
          <w:rFonts w:ascii="Times New Roman" w:hAnsi="Times New Roman"/>
          <w:sz w:val="24"/>
          <w:szCs w:val="24"/>
        </w:rPr>
        <w:t xml:space="preserve"> and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u</m:t>
            </m:r>
          </m:sub>
        </m:sSub>
      </m:oMath>
      <w:r w:rsidR="00E1258F" w:rsidRPr="00A75601">
        <w:rPr>
          <w:rFonts w:ascii="Times New Roman" w:hAnsi="Times New Roman"/>
          <w:sz w:val="24"/>
          <w:szCs w:val="24"/>
        </w:rPr>
        <w:t xml:space="preserve"> will be equal to 20% and 80%, respectively.</w:t>
      </w:r>
      <w:r w:rsidR="00D73B2D" w:rsidRPr="00A75601">
        <w:rPr>
          <w:rFonts w:ascii="Times New Roman" w:hAnsi="Times New Roman"/>
          <w:sz w:val="24"/>
          <w:szCs w:val="24"/>
        </w:rPr>
        <w:t xml:space="preserve"> </w:t>
      </w:r>
    </w:p>
    <w:p w14:paraId="0FF0BEF7" w14:textId="77777777" w:rsidR="0099189E" w:rsidRPr="00A75601" w:rsidRDefault="00D54BEA" w:rsidP="00A75601">
      <w:pPr>
        <w:spacing w:line="480" w:lineRule="auto"/>
        <w:jc w:val="both"/>
        <w:outlineLvl w:val="0"/>
        <w:rPr>
          <w:rFonts w:ascii="Times New Roman" w:hAnsi="Times New Roman"/>
          <w:sz w:val="24"/>
          <w:szCs w:val="24"/>
        </w:rPr>
      </w:pPr>
      <w:r>
        <w:rPr>
          <w:rFonts w:ascii="Times New Roman" w:hAnsi="Times New Roman"/>
          <w:sz w:val="24"/>
          <w:szCs w:val="24"/>
        </w:rPr>
        <w:t>Exhibit</w:t>
      </w:r>
      <w:r w:rsidR="00714D2D" w:rsidRPr="00A75601">
        <w:rPr>
          <w:rFonts w:ascii="Times New Roman" w:hAnsi="Times New Roman"/>
          <w:sz w:val="24"/>
          <w:szCs w:val="24"/>
        </w:rPr>
        <w:t xml:space="preserve"> </w:t>
      </w:r>
      <w:r w:rsidR="000B05A3" w:rsidRPr="00A75601">
        <w:rPr>
          <w:rFonts w:ascii="Times New Roman" w:hAnsi="Times New Roman"/>
          <w:sz w:val="24"/>
          <w:szCs w:val="24"/>
        </w:rPr>
        <w:t>4</w:t>
      </w:r>
      <w:r w:rsidR="00714D2D" w:rsidRPr="00A75601">
        <w:rPr>
          <w:rFonts w:ascii="Times New Roman" w:hAnsi="Times New Roman"/>
          <w:sz w:val="24"/>
          <w:szCs w:val="24"/>
        </w:rPr>
        <w:t xml:space="preserve"> shows the number of trades executed for each strategy over the </w:t>
      </w:r>
      <w:r w:rsidR="00067BDB">
        <w:rPr>
          <w:rFonts w:ascii="Times New Roman" w:hAnsi="Times New Roman"/>
          <w:sz w:val="24"/>
          <w:szCs w:val="24"/>
        </w:rPr>
        <w:t xml:space="preserve">whole sample period. It is </w:t>
      </w:r>
      <w:r w:rsidR="00714D2D" w:rsidRPr="00A75601">
        <w:rPr>
          <w:rFonts w:ascii="Times New Roman" w:hAnsi="Times New Roman"/>
          <w:sz w:val="24"/>
          <w:szCs w:val="24"/>
        </w:rPr>
        <w:t xml:space="preserve">interesting to notice how the use of </w:t>
      </w:r>
      <w:r w:rsidR="00067BDB">
        <w:rPr>
          <w:rFonts w:ascii="Times New Roman" w:hAnsi="Times New Roman"/>
          <w:sz w:val="24"/>
          <w:szCs w:val="24"/>
        </w:rPr>
        <w:t xml:space="preserve">the price discovery </w:t>
      </w:r>
      <w:r w:rsidR="00714D2D" w:rsidRPr="00A75601">
        <w:rPr>
          <w:rFonts w:ascii="Times New Roman" w:hAnsi="Times New Roman"/>
          <w:sz w:val="24"/>
          <w:szCs w:val="24"/>
        </w:rPr>
        <w:t>trigger substantially reduces the frequency of trading. T</w:t>
      </w:r>
      <w:r w:rsidR="000A1790" w:rsidRPr="00A75601">
        <w:rPr>
          <w:rFonts w:ascii="Times New Roman" w:hAnsi="Times New Roman"/>
          <w:sz w:val="24"/>
          <w:szCs w:val="24"/>
        </w:rPr>
        <w:t>he implementation of Strategies 2 and 3</w:t>
      </w:r>
      <w:r w:rsidR="00367A5B" w:rsidRPr="00A75601">
        <w:rPr>
          <w:rFonts w:ascii="Times New Roman" w:hAnsi="Times New Roman"/>
          <w:sz w:val="24"/>
          <w:szCs w:val="24"/>
        </w:rPr>
        <w:t xml:space="preserve"> </w:t>
      </w:r>
      <w:r w:rsidR="000A1790" w:rsidRPr="00A75601">
        <w:rPr>
          <w:rFonts w:ascii="Times New Roman" w:hAnsi="Times New Roman"/>
          <w:sz w:val="24"/>
          <w:szCs w:val="24"/>
        </w:rPr>
        <w:t>allows a reduction in the number of trades of almost 40% if compared with the traditional</w:t>
      </w:r>
      <w:r w:rsidR="0080013A">
        <w:rPr>
          <w:rFonts w:ascii="Times New Roman" w:hAnsi="Times New Roman"/>
          <w:sz w:val="24"/>
          <w:szCs w:val="24"/>
        </w:rPr>
        <w:t xml:space="preserve"> CSA</w:t>
      </w:r>
      <w:r w:rsidR="000A1790" w:rsidRPr="00A75601">
        <w:rPr>
          <w:rFonts w:ascii="Times New Roman" w:hAnsi="Times New Roman"/>
          <w:sz w:val="24"/>
          <w:szCs w:val="24"/>
        </w:rPr>
        <w:t xml:space="preserve">. </w:t>
      </w:r>
      <w:r w:rsidR="008153B0" w:rsidRPr="00A75601">
        <w:rPr>
          <w:rFonts w:ascii="Times New Roman" w:hAnsi="Times New Roman"/>
          <w:sz w:val="24"/>
          <w:szCs w:val="24"/>
        </w:rPr>
        <w:t>C</w:t>
      </w:r>
      <w:r w:rsidR="000A1790" w:rsidRPr="00A75601">
        <w:rPr>
          <w:rFonts w:ascii="Times New Roman" w:hAnsi="Times New Roman"/>
          <w:sz w:val="24"/>
          <w:szCs w:val="24"/>
        </w:rPr>
        <w:t>ompar</w:t>
      </w:r>
      <w:r w:rsidR="008153B0" w:rsidRPr="00A75601">
        <w:rPr>
          <w:rFonts w:ascii="Times New Roman" w:hAnsi="Times New Roman"/>
          <w:sz w:val="24"/>
          <w:szCs w:val="24"/>
        </w:rPr>
        <w:t>ing</w:t>
      </w:r>
      <w:r w:rsidR="000A1790" w:rsidRPr="00A75601">
        <w:rPr>
          <w:rFonts w:ascii="Times New Roman" w:hAnsi="Times New Roman"/>
          <w:sz w:val="24"/>
          <w:szCs w:val="24"/>
        </w:rPr>
        <w:t xml:space="preserve"> Strategy 4</w:t>
      </w:r>
      <w:r w:rsidR="0026516B" w:rsidRPr="00A75601">
        <w:rPr>
          <w:rFonts w:ascii="Times New Roman" w:hAnsi="Times New Roman"/>
          <w:sz w:val="24"/>
          <w:szCs w:val="24"/>
        </w:rPr>
        <w:t xml:space="preserve"> with the first strategy</w:t>
      </w:r>
      <w:r w:rsidR="000A1790" w:rsidRPr="00A75601">
        <w:rPr>
          <w:rFonts w:ascii="Times New Roman" w:hAnsi="Times New Roman"/>
          <w:sz w:val="24"/>
          <w:szCs w:val="24"/>
        </w:rPr>
        <w:t xml:space="preserve">, </w:t>
      </w:r>
      <w:r w:rsidR="0080013A">
        <w:rPr>
          <w:rFonts w:ascii="Times New Roman" w:hAnsi="Times New Roman"/>
          <w:sz w:val="24"/>
          <w:szCs w:val="24"/>
        </w:rPr>
        <w:t>the number of trades is</w:t>
      </w:r>
      <w:r w:rsidR="000A1790" w:rsidRPr="00A75601">
        <w:rPr>
          <w:rFonts w:ascii="Times New Roman" w:hAnsi="Times New Roman"/>
          <w:sz w:val="24"/>
          <w:szCs w:val="24"/>
        </w:rPr>
        <w:t xml:space="preserve"> reduce</w:t>
      </w:r>
      <w:r w:rsidR="0080013A">
        <w:rPr>
          <w:rFonts w:ascii="Times New Roman" w:hAnsi="Times New Roman"/>
          <w:sz w:val="24"/>
          <w:szCs w:val="24"/>
        </w:rPr>
        <w:t>d</w:t>
      </w:r>
      <w:r w:rsidR="000A1790" w:rsidRPr="00A75601">
        <w:rPr>
          <w:rFonts w:ascii="Times New Roman" w:hAnsi="Times New Roman"/>
          <w:sz w:val="24"/>
          <w:szCs w:val="24"/>
        </w:rPr>
        <w:t xml:space="preserve"> by</w:t>
      </w:r>
      <w:r w:rsidR="00367A5B" w:rsidRPr="00A75601">
        <w:rPr>
          <w:rFonts w:ascii="Times New Roman" w:hAnsi="Times New Roman"/>
          <w:sz w:val="24"/>
          <w:szCs w:val="24"/>
        </w:rPr>
        <w:t xml:space="preserve"> </w:t>
      </w:r>
      <w:r w:rsidR="000726BD" w:rsidRPr="00A75601">
        <w:rPr>
          <w:rFonts w:ascii="Times New Roman" w:hAnsi="Times New Roman"/>
          <w:sz w:val="24"/>
          <w:szCs w:val="24"/>
        </w:rPr>
        <w:t xml:space="preserve">about </w:t>
      </w:r>
      <w:r w:rsidR="00367A5B" w:rsidRPr="00A75601">
        <w:rPr>
          <w:rFonts w:ascii="Times New Roman" w:hAnsi="Times New Roman"/>
          <w:sz w:val="24"/>
          <w:szCs w:val="24"/>
        </w:rPr>
        <w:t>6</w:t>
      </w:r>
      <w:r w:rsidR="00DD7C55">
        <w:rPr>
          <w:rFonts w:ascii="Times New Roman" w:hAnsi="Times New Roman"/>
          <w:sz w:val="24"/>
          <w:szCs w:val="24"/>
        </w:rPr>
        <w:t>5</w:t>
      </w:r>
      <w:r w:rsidR="00067BDB">
        <w:rPr>
          <w:rFonts w:ascii="Times New Roman" w:hAnsi="Times New Roman"/>
          <w:sz w:val="24"/>
          <w:szCs w:val="24"/>
        </w:rPr>
        <w:t>%</w:t>
      </w:r>
      <w:r w:rsidR="00784DC2" w:rsidRPr="00A75601">
        <w:rPr>
          <w:rFonts w:ascii="Times New Roman" w:hAnsi="Times New Roman"/>
          <w:sz w:val="24"/>
          <w:szCs w:val="24"/>
        </w:rPr>
        <w:t>.</w:t>
      </w:r>
      <w:r w:rsidR="000A1790" w:rsidRPr="00A75601">
        <w:rPr>
          <w:rFonts w:ascii="Times New Roman" w:hAnsi="Times New Roman"/>
          <w:sz w:val="24"/>
          <w:szCs w:val="24"/>
        </w:rPr>
        <w:t xml:space="preserve">  </w:t>
      </w:r>
    </w:p>
    <w:p w14:paraId="21DABFE8" w14:textId="77777777" w:rsidR="00714D2D" w:rsidRPr="00A75601" w:rsidRDefault="00714D2D" w:rsidP="00A75601">
      <w:pPr>
        <w:spacing w:line="480" w:lineRule="auto"/>
        <w:jc w:val="both"/>
        <w:outlineLvl w:val="0"/>
        <w:rPr>
          <w:rFonts w:ascii="Times New Roman" w:hAnsi="Times New Roman"/>
          <w:sz w:val="24"/>
          <w:szCs w:val="24"/>
        </w:rPr>
      </w:pPr>
      <w:r w:rsidRPr="00A75601">
        <w:rPr>
          <w:rFonts w:ascii="Times New Roman" w:hAnsi="Times New Roman"/>
          <w:sz w:val="24"/>
          <w:szCs w:val="24"/>
        </w:rPr>
        <w:t>An interesting point refers to Strateg</w:t>
      </w:r>
      <w:r w:rsidR="0080013A">
        <w:rPr>
          <w:rFonts w:ascii="Times New Roman" w:hAnsi="Times New Roman"/>
          <w:sz w:val="24"/>
          <w:szCs w:val="24"/>
        </w:rPr>
        <w:t>ies</w:t>
      </w:r>
      <w:r w:rsidRPr="00A75601">
        <w:rPr>
          <w:rFonts w:ascii="Times New Roman" w:hAnsi="Times New Roman"/>
          <w:sz w:val="24"/>
          <w:szCs w:val="24"/>
        </w:rPr>
        <w:t xml:space="preserve"> 1 and 2, </w:t>
      </w:r>
      <w:r w:rsidR="008D7969" w:rsidRPr="00A75601">
        <w:rPr>
          <w:rFonts w:ascii="Times New Roman" w:hAnsi="Times New Roman"/>
          <w:sz w:val="24"/>
          <w:szCs w:val="24"/>
        </w:rPr>
        <w:t xml:space="preserve">both </w:t>
      </w:r>
      <w:r w:rsidRPr="00A75601">
        <w:rPr>
          <w:rFonts w:ascii="Times New Roman" w:hAnsi="Times New Roman"/>
          <w:sz w:val="24"/>
          <w:szCs w:val="24"/>
        </w:rPr>
        <w:t>requir</w:t>
      </w:r>
      <w:r w:rsidR="008D7969" w:rsidRPr="00A75601">
        <w:rPr>
          <w:rFonts w:ascii="Times New Roman" w:hAnsi="Times New Roman"/>
          <w:sz w:val="24"/>
          <w:szCs w:val="24"/>
        </w:rPr>
        <w:t>ing</w:t>
      </w:r>
      <w:r w:rsidRPr="00A75601">
        <w:rPr>
          <w:rFonts w:ascii="Times New Roman" w:hAnsi="Times New Roman"/>
          <w:sz w:val="24"/>
          <w:szCs w:val="24"/>
        </w:rPr>
        <w:t xml:space="preserve"> hedging. For these the equity hedge becomes very expensive, especially during the crisis period. For some days, if the trade involves b</w:t>
      </w:r>
      <w:r w:rsidR="002F27D2" w:rsidRPr="00A75601">
        <w:rPr>
          <w:rFonts w:ascii="Times New Roman" w:hAnsi="Times New Roman"/>
          <w:sz w:val="24"/>
          <w:szCs w:val="24"/>
        </w:rPr>
        <w:t>uying equity, we notice that a USD</w:t>
      </w:r>
      <w:r w:rsidR="002F27D2" w:rsidRPr="00A75601">
        <w:rPr>
          <w:rFonts w:ascii="Times New Roman" w:hAnsi="Times New Roman"/>
          <w:color w:val="FF0000"/>
          <w:sz w:val="24"/>
          <w:szCs w:val="24"/>
        </w:rPr>
        <w:t xml:space="preserve"> </w:t>
      </w:r>
      <w:r w:rsidRPr="00A75601">
        <w:rPr>
          <w:rFonts w:ascii="Times New Roman" w:hAnsi="Times New Roman"/>
          <w:sz w:val="24"/>
          <w:szCs w:val="24"/>
        </w:rPr>
        <w:t>0.5 initial capital is not sufficient to meet the trader’s hedging need</w:t>
      </w:r>
      <w:r w:rsidR="00CA771C" w:rsidRPr="00A75601">
        <w:rPr>
          <w:rFonts w:ascii="Times New Roman" w:hAnsi="Times New Roman"/>
          <w:sz w:val="24"/>
          <w:szCs w:val="24"/>
        </w:rPr>
        <w:t>.</w:t>
      </w:r>
      <w:r w:rsidRPr="00A75601">
        <w:rPr>
          <w:rFonts w:ascii="Times New Roman" w:hAnsi="Times New Roman"/>
          <w:sz w:val="24"/>
          <w:szCs w:val="24"/>
        </w:rPr>
        <w:t xml:space="preserve"> This anomaly is a limit of </w:t>
      </w:r>
      <w:r w:rsidR="00F93A01" w:rsidRPr="00A75601">
        <w:rPr>
          <w:rFonts w:ascii="Times New Roman" w:hAnsi="Times New Roman"/>
          <w:sz w:val="24"/>
          <w:szCs w:val="24"/>
        </w:rPr>
        <w:t>arbitrage</w:t>
      </w:r>
      <w:r w:rsidR="002F27D2" w:rsidRPr="00A75601">
        <w:rPr>
          <w:rFonts w:ascii="Times New Roman" w:hAnsi="Times New Roman"/>
          <w:sz w:val="24"/>
          <w:szCs w:val="24"/>
        </w:rPr>
        <w:t xml:space="preserve"> and</w:t>
      </w:r>
      <w:r w:rsidR="004D388D" w:rsidRPr="00A75601">
        <w:rPr>
          <w:rFonts w:ascii="Times New Roman" w:hAnsi="Times New Roman"/>
          <w:sz w:val="24"/>
          <w:szCs w:val="24"/>
        </w:rPr>
        <w:t>,</w:t>
      </w:r>
      <w:r w:rsidRPr="00A75601">
        <w:rPr>
          <w:rFonts w:ascii="Times New Roman" w:hAnsi="Times New Roman"/>
          <w:sz w:val="24"/>
          <w:szCs w:val="24"/>
        </w:rPr>
        <w:t xml:space="preserve"> as shown in </w:t>
      </w:r>
      <w:proofErr w:type="spellStart"/>
      <w:r w:rsidRPr="00A75601">
        <w:rPr>
          <w:rFonts w:ascii="Times New Roman" w:hAnsi="Times New Roman"/>
          <w:sz w:val="24"/>
          <w:szCs w:val="24"/>
        </w:rPr>
        <w:t>Brunnermeier</w:t>
      </w:r>
      <w:proofErr w:type="spellEnd"/>
      <w:r w:rsidRPr="00A75601">
        <w:rPr>
          <w:rFonts w:ascii="Times New Roman" w:hAnsi="Times New Roman"/>
          <w:sz w:val="24"/>
          <w:szCs w:val="24"/>
        </w:rPr>
        <w:t xml:space="preserve"> and Pedersen (2009), the potential lack of funding liquidity prevents arbitrageurs from exploiting </w:t>
      </w:r>
      <w:proofErr w:type="spellStart"/>
      <w:r w:rsidRPr="00A75601">
        <w:rPr>
          <w:rFonts w:ascii="Times New Roman" w:hAnsi="Times New Roman"/>
          <w:sz w:val="24"/>
          <w:szCs w:val="24"/>
        </w:rPr>
        <w:t>mispricings</w:t>
      </w:r>
      <w:proofErr w:type="spellEnd"/>
      <w:r w:rsidRPr="00A75601">
        <w:rPr>
          <w:rFonts w:ascii="Times New Roman" w:hAnsi="Times New Roman"/>
          <w:sz w:val="24"/>
          <w:szCs w:val="24"/>
        </w:rPr>
        <w:t xml:space="preserve">. Our finding is supported by Das and </w:t>
      </w:r>
      <w:proofErr w:type="spellStart"/>
      <w:r w:rsidRPr="00A75601">
        <w:rPr>
          <w:rFonts w:ascii="Times New Roman" w:hAnsi="Times New Roman"/>
          <w:sz w:val="24"/>
          <w:szCs w:val="24"/>
        </w:rPr>
        <w:t>Hanouna</w:t>
      </w:r>
      <w:proofErr w:type="spellEnd"/>
      <w:r w:rsidRPr="00A75601">
        <w:rPr>
          <w:rFonts w:ascii="Times New Roman" w:hAnsi="Times New Roman"/>
          <w:sz w:val="24"/>
          <w:szCs w:val="24"/>
        </w:rPr>
        <w:t xml:space="preserve"> (2009), who</w:t>
      </w:r>
      <w:r w:rsidR="00A454DF" w:rsidRPr="00A75601">
        <w:rPr>
          <w:rFonts w:ascii="Times New Roman" w:hAnsi="Times New Roman"/>
          <w:sz w:val="24"/>
          <w:szCs w:val="24"/>
        </w:rPr>
        <w:t xml:space="preserve"> </w:t>
      </w:r>
      <w:r w:rsidR="00CA771C" w:rsidRPr="00A75601">
        <w:rPr>
          <w:rFonts w:ascii="Times New Roman" w:hAnsi="Times New Roman"/>
          <w:sz w:val="24"/>
          <w:szCs w:val="24"/>
        </w:rPr>
        <w:t>explain</w:t>
      </w:r>
      <w:r w:rsidRPr="00A75601">
        <w:rPr>
          <w:rFonts w:ascii="Times New Roman" w:hAnsi="Times New Roman"/>
          <w:sz w:val="24"/>
          <w:szCs w:val="24"/>
        </w:rPr>
        <w:t xml:space="preserve"> that equity </w:t>
      </w:r>
      <w:r w:rsidRPr="00A75601">
        <w:rPr>
          <w:rFonts w:ascii="Times New Roman" w:hAnsi="Times New Roman"/>
          <w:sz w:val="24"/>
          <w:szCs w:val="24"/>
        </w:rPr>
        <w:lastRenderedPageBreak/>
        <w:t>hedging costs increase when markets become more volatile, and Kapadia and Pu (201</w:t>
      </w:r>
      <w:r w:rsidR="0045389F" w:rsidRPr="00A75601">
        <w:rPr>
          <w:rFonts w:ascii="Times New Roman" w:hAnsi="Times New Roman"/>
          <w:sz w:val="24"/>
          <w:szCs w:val="24"/>
        </w:rPr>
        <w:t>2</w:t>
      </w:r>
      <w:r w:rsidRPr="00A75601">
        <w:rPr>
          <w:rFonts w:ascii="Times New Roman" w:hAnsi="Times New Roman"/>
          <w:sz w:val="24"/>
          <w:szCs w:val="24"/>
        </w:rPr>
        <w:t xml:space="preserve">), who show that limits to arbitrage can arise </w:t>
      </w:r>
      <w:r w:rsidR="00DB22B4" w:rsidRPr="00A75601">
        <w:rPr>
          <w:rFonts w:ascii="Times New Roman" w:hAnsi="Times New Roman"/>
          <w:sz w:val="24"/>
          <w:szCs w:val="24"/>
        </w:rPr>
        <w:t>due to worsening</w:t>
      </w:r>
      <w:r w:rsidRPr="00A75601">
        <w:rPr>
          <w:rFonts w:ascii="Times New Roman" w:hAnsi="Times New Roman"/>
          <w:sz w:val="24"/>
          <w:szCs w:val="24"/>
        </w:rPr>
        <w:t xml:space="preserve"> </w:t>
      </w:r>
      <w:r w:rsidR="0074136B" w:rsidRPr="00A75601">
        <w:rPr>
          <w:rFonts w:ascii="Times New Roman" w:hAnsi="Times New Roman"/>
          <w:sz w:val="24"/>
          <w:szCs w:val="24"/>
        </w:rPr>
        <w:t>market</w:t>
      </w:r>
      <w:r w:rsidR="00DB22B4" w:rsidRPr="00A75601">
        <w:rPr>
          <w:rFonts w:ascii="Times New Roman" w:hAnsi="Times New Roman"/>
          <w:sz w:val="24"/>
          <w:szCs w:val="24"/>
        </w:rPr>
        <w:t xml:space="preserve"> liquidity</w:t>
      </w:r>
      <w:r w:rsidRPr="00A75601">
        <w:rPr>
          <w:rFonts w:ascii="Times New Roman" w:hAnsi="Times New Roman"/>
          <w:sz w:val="24"/>
          <w:szCs w:val="24"/>
        </w:rPr>
        <w:t>. From the point of view of implementation, we are not able to perform a complete hedge on the days when such an anomaly occurs.</w:t>
      </w:r>
      <w:r w:rsidR="005B2D2B">
        <w:rPr>
          <w:rStyle w:val="EndnoteReference"/>
          <w:rFonts w:ascii="Times New Roman" w:hAnsi="Times New Roman"/>
          <w:sz w:val="24"/>
          <w:szCs w:val="24"/>
        </w:rPr>
        <w:endnoteReference w:id="15"/>
      </w:r>
      <w:r w:rsidRPr="00A75601">
        <w:rPr>
          <w:rFonts w:ascii="Times New Roman" w:hAnsi="Times New Roman"/>
          <w:sz w:val="24"/>
          <w:szCs w:val="24"/>
        </w:rPr>
        <w:t xml:space="preserve"> </w:t>
      </w:r>
      <w:r w:rsidR="005D5617" w:rsidRPr="00A75601">
        <w:rPr>
          <w:rFonts w:ascii="Times New Roman" w:hAnsi="Times New Roman"/>
          <w:sz w:val="24"/>
          <w:szCs w:val="24"/>
        </w:rPr>
        <w:t>In these cases</w:t>
      </w:r>
      <w:r w:rsidRPr="00A75601">
        <w:rPr>
          <w:rFonts w:ascii="Times New Roman" w:hAnsi="Times New Roman"/>
          <w:sz w:val="24"/>
          <w:szCs w:val="24"/>
        </w:rPr>
        <w:t xml:space="preserve">, we make sure that at least 10% of the notional amount of the CDS contract </w:t>
      </w:r>
      <w:r w:rsidR="0044533A" w:rsidRPr="00A75601">
        <w:rPr>
          <w:rFonts w:ascii="Times New Roman" w:hAnsi="Times New Roman"/>
          <w:sz w:val="24"/>
          <w:szCs w:val="24"/>
        </w:rPr>
        <w:t xml:space="preserve">is left </w:t>
      </w:r>
      <w:r w:rsidRPr="00A75601">
        <w:rPr>
          <w:rFonts w:ascii="Times New Roman" w:hAnsi="Times New Roman"/>
          <w:sz w:val="24"/>
          <w:szCs w:val="24"/>
        </w:rPr>
        <w:t xml:space="preserve">in the margin account and </w:t>
      </w:r>
      <w:r w:rsidR="00DB22B4" w:rsidRPr="00A75601">
        <w:rPr>
          <w:rFonts w:ascii="Times New Roman" w:hAnsi="Times New Roman"/>
          <w:sz w:val="24"/>
          <w:szCs w:val="24"/>
        </w:rPr>
        <w:t xml:space="preserve">can be used </w:t>
      </w:r>
      <w:r w:rsidR="0080013A">
        <w:rPr>
          <w:rFonts w:ascii="Times New Roman" w:hAnsi="Times New Roman"/>
          <w:sz w:val="24"/>
          <w:szCs w:val="24"/>
        </w:rPr>
        <w:t>for</w:t>
      </w:r>
      <w:r w:rsidR="009513F9" w:rsidRPr="00A75601">
        <w:rPr>
          <w:rFonts w:ascii="Times New Roman" w:hAnsi="Times New Roman"/>
          <w:sz w:val="24"/>
          <w:szCs w:val="24"/>
        </w:rPr>
        <w:t xml:space="preserve"> hedging</w:t>
      </w:r>
      <w:r w:rsidR="00D417FC" w:rsidRPr="00A75601">
        <w:rPr>
          <w:rFonts w:ascii="Times New Roman" w:hAnsi="Times New Roman"/>
          <w:sz w:val="24"/>
          <w:szCs w:val="24"/>
        </w:rPr>
        <w:t>.</w:t>
      </w:r>
      <w:r w:rsidR="00C875AE">
        <w:rPr>
          <w:rStyle w:val="EndnoteReference"/>
          <w:rFonts w:ascii="Times New Roman" w:hAnsi="Times New Roman"/>
          <w:sz w:val="24"/>
          <w:szCs w:val="24"/>
        </w:rPr>
        <w:endnoteReference w:id="16"/>
      </w:r>
      <w:r w:rsidRPr="00A75601">
        <w:rPr>
          <w:rFonts w:ascii="Times New Roman" w:hAnsi="Times New Roman"/>
          <w:sz w:val="24"/>
          <w:szCs w:val="24"/>
        </w:rPr>
        <w:t xml:space="preserve"> </w:t>
      </w:r>
    </w:p>
    <w:p w14:paraId="6000E745" w14:textId="77777777" w:rsidR="00FB1BBB" w:rsidRPr="00A75601" w:rsidRDefault="00D54BEA" w:rsidP="00A75601">
      <w:pPr>
        <w:spacing w:line="480" w:lineRule="auto"/>
        <w:jc w:val="both"/>
        <w:outlineLvl w:val="0"/>
        <w:rPr>
          <w:rFonts w:ascii="Times New Roman" w:hAnsi="Times New Roman"/>
          <w:sz w:val="24"/>
          <w:szCs w:val="24"/>
        </w:rPr>
      </w:pPr>
      <w:r>
        <w:rPr>
          <w:rFonts w:ascii="Times New Roman" w:hAnsi="Times New Roman"/>
          <w:sz w:val="24"/>
          <w:szCs w:val="24"/>
        </w:rPr>
        <w:t>Exhibit 5</w:t>
      </w:r>
      <w:r w:rsidR="00714D2D" w:rsidRPr="00A75601">
        <w:rPr>
          <w:rFonts w:ascii="Times New Roman" w:hAnsi="Times New Roman"/>
          <w:sz w:val="24"/>
          <w:szCs w:val="24"/>
        </w:rPr>
        <w:t xml:space="preserve"> show</w:t>
      </w:r>
      <w:r>
        <w:rPr>
          <w:rFonts w:ascii="Times New Roman" w:hAnsi="Times New Roman"/>
          <w:sz w:val="24"/>
          <w:szCs w:val="24"/>
        </w:rPr>
        <w:t>s</w:t>
      </w:r>
      <w:r w:rsidR="00714D2D" w:rsidRPr="00A75601">
        <w:rPr>
          <w:rFonts w:ascii="Times New Roman" w:hAnsi="Times New Roman"/>
          <w:sz w:val="24"/>
          <w:szCs w:val="24"/>
        </w:rPr>
        <w:t xml:space="preserve"> the summary statistics </w:t>
      </w:r>
      <w:r w:rsidR="00827105">
        <w:rPr>
          <w:rFonts w:ascii="Times New Roman" w:hAnsi="Times New Roman"/>
          <w:sz w:val="24"/>
          <w:szCs w:val="24"/>
        </w:rPr>
        <w:t>of</w:t>
      </w:r>
      <w:r w:rsidR="00714D2D" w:rsidRPr="00A75601">
        <w:rPr>
          <w:rFonts w:ascii="Times New Roman" w:hAnsi="Times New Roman"/>
          <w:sz w:val="24"/>
          <w:szCs w:val="24"/>
        </w:rPr>
        <w:t xml:space="preserve"> the monthly excess returns of the </w:t>
      </w:r>
      <w:r w:rsidR="00AE4AD2" w:rsidRPr="00A75601">
        <w:rPr>
          <w:rFonts w:ascii="Times New Roman" w:hAnsi="Times New Roman"/>
          <w:sz w:val="24"/>
          <w:szCs w:val="24"/>
        </w:rPr>
        <w:t>4</w:t>
      </w:r>
      <w:r w:rsidR="00714D2D" w:rsidRPr="00A75601">
        <w:rPr>
          <w:rFonts w:ascii="Times New Roman" w:hAnsi="Times New Roman"/>
          <w:sz w:val="24"/>
          <w:szCs w:val="24"/>
        </w:rPr>
        <w:t xml:space="preserve"> strategies for the pre-crisis period and the crisis per</w:t>
      </w:r>
      <w:r w:rsidR="00573FAC">
        <w:rPr>
          <w:rFonts w:ascii="Times New Roman" w:hAnsi="Times New Roman"/>
          <w:sz w:val="24"/>
          <w:szCs w:val="24"/>
        </w:rPr>
        <w:t>iod</w:t>
      </w:r>
      <w:r w:rsidR="00714D2D" w:rsidRPr="00A75601">
        <w:rPr>
          <w:rFonts w:ascii="Times New Roman" w:hAnsi="Times New Roman"/>
          <w:sz w:val="24"/>
          <w:szCs w:val="24"/>
        </w:rPr>
        <w:t xml:space="preserve">. We implement the strategies separately for investment and speculative grade companies by using </w:t>
      </w:r>
      <w:r w:rsidR="00573FAC">
        <w:rPr>
          <w:rFonts w:ascii="Times New Roman" w:hAnsi="Times New Roman"/>
          <w:sz w:val="24"/>
          <w:szCs w:val="24"/>
        </w:rPr>
        <w:t xml:space="preserve">a </w:t>
      </w:r>
      <w:r w:rsidR="00714D2D" w:rsidRPr="00A75601">
        <w:rPr>
          <w:rFonts w:ascii="Times New Roman" w:hAnsi="Times New Roman"/>
          <w:sz w:val="24"/>
          <w:szCs w:val="24"/>
        </w:rPr>
        <w:t xml:space="preserve">holding period </w:t>
      </w:r>
      <w:r w:rsidR="00573FAC">
        <w:rPr>
          <w:rFonts w:ascii="Times New Roman" w:hAnsi="Times New Roman"/>
          <w:sz w:val="24"/>
          <w:szCs w:val="24"/>
        </w:rPr>
        <w:t>of</w:t>
      </w:r>
      <w:r w:rsidR="00714D2D" w:rsidRPr="00A75601">
        <w:rPr>
          <w:rFonts w:ascii="Times New Roman" w:hAnsi="Times New Roman"/>
          <w:sz w:val="24"/>
          <w:szCs w:val="24"/>
        </w:rPr>
        <w:t xml:space="preserve"> 180 days</w:t>
      </w:r>
      <w:r w:rsidR="00573FAC">
        <w:rPr>
          <w:rStyle w:val="EndnoteReference"/>
          <w:rFonts w:ascii="Times New Roman" w:hAnsi="Times New Roman"/>
          <w:sz w:val="24"/>
          <w:szCs w:val="24"/>
        </w:rPr>
        <w:endnoteReference w:id="17"/>
      </w:r>
      <w:r w:rsidR="00714D2D" w:rsidRPr="00A75601">
        <w:rPr>
          <w:rFonts w:ascii="Times New Roman" w:hAnsi="Times New Roman"/>
          <w:sz w:val="24"/>
          <w:szCs w:val="24"/>
        </w:rPr>
        <w:t xml:space="preserve"> and </w:t>
      </w:r>
      <w:r w:rsidR="00CE739D" w:rsidRPr="00A75601">
        <w:rPr>
          <w:rFonts w:ascii="Times New Roman" w:hAnsi="Times New Roman"/>
          <w:i/>
          <w:sz w:val="24"/>
          <w:szCs w:val="24"/>
        </w:rPr>
        <w:t>θ</w:t>
      </w:r>
      <w:r w:rsidR="00CE739D" w:rsidRPr="00A75601">
        <w:rPr>
          <w:rFonts w:ascii="Times New Roman" w:hAnsi="Times New Roman"/>
          <w:sz w:val="24"/>
          <w:szCs w:val="24"/>
        </w:rPr>
        <w:t xml:space="preserve"> </w:t>
      </w:r>
      <w:r w:rsidR="00293438" w:rsidRPr="00A75601">
        <w:rPr>
          <w:rFonts w:ascii="Times New Roman" w:hAnsi="Times New Roman"/>
          <w:sz w:val="24"/>
          <w:szCs w:val="24"/>
        </w:rPr>
        <w:t xml:space="preserve">trading </w:t>
      </w:r>
      <w:r w:rsidR="00714D2D" w:rsidRPr="00A75601">
        <w:rPr>
          <w:rFonts w:ascii="Times New Roman" w:hAnsi="Times New Roman"/>
          <w:sz w:val="24"/>
          <w:szCs w:val="24"/>
        </w:rPr>
        <w:t xml:space="preserve">triggers of 0.5 and 2, to be consistent with previous studies. </w:t>
      </w:r>
      <w:r w:rsidR="002A1E2A" w:rsidRPr="00A75601">
        <w:rPr>
          <w:rFonts w:ascii="Times New Roman" w:hAnsi="Times New Roman"/>
          <w:sz w:val="24"/>
          <w:szCs w:val="24"/>
        </w:rPr>
        <w:t>As in</w:t>
      </w:r>
      <w:r w:rsidR="00714D2D" w:rsidRPr="00A75601">
        <w:rPr>
          <w:rFonts w:ascii="Times New Roman" w:hAnsi="Times New Roman"/>
          <w:sz w:val="24"/>
          <w:szCs w:val="24"/>
        </w:rPr>
        <w:t xml:space="preserve"> Yu (2006) and Duarte et al. (2007), increasing the </w:t>
      </w:r>
      <w:r w:rsidR="00293438" w:rsidRPr="00A75601">
        <w:rPr>
          <w:rFonts w:ascii="Times New Roman" w:hAnsi="Times New Roman"/>
          <w:sz w:val="24"/>
          <w:szCs w:val="24"/>
        </w:rPr>
        <w:t>trading</w:t>
      </w:r>
      <w:r w:rsidR="00CE739D" w:rsidRPr="00A75601">
        <w:rPr>
          <w:rFonts w:ascii="Times New Roman" w:hAnsi="Times New Roman"/>
          <w:sz w:val="24"/>
          <w:szCs w:val="24"/>
        </w:rPr>
        <w:t xml:space="preserve"> </w:t>
      </w:r>
      <w:r w:rsidR="00714D2D" w:rsidRPr="00A75601">
        <w:rPr>
          <w:rFonts w:ascii="Times New Roman" w:hAnsi="Times New Roman"/>
          <w:sz w:val="24"/>
          <w:szCs w:val="24"/>
        </w:rPr>
        <w:t>trigger from 0.5 to 2 generates higher monthly mean returns and higher Sharpe ratios for Strateg</w:t>
      </w:r>
      <w:r w:rsidR="0080013A">
        <w:rPr>
          <w:rFonts w:ascii="Times New Roman" w:hAnsi="Times New Roman"/>
          <w:sz w:val="24"/>
          <w:szCs w:val="24"/>
        </w:rPr>
        <w:t>ies</w:t>
      </w:r>
      <w:r w:rsidR="00714D2D" w:rsidRPr="00A75601">
        <w:rPr>
          <w:rFonts w:ascii="Times New Roman" w:hAnsi="Times New Roman"/>
          <w:sz w:val="24"/>
          <w:szCs w:val="24"/>
        </w:rPr>
        <w:t xml:space="preserve"> 1</w:t>
      </w:r>
      <w:r w:rsidR="0080013A">
        <w:rPr>
          <w:rFonts w:ascii="Times New Roman" w:hAnsi="Times New Roman"/>
          <w:sz w:val="24"/>
          <w:szCs w:val="24"/>
        </w:rPr>
        <w:t xml:space="preserve"> and</w:t>
      </w:r>
      <w:r w:rsidR="00714D2D" w:rsidRPr="00A75601">
        <w:rPr>
          <w:rFonts w:ascii="Times New Roman" w:hAnsi="Times New Roman"/>
          <w:sz w:val="24"/>
          <w:szCs w:val="24"/>
        </w:rPr>
        <w:t xml:space="preserve"> 2. However, this relationship does</w:t>
      </w:r>
      <w:r w:rsidR="006656AF" w:rsidRPr="00A75601">
        <w:rPr>
          <w:rFonts w:ascii="Times New Roman" w:hAnsi="Times New Roman"/>
          <w:sz w:val="24"/>
          <w:szCs w:val="24"/>
        </w:rPr>
        <w:t xml:space="preserve"> not</w:t>
      </w:r>
      <w:r w:rsidR="00714D2D" w:rsidRPr="00A75601">
        <w:rPr>
          <w:rFonts w:ascii="Times New Roman" w:hAnsi="Times New Roman"/>
          <w:sz w:val="24"/>
          <w:szCs w:val="24"/>
        </w:rPr>
        <w:t xml:space="preserve"> always hold for Strategies 3</w:t>
      </w:r>
      <w:r w:rsidR="00637AD8" w:rsidRPr="00A75601">
        <w:rPr>
          <w:rFonts w:ascii="Times New Roman" w:hAnsi="Times New Roman"/>
          <w:sz w:val="24"/>
          <w:szCs w:val="24"/>
        </w:rPr>
        <w:t xml:space="preserve"> and</w:t>
      </w:r>
      <w:r w:rsidR="00714D2D" w:rsidRPr="00A75601">
        <w:rPr>
          <w:rFonts w:ascii="Times New Roman" w:hAnsi="Times New Roman"/>
          <w:sz w:val="24"/>
          <w:szCs w:val="24"/>
        </w:rPr>
        <w:t xml:space="preserve"> 4</w:t>
      </w:r>
      <w:r w:rsidR="005D5617" w:rsidRPr="00A75601">
        <w:rPr>
          <w:rFonts w:ascii="Times New Roman" w:hAnsi="Times New Roman"/>
          <w:sz w:val="24"/>
          <w:szCs w:val="24"/>
        </w:rPr>
        <w:t>,</w:t>
      </w:r>
      <w:r w:rsidR="00714D2D" w:rsidRPr="00A75601">
        <w:rPr>
          <w:rFonts w:ascii="Times New Roman" w:hAnsi="Times New Roman"/>
          <w:sz w:val="24"/>
          <w:szCs w:val="24"/>
        </w:rPr>
        <w:t xml:space="preserve"> because they </w:t>
      </w:r>
      <w:r w:rsidR="00827105">
        <w:rPr>
          <w:rFonts w:ascii="Times New Roman" w:hAnsi="Times New Roman"/>
          <w:sz w:val="24"/>
          <w:szCs w:val="24"/>
        </w:rPr>
        <w:t>avoid</w:t>
      </w:r>
      <w:r w:rsidR="002A1E2A" w:rsidRPr="00A75601">
        <w:rPr>
          <w:rFonts w:ascii="Times New Roman" w:hAnsi="Times New Roman"/>
          <w:sz w:val="24"/>
          <w:szCs w:val="24"/>
        </w:rPr>
        <w:t xml:space="preserve"> </w:t>
      </w:r>
      <w:r w:rsidR="00714D2D" w:rsidRPr="00A75601">
        <w:rPr>
          <w:rFonts w:ascii="Times New Roman" w:hAnsi="Times New Roman"/>
          <w:sz w:val="24"/>
          <w:szCs w:val="24"/>
        </w:rPr>
        <w:t>hedg</w:t>
      </w:r>
      <w:r w:rsidR="002A1E2A" w:rsidRPr="00A75601">
        <w:rPr>
          <w:rFonts w:ascii="Times New Roman" w:hAnsi="Times New Roman"/>
          <w:sz w:val="24"/>
          <w:szCs w:val="24"/>
        </w:rPr>
        <w:t>ing</w:t>
      </w:r>
      <w:r w:rsidR="00714D2D" w:rsidRPr="00A75601">
        <w:rPr>
          <w:rFonts w:ascii="Times New Roman" w:hAnsi="Times New Roman"/>
          <w:sz w:val="24"/>
          <w:szCs w:val="24"/>
        </w:rPr>
        <w:t>. Further</w:t>
      </w:r>
      <w:r w:rsidR="002A1E2A" w:rsidRPr="00A75601">
        <w:rPr>
          <w:rFonts w:ascii="Times New Roman" w:hAnsi="Times New Roman"/>
          <w:sz w:val="24"/>
          <w:szCs w:val="24"/>
        </w:rPr>
        <w:t>more</w:t>
      </w:r>
      <w:r w:rsidR="00714D2D" w:rsidRPr="00A75601">
        <w:rPr>
          <w:rFonts w:ascii="Times New Roman" w:hAnsi="Times New Roman"/>
          <w:sz w:val="24"/>
          <w:szCs w:val="24"/>
        </w:rPr>
        <w:t>, speculative grade entities produce higher Sharpe ratios than the investment grade obligors for Strateg</w:t>
      </w:r>
      <w:r w:rsidR="00637AD8" w:rsidRPr="00A75601">
        <w:rPr>
          <w:rFonts w:ascii="Times New Roman" w:hAnsi="Times New Roman"/>
          <w:sz w:val="24"/>
          <w:szCs w:val="24"/>
        </w:rPr>
        <w:t>y</w:t>
      </w:r>
      <w:r w:rsidR="00714D2D" w:rsidRPr="00A75601">
        <w:rPr>
          <w:rFonts w:ascii="Times New Roman" w:hAnsi="Times New Roman"/>
          <w:sz w:val="24"/>
          <w:szCs w:val="24"/>
        </w:rPr>
        <w:t xml:space="preserve"> 4. </w:t>
      </w:r>
    </w:p>
    <w:p w14:paraId="1DB5208E" w14:textId="77777777" w:rsidR="00052E05" w:rsidRPr="00A75601" w:rsidRDefault="00FB1BBB" w:rsidP="00A75601">
      <w:pPr>
        <w:spacing w:line="480" w:lineRule="auto"/>
        <w:jc w:val="both"/>
        <w:outlineLvl w:val="0"/>
        <w:rPr>
          <w:rFonts w:ascii="Times New Roman" w:hAnsi="Times New Roman"/>
          <w:sz w:val="24"/>
          <w:szCs w:val="24"/>
        </w:rPr>
      </w:pPr>
      <w:r w:rsidRPr="00A75601">
        <w:rPr>
          <w:rFonts w:ascii="Times New Roman" w:hAnsi="Times New Roman"/>
          <w:sz w:val="24"/>
          <w:szCs w:val="24"/>
        </w:rPr>
        <w:t xml:space="preserve">Ranking strategies’ portfolios according to the Sharpe ratio when excess returns are negative can be counterintuitive. In order to avoid this anomaly, we also report </w:t>
      </w:r>
      <w:r w:rsidR="009513F9" w:rsidRPr="00A75601">
        <w:rPr>
          <w:rFonts w:ascii="Times New Roman" w:hAnsi="Times New Roman"/>
          <w:sz w:val="24"/>
          <w:szCs w:val="24"/>
        </w:rPr>
        <w:t>the</w:t>
      </w:r>
      <w:r w:rsidRPr="00A75601">
        <w:rPr>
          <w:rFonts w:ascii="Times New Roman" w:hAnsi="Times New Roman"/>
          <w:sz w:val="24"/>
          <w:szCs w:val="24"/>
        </w:rPr>
        <w:t xml:space="preserve"> modified Sharpe ratio proposed by </w:t>
      </w:r>
      <w:proofErr w:type="spellStart"/>
      <w:r w:rsidRPr="00A75601">
        <w:rPr>
          <w:rFonts w:ascii="Times New Roman" w:hAnsi="Times New Roman"/>
          <w:sz w:val="24"/>
          <w:szCs w:val="24"/>
        </w:rPr>
        <w:t>Israelsen</w:t>
      </w:r>
      <w:proofErr w:type="spellEnd"/>
      <w:r w:rsidRPr="00A75601">
        <w:rPr>
          <w:rFonts w:ascii="Times New Roman" w:hAnsi="Times New Roman"/>
          <w:sz w:val="24"/>
          <w:szCs w:val="24"/>
        </w:rPr>
        <w:t xml:space="preserve"> (2005).</w:t>
      </w:r>
      <w:r w:rsidR="00D6531B" w:rsidRPr="00A75601">
        <w:rPr>
          <w:rFonts w:ascii="Times New Roman" w:hAnsi="Times New Roman"/>
          <w:sz w:val="24"/>
          <w:szCs w:val="24"/>
        </w:rPr>
        <w:t xml:space="preserve"> </w:t>
      </w:r>
      <w:r w:rsidR="00714D2D" w:rsidRPr="00A75601">
        <w:rPr>
          <w:rFonts w:ascii="Times New Roman" w:hAnsi="Times New Roman"/>
          <w:sz w:val="24"/>
          <w:szCs w:val="24"/>
        </w:rPr>
        <w:t xml:space="preserve">Strategy 1 generates negative Sharpe ratios both before and during the crisis. </w:t>
      </w:r>
      <w:r w:rsidRPr="00A75601">
        <w:rPr>
          <w:rFonts w:ascii="Times New Roman" w:hAnsi="Times New Roman"/>
          <w:sz w:val="24"/>
          <w:szCs w:val="24"/>
        </w:rPr>
        <w:t>In the pre-crisis period, with regard to the investment grade category, the un-hedged strategies (Strategy 3</w:t>
      </w:r>
      <w:r w:rsidR="00316CD6" w:rsidRPr="00A75601">
        <w:rPr>
          <w:rFonts w:ascii="Times New Roman" w:hAnsi="Times New Roman"/>
          <w:sz w:val="24"/>
          <w:szCs w:val="24"/>
        </w:rPr>
        <w:t xml:space="preserve"> and</w:t>
      </w:r>
      <w:r w:rsidR="0080013A">
        <w:rPr>
          <w:rFonts w:ascii="Times New Roman" w:hAnsi="Times New Roman"/>
          <w:sz w:val="24"/>
          <w:szCs w:val="24"/>
        </w:rPr>
        <w:t xml:space="preserve"> 4) underperform </w:t>
      </w:r>
      <w:r w:rsidRPr="00A75601">
        <w:rPr>
          <w:rFonts w:ascii="Times New Roman" w:hAnsi="Times New Roman"/>
          <w:sz w:val="24"/>
          <w:szCs w:val="24"/>
        </w:rPr>
        <w:t>Strateg</w:t>
      </w:r>
      <w:r w:rsidR="0080013A">
        <w:rPr>
          <w:rFonts w:ascii="Times New Roman" w:hAnsi="Times New Roman"/>
          <w:sz w:val="24"/>
          <w:szCs w:val="24"/>
        </w:rPr>
        <w:t>ies 1 and 2</w:t>
      </w:r>
      <w:r w:rsidRPr="00A75601">
        <w:rPr>
          <w:rFonts w:ascii="Times New Roman" w:hAnsi="Times New Roman"/>
          <w:sz w:val="24"/>
          <w:szCs w:val="24"/>
        </w:rPr>
        <w:t>. An analysis of the speculative grade catego</w:t>
      </w:r>
      <w:r w:rsidR="00827105">
        <w:rPr>
          <w:rFonts w:ascii="Times New Roman" w:hAnsi="Times New Roman"/>
          <w:sz w:val="24"/>
          <w:szCs w:val="24"/>
        </w:rPr>
        <w:t>ry reveals a less clear pattern</w:t>
      </w:r>
      <w:r w:rsidRPr="00A75601">
        <w:rPr>
          <w:rFonts w:ascii="Times New Roman" w:hAnsi="Times New Roman"/>
          <w:sz w:val="24"/>
          <w:szCs w:val="24"/>
        </w:rPr>
        <w:t>.</w:t>
      </w:r>
      <w:r w:rsidR="00D6531B" w:rsidRPr="00A75601">
        <w:rPr>
          <w:rFonts w:ascii="Times New Roman" w:hAnsi="Times New Roman"/>
          <w:sz w:val="24"/>
          <w:szCs w:val="24"/>
        </w:rPr>
        <w:t xml:space="preserve"> </w:t>
      </w:r>
      <w:r w:rsidRPr="00A75601">
        <w:rPr>
          <w:rFonts w:ascii="Times New Roman" w:hAnsi="Times New Roman"/>
          <w:sz w:val="24"/>
          <w:szCs w:val="24"/>
        </w:rPr>
        <w:t xml:space="preserve">Based on the modified Sharpe ratio, we can clearly notice how, during the pre-crisis period, the new strategies (except for Strategy 2 in the case of investment grade obligors) show a higher volatility of returns and, for this reason, would be worse ranked compared to the CSA strategy. The higher level of volatility induced by the un-hedged strategies can also be observed more clearly in </w:t>
      </w:r>
      <w:r w:rsidR="00703A3F">
        <w:rPr>
          <w:rFonts w:ascii="Times New Roman" w:hAnsi="Times New Roman"/>
          <w:sz w:val="24"/>
          <w:szCs w:val="24"/>
        </w:rPr>
        <w:t>Exhibit 6</w:t>
      </w:r>
      <w:r w:rsidRPr="00A75601">
        <w:rPr>
          <w:rFonts w:ascii="Times New Roman" w:hAnsi="Times New Roman"/>
          <w:sz w:val="24"/>
          <w:szCs w:val="24"/>
        </w:rPr>
        <w:t xml:space="preserve">, which shows the evolution of monthly excess returns for all strategies. </w:t>
      </w:r>
    </w:p>
    <w:p w14:paraId="48AE9CEF" w14:textId="77777777" w:rsidR="00FB1BBB" w:rsidRPr="00A75601" w:rsidRDefault="00726F8B" w:rsidP="00A75601">
      <w:pPr>
        <w:spacing w:line="480" w:lineRule="auto"/>
        <w:jc w:val="both"/>
        <w:outlineLvl w:val="0"/>
        <w:rPr>
          <w:rFonts w:ascii="Times New Roman" w:hAnsi="Times New Roman"/>
          <w:sz w:val="24"/>
          <w:szCs w:val="24"/>
        </w:rPr>
      </w:pPr>
      <w:r>
        <w:rPr>
          <w:rFonts w:ascii="Times New Roman" w:hAnsi="Times New Roman"/>
          <w:sz w:val="24"/>
          <w:szCs w:val="24"/>
        </w:rPr>
        <w:lastRenderedPageBreak/>
        <w:t>During</w:t>
      </w:r>
      <w:r w:rsidR="00FB1BBB" w:rsidRPr="00A75601">
        <w:rPr>
          <w:rFonts w:ascii="Times New Roman" w:hAnsi="Times New Roman"/>
          <w:sz w:val="24"/>
          <w:szCs w:val="24"/>
        </w:rPr>
        <w:t xml:space="preserve"> the crisis period</w:t>
      </w:r>
      <w:r>
        <w:rPr>
          <w:rFonts w:ascii="Times New Roman" w:hAnsi="Times New Roman"/>
          <w:sz w:val="24"/>
          <w:szCs w:val="24"/>
        </w:rPr>
        <w:t>,</w:t>
      </w:r>
      <w:r w:rsidR="00FB1BBB" w:rsidRPr="00A75601">
        <w:rPr>
          <w:rFonts w:ascii="Times New Roman" w:hAnsi="Times New Roman"/>
          <w:sz w:val="24"/>
          <w:szCs w:val="24"/>
        </w:rPr>
        <w:t xml:space="preserve"> all the new strategies outperform Strategy 1 for investment grade firms, whereas Strategy 3 is the only one to perform worse than Strategy 1 for speculative grade companies. In particular, focusing on the investment grade category, the un-hedged strategies (Strategy 3</w:t>
      </w:r>
      <w:r w:rsidR="00316CD6" w:rsidRPr="00A75601">
        <w:rPr>
          <w:rFonts w:ascii="Times New Roman" w:hAnsi="Times New Roman"/>
          <w:sz w:val="24"/>
          <w:szCs w:val="24"/>
        </w:rPr>
        <w:t xml:space="preserve"> and</w:t>
      </w:r>
      <w:r w:rsidR="00FB1BBB" w:rsidRPr="00A75601">
        <w:rPr>
          <w:rFonts w:ascii="Times New Roman" w:hAnsi="Times New Roman"/>
          <w:sz w:val="24"/>
          <w:szCs w:val="24"/>
        </w:rPr>
        <w:t xml:space="preserve"> 4) give the highest Sharpe ratios for </w:t>
      </w:r>
      <w:r w:rsidR="009946C9">
        <w:rPr>
          <w:rFonts w:ascii="Times New Roman" w:hAnsi="Times New Roman"/>
          <w:sz w:val="24"/>
          <w:szCs w:val="24"/>
        </w:rPr>
        <w:t xml:space="preserve">a </w:t>
      </w:r>
      <w:r w:rsidR="00FB1BBB" w:rsidRPr="00A75601">
        <w:rPr>
          <w:rFonts w:ascii="Times New Roman" w:hAnsi="Times New Roman"/>
          <w:sz w:val="24"/>
          <w:szCs w:val="24"/>
        </w:rPr>
        <w:t xml:space="preserve">trading trigger of 2, with Strategy 3 giving the highest Sharpe ratio of 1.24. Relative to the speculative grade category, Strategy 4 is the one with the highest Sharpe ratios for any trading trigger. </w:t>
      </w:r>
    </w:p>
    <w:p w14:paraId="6DC76340" w14:textId="77777777" w:rsidR="00EF1286" w:rsidRPr="00A75601" w:rsidRDefault="00726F8B" w:rsidP="00A75601">
      <w:pPr>
        <w:spacing w:line="480" w:lineRule="auto"/>
        <w:jc w:val="both"/>
        <w:outlineLvl w:val="0"/>
        <w:rPr>
          <w:rFonts w:ascii="Times New Roman" w:hAnsi="Times New Roman"/>
          <w:sz w:val="24"/>
          <w:szCs w:val="24"/>
        </w:rPr>
      </w:pPr>
      <w:r>
        <w:rPr>
          <w:rFonts w:ascii="Times New Roman" w:hAnsi="Times New Roman"/>
          <w:sz w:val="24"/>
          <w:szCs w:val="24"/>
        </w:rPr>
        <w:t xml:space="preserve">Exhibit </w:t>
      </w:r>
      <w:r w:rsidR="00295191">
        <w:rPr>
          <w:rFonts w:ascii="Times New Roman" w:hAnsi="Times New Roman"/>
          <w:sz w:val="24"/>
          <w:szCs w:val="24"/>
        </w:rPr>
        <w:t>7</w:t>
      </w:r>
      <w:r w:rsidR="00EF1286" w:rsidRPr="00A75601">
        <w:rPr>
          <w:rFonts w:ascii="Times New Roman" w:hAnsi="Times New Roman"/>
          <w:sz w:val="24"/>
          <w:szCs w:val="24"/>
        </w:rPr>
        <w:t xml:space="preserve"> presents the evolution of monthly cumulative excess returns for all strategies.</w:t>
      </w:r>
      <w:r w:rsidR="001319B4">
        <w:rPr>
          <w:rFonts w:ascii="Times New Roman" w:hAnsi="Times New Roman"/>
          <w:sz w:val="24"/>
          <w:szCs w:val="24"/>
        </w:rPr>
        <w:t xml:space="preserve"> </w:t>
      </w:r>
      <w:r w:rsidR="00EF1286" w:rsidRPr="00A75601">
        <w:rPr>
          <w:rFonts w:ascii="Times New Roman" w:hAnsi="Times New Roman"/>
          <w:sz w:val="24"/>
          <w:szCs w:val="24"/>
        </w:rPr>
        <w:t>Strateg</w:t>
      </w:r>
      <w:r w:rsidR="00827105">
        <w:rPr>
          <w:rFonts w:ascii="Times New Roman" w:hAnsi="Times New Roman"/>
          <w:sz w:val="24"/>
          <w:szCs w:val="24"/>
        </w:rPr>
        <w:t>ies</w:t>
      </w:r>
      <w:r w:rsidR="00EF1286" w:rsidRPr="00A75601">
        <w:rPr>
          <w:rFonts w:ascii="Times New Roman" w:hAnsi="Times New Roman"/>
          <w:sz w:val="24"/>
          <w:szCs w:val="24"/>
        </w:rPr>
        <w:t xml:space="preserve"> 3</w:t>
      </w:r>
      <w:r w:rsidR="00316CD6" w:rsidRPr="00A75601">
        <w:rPr>
          <w:rFonts w:ascii="Times New Roman" w:hAnsi="Times New Roman"/>
          <w:sz w:val="24"/>
          <w:szCs w:val="24"/>
        </w:rPr>
        <w:t xml:space="preserve"> and</w:t>
      </w:r>
      <w:r w:rsidR="00EF1286" w:rsidRPr="00A75601">
        <w:rPr>
          <w:rFonts w:ascii="Times New Roman" w:hAnsi="Times New Roman"/>
          <w:sz w:val="24"/>
          <w:szCs w:val="24"/>
        </w:rPr>
        <w:t xml:space="preserve"> 4, while </w:t>
      </w:r>
      <w:r w:rsidR="000D27E4" w:rsidRPr="00A75601">
        <w:rPr>
          <w:rFonts w:ascii="Times New Roman" w:hAnsi="Times New Roman"/>
          <w:sz w:val="24"/>
          <w:szCs w:val="24"/>
        </w:rPr>
        <w:t>incurring</w:t>
      </w:r>
      <w:r w:rsidR="00EF1286" w:rsidRPr="00A75601">
        <w:rPr>
          <w:rFonts w:ascii="Times New Roman" w:hAnsi="Times New Roman"/>
          <w:sz w:val="24"/>
          <w:szCs w:val="24"/>
        </w:rPr>
        <w:t xml:space="preserve"> bigger losses</w:t>
      </w:r>
      <w:r w:rsidR="000D27E4" w:rsidRPr="00A75601">
        <w:rPr>
          <w:rFonts w:ascii="Times New Roman" w:hAnsi="Times New Roman"/>
          <w:sz w:val="24"/>
          <w:szCs w:val="24"/>
        </w:rPr>
        <w:t xml:space="preserve"> and s</w:t>
      </w:r>
      <w:r w:rsidR="00421E5D" w:rsidRPr="00A75601">
        <w:rPr>
          <w:rFonts w:ascii="Times New Roman" w:hAnsi="Times New Roman"/>
          <w:sz w:val="24"/>
          <w:szCs w:val="24"/>
        </w:rPr>
        <w:t>ubstantial</w:t>
      </w:r>
      <w:r w:rsidR="000D27E4" w:rsidRPr="00A75601">
        <w:rPr>
          <w:rFonts w:ascii="Times New Roman" w:hAnsi="Times New Roman"/>
          <w:sz w:val="24"/>
          <w:szCs w:val="24"/>
        </w:rPr>
        <w:t xml:space="preserve"> drawdowns</w:t>
      </w:r>
      <w:r w:rsidR="00EF1286" w:rsidRPr="00A75601">
        <w:rPr>
          <w:rFonts w:ascii="Times New Roman" w:hAnsi="Times New Roman"/>
          <w:sz w:val="24"/>
          <w:szCs w:val="24"/>
        </w:rPr>
        <w:t xml:space="preserve"> than Strategy 1 and 2 during the pre-crisis period, stop making losses right at the start of the financial crisis, whereas Strategy 1 and 2 continue making losses until the beginning of 2009.</w:t>
      </w:r>
      <w:r w:rsidR="00421E5D" w:rsidRPr="00A75601">
        <w:rPr>
          <w:rFonts w:ascii="Times New Roman" w:hAnsi="Times New Roman"/>
          <w:sz w:val="24"/>
          <w:szCs w:val="24"/>
        </w:rPr>
        <w:t xml:space="preserve"> </w:t>
      </w:r>
      <w:r w:rsidR="00B72C7E" w:rsidRPr="00A75601">
        <w:rPr>
          <w:rFonts w:ascii="Times New Roman" w:hAnsi="Times New Roman"/>
          <w:sz w:val="24"/>
          <w:szCs w:val="24"/>
        </w:rPr>
        <w:t>I</w:t>
      </w:r>
      <w:r w:rsidR="00421E5D" w:rsidRPr="00A75601">
        <w:rPr>
          <w:rFonts w:ascii="Times New Roman" w:hAnsi="Times New Roman"/>
          <w:sz w:val="24"/>
          <w:szCs w:val="24"/>
        </w:rPr>
        <w:t xml:space="preserve">t </w:t>
      </w:r>
      <w:r w:rsidR="00916A01">
        <w:rPr>
          <w:rFonts w:ascii="Times New Roman" w:hAnsi="Times New Roman"/>
          <w:sz w:val="24"/>
          <w:szCs w:val="24"/>
        </w:rPr>
        <w:t>i</w:t>
      </w:r>
      <w:r w:rsidR="001319B4">
        <w:rPr>
          <w:rFonts w:ascii="Times New Roman" w:hAnsi="Times New Roman"/>
          <w:sz w:val="24"/>
          <w:szCs w:val="24"/>
        </w:rPr>
        <w:t xml:space="preserve">s </w:t>
      </w:r>
      <w:r w:rsidR="00916A01">
        <w:rPr>
          <w:rFonts w:ascii="Times New Roman" w:hAnsi="Times New Roman"/>
          <w:sz w:val="24"/>
          <w:szCs w:val="24"/>
        </w:rPr>
        <w:t>worth noticing</w:t>
      </w:r>
      <w:r w:rsidR="00421E5D" w:rsidRPr="00A75601">
        <w:rPr>
          <w:rFonts w:ascii="Times New Roman" w:hAnsi="Times New Roman"/>
          <w:sz w:val="24"/>
          <w:szCs w:val="24"/>
        </w:rPr>
        <w:t xml:space="preserve"> that the cumulative returns </w:t>
      </w:r>
      <w:r w:rsidR="001319B4">
        <w:rPr>
          <w:rFonts w:ascii="Times New Roman" w:hAnsi="Times New Roman"/>
          <w:sz w:val="24"/>
          <w:szCs w:val="24"/>
        </w:rPr>
        <w:t>of</w:t>
      </w:r>
      <w:r w:rsidR="00421E5D" w:rsidRPr="00A75601">
        <w:rPr>
          <w:rFonts w:ascii="Times New Roman" w:hAnsi="Times New Roman"/>
          <w:sz w:val="24"/>
          <w:szCs w:val="24"/>
        </w:rPr>
        <w:t xml:space="preserve"> Strategy 4 are </w:t>
      </w:r>
      <w:r w:rsidR="008153B0" w:rsidRPr="00A75601">
        <w:rPr>
          <w:rFonts w:ascii="Times New Roman" w:hAnsi="Times New Roman"/>
          <w:sz w:val="24"/>
          <w:szCs w:val="24"/>
        </w:rPr>
        <w:t xml:space="preserve">almost </w:t>
      </w:r>
      <w:r w:rsidR="00421E5D" w:rsidRPr="00A75601">
        <w:rPr>
          <w:rFonts w:ascii="Times New Roman" w:hAnsi="Times New Roman"/>
          <w:sz w:val="24"/>
          <w:szCs w:val="24"/>
        </w:rPr>
        <w:t>always higher than those of Strategy 3</w:t>
      </w:r>
      <w:r w:rsidR="0051346C" w:rsidRPr="00A75601">
        <w:rPr>
          <w:rFonts w:ascii="Times New Roman" w:hAnsi="Times New Roman"/>
          <w:sz w:val="24"/>
          <w:szCs w:val="24"/>
        </w:rPr>
        <w:t>.</w:t>
      </w:r>
      <w:r w:rsidR="00421E5D" w:rsidRPr="00A75601">
        <w:rPr>
          <w:rFonts w:ascii="Times New Roman" w:hAnsi="Times New Roman"/>
          <w:sz w:val="24"/>
          <w:szCs w:val="24"/>
        </w:rPr>
        <w:t xml:space="preserve"> </w:t>
      </w:r>
      <w:r w:rsidR="001319B4">
        <w:rPr>
          <w:rFonts w:ascii="Times New Roman" w:hAnsi="Times New Roman"/>
          <w:sz w:val="24"/>
          <w:szCs w:val="24"/>
        </w:rPr>
        <w:t xml:space="preserve">Most importantly, Strategy 4 </w:t>
      </w:r>
      <w:r w:rsidR="00AA3ED2">
        <w:rPr>
          <w:rFonts w:ascii="Times New Roman" w:hAnsi="Times New Roman"/>
          <w:sz w:val="24"/>
          <w:szCs w:val="24"/>
        </w:rPr>
        <w:t>generates the highest cumulative returns</w:t>
      </w:r>
      <w:r w:rsidR="001319B4">
        <w:rPr>
          <w:rFonts w:ascii="Times New Roman" w:hAnsi="Times New Roman"/>
          <w:sz w:val="24"/>
          <w:szCs w:val="24"/>
        </w:rPr>
        <w:t xml:space="preserve"> at the end of our sample period.</w:t>
      </w:r>
    </w:p>
    <w:p w14:paraId="153773B5" w14:textId="6BE8D24E" w:rsidR="008F2A9C" w:rsidRDefault="00EF1286" w:rsidP="00A75601">
      <w:pPr>
        <w:spacing w:line="480" w:lineRule="auto"/>
        <w:jc w:val="both"/>
        <w:outlineLvl w:val="0"/>
        <w:rPr>
          <w:rFonts w:ascii="Times New Roman" w:hAnsi="Times New Roman"/>
          <w:sz w:val="24"/>
          <w:szCs w:val="24"/>
        </w:rPr>
      </w:pPr>
      <w:r w:rsidRPr="00A75601">
        <w:rPr>
          <w:rFonts w:ascii="Times New Roman" w:hAnsi="Times New Roman"/>
          <w:sz w:val="24"/>
          <w:szCs w:val="24"/>
        </w:rPr>
        <w:t>S</w:t>
      </w:r>
      <w:r w:rsidR="006519AC" w:rsidRPr="00A75601">
        <w:rPr>
          <w:rFonts w:ascii="Times New Roman" w:hAnsi="Times New Roman"/>
          <w:sz w:val="24"/>
          <w:szCs w:val="24"/>
        </w:rPr>
        <w:t>trateg</w:t>
      </w:r>
      <w:r w:rsidR="001319B4">
        <w:rPr>
          <w:rFonts w:ascii="Times New Roman" w:hAnsi="Times New Roman"/>
          <w:sz w:val="24"/>
          <w:szCs w:val="24"/>
        </w:rPr>
        <w:t>ies</w:t>
      </w:r>
      <w:r w:rsidR="006519AC" w:rsidRPr="00A75601">
        <w:rPr>
          <w:rFonts w:ascii="Times New Roman" w:hAnsi="Times New Roman"/>
          <w:sz w:val="24"/>
          <w:szCs w:val="24"/>
        </w:rPr>
        <w:t xml:space="preserve"> 3 </w:t>
      </w:r>
      <w:r w:rsidR="00712DF8" w:rsidRPr="00A75601">
        <w:rPr>
          <w:rFonts w:ascii="Times New Roman" w:hAnsi="Times New Roman"/>
          <w:sz w:val="24"/>
          <w:szCs w:val="24"/>
        </w:rPr>
        <w:t>and 4</w:t>
      </w:r>
      <w:r w:rsidR="006519AC" w:rsidRPr="00A75601">
        <w:rPr>
          <w:rFonts w:ascii="Times New Roman" w:hAnsi="Times New Roman"/>
          <w:sz w:val="24"/>
          <w:szCs w:val="24"/>
        </w:rPr>
        <w:t xml:space="preserve"> </w:t>
      </w:r>
      <w:r w:rsidR="001319B4">
        <w:rPr>
          <w:rFonts w:ascii="Times New Roman" w:hAnsi="Times New Roman"/>
          <w:sz w:val="24"/>
          <w:szCs w:val="24"/>
        </w:rPr>
        <w:t>sh</w:t>
      </w:r>
      <w:r w:rsidR="006519AC" w:rsidRPr="00A75601">
        <w:rPr>
          <w:rFonts w:ascii="Times New Roman" w:hAnsi="Times New Roman"/>
          <w:sz w:val="24"/>
          <w:szCs w:val="24"/>
        </w:rPr>
        <w:t xml:space="preserve">ow </w:t>
      </w:r>
      <w:r w:rsidR="001319B4">
        <w:rPr>
          <w:rFonts w:ascii="Times New Roman" w:hAnsi="Times New Roman"/>
          <w:sz w:val="24"/>
          <w:szCs w:val="24"/>
        </w:rPr>
        <w:t xml:space="preserve">mostly </w:t>
      </w:r>
      <w:r w:rsidR="0080013A">
        <w:rPr>
          <w:rFonts w:ascii="Times New Roman" w:hAnsi="Times New Roman"/>
          <w:sz w:val="24"/>
          <w:szCs w:val="24"/>
        </w:rPr>
        <w:t xml:space="preserve">positive skewness and </w:t>
      </w:r>
      <w:r w:rsidR="006519AC" w:rsidRPr="00A75601">
        <w:rPr>
          <w:rFonts w:ascii="Times New Roman" w:hAnsi="Times New Roman"/>
          <w:sz w:val="24"/>
          <w:szCs w:val="24"/>
        </w:rPr>
        <w:t xml:space="preserve">low </w:t>
      </w:r>
      <w:r w:rsidR="00E77ECD" w:rsidRPr="00A75601">
        <w:rPr>
          <w:rFonts w:ascii="Times New Roman" w:hAnsi="Times New Roman"/>
          <w:sz w:val="24"/>
          <w:szCs w:val="24"/>
        </w:rPr>
        <w:t xml:space="preserve">excess </w:t>
      </w:r>
      <w:r w:rsidR="006519AC" w:rsidRPr="00A75601">
        <w:rPr>
          <w:rFonts w:ascii="Times New Roman" w:hAnsi="Times New Roman"/>
          <w:sz w:val="24"/>
          <w:szCs w:val="24"/>
        </w:rPr>
        <w:t>kurtosis</w:t>
      </w:r>
      <w:r w:rsidR="00E77ECD" w:rsidRPr="00A75601">
        <w:rPr>
          <w:rFonts w:ascii="Times New Roman" w:hAnsi="Times New Roman"/>
          <w:sz w:val="24"/>
          <w:szCs w:val="24"/>
        </w:rPr>
        <w:t xml:space="preserve">, </w:t>
      </w:r>
      <w:r w:rsidR="00B72C7E" w:rsidRPr="00A75601">
        <w:rPr>
          <w:rFonts w:ascii="Times New Roman" w:hAnsi="Times New Roman"/>
          <w:sz w:val="24"/>
          <w:szCs w:val="24"/>
        </w:rPr>
        <w:t xml:space="preserve">leading to </w:t>
      </w:r>
      <w:r w:rsidR="00496D50" w:rsidRPr="00A75601">
        <w:rPr>
          <w:rFonts w:ascii="Times New Roman" w:hAnsi="Times New Roman"/>
          <w:sz w:val="24"/>
          <w:szCs w:val="24"/>
        </w:rPr>
        <w:t xml:space="preserve">a </w:t>
      </w:r>
      <w:r w:rsidR="00E77ECD" w:rsidRPr="00A75601">
        <w:rPr>
          <w:rFonts w:ascii="Times New Roman" w:hAnsi="Times New Roman"/>
          <w:sz w:val="24"/>
          <w:szCs w:val="24"/>
        </w:rPr>
        <w:t>much lower tail risk</w:t>
      </w:r>
      <w:r w:rsidR="0080013A">
        <w:rPr>
          <w:rFonts w:ascii="Times New Roman" w:hAnsi="Times New Roman"/>
          <w:sz w:val="24"/>
          <w:szCs w:val="24"/>
        </w:rPr>
        <w:t xml:space="preserve"> than Strategies 1 and 2</w:t>
      </w:r>
      <w:r w:rsidR="00E77ECD" w:rsidRPr="00A75601">
        <w:rPr>
          <w:rFonts w:ascii="Times New Roman" w:hAnsi="Times New Roman"/>
          <w:sz w:val="24"/>
          <w:szCs w:val="24"/>
        </w:rPr>
        <w:t xml:space="preserve">. </w:t>
      </w:r>
      <w:r w:rsidR="001319B4">
        <w:rPr>
          <w:rFonts w:ascii="Times New Roman" w:hAnsi="Times New Roman"/>
          <w:sz w:val="24"/>
          <w:szCs w:val="24"/>
        </w:rPr>
        <w:t>T</w:t>
      </w:r>
      <w:r w:rsidR="00E77ECD" w:rsidRPr="00A75601">
        <w:rPr>
          <w:rFonts w:ascii="Times New Roman" w:hAnsi="Times New Roman"/>
          <w:sz w:val="24"/>
          <w:szCs w:val="24"/>
        </w:rPr>
        <w:t xml:space="preserve">o investigate </w:t>
      </w:r>
      <w:r w:rsidR="007C5DEA" w:rsidRPr="00A75601">
        <w:rPr>
          <w:rFonts w:ascii="Times New Roman" w:hAnsi="Times New Roman"/>
          <w:sz w:val="24"/>
          <w:szCs w:val="24"/>
        </w:rPr>
        <w:t>this</w:t>
      </w:r>
      <w:r w:rsidR="00E77ECD" w:rsidRPr="00A75601">
        <w:rPr>
          <w:rFonts w:ascii="Times New Roman" w:hAnsi="Times New Roman"/>
          <w:sz w:val="24"/>
          <w:szCs w:val="24"/>
        </w:rPr>
        <w:t xml:space="preserve"> point</w:t>
      </w:r>
      <w:r w:rsidR="00496D50" w:rsidRPr="00A75601">
        <w:rPr>
          <w:rFonts w:ascii="Times New Roman" w:hAnsi="Times New Roman"/>
          <w:sz w:val="24"/>
          <w:szCs w:val="24"/>
        </w:rPr>
        <w:t xml:space="preserve"> </w:t>
      </w:r>
      <w:r w:rsidR="00B72C7E" w:rsidRPr="00A75601">
        <w:rPr>
          <w:rFonts w:ascii="Times New Roman" w:hAnsi="Times New Roman"/>
          <w:sz w:val="24"/>
          <w:szCs w:val="24"/>
        </w:rPr>
        <w:t xml:space="preserve">in </w:t>
      </w:r>
      <w:r w:rsidR="00496D50" w:rsidRPr="00A75601">
        <w:rPr>
          <w:rFonts w:ascii="Times New Roman" w:hAnsi="Times New Roman"/>
          <w:sz w:val="24"/>
          <w:szCs w:val="24"/>
        </w:rPr>
        <w:t xml:space="preserve">more depth, in </w:t>
      </w:r>
      <w:r w:rsidR="006B1F82">
        <w:rPr>
          <w:rFonts w:ascii="Times New Roman" w:hAnsi="Times New Roman"/>
          <w:sz w:val="24"/>
          <w:szCs w:val="24"/>
        </w:rPr>
        <w:t xml:space="preserve">Exhibit </w:t>
      </w:r>
      <w:r w:rsidR="00295191">
        <w:rPr>
          <w:rFonts w:ascii="Times New Roman" w:hAnsi="Times New Roman"/>
          <w:sz w:val="24"/>
          <w:szCs w:val="24"/>
        </w:rPr>
        <w:t>8</w:t>
      </w:r>
      <w:r w:rsidR="00496D50" w:rsidRPr="00A75601">
        <w:rPr>
          <w:rFonts w:ascii="Times New Roman" w:hAnsi="Times New Roman"/>
          <w:sz w:val="24"/>
          <w:szCs w:val="24"/>
        </w:rPr>
        <w:t xml:space="preserve"> we report</w:t>
      </w:r>
      <w:r w:rsidR="007C38F5" w:rsidRPr="00A75601">
        <w:rPr>
          <w:rFonts w:ascii="Times New Roman" w:hAnsi="Times New Roman"/>
          <w:sz w:val="24"/>
          <w:szCs w:val="24"/>
        </w:rPr>
        <w:t>, for each strategy,</w:t>
      </w:r>
      <w:r w:rsidR="00496D50" w:rsidRPr="00A75601">
        <w:rPr>
          <w:rFonts w:ascii="Times New Roman" w:hAnsi="Times New Roman"/>
          <w:sz w:val="24"/>
          <w:szCs w:val="24"/>
        </w:rPr>
        <w:t xml:space="preserve"> the monthly </w:t>
      </w:r>
      <w:r w:rsidR="00A87920" w:rsidRPr="00A75601">
        <w:rPr>
          <w:rFonts w:ascii="Times New Roman" w:hAnsi="Times New Roman"/>
          <w:sz w:val="24"/>
          <w:szCs w:val="24"/>
        </w:rPr>
        <w:t xml:space="preserve">95%, 99% and 99.5% </w:t>
      </w:r>
      <w:r w:rsidR="00496D50" w:rsidRPr="00A75601">
        <w:rPr>
          <w:rFonts w:ascii="Times New Roman" w:hAnsi="Times New Roman"/>
          <w:sz w:val="24"/>
          <w:szCs w:val="24"/>
        </w:rPr>
        <w:t>Value-at-Risk (</w:t>
      </w:r>
      <w:proofErr w:type="spellStart"/>
      <w:r w:rsidR="00496D50" w:rsidRPr="00A75601">
        <w:rPr>
          <w:rFonts w:ascii="Times New Roman" w:hAnsi="Times New Roman"/>
          <w:sz w:val="24"/>
          <w:szCs w:val="24"/>
        </w:rPr>
        <w:t>VaR</w:t>
      </w:r>
      <w:proofErr w:type="spellEnd"/>
      <w:r w:rsidR="00496D50" w:rsidRPr="00A75601">
        <w:rPr>
          <w:rFonts w:ascii="Times New Roman" w:hAnsi="Times New Roman"/>
          <w:sz w:val="24"/>
          <w:szCs w:val="24"/>
        </w:rPr>
        <w:t>)</w:t>
      </w:r>
      <w:r w:rsidR="007C38F5" w:rsidRPr="00A75601">
        <w:rPr>
          <w:rFonts w:ascii="Times New Roman" w:hAnsi="Times New Roman"/>
          <w:sz w:val="24"/>
          <w:szCs w:val="24"/>
        </w:rPr>
        <w:t xml:space="preserve"> </w:t>
      </w:r>
      <w:r w:rsidR="00A87920" w:rsidRPr="00A75601">
        <w:rPr>
          <w:rFonts w:ascii="Times New Roman" w:hAnsi="Times New Roman"/>
          <w:sz w:val="24"/>
          <w:szCs w:val="24"/>
        </w:rPr>
        <w:t xml:space="preserve">estimates </w:t>
      </w:r>
      <w:r w:rsidR="007C38F5" w:rsidRPr="00A75601">
        <w:rPr>
          <w:rFonts w:ascii="Times New Roman" w:hAnsi="Times New Roman"/>
          <w:sz w:val="24"/>
          <w:szCs w:val="24"/>
        </w:rPr>
        <w:t>based</w:t>
      </w:r>
      <w:r w:rsidR="00496D50" w:rsidRPr="00A75601">
        <w:rPr>
          <w:rFonts w:ascii="Times New Roman" w:hAnsi="Times New Roman"/>
          <w:sz w:val="24"/>
          <w:szCs w:val="24"/>
        </w:rPr>
        <w:t xml:space="preserve"> </w:t>
      </w:r>
      <w:r w:rsidR="007C38F5" w:rsidRPr="00A75601">
        <w:rPr>
          <w:rFonts w:ascii="Times New Roman" w:hAnsi="Times New Roman"/>
          <w:sz w:val="24"/>
          <w:szCs w:val="24"/>
        </w:rPr>
        <w:t>on the Cornish-Fisher approximation</w:t>
      </w:r>
      <w:r w:rsidR="00496D50" w:rsidRPr="00A75601">
        <w:rPr>
          <w:rFonts w:ascii="Times New Roman" w:hAnsi="Times New Roman"/>
          <w:sz w:val="24"/>
          <w:szCs w:val="24"/>
        </w:rPr>
        <w:t xml:space="preserve">. </w:t>
      </w:r>
      <w:r w:rsidR="002F5DD5">
        <w:rPr>
          <w:rFonts w:ascii="Times New Roman" w:hAnsi="Times New Roman"/>
          <w:sz w:val="24"/>
          <w:szCs w:val="24"/>
        </w:rPr>
        <w:t>D</w:t>
      </w:r>
      <w:r w:rsidR="00477706" w:rsidRPr="00A75601">
        <w:rPr>
          <w:rFonts w:ascii="Times New Roman" w:hAnsi="Times New Roman"/>
          <w:sz w:val="24"/>
          <w:szCs w:val="24"/>
        </w:rPr>
        <w:t>uring the pre-crisis period and relative to</w:t>
      </w:r>
      <w:r w:rsidR="00496D50" w:rsidRPr="00A75601">
        <w:rPr>
          <w:rFonts w:ascii="Times New Roman" w:hAnsi="Times New Roman"/>
          <w:sz w:val="24"/>
          <w:szCs w:val="24"/>
        </w:rPr>
        <w:t xml:space="preserve"> investment</w:t>
      </w:r>
      <w:r w:rsidR="00477706" w:rsidRPr="00A75601">
        <w:rPr>
          <w:rFonts w:ascii="Times New Roman" w:hAnsi="Times New Roman"/>
          <w:sz w:val="24"/>
          <w:szCs w:val="24"/>
        </w:rPr>
        <w:t xml:space="preserve"> </w:t>
      </w:r>
      <w:r w:rsidR="00496D50" w:rsidRPr="00A75601">
        <w:rPr>
          <w:rFonts w:ascii="Times New Roman" w:hAnsi="Times New Roman"/>
          <w:sz w:val="24"/>
          <w:szCs w:val="24"/>
        </w:rPr>
        <w:t xml:space="preserve">grade obligors, </w:t>
      </w:r>
      <w:r w:rsidR="00477706" w:rsidRPr="00A75601">
        <w:rPr>
          <w:rFonts w:ascii="Times New Roman" w:hAnsi="Times New Roman"/>
          <w:sz w:val="24"/>
          <w:szCs w:val="24"/>
        </w:rPr>
        <w:t>S</w:t>
      </w:r>
      <w:r w:rsidR="00496D50" w:rsidRPr="00A75601">
        <w:rPr>
          <w:rFonts w:ascii="Times New Roman" w:hAnsi="Times New Roman"/>
          <w:sz w:val="24"/>
          <w:szCs w:val="24"/>
        </w:rPr>
        <w:t>trateg</w:t>
      </w:r>
      <w:r w:rsidR="00477706" w:rsidRPr="00A75601">
        <w:rPr>
          <w:rFonts w:ascii="Times New Roman" w:hAnsi="Times New Roman"/>
          <w:sz w:val="24"/>
          <w:szCs w:val="24"/>
        </w:rPr>
        <w:t>y</w:t>
      </w:r>
      <w:r w:rsidR="007C38F5" w:rsidRPr="00A75601">
        <w:rPr>
          <w:rFonts w:ascii="Times New Roman" w:hAnsi="Times New Roman"/>
          <w:sz w:val="24"/>
          <w:szCs w:val="24"/>
        </w:rPr>
        <w:t xml:space="preserve"> 3</w:t>
      </w:r>
      <w:r w:rsidR="00712DF8" w:rsidRPr="00A75601">
        <w:rPr>
          <w:rFonts w:ascii="Times New Roman" w:hAnsi="Times New Roman"/>
          <w:sz w:val="24"/>
          <w:szCs w:val="24"/>
        </w:rPr>
        <w:t xml:space="preserve"> and</w:t>
      </w:r>
      <w:r w:rsidR="00477706" w:rsidRPr="00A75601">
        <w:rPr>
          <w:rFonts w:ascii="Times New Roman" w:hAnsi="Times New Roman"/>
          <w:sz w:val="24"/>
          <w:szCs w:val="24"/>
        </w:rPr>
        <w:t xml:space="preserve"> 4 </w:t>
      </w:r>
      <w:r w:rsidR="00496D50" w:rsidRPr="00A75601">
        <w:rPr>
          <w:rFonts w:ascii="Times New Roman" w:hAnsi="Times New Roman"/>
          <w:sz w:val="24"/>
          <w:szCs w:val="24"/>
        </w:rPr>
        <w:t xml:space="preserve">have higher </w:t>
      </w:r>
      <w:proofErr w:type="spellStart"/>
      <w:r w:rsidR="00496D50" w:rsidRPr="00A75601">
        <w:rPr>
          <w:rFonts w:ascii="Times New Roman" w:hAnsi="Times New Roman"/>
          <w:sz w:val="24"/>
          <w:szCs w:val="24"/>
        </w:rPr>
        <w:t>VaRs</w:t>
      </w:r>
      <w:proofErr w:type="spellEnd"/>
      <w:r w:rsidR="00496D50" w:rsidRPr="00A75601">
        <w:rPr>
          <w:rFonts w:ascii="Times New Roman" w:hAnsi="Times New Roman"/>
          <w:sz w:val="24"/>
          <w:szCs w:val="24"/>
        </w:rPr>
        <w:t xml:space="preserve"> than </w:t>
      </w:r>
      <w:r w:rsidR="00A263CB" w:rsidRPr="00A75601">
        <w:rPr>
          <w:rFonts w:ascii="Times New Roman" w:hAnsi="Times New Roman"/>
          <w:sz w:val="24"/>
          <w:szCs w:val="24"/>
        </w:rPr>
        <w:t>S</w:t>
      </w:r>
      <w:r w:rsidR="00496D50" w:rsidRPr="00A75601">
        <w:rPr>
          <w:rFonts w:ascii="Times New Roman" w:hAnsi="Times New Roman"/>
          <w:sz w:val="24"/>
          <w:szCs w:val="24"/>
        </w:rPr>
        <w:t>trateg</w:t>
      </w:r>
      <w:r w:rsidR="00A87920" w:rsidRPr="00A75601">
        <w:rPr>
          <w:rFonts w:ascii="Times New Roman" w:hAnsi="Times New Roman"/>
          <w:sz w:val="24"/>
          <w:szCs w:val="24"/>
        </w:rPr>
        <w:t>ies</w:t>
      </w:r>
      <w:r w:rsidR="00496D50" w:rsidRPr="00A75601">
        <w:rPr>
          <w:rFonts w:ascii="Times New Roman" w:hAnsi="Times New Roman"/>
          <w:sz w:val="24"/>
          <w:szCs w:val="24"/>
        </w:rPr>
        <w:t xml:space="preserve"> 1</w:t>
      </w:r>
      <w:r w:rsidR="007C38F5" w:rsidRPr="00A75601">
        <w:rPr>
          <w:rFonts w:ascii="Times New Roman" w:hAnsi="Times New Roman"/>
          <w:sz w:val="24"/>
          <w:szCs w:val="24"/>
        </w:rPr>
        <w:t xml:space="preserve"> and 2</w:t>
      </w:r>
      <w:r w:rsidR="00496D50" w:rsidRPr="00A75601">
        <w:rPr>
          <w:rFonts w:ascii="Times New Roman" w:hAnsi="Times New Roman"/>
          <w:sz w:val="24"/>
          <w:szCs w:val="24"/>
        </w:rPr>
        <w:t xml:space="preserve">. </w:t>
      </w:r>
      <w:r w:rsidR="00EF5572" w:rsidRPr="00A75601">
        <w:rPr>
          <w:rFonts w:ascii="Times New Roman" w:hAnsi="Times New Roman"/>
          <w:sz w:val="24"/>
          <w:szCs w:val="24"/>
        </w:rPr>
        <w:t xml:space="preserve">During the crisis period, for investment grade obligors, Strategy 3 provides the lowest </w:t>
      </w:r>
      <w:proofErr w:type="spellStart"/>
      <w:r w:rsidR="00EF5572" w:rsidRPr="00A75601">
        <w:rPr>
          <w:rFonts w:ascii="Times New Roman" w:hAnsi="Times New Roman"/>
          <w:sz w:val="24"/>
          <w:szCs w:val="24"/>
        </w:rPr>
        <w:t>VaR</w:t>
      </w:r>
      <w:proofErr w:type="spellEnd"/>
      <w:r w:rsidR="00EF5572" w:rsidRPr="00A75601">
        <w:rPr>
          <w:rFonts w:ascii="Times New Roman" w:hAnsi="Times New Roman"/>
          <w:sz w:val="24"/>
          <w:szCs w:val="24"/>
        </w:rPr>
        <w:t xml:space="preserve"> estimates. </w:t>
      </w:r>
      <w:r w:rsidR="0080013A">
        <w:rPr>
          <w:rFonts w:ascii="Times New Roman" w:hAnsi="Times New Roman"/>
          <w:sz w:val="24"/>
          <w:szCs w:val="24"/>
        </w:rPr>
        <w:t>F</w:t>
      </w:r>
      <w:r w:rsidR="007C38F5" w:rsidRPr="00A75601">
        <w:rPr>
          <w:rFonts w:ascii="Times New Roman" w:hAnsi="Times New Roman"/>
          <w:sz w:val="24"/>
          <w:szCs w:val="24"/>
        </w:rPr>
        <w:t xml:space="preserve">or speculative-grade obligors, the </w:t>
      </w:r>
      <w:proofErr w:type="spellStart"/>
      <w:r w:rsidR="007C38F5" w:rsidRPr="00A75601">
        <w:rPr>
          <w:rFonts w:ascii="Times New Roman" w:hAnsi="Times New Roman"/>
          <w:sz w:val="24"/>
          <w:szCs w:val="24"/>
        </w:rPr>
        <w:t>VaR</w:t>
      </w:r>
      <w:proofErr w:type="spellEnd"/>
      <w:r w:rsidR="007C38F5" w:rsidRPr="00A75601">
        <w:rPr>
          <w:rFonts w:ascii="Times New Roman" w:hAnsi="Times New Roman"/>
          <w:sz w:val="24"/>
          <w:szCs w:val="24"/>
        </w:rPr>
        <w:t xml:space="preserve"> </w:t>
      </w:r>
      <w:r w:rsidR="00EF5572" w:rsidRPr="00A75601">
        <w:rPr>
          <w:rFonts w:ascii="Times New Roman" w:hAnsi="Times New Roman"/>
          <w:sz w:val="24"/>
          <w:szCs w:val="24"/>
        </w:rPr>
        <w:t xml:space="preserve">estimates </w:t>
      </w:r>
      <w:r w:rsidR="007C38F5" w:rsidRPr="00A75601">
        <w:rPr>
          <w:rFonts w:ascii="Times New Roman" w:hAnsi="Times New Roman"/>
          <w:sz w:val="24"/>
          <w:szCs w:val="24"/>
        </w:rPr>
        <w:t xml:space="preserve">of </w:t>
      </w:r>
      <w:r w:rsidR="00EF5572" w:rsidRPr="00A75601">
        <w:rPr>
          <w:rFonts w:ascii="Times New Roman" w:hAnsi="Times New Roman"/>
          <w:sz w:val="24"/>
          <w:szCs w:val="24"/>
        </w:rPr>
        <w:t>S</w:t>
      </w:r>
      <w:r w:rsidR="007C38F5" w:rsidRPr="00A75601">
        <w:rPr>
          <w:rFonts w:ascii="Times New Roman" w:hAnsi="Times New Roman"/>
          <w:sz w:val="24"/>
          <w:szCs w:val="24"/>
        </w:rPr>
        <w:t>trateg</w:t>
      </w:r>
      <w:r w:rsidR="00EF5572" w:rsidRPr="00A75601">
        <w:rPr>
          <w:rFonts w:ascii="Times New Roman" w:hAnsi="Times New Roman"/>
          <w:sz w:val="24"/>
          <w:szCs w:val="24"/>
        </w:rPr>
        <w:t>y 4 are</w:t>
      </w:r>
      <w:r w:rsidR="007C38F5" w:rsidRPr="00A75601">
        <w:rPr>
          <w:rFonts w:ascii="Times New Roman" w:hAnsi="Times New Roman"/>
          <w:sz w:val="24"/>
          <w:szCs w:val="24"/>
        </w:rPr>
        <w:t xml:space="preserve"> </w:t>
      </w:r>
      <w:r w:rsidR="00EF5572" w:rsidRPr="00A75601">
        <w:rPr>
          <w:rFonts w:ascii="Times New Roman" w:hAnsi="Times New Roman"/>
          <w:sz w:val="24"/>
          <w:szCs w:val="24"/>
        </w:rPr>
        <w:t xml:space="preserve">the </w:t>
      </w:r>
      <w:r w:rsidR="007C38F5" w:rsidRPr="00A75601">
        <w:rPr>
          <w:rFonts w:ascii="Times New Roman" w:hAnsi="Times New Roman"/>
          <w:sz w:val="24"/>
          <w:szCs w:val="24"/>
        </w:rPr>
        <w:t>lowe</w:t>
      </w:r>
      <w:r w:rsidR="00EF5572" w:rsidRPr="00A75601">
        <w:rPr>
          <w:rFonts w:ascii="Times New Roman" w:hAnsi="Times New Roman"/>
          <w:sz w:val="24"/>
          <w:szCs w:val="24"/>
        </w:rPr>
        <w:t>st, especially during the crisis period</w:t>
      </w:r>
      <w:r w:rsidR="007C38F5" w:rsidRPr="00A75601">
        <w:rPr>
          <w:rFonts w:ascii="Times New Roman" w:hAnsi="Times New Roman"/>
          <w:sz w:val="24"/>
          <w:szCs w:val="24"/>
        </w:rPr>
        <w:t>.</w:t>
      </w:r>
      <w:r w:rsidR="00496D50" w:rsidRPr="00A75601">
        <w:rPr>
          <w:rFonts w:ascii="Times New Roman" w:hAnsi="Times New Roman"/>
          <w:sz w:val="24"/>
          <w:szCs w:val="24"/>
        </w:rPr>
        <w:t xml:space="preserve"> </w:t>
      </w:r>
      <w:r w:rsidR="00EF5572" w:rsidRPr="00A75601">
        <w:rPr>
          <w:rFonts w:ascii="Times New Roman" w:hAnsi="Times New Roman"/>
          <w:sz w:val="24"/>
          <w:szCs w:val="24"/>
        </w:rPr>
        <w:t>This</w:t>
      </w:r>
      <w:r w:rsidR="0080013A">
        <w:rPr>
          <w:rFonts w:ascii="Times New Roman" w:hAnsi="Times New Roman"/>
          <w:sz w:val="24"/>
          <w:szCs w:val="24"/>
        </w:rPr>
        <w:t xml:space="preserve"> confirms</w:t>
      </w:r>
      <w:r w:rsidR="007C38F5" w:rsidRPr="00A75601">
        <w:rPr>
          <w:rFonts w:ascii="Times New Roman" w:hAnsi="Times New Roman"/>
          <w:sz w:val="24"/>
          <w:szCs w:val="24"/>
        </w:rPr>
        <w:t xml:space="preserve"> </w:t>
      </w:r>
      <w:r w:rsidR="00EF5572" w:rsidRPr="00A75601">
        <w:rPr>
          <w:rFonts w:ascii="Times New Roman" w:hAnsi="Times New Roman"/>
          <w:sz w:val="24"/>
          <w:szCs w:val="24"/>
        </w:rPr>
        <w:t>the</w:t>
      </w:r>
      <w:r w:rsidR="007C38F5" w:rsidRPr="00A75601">
        <w:rPr>
          <w:rFonts w:ascii="Times New Roman" w:hAnsi="Times New Roman"/>
          <w:sz w:val="24"/>
          <w:szCs w:val="24"/>
        </w:rPr>
        <w:t xml:space="preserve"> reduc</w:t>
      </w:r>
      <w:r w:rsidR="00EF5572" w:rsidRPr="00A75601">
        <w:rPr>
          <w:rFonts w:ascii="Times New Roman" w:hAnsi="Times New Roman"/>
          <w:sz w:val="24"/>
          <w:szCs w:val="24"/>
        </w:rPr>
        <w:t>tion in the</w:t>
      </w:r>
      <w:r w:rsidR="007C38F5" w:rsidRPr="00A75601">
        <w:rPr>
          <w:rFonts w:ascii="Times New Roman" w:hAnsi="Times New Roman"/>
          <w:sz w:val="24"/>
          <w:szCs w:val="24"/>
        </w:rPr>
        <w:t xml:space="preserve"> tail risk borne by </w:t>
      </w:r>
      <w:r w:rsidR="00EF5572" w:rsidRPr="00A75601">
        <w:rPr>
          <w:rFonts w:ascii="Times New Roman" w:hAnsi="Times New Roman"/>
          <w:sz w:val="24"/>
          <w:szCs w:val="24"/>
        </w:rPr>
        <w:t>S</w:t>
      </w:r>
      <w:r w:rsidR="007C38F5" w:rsidRPr="00A75601">
        <w:rPr>
          <w:rFonts w:ascii="Times New Roman" w:hAnsi="Times New Roman"/>
          <w:sz w:val="24"/>
          <w:szCs w:val="24"/>
        </w:rPr>
        <w:t>trateg</w:t>
      </w:r>
      <w:r w:rsidR="00EF5572" w:rsidRPr="00A75601">
        <w:rPr>
          <w:rFonts w:ascii="Times New Roman" w:hAnsi="Times New Roman"/>
          <w:sz w:val="24"/>
          <w:szCs w:val="24"/>
        </w:rPr>
        <w:t>y 4</w:t>
      </w:r>
      <w:r w:rsidR="007C38F5" w:rsidRPr="00A75601">
        <w:rPr>
          <w:rFonts w:ascii="Times New Roman" w:hAnsi="Times New Roman"/>
          <w:sz w:val="24"/>
          <w:szCs w:val="24"/>
        </w:rPr>
        <w:t>.</w:t>
      </w:r>
    </w:p>
    <w:p w14:paraId="682F7ADC" w14:textId="4E1CC856" w:rsidR="00A5103F" w:rsidRPr="00A75601" w:rsidRDefault="00A5103F" w:rsidP="00A75601">
      <w:pPr>
        <w:spacing w:line="480" w:lineRule="auto"/>
        <w:jc w:val="both"/>
        <w:outlineLvl w:val="0"/>
        <w:rPr>
          <w:rFonts w:ascii="Times New Roman" w:hAnsi="Times New Roman"/>
          <w:sz w:val="24"/>
          <w:szCs w:val="24"/>
        </w:rPr>
      </w:pPr>
      <w:r>
        <w:rPr>
          <w:rFonts w:ascii="Times New Roman" w:hAnsi="Times New Roman"/>
          <w:sz w:val="24"/>
          <w:szCs w:val="24"/>
        </w:rPr>
        <w:t xml:space="preserve">Finally, we compute the daily hedging errors of the two hedging strategies implemented for all firms during the whole sample period. We find that, for a theta trigger of 2, the root </w:t>
      </w:r>
      <w:proofErr w:type="gramStart"/>
      <w:r>
        <w:rPr>
          <w:rFonts w:ascii="Times New Roman" w:hAnsi="Times New Roman"/>
          <w:sz w:val="24"/>
          <w:szCs w:val="24"/>
        </w:rPr>
        <w:t>mean</w:t>
      </w:r>
      <w:proofErr w:type="gramEnd"/>
      <w:r>
        <w:rPr>
          <w:rFonts w:ascii="Times New Roman" w:hAnsi="Times New Roman"/>
          <w:sz w:val="24"/>
          <w:szCs w:val="24"/>
        </w:rPr>
        <w:t xml:space="preserve"> square error (RMSE) of the traditional CSA (Strategy 1) is equal to 1.12, whereas the RMSE </w:t>
      </w:r>
      <w:r>
        <w:rPr>
          <w:rFonts w:ascii="Times New Roman" w:hAnsi="Times New Roman"/>
          <w:sz w:val="24"/>
          <w:szCs w:val="24"/>
        </w:rPr>
        <w:lastRenderedPageBreak/>
        <w:t>of Strategy 2 is slightly lower at 0.97, confirming the main results about the overall superiority of Strategy 2.</w:t>
      </w:r>
    </w:p>
    <w:p w14:paraId="0B5E9823" w14:textId="77777777" w:rsidR="001707CF" w:rsidRPr="000B1A1E" w:rsidRDefault="0054135A" w:rsidP="000B1A1E">
      <w:pPr>
        <w:pStyle w:val="ListParagraph"/>
        <w:numPr>
          <w:ilvl w:val="1"/>
          <w:numId w:val="18"/>
        </w:numPr>
        <w:spacing w:after="120" w:line="480" w:lineRule="auto"/>
        <w:ind w:left="426"/>
        <w:jc w:val="both"/>
        <w:outlineLvl w:val="0"/>
        <w:rPr>
          <w:rFonts w:ascii="Times New Roman" w:hAnsi="Times New Roman"/>
          <w:b/>
          <w:iCs/>
          <w:sz w:val="24"/>
          <w:szCs w:val="24"/>
        </w:rPr>
      </w:pPr>
      <w:r w:rsidRPr="000B1A1E">
        <w:rPr>
          <w:rFonts w:ascii="Times New Roman" w:hAnsi="Times New Roman"/>
          <w:b/>
          <w:iCs/>
          <w:sz w:val="24"/>
          <w:szCs w:val="24"/>
        </w:rPr>
        <w:t xml:space="preserve">Comparison of </w:t>
      </w:r>
      <w:r w:rsidR="00A811BC" w:rsidRPr="000B1A1E">
        <w:rPr>
          <w:rFonts w:ascii="Times New Roman" w:hAnsi="Times New Roman"/>
          <w:b/>
          <w:iCs/>
          <w:sz w:val="24"/>
          <w:szCs w:val="24"/>
        </w:rPr>
        <w:t xml:space="preserve">the </w:t>
      </w:r>
      <w:r w:rsidRPr="000B1A1E">
        <w:rPr>
          <w:rFonts w:ascii="Times New Roman" w:hAnsi="Times New Roman"/>
          <w:b/>
          <w:iCs/>
          <w:sz w:val="24"/>
          <w:szCs w:val="24"/>
        </w:rPr>
        <w:t>strategies’ returns with fixed income hedge fund returns</w:t>
      </w:r>
    </w:p>
    <w:p w14:paraId="46FF1EBA" w14:textId="77777777" w:rsidR="008921C9" w:rsidRPr="00A75601" w:rsidRDefault="008921C9" w:rsidP="00A75601">
      <w:pPr>
        <w:spacing w:line="480" w:lineRule="auto"/>
        <w:jc w:val="both"/>
        <w:outlineLvl w:val="0"/>
        <w:rPr>
          <w:rFonts w:ascii="Times New Roman" w:hAnsi="Times New Roman"/>
          <w:sz w:val="24"/>
          <w:szCs w:val="24"/>
        </w:rPr>
      </w:pPr>
      <w:r w:rsidRPr="00A75601">
        <w:rPr>
          <w:rFonts w:ascii="Times New Roman" w:hAnsi="Times New Roman"/>
          <w:sz w:val="24"/>
          <w:szCs w:val="24"/>
        </w:rPr>
        <w:t xml:space="preserve">Following Duarte et al. (2007), we compare the monthly returns indices </w:t>
      </w:r>
      <w:r w:rsidR="001319B4">
        <w:rPr>
          <w:rFonts w:ascii="Times New Roman" w:hAnsi="Times New Roman"/>
          <w:sz w:val="24"/>
          <w:szCs w:val="24"/>
        </w:rPr>
        <w:t>of</w:t>
      </w:r>
      <w:r w:rsidRPr="00A75601">
        <w:rPr>
          <w:rFonts w:ascii="Times New Roman" w:hAnsi="Times New Roman"/>
          <w:sz w:val="24"/>
          <w:szCs w:val="24"/>
        </w:rPr>
        <w:t xml:space="preserve"> each strategy with fixed income arbitrage hedge fund return data. We download monthly return data from Credit Suisse First Boston (CSFB) for the </w:t>
      </w:r>
      <w:proofErr w:type="spellStart"/>
      <w:r w:rsidRPr="00A75601">
        <w:rPr>
          <w:rFonts w:ascii="Times New Roman" w:hAnsi="Times New Roman"/>
          <w:sz w:val="24"/>
          <w:szCs w:val="24"/>
        </w:rPr>
        <w:t>AllHedge</w:t>
      </w:r>
      <w:proofErr w:type="spellEnd"/>
      <w:r w:rsidRPr="00A75601">
        <w:rPr>
          <w:rFonts w:ascii="Times New Roman" w:hAnsi="Times New Roman"/>
          <w:sz w:val="24"/>
          <w:szCs w:val="24"/>
        </w:rPr>
        <w:t xml:space="preserve"> Fixed Income Arbitrage Index over the period 2005-2009. The construction of the index is based on the TASS database, which includes data on over 8,000 hedge funds</w:t>
      </w:r>
      <w:r w:rsidR="00FC300D" w:rsidRPr="00A75601">
        <w:rPr>
          <w:rFonts w:ascii="Times New Roman" w:hAnsi="Times New Roman"/>
          <w:sz w:val="24"/>
          <w:szCs w:val="24"/>
        </w:rPr>
        <w:t>.</w:t>
      </w:r>
      <w:r w:rsidR="00C875AE">
        <w:rPr>
          <w:rStyle w:val="EndnoteReference"/>
          <w:rFonts w:ascii="Times New Roman" w:hAnsi="Times New Roman"/>
          <w:sz w:val="24"/>
          <w:szCs w:val="24"/>
        </w:rPr>
        <w:endnoteReference w:id="18"/>
      </w:r>
      <w:r w:rsidRPr="00A75601">
        <w:rPr>
          <w:rFonts w:ascii="Times New Roman" w:hAnsi="Times New Roman"/>
          <w:sz w:val="24"/>
          <w:szCs w:val="24"/>
        </w:rPr>
        <w:t xml:space="preserve"> The characteristics of these hedge fund returns are very similar to the capital structure index returns we constructed and described in the previous section. Some of the strategies we propose show positive skewness and low kurtosis and are capable to give positive Sharpe ratios which, in some cases, are higher than 1.</w:t>
      </w:r>
    </w:p>
    <w:p w14:paraId="444A9F42" w14:textId="77777777" w:rsidR="008921C9" w:rsidRPr="00A75601" w:rsidRDefault="00295191" w:rsidP="00A75601">
      <w:pPr>
        <w:spacing w:line="480" w:lineRule="auto"/>
        <w:jc w:val="both"/>
        <w:outlineLvl w:val="0"/>
        <w:rPr>
          <w:rFonts w:ascii="Times New Roman" w:hAnsi="Times New Roman"/>
          <w:color w:val="FF0000"/>
          <w:sz w:val="24"/>
          <w:szCs w:val="24"/>
        </w:rPr>
      </w:pPr>
      <w:r>
        <w:rPr>
          <w:rFonts w:ascii="Times New Roman" w:hAnsi="Times New Roman"/>
          <w:sz w:val="24"/>
          <w:szCs w:val="24"/>
        </w:rPr>
        <w:t>Exhibit 9</w:t>
      </w:r>
      <w:r w:rsidR="004968BE" w:rsidRPr="00A75601">
        <w:rPr>
          <w:rFonts w:ascii="Times New Roman" w:hAnsi="Times New Roman"/>
          <w:sz w:val="24"/>
          <w:szCs w:val="24"/>
        </w:rPr>
        <w:t xml:space="preserve"> shows the correlation of the monthly returns generated by the 4 strategies and the CSFB index. </w:t>
      </w:r>
      <w:r w:rsidR="008153B0" w:rsidRPr="00A75601">
        <w:rPr>
          <w:rFonts w:ascii="Times New Roman" w:hAnsi="Times New Roman"/>
          <w:sz w:val="24"/>
          <w:szCs w:val="24"/>
        </w:rPr>
        <w:t>T</w:t>
      </w:r>
      <w:r w:rsidR="008921C9" w:rsidRPr="00A75601">
        <w:rPr>
          <w:rFonts w:ascii="Times New Roman" w:hAnsi="Times New Roman"/>
          <w:sz w:val="24"/>
          <w:szCs w:val="24"/>
        </w:rPr>
        <w:t xml:space="preserve">he correlation between Strategy 1 and the CSFB index </w:t>
      </w:r>
      <w:r w:rsidR="001319B4">
        <w:rPr>
          <w:rFonts w:ascii="Times New Roman" w:hAnsi="Times New Roman"/>
          <w:sz w:val="24"/>
          <w:szCs w:val="24"/>
        </w:rPr>
        <w:t>is</w:t>
      </w:r>
      <w:r w:rsidR="008921C9" w:rsidRPr="00A75601">
        <w:rPr>
          <w:rFonts w:ascii="Times New Roman" w:hAnsi="Times New Roman"/>
          <w:sz w:val="24"/>
          <w:szCs w:val="24"/>
        </w:rPr>
        <w:t xml:space="preserve"> high and positive</w:t>
      </w:r>
      <w:r w:rsidR="001319B4">
        <w:rPr>
          <w:rFonts w:ascii="Times New Roman" w:hAnsi="Times New Roman"/>
          <w:sz w:val="24"/>
          <w:szCs w:val="24"/>
        </w:rPr>
        <w:t>, whilst Strategies</w:t>
      </w:r>
      <w:r w:rsidR="008921C9" w:rsidRPr="00A75601">
        <w:rPr>
          <w:rFonts w:ascii="Times New Roman" w:hAnsi="Times New Roman"/>
          <w:sz w:val="24"/>
          <w:szCs w:val="24"/>
        </w:rPr>
        <w:t xml:space="preserve"> 3</w:t>
      </w:r>
      <w:r w:rsidR="00477C22" w:rsidRPr="00A75601">
        <w:rPr>
          <w:rFonts w:ascii="Times New Roman" w:hAnsi="Times New Roman"/>
          <w:sz w:val="24"/>
          <w:szCs w:val="24"/>
        </w:rPr>
        <w:t xml:space="preserve"> and</w:t>
      </w:r>
      <w:r w:rsidR="008921C9" w:rsidRPr="00A75601">
        <w:rPr>
          <w:rFonts w:ascii="Times New Roman" w:hAnsi="Times New Roman"/>
          <w:sz w:val="24"/>
          <w:szCs w:val="24"/>
        </w:rPr>
        <w:t xml:space="preserve"> 4 present correlations </w:t>
      </w:r>
      <w:r w:rsidR="002349A2" w:rsidRPr="00A75601">
        <w:rPr>
          <w:rFonts w:ascii="Times New Roman" w:hAnsi="Times New Roman"/>
          <w:sz w:val="24"/>
          <w:szCs w:val="24"/>
        </w:rPr>
        <w:t>of -0.</w:t>
      </w:r>
      <w:r w:rsidR="00561D94" w:rsidRPr="00A75601">
        <w:rPr>
          <w:rFonts w:ascii="Times New Roman" w:hAnsi="Times New Roman"/>
          <w:sz w:val="24"/>
          <w:szCs w:val="24"/>
        </w:rPr>
        <w:t>15</w:t>
      </w:r>
      <w:r w:rsidR="00477C22" w:rsidRPr="00A75601">
        <w:rPr>
          <w:rFonts w:ascii="Times New Roman" w:hAnsi="Times New Roman"/>
          <w:sz w:val="24"/>
          <w:szCs w:val="24"/>
        </w:rPr>
        <w:t xml:space="preserve"> and</w:t>
      </w:r>
      <w:r w:rsidR="002349A2" w:rsidRPr="00A75601">
        <w:rPr>
          <w:rFonts w:ascii="Times New Roman" w:hAnsi="Times New Roman"/>
          <w:sz w:val="24"/>
          <w:szCs w:val="24"/>
        </w:rPr>
        <w:t xml:space="preserve"> -0.</w:t>
      </w:r>
      <w:r w:rsidR="00561D94" w:rsidRPr="00A75601">
        <w:rPr>
          <w:rFonts w:ascii="Times New Roman" w:hAnsi="Times New Roman"/>
          <w:sz w:val="24"/>
          <w:szCs w:val="24"/>
        </w:rPr>
        <w:t>24</w:t>
      </w:r>
      <w:r w:rsidR="002F5DD5">
        <w:rPr>
          <w:rFonts w:ascii="Times New Roman" w:hAnsi="Times New Roman"/>
          <w:sz w:val="24"/>
          <w:szCs w:val="24"/>
        </w:rPr>
        <w:t xml:space="preserve"> </w:t>
      </w:r>
      <w:r w:rsidR="002F5DD5" w:rsidRPr="00A75601">
        <w:rPr>
          <w:rFonts w:ascii="Times New Roman" w:hAnsi="Times New Roman"/>
          <w:sz w:val="24"/>
          <w:szCs w:val="24"/>
        </w:rPr>
        <w:t>with the CSFB index</w:t>
      </w:r>
      <w:r w:rsidR="002349A2" w:rsidRPr="00A75601">
        <w:rPr>
          <w:rFonts w:ascii="Times New Roman" w:hAnsi="Times New Roman"/>
          <w:sz w:val="24"/>
          <w:szCs w:val="24"/>
        </w:rPr>
        <w:t xml:space="preserve">. </w:t>
      </w:r>
      <w:r w:rsidR="002F5DD5">
        <w:rPr>
          <w:rFonts w:ascii="Times New Roman" w:hAnsi="Times New Roman"/>
          <w:sz w:val="24"/>
          <w:szCs w:val="24"/>
        </w:rPr>
        <w:t>Also, i</w:t>
      </w:r>
      <w:r w:rsidR="008921C9" w:rsidRPr="00A75601">
        <w:rPr>
          <w:rFonts w:ascii="Times New Roman" w:hAnsi="Times New Roman"/>
          <w:sz w:val="24"/>
          <w:szCs w:val="24"/>
        </w:rPr>
        <w:t xml:space="preserve">t is evident that the new strategies </w:t>
      </w:r>
      <w:r w:rsidR="00377824" w:rsidRPr="00A75601">
        <w:rPr>
          <w:rFonts w:ascii="Times New Roman" w:hAnsi="Times New Roman"/>
          <w:sz w:val="24"/>
          <w:szCs w:val="24"/>
        </w:rPr>
        <w:t>show low</w:t>
      </w:r>
      <w:r w:rsidR="008921C9" w:rsidRPr="00A75601">
        <w:rPr>
          <w:rFonts w:ascii="Times New Roman" w:hAnsi="Times New Roman"/>
          <w:sz w:val="24"/>
          <w:szCs w:val="24"/>
        </w:rPr>
        <w:t xml:space="preserve"> or negative correlat</w:t>
      </w:r>
      <w:r w:rsidR="00377824" w:rsidRPr="00A75601">
        <w:rPr>
          <w:rFonts w:ascii="Times New Roman" w:hAnsi="Times New Roman"/>
          <w:sz w:val="24"/>
          <w:szCs w:val="24"/>
        </w:rPr>
        <w:t>ion</w:t>
      </w:r>
      <w:r w:rsidR="008921C9" w:rsidRPr="00A75601">
        <w:rPr>
          <w:rFonts w:ascii="Times New Roman" w:hAnsi="Times New Roman"/>
          <w:sz w:val="24"/>
          <w:szCs w:val="24"/>
        </w:rPr>
        <w:t xml:space="preserve"> with the standard CSA. </w:t>
      </w:r>
    </w:p>
    <w:p w14:paraId="7DCC9112" w14:textId="77777777" w:rsidR="00BE5F0A" w:rsidRPr="000B1A1E" w:rsidRDefault="00FF5181" w:rsidP="00F06093">
      <w:pPr>
        <w:pStyle w:val="ListParagraph"/>
        <w:numPr>
          <w:ilvl w:val="1"/>
          <w:numId w:val="18"/>
        </w:numPr>
        <w:spacing w:after="120" w:line="480" w:lineRule="auto"/>
        <w:ind w:left="426"/>
        <w:jc w:val="both"/>
        <w:outlineLvl w:val="0"/>
        <w:rPr>
          <w:rFonts w:ascii="Times New Roman" w:hAnsi="Times New Roman"/>
          <w:b/>
          <w:iCs/>
          <w:sz w:val="24"/>
          <w:szCs w:val="24"/>
        </w:rPr>
      </w:pPr>
      <w:r w:rsidRPr="000B1A1E">
        <w:rPr>
          <w:rFonts w:ascii="Times New Roman" w:hAnsi="Times New Roman"/>
          <w:b/>
          <w:sz w:val="24"/>
          <w:szCs w:val="24"/>
        </w:rPr>
        <w:t>Analysis of the r</w:t>
      </w:r>
      <w:r w:rsidR="00BE5F0A" w:rsidRPr="000B1A1E">
        <w:rPr>
          <w:rFonts w:ascii="Times New Roman" w:hAnsi="Times New Roman"/>
          <w:b/>
          <w:sz w:val="24"/>
          <w:szCs w:val="24"/>
        </w:rPr>
        <w:t>isk-adjusted returns of the strategies</w:t>
      </w:r>
    </w:p>
    <w:p w14:paraId="2BE66789" w14:textId="77777777" w:rsidR="00B50742" w:rsidRPr="00A75601" w:rsidRDefault="003977AC" w:rsidP="00A75601">
      <w:pPr>
        <w:spacing w:line="480" w:lineRule="auto"/>
        <w:jc w:val="both"/>
        <w:outlineLvl w:val="0"/>
        <w:rPr>
          <w:rFonts w:ascii="Times New Roman" w:hAnsi="Times New Roman"/>
          <w:sz w:val="24"/>
          <w:szCs w:val="24"/>
        </w:rPr>
      </w:pPr>
      <w:proofErr w:type="gramStart"/>
      <w:r w:rsidRPr="00A75601">
        <w:rPr>
          <w:rFonts w:ascii="Times New Roman" w:hAnsi="Times New Roman"/>
          <w:sz w:val="24"/>
          <w:szCs w:val="24"/>
        </w:rPr>
        <w:t>Similarly</w:t>
      </w:r>
      <w:proofErr w:type="gramEnd"/>
      <w:r w:rsidRPr="00A75601">
        <w:rPr>
          <w:rFonts w:ascii="Times New Roman" w:hAnsi="Times New Roman"/>
          <w:sz w:val="24"/>
          <w:szCs w:val="24"/>
        </w:rPr>
        <w:t xml:space="preserve"> to Duarte et al. (2007) and Yu (2006), w</w:t>
      </w:r>
      <w:r w:rsidR="00721648" w:rsidRPr="00A75601">
        <w:rPr>
          <w:rFonts w:ascii="Times New Roman" w:hAnsi="Times New Roman"/>
          <w:sz w:val="24"/>
          <w:szCs w:val="24"/>
        </w:rPr>
        <w:t xml:space="preserve">e explore whether the </w:t>
      </w:r>
      <w:r w:rsidR="00D6531B" w:rsidRPr="00A75601">
        <w:rPr>
          <w:rFonts w:ascii="Times New Roman" w:hAnsi="Times New Roman"/>
          <w:sz w:val="24"/>
          <w:szCs w:val="24"/>
        </w:rPr>
        <w:t xml:space="preserve">returns of the </w:t>
      </w:r>
      <w:r w:rsidR="00721648" w:rsidRPr="00A75601">
        <w:rPr>
          <w:rFonts w:ascii="Times New Roman" w:hAnsi="Times New Roman"/>
          <w:sz w:val="24"/>
          <w:szCs w:val="24"/>
        </w:rPr>
        <w:t xml:space="preserve">strategies represent </w:t>
      </w:r>
      <w:r w:rsidRPr="00A75601">
        <w:rPr>
          <w:rFonts w:ascii="Times New Roman" w:hAnsi="Times New Roman"/>
          <w:sz w:val="24"/>
          <w:szCs w:val="24"/>
        </w:rPr>
        <w:t>compensation for their exposure to systematic market risk factors.</w:t>
      </w:r>
      <w:r w:rsidR="003318FF" w:rsidRPr="00A75601">
        <w:rPr>
          <w:rFonts w:ascii="Times New Roman" w:hAnsi="Times New Roman"/>
          <w:sz w:val="24"/>
          <w:szCs w:val="24"/>
        </w:rPr>
        <w:t xml:space="preserve"> To this end, we regress </w:t>
      </w:r>
      <w:r w:rsidR="000E7FDD" w:rsidRPr="00A75601">
        <w:rPr>
          <w:rFonts w:ascii="Times New Roman" w:hAnsi="Times New Roman"/>
          <w:sz w:val="24"/>
          <w:szCs w:val="24"/>
        </w:rPr>
        <w:t xml:space="preserve">the monthly excess returns of </w:t>
      </w:r>
      <w:r w:rsidR="003318FF" w:rsidRPr="00A75601">
        <w:rPr>
          <w:rFonts w:ascii="Times New Roman" w:hAnsi="Times New Roman"/>
          <w:sz w:val="24"/>
          <w:szCs w:val="24"/>
        </w:rPr>
        <w:t xml:space="preserve">each strategy on </w:t>
      </w:r>
      <w:r w:rsidR="001E1385" w:rsidRPr="00A75601">
        <w:rPr>
          <w:rFonts w:ascii="Times New Roman" w:hAnsi="Times New Roman"/>
          <w:sz w:val="24"/>
          <w:szCs w:val="24"/>
        </w:rPr>
        <w:t xml:space="preserve">a selected collection of </w:t>
      </w:r>
      <w:r w:rsidR="003318FF" w:rsidRPr="00A75601">
        <w:rPr>
          <w:rFonts w:ascii="Times New Roman" w:hAnsi="Times New Roman"/>
          <w:sz w:val="24"/>
          <w:szCs w:val="24"/>
        </w:rPr>
        <w:t>equity and bond portfolios. In particular,</w:t>
      </w:r>
      <w:r w:rsidR="001E1385" w:rsidRPr="00A75601">
        <w:rPr>
          <w:rFonts w:ascii="Times New Roman" w:hAnsi="Times New Roman"/>
          <w:sz w:val="24"/>
          <w:szCs w:val="24"/>
        </w:rPr>
        <w:t xml:space="preserve"> we use the excess returns on the </w:t>
      </w:r>
      <w:proofErr w:type="spellStart"/>
      <w:r w:rsidR="001E1385" w:rsidRPr="00A75601">
        <w:rPr>
          <w:rFonts w:ascii="Times New Roman" w:hAnsi="Times New Roman"/>
          <w:sz w:val="24"/>
          <w:szCs w:val="24"/>
        </w:rPr>
        <w:t>Fama</w:t>
      </w:r>
      <w:proofErr w:type="spellEnd"/>
      <w:r w:rsidR="001E1385" w:rsidRPr="00A75601">
        <w:rPr>
          <w:rFonts w:ascii="Times New Roman" w:hAnsi="Times New Roman"/>
          <w:sz w:val="24"/>
          <w:szCs w:val="24"/>
        </w:rPr>
        <w:t>-French (1993) market (MKT), small-minus-big (SMB), high-minus-low (HML)</w:t>
      </w:r>
      <w:r w:rsidR="00F337B8" w:rsidRPr="00A75601">
        <w:rPr>
          <w:rFonts w:ascii="Times New Roman" w:hAnsi="Times New Roman"/>
          <w:sz w:val="24"/>
          <w:szCs w:val="24"/>
        </w:rPr>
        <w:t xml:space="preserve"> and winner-minus-loser (WML) </w:t>
      </w:r>
      <w:r w:rsidR="00C469A4" w:rsidRPr="00A75601">
        <w:rPr>
          <w:rFonts w:ascii="Times New Roman" w:hAnsi="Times New Roman"/>
          <w:sz w:val="24"/>
          <w:szCs w:val="24"/>
        </w:rPr>
        <w:t xml:space="preserve">global </w:t>
      </w:r>
      <w:r w:rsidR="00F337B8" w:rsidRPr="00A75601">
        <w:rPr>
          <w:rFonts w:ascii="Times New Roman" w:hAnsi="Times New Roman"/>
          <w:sz w:val="24"/>
          <w:szCs w:val="24"/>
        </w:rPr>
        <w:t>portfolios</w:t>
      </w:r>
      <w:r w:rsidR="00B50742" w:rsidRPr="00A75601">
        <w:rPr>
          <w:rFonts w:ascii="Times New Roman" w:hAnsi="Times New Roman"/>
          <w:sz w:val="24"/>
          <w:szCs w:val="24"/>
        </w:rPr>
        <w:t xml:space="preserve"> as proxies for equity market risk</w:t>
      </w:r>
      <w:r w:rsidR="00F337B8" w:rsidRPr="00A75601">
        <w:rPr>
          <w:rFonts w:ascii="Times New Roman" w:hAnsi="Times New Roman"/>
          <w:sz w:val="24"/>
          <w:szCs w:val="24"/>
        </w:rPr>
        <w:t>.</w:t>
      </w:r>
      <w:r w:rsidR="00C875AE">
        <w:rPr>
          <w:rStyle w:val="EndnoteReference"/>
          <w:rFonts w:ascii="Times New Roman" w:hAnsi="Times New Roman"/>
          <w:sz w:val="24"/>
          <w:szCs w:val="24"/>
        </w:rPr>
        <w:endnoteReference w:id="19"/>
      </w:r>
      <w:r w:rsidR="00072CC2" w:rsidRPr="00A75601">
        <w:rPr>
          <w:rFonts w:ascii="Times New Roman" w:hAnsi="Times New Roman"/>
          <w:sz w:val="24"/>
          <w:szCs w:val="24"/>
        </w:rPr>
        <w:t xml:space="preserve"> We also include the excess returns on the MSCI W</w:t>
      </w:r>
      <w:r w:rsidR="00295191">
        <w:rPr>
          <w:rFonts w:ascii="Times New Roman" w:hAnsi="Times New Roman"/>
          <w:sz w:val="24"/>
          <w:szCs w:val="24"/>
        </w:rPr>
        <w:t>orld bank stock index (</w:t>
      </w:r>
      <w:proofErr w:type="spellStart"/>
      <w:r w:rsidR="00295191">
        <w:rPr>
          <w:rFonts w:ascii="Times New Roman" w:hAnsi="Times New Roman"/>
          <w:sz w:val="24"/>
          <w:szCs w:val="24"/>
        </w:rPr>
        <w:t>MSCIBank</w:t>
      </w:r>
      <w:proofErr w:type="spellEnd"/>
      <w:r w:rsidR="00295191">
        <w:rPr>
          <w:rFonts w:ascii="Times New Roman" w:hAnsi="Times New Roman"/>
          <w:sz w:val="24"/>
          <w:szCs w:val="24"/>
        </w:rPr>
        <w:t>)</w:t>
      </w:r>
      <w:r w:rsidR="00072CC2" w:rsidRPr="00A75601">
        <w:rPr>
          <w:rFonts w:ascii="Times New Roman" w:hAnsi="Times New Roman"/>
          <w:sz w:val="24"/>
          <w:szCs w:val="24"/>
        </w:rPr>
        <w:t>.</w:t>
      </w:r>
      <w:r w:rsidR="003602BC" w:rsidRPr="00A75601">
        <w:rPr>
          <w:rFonts w:ascii="Times New Roman" w:hAnsi="Times New Roman"/>
          <w:sz w:val="24"/>
          <w:szCs w:val="24"/>
        </w:rPr>
        <w:t xml:space="preserve"> We use the excess returns on the Bank of America/Merrill Lynch 5-year US Treasury bond portfolio</w:t>
      </w:r>
      <w:r w:rsidR="00166EE9" w:rsidRPr="00A75601">
        <w:rPr>
          <w:rFonts w:ascii="Times New Roman" w:hAnsi="Times New Roman"/>
          <w:sz w:val="24"/>
          <w:szCs w:val="24"/>
        </w:rPr>
        <w:t xml:space="preserve"> (TRSY5Y)</w:t>
      </w:r>
      <w:r w:rsidR="00DB0B76" w:rsidRPr="00A75601">
        <w:rPr>
          <w:rFonts w:ascii="Times New Roman" w:hAnsi="Times New Roman"/>
          <w:sz w:val="24"/>
          <w:szCs w:val="24"/>
        </w:rPr>
        <w:t xml:space="preserve"> </w:t>
      </w:r>
      <w:r w:rsidR="003602BC" w:rsidRPr="00A75601">
        <w:rPr>
          <w:rFonts w:ascii="Times New Roman" w:hAnsi="Times New Roman"/>
          <w:sz w:val="24"/>
          <w:szCs w:val="24"/>
        </w:rPr>
        <w:t xml:space="preserve">to proxy for bond </w:t>
      </w:r>
      <w:r w:rsidR="003602BC" w:rsidRPr="00A75601">
        <w:rPr>
          <w:rFonts w:ascii="Times New Roman" w:hAnsi="Times New Roman"/>
          <w:sz w:val="24"/>
          <w:szCs w:val="24"/>
        </w:rPr>
        <w:lastRenderedPageBreak/>
        <w:t xml:space="preserve">market risk. </w:t>
      </w:r>
      <w:r w:rsidR="00DB0B76" w:rsidRPr="00A75601">
        <w:rPr>
          <w:rFonts w:ascii="Times New Roman" w:hAnsi="Times New Roman"/>
          <w:sz w:val="24"/>
          <w:szCs w:val="24"/>
        </w:rPr>
        <w:t xml:space="preserve">We finally use two proxies to control for default risk, namely the excess returns on the Bank of America/Merrill Lynch indices for </w:t>
      </w:r>
      <w:r w:rsidR="006F0882" w:rsidRPr="00A75601">
        <w:rPr>
          <w:rFonts w:ascii="Times New Roman" w:hAnsi="Times New Roman"/>
          <w:sz w:val="24"/>
          <w:szCs w:val="24"/>
        </w:rPr>
        <w:t xml:space="preserve">both </w:t>
      </w:r>
      <w:r w:rsidR="00DB0B76" w:rsidRPr="00A75601">
        <w:rPr>
          <w:rFonts w:ascii="Times New Roman" w:hAnsi="Times New Roman"/>
          <w:sz w:val="24"/>
          <w:szCs w:val="24"/>
        </w:rPr>
        <w:t xml:space="preserve">the BBB-rated industrial (IND) and </w:t>
      </w:r>
      <w:r w:rsidR="006F0882" w:rsidRPr="00A75601">
        <w:rPr>
          <w:rFonts w:ascii="Times New Roman" w:hAnsi="Times New Roman"/>
          <w:sz w:val="24"/>
          <w:szCs w:val="24"/>
        </w:rPr>
        <w:t>financial (FIN) global bond portfolios</w:t>
      </w:r>
      <w:r w:rsidR="00E66FD8" w:rsidRPr="00A75601">
        <w:rPr>
          <w:rFonts w:ascii="Times New Roman" w:hAnsi="Times New Roman"/>
          <w:sz w:val="24"/>
          <w:szCs w:val="24"/>
        </w:rPr>
        <w:t xml:space="preserve">. </w:t>
      </w:r>
    </w:p>
    <w:p w14:paraId="411EC052" w14:textId="77777777" w:rsidR="00424101" w:rsidRPr="00A75601" w:rsidRDefault="00295191" w:rsidP="00A75601">
      <w:pPr>
        <w:spacing w:line="480" w:lineRule="auto"/>
        <w:jc w:val="both"/>
        <w:outlineLvl w:val="0"/>
        <w:rPr>
          <w:rFonts w:ascii="Times New Roman" w:hAnsi="Times New Roman"/>
          <w:sz w:val="24"/>
          <w:szCs w:val="24"/>
        </w:rPr>
      </w:pPr>
      <w:r>
        <w:rPr>
          <w:rFonts w:ascii="Times New Roman" w:hAnsi="Times New Roman"/>
          <w:sz w:val="24"/>
          <w:szCs w:val="24"/>
        </w:rPr>
        <w:t>Exhibit</w:t>
      </w:r>
      <w:r w:rsidR="005B4F85" w:rsidRPr="00A75601">
        <w:rPr>
          <w:rFonts w:ascii="Times New Roman" w:hAnsi="Times New Roman"/>
          <w:sz w:val="24"/>
          <w:szCs w:val="24"/>
        </w:rPr>
        <w:t xml:space="preserve"> 10 shows the regression results for each individual strategy, for an equally-weighted portfolio of the strategies and for </w:t>
      </w:r>
      <w:r w:rsidR="00C828C7" w:rsidRPr="00A75601">
        <w:rPr>
          <w:rFonts w:ascii="Times New Roman" w:hAnsi="Times New Roman"/>
          <w:sz w:val="24"/>
          <w:szCs w:val="24"/>
        </w:rPr>
        <w:t>the CSFB fixed income arbitrage hedge fund return index.</w:t>
      </w:r>
      <w:r w:rsidR="0047727E" w:rsidRPr="00A75601">
        <w:rPr>
          <w:rFonts w:ascii="Times New Roman" w:hAnsi="Times New Roman"/>
          <w:sz w:val="24"/>
          <w:szCs w:val="24"/>
        </w:rPr>
        <w:t xml:space="preserve"> </w:t>
      </w:r>
      <w:r w:rsidR="00AA3ED2">
        <w:rPr>
          <w:rFonts w:ascii="Times New Roman" w:hAnsi="Times New Roman"/>
          <w:sz w:val="24"/>
          <w:szCs w:val="24"/>
        </w:rPr>
        <w:t>F</w:t>
      </w:r>
      <w:r w:rsidR="00B50742" w:rsidRPr="00A75601">
        <w:rPr>
          <w:rFonts w:ascii="Times New Roman" w:hAnsi="Times New Roman"/>
          <w:sz w:val="24"/>
          <w:szCs w:val="24"/>
        </w:rPr>
        <w:t>irst</w:t>
      </w:r>
      <w:r w:rsidR="00AA3ED2">
        <w:rPr>
          <w:rFonts w:ascii="Times New Roman" w:hAnsi="Times New Roman"/>
          <w:sz w:val="24"/>
          <w:szCs w:val="24"/>
        </w:rPr>
        <w:t>, we can observe a</w:t>
      </w:r>
      <w:r w:rsidR="0047727E" w:rsidRPr="00A75601">
        <w:rPr>
          <w:rFonts w:ascii="Times New Roman" w:hAnsi="Times New Roman"/>
          <w:sz w:val="24"/>
          <w:szCs w:val="24"/>
        </w:rPr>
        <w:t xml:space="preserve"> very high explanatory power of the market risk factors for </w:t>
      </w:r>
      <w:r w:rsidR="00297769">
        <w:rPr>
          <w:rFonts w:ascii="Times New Roman" w:hAnsi="Times New Roman"/>
          <w:sz w:val="24"/>
          <w:szCs w:val="24"/>
        </w:rPr>
        <w:t xml:space="preserve">the </w:t>
      </w:r>
      <w:r w:rsidR="0047727E" w:rsidRPr="00A75601">
        <w:rPr>
          <w:rFonts w:ascii="Times New Roman" w:hAnsi="Times New Roman"/>
          <w:sz w:val="24"/>
          <w:szCs w:val="24"/>
        </w:rPr>
        <w:t>CSFB index returns (</w:t>
      </w:r>
      <w:r w:rsidR="000E7FDD" w:rsidRPr="00A75601">
        <w:rPr>
          <w:rFonts w:ascii="Times New Roman" w:hAnsi="Times New Roman"/>
          <w:sz w:val="24"/>
          <w:szCs w:val="24"/>
        </w:rPr>
        <w:t>with</w:t>
      </w:r>
      <w:r w:rsidR="0047727E" w:rsidRPr="00A75601">
        <w:rPr>
          <w:rFonts w:ascii="Times New Roman" w:hAnsi="Times New Roman"/>
          <w:sz w:val="24"/>
          <w:szCs w:val="24"/>
        </w:rPr>
        <w:t xml:space="preserve"> R-squared </w:t>
      </w:r>
      <w:r w:rsidR="000E7FDD" w:rsidRPr="00A75601">
        <w:rPr>
          <w:rFonts w:ascii="Times New Roman" w:hAnsi="Times New Roman"/>
          <w:sz w:val="24"/>
          <w:szCs w:val="24"/>
        </w:rPr>
        <w:t>of</w:t>
      </w:r>
      <w:r w:rsidR="0047727E" w:rsidRPr="00A75601">
        <w:rPr>
          <w:rFonts w:ascii="Times New Roman" w:hAnsi="Times New Roman"/>
          <w:sz w:val="24"/>
          <w:szCs w:val="24"/>
        </w:rPr>
        <w:t xml:space="preserve"> 60%)</w:t>
      </w:r>
      <w:r w:rsidR="002F5DD5">
        <w:rPr>
          <w:rFonts w:ascii="Times New Roman" w:hAnsi="Times New Roman"/>
          <w:sz w:val="24"/>
          <w:szCs w:val="24"/>
        </w:rPr>
        <w:t>, indicating</w:t>
      </w:r>
      <w:r w:rsidR="0047727E" w:rsidRPr="00A75601">
        <w:rPr>
          <w:rFonts w:ascii="Times New Roman" w:hAnsi="Times New Roman"/>
          <w:sz w:val="24"/>
          <w:szCs w:val="24"/>
        </w:rPr>
        <w:t xml:space="preserve"> </w:t>
      </w:r>
      <w:r w:rsidR="00B50742" w:rsidRPr="00A75601">
        <w:rPr>
          <w:rFonts w:ascii="Times New Roman" w:hAnsi="Times New Roman"/>
          <w:sz w:val="24"/>
          <w:szCs w:val="24"/>
        </w:rPr>
        <w:t>that</w:t>
      </w:r>
      <w:r w:rsidR="0047727E" w:rsidRPr="00A75601">
        <w:rPr>
          <w:rFonts w:ascii="Times New Roman" w:hAnsi="Times New Roman"/>
          <w:sz w:val="24"/>
          <w:szCs w:val="24"/>
        </w:rPr>
        <w:t xml:space="preserve"> fixed income arbitrageurs </w:t>
      </w:r>
      <w:r w:rsidR="009541EC" w:rsidRPr="00A75601">
        <w:rPr>
          <w:rFonts w:ascii="Times New Roman" w:hAnsi="Times New Roman"/>
          <w:sz w:val="24"/>
          <w:szCs w:val="24"/>
        </w:rPr>
        <w:t>were far from being market-neutral during the period 2005-2009</w:t>
      </w:r>
      <w:r w:rsidR="0010158E" w:rsidRPr="00A75601">
        <w:rPr>
          <w:rFonts w:ascii="Times New Roman" w:hAnsi="Times New Roman"/>
          <w:sz w:val="24"/>
          <w:szCs w:val="24"/>
        </w:rPr>
        <w:t xml:space="preserve">, consistent with </w:t>
      </w:r>
      <w:r w:rsidR="00B50742" w:rsidRPr="00A75601">
        <w:rPr>
          <w:rFonts w:ascii="Times New Roman" w:hAnsi="Times New Roman"/>
          <w:sz w:val="24"/>
          <w:szCs w:val="24"/>
        </w:rPr>
        <w:t xml:space="preserve">the findings of </w:t>
      </w:r>
      <w:r w:rsidR="0010158E" w:rsidRPr="00A75601">
        <w:rPr>
          <w:rFonts w:ascii="Times New Roman" w:hAnsi="Times New Roman"/>
          <w:sz w:val="24"/>
          <w:szCs w:val="24"/>
        </w:rPr>
        <w:t>Patton (2009)</w:t>
      </w:r>
      <w:r w:rsidR="009541EC" w:rsidRPr="00A75601">
        <w:rPr>
          <w:rFonts w:ascii="Times New Roman" w:hAnsi="Times New Roman"/>
          <w:sz w:val="24"/>
          <w:szCs w:val="24"/>
        </w:rPr>
        <w:t xml:space="preserve">. </w:t>
      </w:r>
      <w:r w:rsidR="00AA3ED2">
        <w:rPr>
          <w:rFonts w:ascii="Times New Roman" w:hAnsi="Times New Roman"/>
          <w:sz w:val="24"/>
          <w:szCs w:val="24"/>
        </w:rPr>
        <w:t>Second</w:t>
      </w:r>
      <w:r w:rsidR="009541EC" w:rsidRPr="00A75601">
        <w:rPr>
          <w:rFonts w:ascii="Times New Roman" w:hAnsi="Times New Roman"/>
          <w:sz w:val="24"/>
          <w:szCs w:val="24"/>
        </w:rPr>
        <w:t>, the CSA strategy</w:t>
      </w:r>
      <w:r w:rsidR="0047727E" w:rsidRPr="00A75601">
        <w:rPr>
          <w:rFonts w:ascii="Times New Roman" w:hAnsi="Times New Roman"/>
          <w:sz w:val="24"/>
          <w:szCs w:val="24"/>
        </w:rPr>
        <w:t xml:space="preserve"> </w:t>
      </w:r>
      <w:r w:rsidR="009541EC" w:rsidRPr="00A75601">
        <w:rPr>
          <w:rFonts w:ascii="Times New Roman" w:hAnsi="Times New Roman"/>
          <w:sz w:val="24"/>
          <w:szCs w:val="24"/>
        </w:rPr>
        <w:t xml:space="preserve">also shows a high R-squared (49%) with significant positive loadings on the bank stock index. The new strategies show lower R-squared values. </w:t>
      </w:r>
      <w:r w:rsidR="009065EA" w:rsidRPr="00A75601">
        <w:rPr>
          <w:rFonts w:ascii="Times New Roman" w:hAnsi="Times New Roman"/>
          <w:sz w:val="24"/>
          <w:szCs w:val="24"/>
        </w:rPr>
        <w:t xml:space="preserve">Strategy 3 presents a negative loading on the market portfolio, suggesting how this strategy </w:t>
      </w:r>
      <w:r w:rsidR="00136A50" w:rsidRPr="00A75601">
        <w:rPr>
          <w:rFonts w:ascii="Times New Roman" w:hAnsi="Times New Roman"/>
          <w:sz w:val="24"/>
          <w:szCs w:val="24"/>
        </w:rPr>
        <w:t xml:space="preserve">is countercyclical and </w:t>
      </w:r>
      <w:r w:rsidR="009065EA" w:rsidRPr="00A75601">
        <w:rPr>
          <w:rFonts w:ascii="Times New Roman" w:hAnsi="Times New Roman"/>
          <w:sz w:val="24"/>
          <w:szCs w:val="24"/>
        </w:rPr>
        <w:t>could be used as a hedge against macro</w:t>
      </w:r>
      <w:r w:rsidR="006F4BAC" w:rsidRPr="00A75601">
        <w:rPr>
          <w:rFonts w:ascii="Times New Roman" w:hAnsi="Times New Roman"/>
          <w:sz w:val="24"/>
          <w:szCs w:val="24"/>
        </w:rPr>
        <w:t xml:space="preserve">economic risk (or major financial crises). </w:t>
      </w:r>
      <w:r w:rsidR="00297769">
        <w:rPr>
          <w:rFonts w:ascii="Times New Roman" w:hAnsi="Times New Roman"/>
          <w:sz w:val="24"/>
          <w:szCs w:val="24"/>
        </w:rPr>
        <w:t>The</w:t>
      </w:r>
      <w:r w:rsidR="009541EC" w:rsidRPr="00A75601">
        <w:rPr>
          <w:rFonts w:ascii="Times New Roman" w:hAnsi="Times New Roman"/>
          <w:sz w:val="24"/>
          <w:szCs w:val="24"/>
        </w:rPr>
        <w:t xml:space="preserve"> equally-weighted portfolio </w:t>
      </w:r>
      <w:r w:rsidR="00297769">
        <w:rPr>
          <w:rFonts w:ascii="Times New Roman" w:hAnsi="Times New Roman"/>
          <w:sz w:val="24"/>
          <w:szCs w:val="24"/>
        </w:rPr>
        <w:t>of</w:t>
      </w:r>
      <w:r w:rsidR="009541EC" w:rsidRPr="00A75601">
        <w:rPr>
          <w:rFonts w:ascii="Times New Roman" w:hAnsi="Times New Roman"/>
          <w:sz w:val="24"/>
          <w:szCs w:val="24"/>
        </w:rPr>
        <w:t xml:space="preserve"> the </w:t>
      </w:r>
      <w:r w:rsidR="00477C22" w:rsidRPr="00A75601">
        <w:rPr>
          <w:rFonts w:ascii="Times New Roman" w:hAnsi="Times New Roman"/>
          <w:sz w:val="24"/>
          <w:szCs w:val="24"/>
        </w:rPr>
        <w:t>4</w:t>
      </w:r>
      <w:r w:rsidR="009541EC" w:rsidRPr="00A75601">
        <w:rPr>
          <w:rFonts w:ascii="Times New Roman" w:hAnsi="Times New Roman"/>
          <w:sz w:val="24"/>
          <w:szCs w:val="24"/>
        </w:rPr>
        <w:t xml:space="preserve"> strategies is substantially less correlated with market risk factors (R-squared of </w:t>
      </w:r>
      <w:r w:rsidR="00477C22" w:rsidRPr="00A75601">
        <w:rPr>
          <w:rFonts w:ascii="Times New Roman" w:hAnsi="Times New Roman"/>
          <w:sz w:val="24"/>
          <w:szCs w:val="24"/>
        </w:rPr>
        <w:t>30</w:t>
      </w:r>
      <w:r w:rsidR="009541EC" w:rsidRPr="00A75601">
        <w:rPr>
          <w:rFonts w:ascii="Times New Roman" w:hAnsi="Times New Roman"/>
          <w:sz w:val="24"/>
          <w:szCs w:val="24"/>
        </w:rPr>
        <w:t>%)</w:t>
      </w:r>
      <w:r w:rsidR="0010158E" w:rsidRPr="00A75601">
        <w:rPr>
          <w:rFonts w:ascii="Times New Roman" w:hAnsi="Times New Roman"/>
          <w:sz w:val="24"/>
          <w:szCs w:val="24"/>
        </w:rPr>
        <w:t xml:space="preserve"> than both the CSA and CSFB index returns</w:t>
      </w:r>
      <w:r w:rsidR="009541EC" w:rsidRPr="00A75601">
        <w:rPr>
          <w:rFonts w:ascii="Times New Roman" w:hAnsi="Times New Roman"/>
          <w:sz w:val="24"/>
          <w:szCs w:val="24"/>
        </w:rPr>
        <w:t xml:space="preserve">.    </w:t>
      </w:r>
    </w:p>
    <w:p w14:paraId="53C4E38D" w14:textId="77777777" w:rsidR="00EF4147" w:rsidRPr="000B1A1E" w:rsidRDefault="00ED6213" w:rsidP="000B1A1E">
      <w:pPr>
        <w:pStyle w:val="ListParagraph"/>
        <w:numPr>
          <w:ilvl w:val="1"/>
          <w:numId w:val="18"/>
        </w:numPr>
        <w:spacing w:after="120" w:line="480" w:lineRule="auto"/>
        <w:ind w:left="426"/>
        <w:jc w:val="both"/>
        <w:outlineLvl w:val="0"/>
        <w:rPr>
          <w:rFonts w:ascii="Times New Roman" w:hAnsi="Times New Roman"/>
          <w:b/>
          <w:sz w:val="24"/>
          <w:szCs w:val="24"/>
        </w:rPr>
      </w:pPr>
      <w:r w:rsidRPr="000B1A1E">
        <w:rPr>
          <w:rFonts w:ascii="Times New Roman" w:hAnsi="Times New Roman"/>
          <w:b/>
          <w:sz w:val="24"/>
          <w:szCs w:val="24"/>
        </w:rPr>
        <w:t>The effect of the volatility estimation method</w:t>
      </w:r>
      <w:r w:rsidR="004B6546" w:rsidRPr="000B1A1E">
        <w:rPr>
          <w:rFonts w:ascii="Times New Roman" w:hAnsi="Times New Roman"/>
          <w:b/>
          <w:sz w:val="24"/>
          <w:szCs w:val="24"/>
        </w:rPr>
        <w:t xml:space="preserve"> </w:t>
      </w:r>
    </w:p>
    <w:p w14:paraId="435A894A" w14:textId="77777777" w:rsidR="00B50742" w:rsidRPr="00A75601" w:rsidRDefault="00297769" w:rsidP="00A75601">
      <w:pPr>
        <w:spacing w:line="480" w:lineRule="auto"/>
        <w:jc w:val="both"/>
        <w:outlineLvl w:val="0"/>
        <w:rPr>
          <w:rFonts w:ascii="Times New Roman" w:hAnsi="Times New Roman"/>
          <w:sz w:val="24"/>
          <w:szCs w:val="24"/>
        </w:rPr>
      </w:pPr>
      <w:r>
        <w:rPr>
          <w:rFonts w:ascii="Times New Roman" w:hAnsi="Times New Roman"/>
          <w:sz w:val="24"/>
          <w:szCs w:val="24"/>
        </w:rPr>
        <w:t>W</w:t>
      </w:r>
      <w:r w:rsidR="00A27EC5" w:rsidRPr="00A75601">
        <w:rPr>
          <w:rFonts w:ascii="Times New Roman" w:hAnsi="Times New Roman"/>
          <w:sz w:val="24"/>
          <w:szCs w:val="24"/>
        </w:rPr>
        <w:t xml:space="preserve">e test if the results obtained by the new strategies are robust to changes to the model used to calculate theoretical spreads. Previous studies have shown that the profitability of CSA may </w:t>
      </w:r>
      <w:r>
        <w:rPr>
          <w:rFonts w:ascii="Times New Roman" w:hAnsi="Times New Roman"/>
          <w:sz w:val="24"/>
          <w:szCs w:val="24"/>
        </w:rPr>
        <w:t>depend on</w:t>
      </w:r>
      <w:r w:rsidR="00A27EC5" w:rsidRPr="00A75601">
        <w:rPr>
          <w:rFonts w:ascii="Times New Roman" w:hAnsi="Times New Roman"/>
          <w:sz w:val="24"/>
          <w:szCs w:val="24"/>
        </w:rPr>
        <w:t xml:space="preserve"> the structural credit risk model used and especially</w:t>
      </w:r>
      <w:r>
        <w:rPr>
          <w:rFonts w:ascii="Times New Roman" w:hAnsi="Times New Roman"/>
          <w:sz w:val="24"/>
          <w:szCs w:val="24"/>
        </w:rPr>
        <w:t xml:space="preserve"> on</w:t>
      </w:r>
      <w:r w:rsidR="00A27EC5" w:rsidRPr="00A75601">
        <w:rPr>
          <w:rFonts w:ascii="Times New Roman" w:hAnsi="Times New Roman"/>
          <w:sz w:val="24"/>
          <w:szCs w:val="24"/>
        </w:rPr>
        <w:t xml:space="preserve"> the inputs used for a given model. As shown by </w:t>
      </w:r>
      <w:proofErr w:type="spellStart"/>
      <w:r w:rsidR="00A27EC5" w:rsidRPr="00A75601">
        <w:rPr>
          <w:rFonts w:ascii="Times New Roman" w:hAnsi="Times New Roman"/>
          <w:sz w:val="24"/>
          <w:szCs w:val="24"/>
        </w:rPr>
        <w:t>Bajlum</w:t>
      </w:r>
      <w:proofErr w:type="spellEnd"/>
      <w:r w:rsidR="00A27EC5" w:rsidRPr="00A75601">
        <w:rPr>
          <w:rFonts w:ascii="Times New Roman" w:hAnsi="Times New Roman"/>
          <w:sz w:val="24"/>
          <w:szCs w:val="24"/>
        </w:rPr>
        <w:t xml:space="preserve"> and Larsen (2008), the use of a different structural model is of secondary importance for the strateg</w:t>
      </w:r>
      <w:r w:rsidR="002F5DD5">
        <w:rPr>
          <w:rFonts w:ascii="Times New Roman" w:hAnsi="Times New Roman"/>
          <w:sz w:val="24"/>
          <w:szCs w:val="24"/>
        </w:rPr>
        <w:t>ies</w:t>
      </w:r>
      <w:r w:rsidR="00A27EC5" w:rsidRPr="00A75601">
        <w:rPr>
          <w:rFonts w:ascii="Times New Roman" w:hAnsi="Times New Roman"/>
          <w:sz w:val="24"/>
          <w:szCs w:val="24"/>
        </w:rPr>
        <w:t>’ profitability</w:t>
      </w:r>
      <w:r w:rsidR="007B53CC" w:rsidRPr="00A75601">
        <w:rPr>
          <w:rFonts w:ascii="Times New Roman" w:hAnsi="Times New Roman"/>
          <w:sz w:val="24"/>
          <w:szCs w:val="24"/>
        </w:rPr>
        <w:t>; h</w:t>
      </w:r>
      <w:r w:rsidR="00A27EC5" w:rsidRPr="00A75601">
        <w:rPr>
          <w:rFonts w:ascii="Times New Roman" w:hAnsi="Times New Roman"/>
          <w:sz w:val="24"/>
          <w:szCs w:val="24"/>
        </w:rPr>
        <w:t xml:space="preserve">owever, the choice of the volatility input can have a big impact. They state that using option-implied volatilities (rather than historical volatilities) as inputs generates higher profits. </w:t>
      </w:r>
      <w:r w:rsidR="00650FBA" w:rsidRPr="00A75601">
        <w:rPr>
          <w:rFonts w:ascii="Times New Roman" w:hAnsi="Times New Roman"/>
          <w:sz w:val="24"/>
          <w:szCs w:val="24"/>
        </w:rPr>
        <w:t>Given our lack of data on</w:t>
      </w:r>
      <w:r w:rsidR="00A27EC5" w:rsidRPr="00A75601">
        <w:rPr>
          <w:rFonts w:ascii="Times New Roman" w:hAnsi="Times New Roman"/>
          <w:sz w:val="24"/>
          <w:szCs w:val="24"/>
        </w:rPr>
        <w:t xml:space="preserve"> option-</w:t>
      </w:r>
      <w:r w:rsidR="007B53CC" w:rsidRPr="00A75601">
        <w:rPr>
          <w:rFonts w:ascii="Times New Roman" w:hAnsi="Times New Roman"/>
          <w:sz w:val="24"/>
          <w:szCs w:val="24"/>
        </w:rPr>
        <w:t xml:space="preserve">implied volatilities, </w:t>
      </w:r>
      <w:r w:rsidR="00A27EC5" w:rsidRPr="00A75601">
        <w:rPr>
          <w:rFonts w:ascii="Times New Roman" w:hAnsi="Times New Roman"/>
          <w:sz w:val="24"/>
          <w:szCs w:val="24"/>
        </w:rPr>
        <w:t xml:space="preserve">we compute spreads using 1000-day historical volatility, originally suggested in the </w:t>
      </w:r>
      <w:proofErr w:type="spellStart"/>
      <w:r w:rsidR="00A27EC5" w:rsidRPr="00A75601">
        <w:rPr>
          <w:rFonts w:ascii="Times New Roman" w:hAnsi="Times New Roman"/>
          <w:sz w:val="24"/>
          <w:szCs w:val="24"/>
        </w:rPr>
        <w:t>CreditGrades</w:t>
      </w:r>
      <w:proofErr w:type="spellEnd"/>
      <w:r w:rsidR="00A27EC5" w:rsidRPr="00A75601">
        <w:rPr>
          <w:rFonts w:ascii="Times New Roman" w:hAnsi="Times New Roman"/>
          <w:sz w:val="24"/>
          <w:szCs w:val="24"/>
        </w:rPr>
        <w:t xml:space="preserve"> Technical Document (2002)</w:t>
      </w:r>
      <w:r>
        <w:rPr>
          <w:rFonts w:ascii="Times New Roman" w:hAnsi="Times New Roman"/>
          <w:sz w:val="24"/>
          <w:szCs w:val="24"/>
        </w:rPr>
        <w:t xml:space="preserve"> and repeat our analysis</w:t>
      </w:r>
      <w:r w:rsidR="007B53CC" w:rsidRPr="00A75601">
        <w:rPr>
          <w:rFonts w:ascii="Times New Roman" w:hAnsi="Times New Roman"/>
          <w:sz w:val="24"/>
          <w:szCs w:val="24"/>
        </w:rPr>
        <w:t>.</w:t>
      </w:r>
      <w:r w:rsidR="00A27EC5" w:rsidRPr="00A75601">
        <w:rPr>
          <w:rFonts w:ascii="Times New Roman" w:hAnsi="Times New Roman"/>
          <w:sz w:val="24"/>
          <w:szCs w:val="24"/>
        </w:rPr>
        <w:t xml:space="preserve"> </w:t>
      </w:r>
    </w:p>
    <w:p w14:paraId="0351B966" w14:textId="77777777" w:rsidR="004B7704" w:rsidRPr="00A75601" w:rsidRDefault="007B53CC" w:rsidP="00A75601">
      <w:pPr>
        <w:spacing w:line="480" w:lineRule="auto"/>
        <w:jc w:val="both"/>
        <w:outlineLvl w:val="0"/>
        <w:rPr>
          <w:rFonts w:ascii="Times New Roman" w:hAnsi="Times New Roman"/>
          <w:sz w:val="24"/>
          <w:szCs w:val="24"/>
        </w:rPr>
      </w:pPr>
      <w:r w:rsidRPr="00A75601">
        <w:rPr>
          <w:rFonts w:ascii="Times New Roman" w:hAnsi="Times New Roman"/>
          <w:sz w:val="24"/>
          <w:szCs w:val="24"/>
        </w:rPr>
        <w:lastRenderedPageBreak/>
        <w:t>We find that t</w:t>
      </w:r>
      <w:r w:rsidR="00A27EC5" w:rsidRPr="00A75601">
        <w:rPr>
          <w:rFonts w:ascii="Times New Roman" w:hAnsi="Times New Roman"/>
          <w:sz w:val="24"/>
          <w:szCs w:val="24"/>
        </w:rPr>
        <w:t xml:space="preserve">he results (available on request) look quite similar to the </w:t>
      </w:r>
      <w:r w:rsidR="00297769">
        <w:rPr>
          <w:rFonts w:ascii="Times New Roman" w:hAnsi="Times New Roman"/>
          <w:sz w:val="24"/>
          <w:szCs w:val="24"/>
        </w:rPr>
        <w:t>ones</w:t>
      </w:r>
      <w:r w:rsidR="00A27EC5" w:rsidRPr="00A75601">
        <w:rPr>
          <w:rFonts w:ascii="Times New Roman" w:hAnsi="Times New Roman"/>
          <w:sz w:val="24"/>
          <w:szCs w:val="24"/>
        </w:rPr>
        <w:t xml:space="preserve"> shown in </w:t>
      </w:r>
      <w:r w:rsidR="002F5DD5">
        <w:rPr>
          <w:rFonts w:ascii="Times New Roman" w:hAnsi="Times New Roman"/>
          <w:sz w:val="24"/>
          <w:szCs w:val="24"/>
        </w:rPr>
        <w:t>Exhibit 5</w:t>
      </w:r>
      <w:r w:rsidR="00A27EC5" w:rsidRPr="00A75601">
        <w:rPr>
          <w:rFonts w:ascii="Times New Roman" w:hAnsi="Times New Roman"/>
          <w:sz w:val="24"/>
          <w:szCs w:val="24"/>
        </w:rPr>
        <w:t xml:space="preserve">. </w:t>
      </w:r>
      <w:r w:rsidR="0072733E" w:rsidRPr="00A75601">
        <w:rPr>
          <w:rFonts w:ascii="Times New Roman" w:hAnsi="Times New Roman"/>
          <w:sz w:val="24"/>
          <w:szCs w:val="24"/>
        </w:rPr>
        <w:t>The new strategies outperform the CSA strategy in the crisis period, whereas in the pre-crisis period they perform worse than the CSA</w:t>
      </w:r>
      <w:r w:rsidR="00B50742" w:rsidRPr="00A75601">
        <w:rPr>
          <w:rFonts w:ascii="Times New Roman" w:hAnsi="Times New Roman"/>
          <w:sz w:val="24"/>
          <w:szCs w:val="24"/>
        </w:rPr>
        <w:t xml:space="preserve"> (except for Strategy 2)</w:t>
      </w:r>
      <w:r w:rsidR="0072733E" w:rsidRPr="00A75601">
        <w:rPr>
          <w:rFonts w:ascii="Times New Roman" w:hAnsi="Times New Roman"/>
          <w:sz w:val="24"/>
          <w:szCs w:val="24"/>
        </w:rPr>
        <w:t>.</w:t>
      </w:r>
      <w:r w:rsidR="00A27EC5" w:rsidRPr="00A75601">
        <w:rPr>
          <w:rFonts w:ascii="Times New Roman" w:hAnsi="Times New Roman"/>
          <w:sz w:val="24"/>
          <w:szCs w:val="24"/>
        </w:rPr>
        <w:t xml:space="preserve"> We also </w:t>
      </w:r>
      <w:r w:rsidRPr="00A75601">
        <w:rPr>
          <w:rFonts w:ascii="Times New Roman" w:hAnsi="Times New Roman"/>
          <w:sz w:val="24"/>
          <w:szCs w:val="24"/>
        </w:rPr>
        <w:t>comput</w:t>
      </w:r>
      <w:r w:rsidR="004B7704" w:rsidRPr="00A75601">
        <w:rPr>
          <w:rFonts w:ascii="Times New Roman" w:hAnsi="Times New Roman"/>
          <w:sz w:val="24"/>
          <w:szCs w:val="24"/>
        </w:rPr>
        <w:t>e</w:t>
      </w:r>
      <w:r w:rsidR="00A27EC5" w:rsidRPr="00A75601">
        <w:rPr>
          <w:rFonts w:ascii="Times New Roman" w:hAnsi="Times New Roman"/>
          <w:sz w:val="24"/>
          <w:szCs w:val="24"/>
        </w:rPr>
        <w:t xml:space="preserve"> the </w:t>
      </w:r>
      <w:r w:rsidRPr="00A75601">
        <w:rPr>
          <w:rFonts w:ascii="Times New Roman" w:hAnsi="Times New Roman"/>
          <w:sz w:val="24"/>
          <w:szCs w:val="24"/>
        </w:rPr>
        <w:t xml:space="preserve">correlation between the </w:t>
      </w:r>
      <w:r w:rsidR="00A27EC5" w:rsidRPr="00A75601">
        <w:rPr>
          <w:rFonts w:ascii="Times New Roman" w:hAnsi="Times New Roman"/>
          <w:sz w:val="24"/>
          <w:szCs w:val="24"/>
        </w:rPr>
        <w:t xml:space="preserve">returns of Strategy 1 under a 1000-day and 250-day historical </w:t>
      </w:r>
      <w:proofErr w:type="gramStart"/>
      <w:r w:rsidR="00A27EC5" w:rsidRPr="00A75601">
        <w:rPr>
          <w:rFonts w:ascii="Times New Roman" w:hAnsi="Times New Roman"/>
          <w:sz w:val="24"/>
          <w:szCs w:val="24"/>
        </w:rPr>
        <w:t>volatility</w:t>
      </w:r>
      <w:r w:rsidR="004B7704" w:rsidRPr="00A75601">
        <w:rPr>
          <w:rFonts w:ascii="Times New Roman" w:hAnsi="Times New Roman"/>
          <w:sz w:val="24"/>
          <w:szCs w:val="24"/>
        </w:rPr>
        <w:t>, and</w:t>
      </w:r>
      <w:proofErr w:type="gramEnd"/>
      <w:r w:rsidR="004B7704" w:rsidRPr="00A75601">
        <w:rPr>
          <w:rFonts w:ascii="Times New Roman" w:hAnsi="Times New Roman"/>
          <w:sz w:val="24"/>
          <w:szCs w:val="24"/>
        </w:rPr>
        <w:t xml:space="preserve"> fin</w:t>
      </w:r>
      <w:r w:rsidRPr="00A75601">
        <w:rPr>
          <w:rFonts w:ascii="Times New Roman" w:hAnsi="Times New Roman"/>
          <w:sz w:val="24"/>
          <w:szCs w:val="24"/>
        </w:rPr>
        <w:t>d that it is</w:t>
      </w:r>
      <w:r w:rsidR="00A27EC5" w:rsidRPr="00A75601">
        <w:rPr>
          <w:rFonts w:ascii="Times New Roman" w:hAnsi="Times New Roman"/>
          <w:sz w:val="24"/>
          <w:szCs w:val="24"/>
        </w:rPr>
        <w:t xml:space="preserve"> extremely high (0.93) in the pre-crisis subsample, but it is lower than 0.5 </w:t>
      </w:r>
      <w:r w:rsidRPr="00A75601">
        <w:rPr>
          <w:rFonts w:ascii="Times New Roman" w:hAnsi="Times New Roman"/>
          <w:sz w:val="24"/>
          <w:szCs w:val="24"/>
        </w:rPr>
        <w:t>during the crisis</w:t>
      </w:r>
      <w:r w:rsidR="00A27EC5" w:rsidRPr="00A75601">
        <w:rPr>
          <w:rFonts w:ascii="Times New Roman" w:hAnsi="Times New Roman"/>
          <w:sz w:val="24"/>
          <w:szCs w:val="24"/>
        </w:rPr>
        <w:t>.</w:t>
      </w:r>
      <w:r w:rsidR="00D11F03" w:rsidRPr="00A75601">
        <w:rPr>
          <w:rFonts w:ascii="Times New Roman" w:hAnsi="Times New Roman"/>
          <w:sz w:val="24"/>
          <w:szCs w:val="24"/>
        </w:rPr>
        <w:t xml:space="preserve"> </w:t>
      </w:r>
      <w:r w:rsidR="00AA3ED2">
        <w:rPr>
          <w:rFonts w:ascii="Times New Roman" w:hAnsi="Times New Roman"/>
          <w:sz w:val="24"/>
          <w:szCs w:val="24"/>
        </w:rPr>
        <w:t xml:space="preserve">These differences highlight how the price discovery measures produce different and better signals during the crisis period relative to the standard CSA. </w:t>
      </w:r>
      <w:r w:rsidR="00297769">
        <w:rPr>
          <w:rFonts w:ascii="Times New Roman" w:hAnsi="Times New Roman"/>
          <w:sz w:val="24"/>
          <w:szCs w:val="24"/>
        </w:rPr>
        <w:t>T</w:t>
      </w:r>
      <w:r w:rsidR="004B7704" w:rsidRPr="00A75601">
        <w:rPr>
          <w:rFonts w:ascii="Times New Roman" w:hAnsi="Times New Roman"/>
          <w:sz w:val="24"/>
          <w:szCs w:val="24"/>
        </w:rPr>
        <w:t xml:space="preserve">he correlation between </w:t>
      </w:r>
      <w:r w:rsidR="000849AB" w:rsidRPr="00A75601">
        <w:rPr>
          <w:rFonts w:ascii="Times New Roman" w:hAnsi="Times New Roman"/>
          <w:sz w:val="24"/>
          <w:szCs w:val="24"/>
        </w:rPr>
        <w:t xml:space="preserve">the </w:t>
      </w:r>
      <w:r w:rsidR="004B7704" w:rsidRPr="00A75601">
        <w:rPr>
          <w:rFonts w:ascii="Times New Roman" w:hAnsi="Times New Roman"/>
          <w:sz w:val="24"/>
          <w:szCs w:val="24"/>
        </w:rPr>
        <w:t>monthly returns of Strategy 1 (implemented with a</w:t>
      </w:r>
      <w:r w:rsidR="002F5DD5">
        <w:rPr>
          <w:rFonts w:ascii="Times New Roman" w:hAnsi="Times New Roman"/>
          <w:sz w:val="24"/>
          <w:szCs w:val="24"/>
        </w:rPr>
        <w:t xml:space="preserve"> 1000-day historical volatility</w:t>
      </w:r>
      <w:r w:rsidR="004B7704" w:rsidRPr="00A75601">
        <w:rPr>
          <w:rFonts w:ascii="Times New Roman" w:hAnsi="Times New Roman"/>
          <w:sz w:val="24"/>
          <w:szCs w:val="24"/>
        </w:rPr>
        <w:t xml:space="preserve">) and the CSFB index monthly returns </w:t>
      </w:r>
      <w:r w:rsidR="00297769">
        <w:rPr>
          <w:rFonts w:ascii="Times New Roman" w:hAnsi="Times New Roman"/>
          <w:sz w:val="24"/>
          <w:szCs w:val="24"/>
        </w:rPr>
        <w:t>is</w:t>
      </w:r>
      <w:r w:rsidR="004B7704" w:rsidRPr="00A75601">
        <w:rPr>
          <w:rFonts w:ascii="Times New Roman" w:hAnsi="Times New Roman"/>
          <w:sz w:val="24"/>
          <w:szCs w:val="24"/>
        </w:rPr>
        <w:t xml:space="preserve"> 0.6</w:t>
      </w:r>
      <w:r w:rsidR="00561D94" w:rsidRPr="00A75601">
        <w:rPr>
          <w:rFonts w:ascii="Times New Roman" w:hAnsi="Times New Roman"/>
          <w:sz w:val="24"/>
          <w:szCs w:val="24"/>
        </w:rPr>
        <w:t>7</w:t>
      </w:r>
      <w:r w:rsidR="004B7704" w:rsidRPr="00A75601">
        <w:rPr>
          <w:rFonts w:ascii="Times New Roman" w:hAnsi="Times New Roman"/>
          <w:sz w:val="24"/>
          <w:szCs w:val="24"/>
        </w:rPr>
        <w:t xml:space="preserve">. A reason for this higher value may be that market participants implementing the strategy tend to follow the guidelines included in the </w:t>
      </w:r>
      <w:proofErr w:type="spellStart"/>
      <w:r w:rsidR="004B7704" w:rsidRPr="00A75601">
        <w:rPr>
          <w:rFonts w:ascii="Times New Roman" w:hAnsi="Times New Roman"/>
          <w:sz w:val="24"/>
          <w:szCs w:val="24"/>
        </w:rPr>
        <w:t>CreditGrades</w:t>
      </w:r>
      <w:proofErr w:type="spellEnd"/>
      <w:r w:rsidR="004B7704" w:rsidRPr="00A75601">
        <w:rPr>
          <w:rFonts w:ascii="Times New Roman" w:hAnsi="Times New Roman"/>
          <w:sz w:val="24"/>
          <w:szCs w:val="24"/>
        </w:rPr>
        <w:t xml:space="preserve"> Technical Document (2002) and then choose </w:t>
      </w:r>
      <w:r w:rsidR="000D1264" w:rsidRPr="00A75601">
        <w:rPr>
          <w:rFonts w:ascii="Times New Roman" w:hAnsi="Times New Roman"/>
          <w:sz w:val="24"/>
          <w:szCs w:val="24"/>
        </w:rPr>
        <w:t>a 1000-day historical volatility to estimate model spreads.</w:t>
      </w:r>
    </w:p>
    <w:p w14:paraId="7142258A" w14:textId="77777777" w:rsidR="00051A20" w:rsidRPr="000B1A1E" w:rsidRDefault="002B1BDF" w:rsidP="000B1A1E">
      <w:pPr>
        <w:pStyle w:val="ListParagraph"/>
        <w:numPr>
          <w:ilvl w:val="1"/>
          <w:numId w:val="18"/>
        </w:numPr>
        <w:spacing w:after="120" w:line="480" w:lineRule="auto"/>
        <w:ind w:left="426"/>
        <w:jc w:val="both"/>
        <w:outlineLvl w:val="0"/>
        <w:rPr>
          <w:rFonts w:ascii="Times New Roman" w:hAnsi="Times New Roman"/>
          <w:b/>
          <w:iCs/>
          <w:sz w:val="24"/>
          <w:szCs w:val="24"/>
        </w:rPr>
      </w:pPr>
      <w:r w:rsidRPr="000B1A1E">
        <w:rPr>
          <w:rFonts w:ascii="Times New Roman" w:hAnsi="Times New Roman"/>
          <w:b/>
          <w:iCs/>
          <w:sz w:val="24"/>
          <w:szCs w:val="24"/>
        </w:rPr>
        <w:t>The impact of a</w:t>
      </w:r>
      <w:r w:rsidR="00051A20" w:rsidRPr="000B1A1E">
        <w:rPr>
          <w:rFonts w:ascii="Times New Roman" w:hAnsi="Times New Roman"/>
          <w:b/>
          <w:iCs/>
          <w:sz w:val="24"/>
          <w:szCs w:val="24"/>
        </w:rPr>
        <w:t>synchronous trading between CDS and equity markets</w:t>
      </w:r>
      <w:r w:rsidRPr="000B1A1E">
        <w:rPr>
          <w:rFonts w:ascii="Times New Roman" w:hAnsi="Times New Roman"/>
          <w:b/>
          <w:iCs/>
          <w:sz w:val="24"/>
          <w:szCs w:val="24"/>
        </w:rPr>
        <w:t xml:space="preserve"> </w:t>
      </w:r>
    </w:p>
    <w:p w14:paraId="11A714C7" w14:textId="77777777" w:rsidR="00C51CB8" w:rsidRPr="00A75601" w:rsidRDefault="006251C5" w:rsidP="00A75601">
      <w:pPr>
        <w:spacing w:line="480" w:lineRule="auto"/>
        <w:jc w:val="both"/>
        <w:outlineLvl w:val="0"/>
        <w:rPr>
          <w:rFonts w:ascii="Times New Roman" w:hAnsi="Times New Roman"/>
          <w:iCs/>
          <w:sz w:val="24"/>
          <w:szCs w:val="24"/>
        </w:rPr>
      </w:pPr>
      <w:r w:rsidRPr="00A75601">
        <w:rPr>
          <w:rFonts w:ascii="Times New Roman" w:hAnsi="Times New Roman"/>
          <w:iCs/>
          <w:sz w:val="24"/>
          <w:szCs w:val="24"/>
        </w:rPr>
        <w:t>In our study we assume that all the trades are performed at the closing time of the equity market</w:t>
      </w:r>
      <w:r w:rsidR="00BA6C68">
        <w:rPr>
          <w:rFonts w:ascii="Times New Roman" w:hAnsi="Times New Roman"/>
          <w:iCs/>
          <w:sz w:val="24"/>
          <w:szCs w:val="24"/>
        </w:rPr>
        <w:t>, which</w:t>
      </w:r>
      <w:r w:rsidRPr="00A75601">
        <w:rPr>
          <w:rFonts w:ascii="Times New Roman" w:hAnsi="Times New Roman"/>
          <w:iCs/>
          <w:sz w:val="24"/>
          <w:szCs w:val="24"/>
        </w:rPr>
        <w:t xml:space="preserve"> can be different from the recording time of the CDS quotes</w:t>
      </w:r>
      <w:r w:rsidR="00BA6C68">
        <w:rPr>
          <w:rFonts w:ascii="Times New Roman" w:hAnsi="Times New Roman"/>
          <w:iCs/>
          <w:sz w:val="24"/>
          <w:szCs w:val="24"/>
        </w:rPr>
        <w:t xml:space="preserve">. </w:t>
      </w:r>
      <w:r w:rsidR="00297769">
        <w:rPr>
          <w:rFonts w:ascii="Times New Roman" w:hAnsi="Times New Roman"/>
          <w:iCs/>
          <w:sz w:val="24"/>
          <w:szCs w:val="24"/>
        </w:rPr>
        <w:t>This</w:t>
      </w:r>
      <w:r w:rsidRPr="00A75601">
        <w:rPr>
          <w:rFonts w:ascii="Times New Roman" w:hAnsi="Times New Roman"/>
          <w:iCs/>
          <w:sz w:val="24"/>
          <w:szCs w:val="24"/>
        </w:rPr>
        <w:t xml:space="preserve"> discrepancy can have an effect on our results if the CDS market is very active between the CDS quote recording time and</w:t>
      </w:r>
      <w:r w:rsidR="00BA6C68">
        <w:rPr>
          <w:rFonts w:ascii="Times New Roman" w:hAnsi="Times New Roman"/>
          <w:iCs/>
          <w:sz w:val="24"/>
          <w:szCs w:val="24"/>
        </w:rPr>
        <w:t xml:space="preserve"> the equity market closing time</w:t>
      </w:r>
      <w:r w:rsidRPr="00A75601">
        <w:rPr>
          <w:rFonts w:ascii="Times New Roman" w:hAnsi="Times New Roman"/>
          <w:iCs/>
          <w:sz w:val="24"/>
          <w:szCs w:val="24"/>
        </w:rPr>
        <w:t>.</w:t>
      </w:r>
      <w:r w:rsidR="00D11F03" w:rsidRPr="00A75601">
        <w:rPr>
          <w:rFonts w:ascii="Times New Roman" w:hAnsi="Times New Roman"/>
          <w:iCs/>
          <w:sz w:val="24"/>
          <w:szCs w:val="24"/>
        </w:rPr>
        <w:t xml:space="preserve"> </w:t>
      </w:r>
      <w:r w:rsidR="003820BE" w:rsidRPr="00A75601">
        <w:rPr>
          <w:rFonts w:ascii="Times New Roman" w:hAnsi="Times New Roman"/>
          <w:iCs/>
          <w:sz w:val="24"/>
          <w:szCs w:val="24"/>
        </w:rPr>
        <w:t xml:space="preserve">Previous studies did not consider the effect of asynchronous trading between the </w:t>
      </w:r>
      <w:r w:rsidR="00297769">
        <w:rPr>
          <w:rFonts w:ascii="Times New Roman" w:hAnsi="Times New Roman"/>
          <w:iCs/>
          <w:sz w:val="24"/>
          <w:szCs w:val="24"/>
        </w:rPr>
        <w:t>two</w:t>
      </w:r>
      <w:r w:rsidR="003820BE" w:rsidRPr="00A75601">
        <w:rPr>
          <w:rFonts w:ascii="Times New Roman" w:hAnsi="Times New Roman"/>
          <w:iCs/>
          <w:sz w:val="24"/>
          <w:szCs w:val="24"/>
        </w:rPr>
        <w:t xml:space="preserve"> markets</w:t>
      </w:r>
      <w:r w:rsidR="0002056F" w:rsidRPr="00A75601">
        <w:rPr>
          <w:rFonts w:ascii="Times New Roman" w:hAnsi="Times New Roman"/>
          <w:iCs/>
          <w:sz w:val="24"/>
          <w:szCs w:val="24"/>
        </w:rPr>
        <w:t xml:space="preserve"> on the strateg</w:t>
      </w:r>
      <w:r w:rsidR="001C360A" w:rsidRPr="00A75601">
        <w:rPr>
          <w:rFonts w:ascii="Times New Roman" w:hAnsi="Times New Roman"/>
          <w:iCs/>
          <w:sz w:val="24"/>
          <w:szCs w:val="24"/>
        </w:rPr>
        <w:t>ie</w:t>
      </w:r>
      <w:r w:rsidR="0002056F" w:rsidRPr="00A75601">
        <w:rPr>
          <w:rFonts w:ascii="Times New Roman" w:hAnsi="Times New Roman"/>
          <w:iCs/>
          <w:sz w:val="24"/>
          <w:szCs w:val="24"/>
        </w:rPr>
        <w:t>s</w:t>
      </w:r>
      <w:r w:rsidR="001C360A" w:rsidRPr="00A75601">
        <w:rPr>
          <w:rFonts w:ascii="Times New Roman" w:hAnsi="Times New Roman"/>
          <w:iCs/>
          <w:sz w:val="24"/>
          <w:szCs w:val="24"/>
        </w:rPr>
        <w:t>’</w:t>
      </w:r>
      <w:r w:rsidR="0002056F" w:rsidRPr="00A75601">
        <w:rPr>
          <w:rFonts w:ascii="Times New Roman" w:hAnsi="Times New Roman"/>
          <w:iCs/>
          <w:sz w:val="24"/>
          <w:szCs w:val="24"/>
        </w:rPr>
        <w:t xml:space="preserve"> profitability</w:t>
      </w:r>
      <w:r w:rsidR="00297769">
        <w:rPr>
          <w:rFonts w:ascii="Times New Roman" w:hAnsi="Times New Roman"/>
          <w:iCs/>
          <w:sz w:val="24"/>
          <w:szCs w:val="24"/>
        </w:rPr>
        <w:t>, whilst</w:t>
      </w:r>
      <w:r w:rsidR="000849AB" w:rsidRPr="00A75601">
        <w:rPr>
          <w:rFonts w:ascii="Times New Roman" w:hAnsi="Times New Roman"/>
          <w:iCs/>
          <w:sz w:val="24"/>
          <w:szCs w:val="24"/>
        </w:rPr>
        <w:t xml:space="preserve"> in our view this is an interesting question worth</w:t>
      </w:r>
      <w:r w:rsidR="00C51CB8" w:rsidRPr="00A75601">
        <w:rPr>
          <w:rFonts w:ascii="Times New Roman" w:hAnsi="Times New Roman"/>
          <w:iCs/>
          <w:sz w:val="24"/>
          <w:szCs w:val="24"/>
        </w:rPr>
        <w:t xml:space="preserve"> </w:t>
      </w:r>
      <w:r w:rsidR="001C360A" w:rsidRPr="00A75601">
        <w:rPr>
          <w:rFonts w:ascii="Times New Roman" w:hAnsi="Times New Roman"/>
          <w:iCs/>
          <w:sz w:val="24"/>
          <w:szCs w:val="24"/>
        </w:rPr>
        <w:t>considering</w:t>
      </w:r>
      <w:r w:rsidR="00C51CB8" w:rsidRPr="00A75601">
        <w:rPr>
          <w:rFonts w:ascii="Times New Roman" w:hAnsi="Times New Roman"/>
          <w:iCs/>
          <w:sz w:val="24"/>
          <w:szCs w:val="24"/>
        </w:rPr>
        <w:t xml:space="preserve">. </w:t>
      </w:r>
    </w:p>
    <w:p w14:paraId="51D4C13A" w14:textId="77777777" w:rsidR="00D72E26" w:rsidRPr="00A75601" w:rsidRDefault="003820BE" w:rsidP="00A75601">
      <w:pPr>
        <w:spacing w:line="480" w:lineRule="auto"/>
        <w:jc w:val="both"/>
        <w:outlineLvl w:val="0"/>
        <w:rPr>
          <w:rFonts w:ascii="Times New Roman" w:hAnsi="Times New Roman"/>
          <w:iCs/>
          <w:sz w:val="24"/>
          <w:szCs w:val="24"/>
        </w:rPr>
      </w:pPr>
      <w:r w:rsidRPr="00A75601">
        <w:rPr>
          <w:rFonts w:ascii="Times New Roman" w:hAnsi="Times New Roman"/>
          <w:iCs/>
          <w:sz w:val="24"/>
          <w:szCs w:val="24"/>
        </w:rPr>
        <w:t xml:space="preserve">In the US, </w:t>
      </w:r>
      <w:r w:rsidR="000849AB" w:rsidRPr="00A75601">
        <w:rPr>
          <w:rFonts w:ascii="Times New Roman" w:hAnsi="Times New Roman"/>
          <w:iCs/>
          <w:sz w:val="24"/>
          <w:szCs w:val="24"/>
        </w:rPr>
        <w:t xml:space="preserve">the closing prices for </w:t>
      </w:r>
      <w:r w:rsidRPr="00A75601">
        <w:rPr>
          <w:rFonts w:ascii="Times New Roman" w:hAnsi="Times New Roman"/>
          <w:iCs/>
          <w:sz w:val="24"/>
          <w:szCs w:val="24"/>
        </w:rPr>
        <w:t xml:space="preserve">equity </w:t>
      </w:r>
      <w:r w:rsidR="009F0CF7" w:rsidRPr="00A75601">
        <w:rPr>
          <w:rFonts w:ascii="Times New Roman" w:hAnsi="Times New Roman"/>
          <w:iCs/>
          <w:sz w:val="24"/>
          <w:szCs w:val="24"/>
        </w:rPr>
        <w:t>markets</w:t>
      </w:r>
      <w:r w:rsidR="000849AB" w:rsidRPr="00A75601">
        <w:rPr>
          <w:rFonts w:ascii="Times New Roman" w:hAnsi="Times New Roman"/>
          <w:iCs/>
          <w:sz w:val="24"/>
          <w:szCs w:val="24"/>
        </w:rPr>
        <w:t xml:space="preserve"> </w:t>
      </w:r>
      <w:r w:rsidRPr="00A75601">
        <w:rPr>
          <w:rFonts w:ascii="Times New Roman" w:hAnsi="Times New Roman"/>
          <w:iCs/>
          <w:sz w:val="24"/>
          <w:szCs w:val="24"/>
        </w:rPr>
        <w:t xml:space="preserve">are recorded at </w:t>
      </w:r>
      <w:r w:rsidR="0026118E" w:rsidRPr="00A75601">
        <w:rPr>
          <w:rFonts w:ascii="Times New Roman" w:hAnsi="Times New Roman"/>
          <w:iCs/>
          <w:sz w:val="24"/>
          <w:szCs w:val="24"/>
        </w:rPr>
        <w:t xml:space="preserve">the closing time of the New York Stock Exchange (NYSE), which is at </w:t>
      </w:r>
      <w:r w:rsidRPr="00A75601">
        <w:rPr>
          <w:rFonts w:ascii="Times New Roman" w:hAnsi="Times New Roman"/>
          <w:iCs/>
          <w:sz w:val="24"/>
          <w:szCs w:val="24"/>
        </w:rPr>
        <w:t>21</w:t>
      </w:r>
      <w:r w:rsidR="00BF47B6" w:rsidRPr="00A75601">
        <w:rPr>
          <w:rFonts w:ascii="Times New Roman" w:hAnsi="Times New Roman"/>
          <w:iCs/>
          <w:sz w:val="24"/>
          <w:szCs w:val="24"/>
        </w:rPr>
        <w:t>:</w:t>
      </w:r>
      <w:r w:rsidRPr="00A75601">
        <w:rPr>
          <w:rFonts w:ascii="Times New Roman" w:hAnsi="Times New Roman"/>
          <w:iCs/>
          <w:sz w:val="24"/>
          <w:szCs w:val="24"/>
        </w:rPr>
        <w:t>00 (London time), wh</w:t>
      </w:r>
      <w:r w:rsidR="00297769">
        <w:rPr>
          <w:rFonts w:ascii="Times New Roman" w:hAnsi="Times New Roman"/>
          <w:iCs/>
          <w:sz w:val="24"/>
          <w:szCs w:val="24"/>
        </w:rPr>
        <w:t>ilst</w:t>
      </w:r>
      <w:r w:rsidRPr="00A75601">
        <w:rPr>
          <w:rFonts w:ascii="Times New Roman" w:hAnsi="Times New Roman"/>
          <w:iCs/>
          <w:sz w:val="24"/>
          <w:szCs w:val="24"/>
        </w:rPr>
        <w:t xml:space="preserve"> CDS quo</w:t>
      </w:r>
      <w:r w:rsidR="00BF47B6" w:rsidRPr="00A75601">
        <w:rPr>
          <w:rFonts w:ascii="Times New Roman" w:hAnsi="Times New Roman"/>
          <w:iCs/>
          <w:sz w:val="24"/>
          <w:szCs w:val="24"/>
        </w:rPr>
        <w:t>tes from CMA are recorded at 21:</w:t>
      </w:r>
      <w:r w:rsidRPr="00A75601">
        <w:rPr>
          <w:rFonts w:ascii="Times New Roman" w:hAnsi="Times New Roman"/>
          <w:iCs/>
          <w:sz w:val="24"/>
          <w:szCs w:val="24"/>
        </w:rPr>
        <w:t xml:space="preserve">30 (London time). </w:t>
      </w:r>
      <w:r w:rsidR="000849AB" w:rsidRPr="00A75601">
        <w:rPr>
          <w:rFonts w:ascii="Times New Roman" w:hAnsi="Times New Roman"/>
          <w:iCs/>
          <w:sz w:val="24"/>
          <w:szCs w:val="24"/>
        </w:rPr>
        <w:t>F</w:t>
      </w:r>
      <w:r w:rsidRPr="00A75601">
        <w:rPr>
          <w:rFonts w:ascii="Times New Roman" w:hAnsi="Times New Roman"/>
          <w:iCs/>
          <w:sz w:val="24"/>
          <w:szCs w:val="24"/>
        </w:rPr>
        <w:t>or European firms, CDS quotes are recorded at 16</w:t>
      </w:r>
      <w:r w:rsidR="00BF47B6" w:rsidRPr="00A75601">
        <w:rPr>
          <w:rFonts w:ascii="Times New Roman" w:hAnsi="Times New Roman"/>
          <w:iCs/>
          <w:sz w:val="24"/>
          <w:szCs w:val="24"/>
        </w:rPr>
        <w:t>:</w:t>
      </w:r>
      <w:r w:rsidRPr="00A75601">
        <w:rPr>
          <w:rFonts w:ascii="Times New Roman" w:hAnsi="Times New Roman"/>
          <w:iCs/>
          <w:sz w:val="24"/>
          <w:szCs w:val="24"/>
        </w:rPr>
        <w:t xml:space="preserve">30 (London time), while their equity closing prices are recorded </w:t>
      </w:r>
      <w:r w:rsidR="00297769">
        <w:rPr>
          <w:rFonts w:ascii="Times New Roman" w:hAnsi="Times New Roman"/>
          <w:iCs/>
          <w:sz w:val="24"/>
          <w:szCs w:val="24"/>
        </w:rPr>
        <w:t>at</w:t>
      </w:r>
      <w:r w:rsidRPr="00A75601">
        <w:rPr>
          <w:rFonts w:ascii="Times New Roman" w:hAnsi="Times New Roman"/>
          <w:iCs/>
          <w:sz w:val="24"/>
          <w:szCs w:val="24"/>
        </w:rPr>
        <w:t xml:space="preserve"> the closing time of the corresponding European exchanges, which is either </w:t>
      </w:r>
      <w:r w:rsidR="00BF47B6" w:rsidRPr="00A75601">
        <w:rPr>
          <w:rFonts w:ascii="Times New Roman" w:hAnsi="Times New Roman"/>
          <w:iCs/>
          <w:sz w:val="24"/>
          <w:szCs w:val="24"/>
        </w:rPr>
        <w:t xml:space="preserve">at </w:t>
      </w:r>
      <w:r w:rsidRPr="00A75601">
        <w:rPr>
          <w:rFonts w:ascii="Times New Roman" w:hAnsi="Times New Roman"/>
          <w:iCs/>
          <w:sz w:val="24"/>
          <w:szCs w:val="24"/>
        </w:rPr>
        <w:t>16</w:t>
      </w:r>
      <w:r w:rsidR="00BF47B6" w:rsidRPr="00A75601">
        <w:rPr>
          <w:rFonts w:ascii="Times New Roman" w:hAnsi="Times New Roman"/>
          <w:iCs/>
          <w:sz w:val="24"/>
          <w:szCs w:val="24"/>
        </w:rPr>
        <w:t>:</w:t>
      </w:r>
      <w:r w:rsidRPr="00A75601">
        <w:rPr>
          <w:rFonts w:ascii="Times New Roman" w:hAnsi="Times New Roman"/>
          <w:iCs/>
          <w:sz w:val="24"/>
          <w:szCs w:val="24"/>
        </w:rPr>
        <w:t xml:space="preserve">30 (for </w:t>
      </w:r>
      <w:r w:rsidR="00BF47B6" w:rsidRPr="00A75601">
        <w:rPr>
          <w:rFonts w:ascii="Times New Roman" w:hAnsi="Times New Roman"/>
          <w:iCs/>
          <w:sz w:val="24"/>
          <w:szCs w:val="24"/>
        </w:rPr>
        <w:t xml:space="preserve">the Italian Stock Exchange, </w:t>
      </w:r>
      <w:r w:rsidR="00BF47B6" w:rsidRPr="00A75601">
        <w:rPr>
          <w:rFonts w:ascii="Times New Roman" w:hAnsi="Times New Roman"/>
          <w:iCs/>
          <w:sz w:val="24"/>
          <w:szCs w:val="24"/>
        </w:rPr>
        <w:lastRenderedPageBreak/>
        <w:t>the Stockholm Stock Exchange, the Helsinki Stock Exchange and the Zurich Stock Exchange) or later</w:t>
      </w:r>
      <w:r w:rsidR="00C875AE">
        <w:rPr>
          <w:rStyle w:val="EndnoteReference"/>
          <w:rFonts w:ascii="Times New Roman" w:hAnsi="Times New Roman"/>
          <w:iCs/>
          <w:sz w:val="24"/>
          <w:szCs w:val="24"/>
        </w:rPr>
        <w:endnoteReference w:id="20"/>
      </w:r>
      <w:r w:rsidRPr="00A75601">
        <w:rPr>
          <w:rFonts w:ascii="Times New Roman" w:hAnsi="Times New Roman"/>
          <w:iCs/>
          <w:sz w:val="24"/>
          <w:szCs w:val="24"/>
        </w:rPr>
        <w:t xml:space="preserve">. </w:t>
      </w:r>
      <w:r w:rsidR="00297769">
        <w:rPr>
          <w:rFonts w:ascii="Times New Roman" w:hAnsi="Times New Roman"/>
          <w:iCs/>
          <w:sz w:val="24"/>
          <w:szCs w:val="24"/>
        </w:rPr>
        <w:t>T</w:t>
      </w:r>
      <w:r w:rsidR="00827E47" w:rsidRPr="00A75601">
        <w:rPr>
          <w:rFonts w:ascii="Times New Roman" w:hAnsi="Times New Roman"/>
          <w:iCs/>
          <w:sz w:val="24"/>
          <w:szCs w:val="24"/>
        </w:rPr>
        <w:t xml:space="preserve">o </w:t>
      </w:r>
      <w:r w:rsidR="00F63977" w:rsidRPr="00A75601">
        <w:rPr>
          <w:rFonts w:ascii="Times New Roman" w:hAnsi="Times New Roman"/>
          <w:iCs/>
          <w:sz w:val="24"/>
          <w:szCs w:val="24"/>
        </w:rPr>
        <w:t>analyse the impact of these time discrepancies, we use data</w:t>
      </w:r>
      <w:r w:rsidR="0002056F" w:rsidRPr="00A75601">
        <w:rPr>
          <w:rFonts w:ascii="Times New Roman" w:hAnsi="Times New Roman"/>
          <w:iCs/>
          <w:sz w:val="24"/>
          <w:szCs w:val="24"/>
        </w:rPr>
        <w:t xml:space="preserve"> on</w:t>
      </w:r>
      <w:r w:rsidR="000B396B" w:rsidRPr="00A75601">
        <w:rPr>
          <w:rFonts w:ascii="Times New Roman" w:hAnsi="Times New Roman"/>
          <w:iCs/>
          <w:sz w:val="24"/>
          <w:szCs w:val="24"/>
        </w:rPr>
        <w:t xml:space="preserve"> intraday</w:t>
      </w:r>
      <w:r w:rsidR="0002056F" w:rsidRPr="00A75601">
        <w:rPr>
          <w:rFonts w:ascii="Times New Roman" w:hAnsi="Times New Roman"/>
          <w:iCs/>
          <w:sz w:val="24"/>
          <w:szCs w:val="24"/>
        </w:rPr>
        <w:t xml:space="preserve"> CDS quotes</w:t>
      </w:r>
      <w:r w:rsidR="00F63977" w:rsidRPr="00A75601">
        <w:rPr>
          <w:rFonts w:ascii="Times New Roman" w:hAnsi="Times New Roman"/>
          <w:iCs/>
          <w:sz w:val="24"/>
          <w:szCs w:val="24"/>
        </w:rPr>
        <w:t xml:space="preserve"> from GFI</w:t>
      </w:r>
      <w:r w:rsidR="000F4C7A" w:rsidRPr="00A75601">
        <w:rPr>
          <w:rFonts w:ascii="Times New Roman" w:hAnsi="Times New Roman"/>
          <w:iCs/>
          <w:sz w:val="24"/>
          <w:szCs w:val="24"/>
        </w:rPr>
        <w:t xml:space="preserve"> (a leading CDS interdealer broker)</w:t>
      </w:r>
      <w:r w:rsidR="00F63977" w:rsidRPr="00A75601">
        <w:rPr>
          <w:rFonts w:ascii="Times New Roman" w:hAnsi="Times New Roman"/>
          <w:iCs/>
          <w:sz w:val="24"/>
          <w:szCs w:val="24"/>
        </w:rPr>
        <w:t xml:space="preserve"> </w:t>
      </w:r>
      <w:r w:rsidR="00297769">
        <w:rPr>
          <w:rFonts w:ascii="Times New Roman" w:hAnsi="Times New Roman"/>
          <w:iCs/>
          <w:sz w:val="24"/>
          <w:szCs w:val="24"/>
        </w:rPr>
        <w:t>between</w:t>
      </w:r>
      <w:r w:rsidR="00F63977" w:rsidRPr="00A75601">
        <w:rPr>
          <w:rFonts w:ascii="Times New Roman" w:hAnsi="Times New Roman"/>
          <w:iCs/>
          <w:sz w:val="24"/>
          <w:szCs w:val="24"/>
        </w:rPr>
        <w:t xml:space="preserve"> January 2006 </w:t>
      </w:r>
      <w:r w:rsidR="00297769">
        <w:rPr>
          <w:rFonts w:ascii="Times New Roman" w:hAnsi="Times New Roman"/>
          <w:iCs/>
          <w:sz w:val="24"/>
          <w:szCs w:val="24"/>
        </w:rPr>
        <w:t>and</w:t>
      </w:r>
      <w:r w:rsidR="00F63977" w:rsidRPr="00A75601">
        <w:rPr>
          <w:rFonts w:ascii="Times New Roman" w:hAnsi="Times New Roman"/>
          <w:iCs/>
          <w:sz w:val="24"/>
          <w:szCs w:val="24"/>
        </w:rPr>
        <w:t xml:space="preserve"> July 2009</w:t>
      </w:r>
      <w:r w:rsidR="0002056F" w:rsidRPr="00A75601">
        <w:rPr>
          <w:rFonts w:ascii="Times New Roman" w:hAnsi="Times New Roman"/>
          <w:iCs/>
          <w:sz w:val="24"/>
          <w:szCs w:val="24"/>
        </w:rPr>
        <w:t>.</w:t>
      </w:r>
      <w:r w:rsidR="00F63977" w:rsidRPr="00A75601">
        <w:rPr>
          <w:rFonts w:ascii="Times New Roman" w:hAnsi="Times New Roman"/>
          <w:iCs/>
          <w:sz w:val="24"/>
          <w:szCs w:val="24"/>
        </w:rPr>
        <w:t xml:space="preserve"> </w:t>
      </w:r>
      <w:r w:rsidR="00297769">
        <w:rPr>
          <w:rFonts w:ascii="Times New Roman" w:hAnsi="Times New Roman"/>
          <w:iCs/>
          <w:sz w:val="24"/>
          <w:szCs w:val="24"/>
        </w:rPr>
        <w:t>This</w:t>
      </w:r>
      <w:r w:rsidR="0002056F" w:rsidRPr="00A75601">
        <w:rPr>
          <w:rFonts w:ascii="Times New Roman" w:hAnsi="Times New Roman"/>
          <w:iCs/>
          <w:sz w:val="24"/>
          <w:szCs w:val="24"/>
        </w:rPr>
        <w:t xml:space="preserve"> </w:t>
      </w:r>
      <w:r w:rsidR="00932E4D" w:rsidRPr="00A75601">
        <w:rPr>
          <w:rFonts w:ascii="Times New Roman" w:hAnsi="Times New Roman"/>
          <w:iCs/>
          <w:sz w:val="24"/>
          <w:szCs w:val="24"/>
        </w:rPr>
        <w:t>period</w:t>
      </w:r>
      <w:r w:rsidR="0002056F" w:rsidRPr="00A75601">
        <w:rPr>
          <w:rFonts w:ascii="Times New Roman" w:hAnsi="Times New Roman"/>
          <w:iCs/>
          <w:sz w:val="24"/>
          <w:szCs w:val="24"/>
        </w:rPr>
        <w:t xml:space="preserve"> </w:t>
      </w:r>
      <w:r w:rsidR="00F63977" w:rsidRPr="00A75601">
        <w:rPr>
          <w:rFonts w:ascii="Times New Roman" w:hAnsi="Times New Roman"/>
          <w:iCs/>
          <w:sz w:val="24"/>
          <w:szCs w:val="24"/>
        </w:rPr>
        <w:t xml:space="preserve">covers about three-fourth </w:t>
      </w:r>
      <w:r w:rsidR="0002056F" w:rsidRPr="00A75601">
        <w:rPr>
          <w:rFonts w:ascii="Times New Roman" w:hAnsi="Times New Roman"/>
          <w:iCs/>
          <w:sz w:val="24"/>
          <w:szCs w:val="24"/>
        </w:rPr>
        <w:t xml:space="preserve">of our trading period. </w:t>
      </w:r>
      <w:r w:rsidR="00297769">
        <w:rPr>
          <w:rFonts w:ascii="Times New Roman" w:hAnsi="Times New Roman"/>
          <w:iCs/>
          <w:sz w:val="24"/>
          <w:szCs w:val="24"/>
        </w:rPr>
        <w:t>W</w:t>
      </w:r>
      <w:r w:rsidR="0002056F" w:rsidRPr="00A75601">
        <w:rPr>
          <w:rFonts w:ascii="Times New Roman" w:hAnsi="Times New Roman"/>
          <w:iCs/>
          <w:sz w:val="24"/>
          <w:szCs w:val="24"/>
        </w:rPr>
        <w:t>e count how many CDS quote updates we find between 21:00 and 21:30</w:t>
      </w:r>
      <w:r w:rsidRPr="00A75601">
        <w:rPr>
          <w:rFonts w:ascii="Times New Roman" w:hAnsi="Times New Roman"/>
          <w:iCs/>
          <w:sz w:val="24"/>
          <w:szCs w:val="24"/>
        </w:rPr>
        <w:t xml:space="preserve"> </w:t>
      </w:r>
      <w:r w:rsidR="0002056F" w:rsidRPr="00A75601">
        <w:rPr>
          <w:rFonts w:ascii="Times New Roman" w:hAnsi="Times New Roman"/>
          <w:iCs/>
          <w:sz w:val="24"/>
          <w:szCs w:val="24"/>
        </w:rPr>
        <w:t xml:space="preserve">and between 16.30 and the later </w:t>
      </w:r>
      <w:r w:rsidR="00F9074B" w:rsidRPr="00A75601">
        <w:rPr>
          <w:rFonts w:ascii="Times New Roman" w:hAnsi="Times New Roman"/>
          <w:iCs/>
          <w:sz w:val="24"/>
          <w:szCs w:val="24"/>
        </w:rPr>
        <w:t xml:space="preserve">closing </w:t>
      </w:r>
      <w:r w:rsidR="0002056F" w:rsidRPr="00A75601">
        <w:rPr>
          <w:rFonts w:ascii="Times New Roman" w:hAnsi="Times New Roman"/>
          <w:iCs/>
          <w:sz w:val="24"/>
          <w:szCs w:val="24"/>
        </w:rPr>
        <w:t xml:space="preserve">time of </w:t>
      </w:r>
      <w:r w:rsidR="00F9074B" w:rsidRPr="00A75601">
        <w:rPr>
          <w:rFonts w:ascii="Times New Roman" w:hAnsi="Times New Roman"/>
          <w:iCs/>
          <w:sz w:val="24"/>
          <w:szCs w:val="24"/>
        </w:rPr>
        <w:t xml:space="preserve">specific </w:t>
      </w:r>
      <w:r w:rsidR="0002056F" w:rsidRPr="00A75601">
        <w:rPr>
          <w:rFonts w:ascii="Times New Roman" w:hAnsi="Times New Roman"/>
          <w:iCs/>
          <w:sz w:val="24"/>
          <w:szCs w:val="24"/>
        </w:rPr>
        <w:t>equity market</w:t>
      </w:r>
      <w:r w:rsidR="00F9074B" w:rsidRPr="00A75601">
        <w:rPr>
          <w:rFonts w:ascii="Times New Roman" w:hAnsi="Times New Roman"/>
          <w:iCs/>
          <w:sz w:val="24"/>
          <w:szCs w:val="24"/>
        </w:rPr>
        <w:t>s, for each of the US and European obligor</w:t>
      </w:r>
      <w:r w:rsidR="00297769">
        <w:rPr>
          <w:rFonts w:ascii="Times New Roman" w:hAnsi="Times New Roman"/>
          <w:iCs/>
          <w:sz w:val="24"/>
          <w:szCs w:val="24"/>
        </w:rPr>
        <w:t>s</w:t>
      </w:r>
      <w:r w:rsidR="00F9074B" w:rsidRPr="00A75601">
        <w:rPr>
          <w:rFonts w:ascii="Times New Roman" w:hAnsi="Times New Roman"/>
          <w:iCs/>
          <w:sz w:val="24"/>
          <w:szCs w:val="24"/>
        </w:rPr>
        <w:t xml:space="preserve"> </w:t>
      </w:r>
      <w:r w:rsidR="00297769">
        <w:rPr>
          <w:rFonts w:ascii="Times New Roman" w:hAnsi="Times New Roman"/>
          <w:iCs/>
          <w:sz w:val="24"/>
          <w:szCs w:val="24"/>
        </w:rPr>
        <w:t>in</w:t>
      </w:r>
      <w:r w:rsidR="00F9074B" w:rsidRPr="00A75601">
        <w:rPr>
          <w:rFonts w:ascii="Times New Roman" w:hAnsi="Times New Roman"/>
          <w:iCs/>
          <w:sz w:val="24"/>
          <w:szCs w:val="24"/>
        </w:rPr>
        <w:t xml:space="preserve"> our sample.</w:t>
      </w:r>
      <w:r w:rsidR="00202C29" w:rsidRPr="00A75601">
        <w:rPr>
          <w:rFonts w:ascii="Times New Roman" w:hAnsi="Times New Roman"/>
          <w:iCs/>
          <w:sz w:val="24"/>
          <w:szCs w:val="24"/>
        </w:rPr>
        <w:t xml:space="preserve"> </w:t>
      </w:r>
      <w:r w:rsidR="00651405" w:rsidRPr="00A75601">
        <w:rPr>
          <w:rFonts w:ascii="Times New Roman" w:hAnsi="Times New Roman"/>
          <w:iCs/>
          <w:sz w:val="24"/>
          <w:szCs w:val="24"/>
        </w:rPr>
        <w:t>We assume that i</w:t>
      </w:r>
      <w:r w:rsidR="00202C29" w:rsidRPr="00A75601">
        <w:rPr>
          <w:rFonts w:ascii="Times New Roman" w:hAnsi="Times New Roman"/>
          <w:iCs/>
          <w:sz w:val="24"/>
          <w:szCs w:val="24"/>
        </w:rPr>
        <w:t xml:space="preserve">f the number of </w:t>
      </w:r>
      <w:r w:rsidR="00FA7840" w:rsidRPr="00A75601">
        <w:rPr>
          <w:rFonts w:ascii="Times New Roman" w:hAnsi="Times New Roman"/>
          <w:iCs/>
          <w:sz w:val="24"/>
          <w:szCs w:val="24"/>
        </w:rPr>
        <w:t xml:space="preserve">CDS </w:t>
      </w:r>
      <w:r w:rsidR="00202C29" w:rsidRPr="00A75601">
        <w:rPr>
          <w:rFonts w:ascii="Times New Roman" w:hAnsi="Times New Roman"/>
          <w:iCs/>
          <w:sz w:val="24"/>
          <w:szCs w:val="24"/>
        </w:rPr>
        <w:t>quote updates over these time intervals</w:t>
      </w:r>
      <w:r w:rsidR="00651405" w:rsidRPr="00A75601">
        <w:rPr>
          <w:rFonts w:ascii="Times New Roman" w:hAnsi="Times New Roman"/>
          <w:iCs/>
          <w:sz w:val="24"/>
          <w:szCs w:val="24"/>
        </w:rPr>
        <w:t xml:space="preserve"> is higher than 100</w:t>
      </w:r>
      <w:r w:rsidR="00A25FC3" w:rsidRPr="00A75601">
        <w:rPr>
          <w:rFonts w:ascii="Times New Roman" w:hAnsi="Times New Roman"/>
          <w:iCs/>
          <w:sz w:val="24"/>
          <w:szCs w:val="24"/>
        </w:rPr>
        <w:t xml:space="preserve">, </w:t>
      </w:r>
      <w:r w:rsidR="00297769">
        <w:rPr>
          <w:rFonts w:ascii="Times New Roman" w:hAnsi="Times New Roman"/>
          <w:iCs/>
          <w:sz w:val="24"/>
          <w:szCs w:val="24"/>
        </w:rPr>
        <w:t xml:space="preserve">then </w:t>
      </w:r>
      <w:r w:rsidR="00A25FC3" w:rsidRPr="00A75601">
        <w:rPr>
          <w:rFonts w:ascii="Times New Roman" w:hAnsi="Times New Roman"/>
          <w:iCs/>
          <w:sz w:val="24"/>
          <w:szCs w:val="24"/>
        </w:rPr>
        <w:t>information in the CDS market may affect the price discovery estimates.</w:t>
      </w:r>
      <w:r w:rsidR="00C875AE">
        <w:rPr>
          <w:rStyle w:val="EndnoteReference"/>
          <w:rFonts w:ascii="Times New Roman" w:hAnsi="Times New Roman"/>
          <w:iCs/>
          <w:sz w:val="24"/>
          <w:szCs w:val="24"/>
        </w:rPr>
        <w:endnoteReference w:id="21"/>
      </w:r>
      <w:r w:rsidR="00D11F03" w:rsidRPr="00A75601">
        <w:rPr>
          <w:rFonts w:ascii="Times New Roman" w:hAnsi="Times New Roman"/>
          <w:iCs/>
          <w:sz w:val="24"/>
          <w:szCs w:val="24"/>
        </w:rPr>
        <w:t xml:space="preserve"> </w:t>
      </w:r>
    </w:p>
    <w:p w14:paraId="6A05AAFB" w14:textId="77777777" w:rsidR="00051A20" w:rsidRPr="00A75601" w:rsidRDefault="00FA7840" w:rsidP="00A75601">
      <w:pPr>
        <w:spacing w:line="480" w:lineRule="auto"/>
        <w:jc w:val="both"/>
        <w:outlineLvl w:val="0"/>
        <w:rPr>
          <w:rFonts w:ascii="Times New Roman" w:hAnsi="Times New Roman"/>
          <w:iCs/>
          <w:sz w:val="24"/>
          <w:szCs w:val="24"/>
        </w:rPr>
      </w:pPr>
      <w:r w:rsidRPr="00A75601">
        <w:rPr>
          <w:rFonts w:ascii="Times New Roman" w:hAnsi="Times New Roman"/>
          <w:iCs/>
          <w:sz w:val="24"/>
          <w:szCs w:val="24"/>
        </w:rPr>
        <w:t xml:space="preserve">We find that for the US market none of the companies in our sample has more than 100 updates </w:t>
      </w:r>
      <w:r w:rsidR="000849AB" w:rsidRPr="00A75601">
        <w:rPr>
          <w:rFonts w:ascii="Times New Roman" w:hAnsi="Times New Roman"/>
          <w:iCs/>
          <w:sz w:val="24"/>
          <w:szCs w:val="24"/>
        </w:rPr>
        <w:t>between</w:t>
      </w:r>
      <w:r w:rsidRPr="00A75601">
        <w:rPr>
          <w:rFonts w:ascii="Times New Roman" w:hAnsi="Times New Roman"/>
          <w:iCs/>
          <w:sz w:val="24"/>
          <w:szCs w:val="24"/>
        </w:rPr>
        <w:t xml:space="preserve"> 21:00 (closing time for the equity market) </w:t>
      </w:r>
      <w:r w:rsidR="000849AB" w:rsidRPr="00A75601">
        <w:rPr>
          <w:rFonts w:ascii="Times New Roman" w:hAnsi="Times New Roman"/>
          <w:iCs/>
          <w:sz w:val="24"/>
          <w:szCs w:val="24"/>
        </w:rPr>
        <w:t>and</w:t>
      </w:r>
      <w:r w:rsidRPr="00A75601">
        <w:rPr>
          <w:rFonts w:ascii="Times New Roman" w:hAnsi="Times New Roman"/>
          <w:iCs/>
          <w:sz w:val="24"/>
          <w:szCs w:val="24"/>
        </w:rPr>
        <w:t xml:space="preserve"> 21:30 (closing time of the CDS market). </w:t>
      </w:r>
      <w:r w:rsidR="006D7F8E">
        <w:rPr>
          <w:rFonts w:ascii="Times New Roman" w:hAnsi="Times New Roman"/>
          <w:iCs/>
          <w:sz w:val="24"/>
          <w:szCs w:val="24"/>
        </w:rPr>
        <w:t>However</w:t>
      </w:r>
      <w:r w:rsidRPr="00A75601">
        <w:rPr>
          <w:rFonts w:ascii="Times New Roman" w:hAnsi="Times New Roman"/>
          <w:iCs/>
          <w:sz w:val="24"/>
          <w:szCs w:val="24"/>
        </w:rPr>
        <w:t>,</w:t>
      </w:r>
      <w:r w:rsidR="00413F3F">
        <w:rPr>
          <w:rFonts w:ascii="Times New Roman" w:hAnsi="Times New Roman"/>
          <w:iCs/>
          <w:sz w:val="24"/>
          <w:szCs w:val="24"/>
        </w:rPr>
        <w:t xml:space="preserve"> 6 </w:t>
      </w:r>
      <w:r w:rsidRPr="00A75601">
        <w:rPr>
          <w:rFonts w:ascii="Times New Roman" w:hAnsi="Times New Roman"/>
          <w:iCs/>
          <w:sz w:val="24"/>
          <w:szCs w:val="24"/>
        </w:rPr>
        <w:t>European firms have more than 100 updates</w:t>
      </w:r>
      <w:r w:rsidR="006251C5" w:rsidRPr="00A75601">
        <w:rPr>
          <w:rFonts w:ascii="Times New Roman" w:hAnsi="Times New Roman"/>
          <w:iCs/>
          <w:sz w:val="24"/>
          <w:szCs w:val="24"/>
        </w:rPr>
        <w:t xml:space="preserve"> in the CDS market after the recording time of the CDS quotes </w:t>
      </w:r>
      <w:r w:rsidR="000849AB" w:rsidRPr="00A75601">
        <w:rPr>
          <w:rFonts w:ascii="Times New Roman" w:hAnsi="Times New Roman"/>
          <w:iCs/>
          <w:sz w:val="24"/>
          <w:szCs w:val="24"/>
        </w:rPr>
        <w:t>and before</w:t>
      </w:r>
      <w:r w:rsidR="006251C5" w:rsidRPr="00A75601">
        <w:rPr>
          <w:rFonts w:ascii="Times New Roman" w:hAnsi="Times New Roman"/>
          <w:iCs/>
          <w:sz w:val="24"/>
          <w:szCs w:val="24"/>
        </w:rPr>
        <w:t xml:space="preserve"> the equity market closes</w:t>
      </w:r>
      <w:r w:rsidR="005C5096" w:rsidRPr="00A75601">
        <w:rPr>
          <w:rFonts w:ascii="Times New Roman" w:hAnsi="Times New Roman"/>
          <w:iCs/>
          <w:sz w:val="24"/>
          <w:szCs w:val="24"/>
        </w:rPr>
        <w:t>.</w:t>
      </w:r>
      <w:r w:rsidR="00ED6213" w:rsidRPr="00A75601">
        <w:rPr>
          <w:rFonts w:ascii="Times New Roman" w:hAnsi="Times New Roman"/>
          <w:iCs/>
          <w:sz w:val="24"/>
          <w:szCs w:val="24"/>
        </w:rPr>
        <w:t xml:space="preserve"> </w:t>
      </w:r>
      <w:r w:rsidR="006C0EF1" w:rsidRPr="00A75601">
        <w:rPr>
          <w:rFonts w:ascii="Times New Roman" w:hAnsi="Times New Roman"/>
          <w:iCs/>
          <w:sz w:val="24"/>
          <w:szCs w:val="24"/>
        </w:rPr>
        <w:t>We then exclude these six reference entities from our original sample and re-run all the strategies. Results (available on request) are ver</w:t>
      </w:r>
      <w:r w:rsidR="00E37952" w:rsidRPr="00A75601">
        <w:rPr>
          <w:rFonts w:ascii="Times New Roman" w:hAnsi="Times New Roman"/>
          <w:iCs/>
          <w:sz w:val="24"/>
          <w:szCs w:val="24"/>
        </w:rPr>
        <w:t>y similar to those reported</w:t>
      </w:r>
      <w:r w:rsidR="00413F3F">
        <w:rPr>
          <w:rFonts w:ascii="Times New Roman" w:hAnsi="Times New Roman"/>
          <w:iCs/>
          <w:sz w:val="24"/>
          <w:szCs w:val="24"/>
        </w:rPr>
        <w:t xml:space="preserve"> in Exhibit 5</w:t>
      </w:r>
      <w:r w:rsidR="008D5562" w:rsidRPr="00A75601">
        <w:rPr>
          <w:rFonts w:ascii="Times New Roman" w:hAnsi="Times New Roman"/>
          <w:iCs/>
          <w:sz w:val="24"/>
          <w:szCs w:val="24"/>
        </w:rPr>
        <w:t xml:space="preserve">, </w:t>
      </w:r>
      <w:r w:rsidR="00ED6213" w:rsidRPr="00A75601">
        <w:rPr>
          <w:rFonts w:ascii="Times New Roman" w:hAnsi="Times New Roman"/>
          <w:iCs/>
          <w:sz w:val="24"/>
          <w:szCs w:val="24"/>
        </w:rPr>
        <w:t>leading us to</w:t>
      </w:r>
      <w:r w:rsidR="008D5562" w:rsidRPr="00A75601">
        <w:rPr>
          <w:rFonts w:ascii="Times New Roman" w:hAnsi="Times New Roman"/>
          <w:iCs/>
          <w:sz w:val="24"/>
          <w:szCs w:val="24"/>
        </w:rPr>
        <w:t xml:space="preserve"> conclude that asynchronous trading has no major impact on our </w:t>
      </w:r>
      <w:r w:rsidR="0012759D" w:rsidRPr="00A75601">
        <w:rPr>
          <w:rFonts w:ascii="Times New Roman" w:hAnsi="Times New Roman"/>
          <w:iCs/>
          <w:sz w:val="24"/>
          <w:szCs w:val="24"/>
        </w:rPr>
        <w:t>findings</w:t>
      </w:r>
      <w:r w:rsidR="006C0EF1" w:rsidRPr="00A75601">
        <w:rPr>
          <w:rFonts w:ascii="Times New Roman" w:hAnsi="Times New Roman"/>
          <w:iCs/>
          <w:sz w:val="24"/>
          <w:szCs w:val="24"/>
        </w:rPr>
        <w:t xml:space="preserve">.  </w:t>
      </w:r>
      <w:r w:rsidR="00A25FC3" w:rsidRPr="00A75601">
        <w:rPr>
          <w:rFonts w:ascii="Times New Roman" w:hAnsi="Times New Roman"/>
          <w:iCs/>
          <w:sz w:val="24"/>
          <w:szCs w:val="24"/>
        </w:rPr>
        <w:t xml:space="preserve"> </w:t>
      </w:r>
    </w:p>
    <w:p w14:paraId="767D4203" w14:textId="77777777" w:rsidR="00DE2F7A" w:rsidRPr="000B1A1E" w:rsidRDefault="00ED6213" w:rsidP="000B1A1E">
      <w:pPr>
        <w:pStyle w:val="ListParagraph"/>
        <w:numPr>
          <w:ilvl w:val="1"/>
          <w:numId w:val="18"/>
        </w:numPr>
        <w:spacing w:after="120" w:line="480" w:lineRule="auto"/>
        <w:ind w:left="426"/>
        <w:jc w:val="both"/>
        <w:outlineLvl w:val="0"/>
        <w:rPr>
          <w:rFonts w:ascii="Times New Roman" w:hAnsi="Times New Roman"/>
          <w:b/>
          <w:iCs/>
          <w:sz w:val="24"/>
          <w:szCs w:val="24"/>
        </w:rPr>
      </w:pPr>
      <w:r w:rsidRPr="000B1A1E">
        <w:rPr>
          <w:rFonts w:ascii="Times New Roman" w:hAnsi="Times New Roman"/>
          <w:b/>
          <w:iCs/>
          <w:sz w:val="24"/>
          <w:szCs w:val="24"/>
        </w:rPr>
        <w:t>The impact of credit event specification</w:t>
      </w:r>
    </w:p>
    <w:p w14:paraId="3E5A5D55" w14:textId="77777777" w:rsidR="00D72E26" w:rsidRPr="00A75601" w:rsidRDefault="003921C4" w:rsidP="00A75601">
      <w:pPr>
        <w:spacing w:line="480" w:lineRule="auto"/>
        <w:jc w:val="both"/>
        <w:outlineLvl w:val="0"/>
        <w:rPr>
          <w:rFonts w:ascii="Times New Roman" w:hAnsi="Times New Roman"/>
          <w:sz w:val="24"/>
          <w:szCs w:val="24"/>
        </w:rPr>
      </w:pPr>
      <w:r w:rsidRPr="00A75601">
        <w:rPr>
          <w:rFonts w:ascii="Times New Roman" w:hAnsi="Times New Roman"/>
          <w:sz w:val="24"/>
          <w:szCs w:val="24"/>
        </w:rPr>
        <w:t>Standard CDS contracts</w:t>
      </w:r>
      <w:r w:rsidR="00F0734C" w:rsidRPr="00A75601">
        <w:rPr>
          <w:rFonts w:ascii="Times New Roman" w:hAnsi="Times New Roman"/>
          <w:sz w:val="24"/>
          <w:szCs w:val="24"/>
        </w:rPr>
        <w:t xml:space="preserve"> on US and European obligors are based on</w:t>
      </w:r>
      <w:r w:rsidR="00BF530A" w:rsidRPr="00A75601">
        <w:rPr>
          <w:rFonts w:ascii="Times New Roman" w:hAnsi="Times New Roman"/>
          <w:sz w:val="24"/>
          <w:szCs w:val="24"/>
        </w:rPr>
        <w:t xml:space="preserve"> two different specifications </w:t>
      </w:r>
      <w:r w:rsidR="00614304">
        <w:rPr>
          <w:rFonts w:ascii="Times New Roman" w:hAnsi="Times New Roman"/>
          <w:sz w:val="24"/>
          <w:szCs w:val="24"/>
        </w:rPr>
        <w:t>of</w:t>
      </w:r>
      <w:r w:rsidR="00BF530A" w:rsidRPr="00A75601">
        <w:rPr>
          <w:rFonts w:ascii="Times New Roman" w:hAnsi="Times New Roman"/>
          <w:sz w:val="24"/>
          <w:szCs w:val="24"/>
        </w:rPr>
        <w:t xml:space="preserve"> the credit event, namely</w:t>
      </w:r>
      <w:r w:rsidR="00F0734C" w:rsidRPr="00A75601">
        <w:rPr>
          <w:rFonts w:ascii="Times New Roman" w:hAnsi="Times New Roman"/>
          <w:sz w:val="24"/>
          <w:szCs w:val="24"/>
        </w:rPr>
        <w:t xml:space="preserve"> the modified restructuring and modified-modified restructuring clauses, respectively. The former </w:t>
      </w:r>
      <w:r w:rsidR="00BF530A" w:rsidRPr="00A75601">
        <w:rPr>
          <w:rFonts w:ascii="Times New Roman" w:hAnsi="Times New Roman"/>
          <w:sz w:val="24"/>
          <w:szCs w:val="24"/>
        </w:rPr>
        <w:t xml:space="preserve">requires delivery of bonds with maturity shorter than 30 months, whereas the latter requires delivery of restructured obligations with maturity shorter than 60 months together with other obligations with maturity shorter than 30 months. Because of the different way the credit event is specified for US and European CDS contracts, we </w:t>
      </w:r>
      <w:r w:rsidR="00CC1B68" w:rsidRPr="00A75601">
        <w:rPr>
          <w:rFonts w:ascii="Times New Roman" w:hAnsi="Times New Roman"/>
          <w:sz w:val="24"/>
          <w:szCs w:val="24"/>
        </w:rPr>
        <w:t xml:space="preserve">split our sample in two, </w:t>
      </w:r>
      <w:r w:rsidR="00614304">
        <w:rPr>
          <w:rFonts w:ascii="Times New Roman" w:hAnsi="Times New Roman"/>
          <w:sz w:val="24"/>
          <w:szCs w:val="24"/>
        </w:rPr>
        <w:t>looking at</w:t>
      </w:r>
      <w:r w:rsidR="00CC1B68" w:rsidRPr="00A75601">
        <w:rPr>
          <w:rFonts w:ascii="Times New Roman" w:hAnsi="Times New Roman"/>
          <w:sz w:val="24"/>
          <w:szCs w:val="24"/>
        </w:rPr>
        <w:t xml:space="preserve"> US </w:t>
      </w:r>
      <w:r w:rsidR="00614304">
        <w:rPr>
          <w:rFonts w:ascii="Times New Roman" w:hAnsi="Times New Roman"/>
          <w:sz w:val="24"/>
          <w:szCs w:val="24"/>
        </w:rPr>
        <w:t xml:space="preserve">and European </w:t>
      </w:r>
      <w:r w:rsidR="00CC1B68" w:rsidRPr="00A75601">
        <w:rPr>
          <w:rFonts w:ascii="Times New Roman" w:hAnsi="Times New Roman"/>
          <w:sz w:val="24"/>
          <w:szCs w:val="24"/>
        </w:rPr>
        <w:t xml:space="preserve">obligors </w:t>
      </w:r>
      <w:r w:rsidR="00614304">
        <w:rPr>
          <w:rFonts w:ascii="Times New Roman" w:hAnsi="Times New Roman"/>
          <w:sz w:val="24"/>
          <w:szCs w:val="24"/>
        </w:rPr>
        <w:t>separately</w:t>
      </w:r>
      <w:r w:rsidR="00CC1B68" w:rsidRPr="00A75601">
        <w:rPr>
          <w:rFonts w:ascii="Times New Roman" w:hAnsi="Times New Roman"/>
          <w:sz w:val="24"/>
          <w:szCs w:val="24"/>
        </w:rPr>
        <w:t xml:space="preserve"> and </w:t>
      </w:r>
      <w:r w:rsidR="00BF530A" w:rsidRPr="00A75601">
        <w:rPr>
          <w:rFonts w:ascii="Times New Roman" w:hAnsi="Times New Roman"/>
          <w:sz w:val="24"/>
          <w:szCs w:val="24"/>
        </w:rPr>
        <w:t xml:space="preserve">run all trading strategies </w:t>
      </w:r>
      <w:r w:rsidR="00CC1B68" w:rsidRPr="00A75601">
        <w:rPr>
          <w:rFonts w:ascii="Times New Roman" w:hAnsi="Times New Roman"/>
          <w:sz w:val="24"/>
          <w:szCs w:val="24"/>
        </w:rPr>
        <w:t xml:space="preserve">again for the two sub-samples. This way we are able </w:t>
      </w:r>
      <w:r w:rsidR="00FB7A9E">
        <w:rPr>
          <w:rFonts w:ascii="Times New Roman" w:hAnsi="Times New Roman"/>
          <w:sz w:val="24"/>
          <w:szCs w:val="24"/>
        </w:rPr>
        <w:t xml:space="preserve">(1) </w:t>
      </w:r>
      <w:r w:rsidR="00CC1B68" w:rsidRPr="00A75601">
        <w:rPr>
          <w:rFonts w:ascii="Times New Roman" w:hAnsi="Times New Roman"/>
          <w:sz w:val="24"/>
          <w:szCs w:val="24"/>
        </w:rPr>
        <w:t xml:space="preserve">to evaluate whether differences in the </w:t>
      </w:r>
      <w:r w:rsidR="00CC1B68" w:rsidRPr="00A75601">
        <w:rPr>
          <w:rFonts w:ascii="Times New Roman" w:hAnsi="Times New Roman"/>
          <w:sz w:val="24"/>
          <w:szCs w:val="24"/>
        </w:rPr>
        <w:lastRenderedPageBreak/>
        <w:t>specifics of the CDS contracts affect the profitability of the strategies</w:t>
      </w:r>
      <w:r w:rsidR="00BA6C68">
        <w:rPr>
          <w:rFonts w:ascii="Times New Roman" w:hAnsi="Times New Roman"/>
          <w:sz w:val="24"/>
          <w:szCs w:val="24"/>
        </w:rPr>
        <w:t>,</w:t>
      </w:r>
      <w:r w:rsidR="00CC1B68" w:rsidRPr="00A75601">
        <w:rPr>
          <w:rFonts w:ascii="Times New Roman" w:hAnsi="Times New Roman"/>
          <w:sz w:val="24"/>
          <w:szCs w:val="24"/>
        </w:rPr>
        <w:t xml:space="preserve"> </w:t>
      </w:r>
      <w:r w:rsidR="00614304">
        <w:rPr>
          <w:rFonts w:ascii="Times New Roman" w:hAnsi="Times New Roman"/>
          <w:sz w:val="24"/>
          <w:szCs w:val="24"/>
        </w:rPr>
        <w:t>a</w:t>
      </w:r>
      <w:r w:rsidR="00FB7A9E">
        <w:rPr>
          <w:rFonts w:ascii="Times New Roman" w:hAnsi="Times New Roman"/>
          <w:sz w:val="24"/>
          <w:szCs w:val="24"/>
        </w:rPr>
        <w:t xml:space="preserve">nd </w:t>
      </w:r>
      <w:r w:rsidR="008749FC">
        <w:rPr>
          <w:rFonts w:ascii="Times New Roman" w:hAnsi="Times New Roman"/>
          <w:sz w:val="24"/>
          <w:szCs w:val="24"/>
        </w:rPr>
        <w:t xml:space="preserve">also </w:t>
      </w:r>
      <w:r w:rsidR="00FB7A9E">
        <w:rPr>
          <w:rFonts w:ascii="Times New Roman" w:hAnsi="Times New Roman"/>
          <w:sz w:val="24"/>
          <w:szCs w:val="24"/>
        </w:rPr>
        <w:t>(2) to</w:t>
      </w:r>
      <w:r w:rsidR="00614304">
        <w:rPr>
          <w:rFonts w:ascii="Times New Roman" w:hAnsi="Times New Roman"/>
          <w:sz w:val="24"/>
          <w:szCs w:val="24"/>
        </w:rPr>
        <w:t xml:space="preserve"> </w:t>
      </w:r>
      <w:r w:rsidR="00CC1B68" w:rsidRPr="00A75601">
        <w:rPr>
          <w:rFonts w:ascii="Times New Roman" w:hAnsi="Times New Roman"/>
          <w:sz w:val="24"/>
          <w:szCs w:val="24"/>
        </w:rPr>
        <w:t>analys</w:t>
      </w:r>
      <w:r w:rsidR="00FB7A9E">
        <w:rPr>
          <w:rFonts w:ascii="Times New Roman" w:hAnsi="Times New Roman"/>
          <w:sz w:val="24"/>
          <w:szCs w:val="24"/>
        </w:rPr>
        <w:t>e</w:t>
      </w:r>
      <w:r w:rsidR="00CC1B68" w:rsidRPr="00A75601">
        <w:rPr>
          <w:rFonts w:ascii="Times New Roman" w:hAnsi="Times New Roman"/>
          <w:sz w:val="24"/>
          <w:szCs w:val="24"/>
        </w:rPr>
        <w:t xml:space="preserve"> the performance of the trading strategies separately for US and Europe. </w:t>
      </w:r>
      <w:r w:rsidR="000D10E9" w:rsidRPr="00A75601">
        <w:rPr>
          <w:rFonts w:ascii="Times New Roman" w:hAnsi="Times New Roman"/>
          <w:sz w:val="24"/>
          <w:szCs w:val="24"/>
        </w:rPr>
        <w:t xml:space="preserve">The latter point is particularly interesting as previous studies </w:t>
      </w:r>
      <w:r w:rsidR="001B5039" w:rsidRPr="00A75601">
        <w:rPr>
          <w:rFonts w:ascii="Times New Roman" w:hAnsi="Times New Roman"/>
          <w:sz w:val="24"/>
          <w:szCs w:val="24"/>
        </w:rPr>
        <w:t xml:space="preserve">have not reported </w:t>
      </w:r>
      <w:r w:rsidR="00F11BD0" w:rsidRPr="00A75601">
        <w:rPr>
          <w:rFonts w:ascii="Times New Roman" w:hAnsi="Times New Roman"/>
          <w:sz w:val="24"/>
          <w:szCs w:val="24"/>
        </w:rPr>
        <w:t xml:space="preserve">specific </w:t>
      </w:r>
      <w:r w:rsidR="001B5039" w:rsidRPr="00A75601">
        <w:rPr>
          <w:rFonts w:ascii="Times New Roman" w:hAnsi="Times New Roman"/>
          <w:sz w:val="24"/>
          <w:szCs w:val="24"/>
        </w:rPr>
        <w:t>results on</w:t>
      </w:r>
      <w:r w:rsidR="000D10E9" w:rsidRPr="00A75601">
        <w:rPr>
          <w:rFonts w:ascii="Times New Roman" w:hAnsi="Times New Roman"/>
          <w:sz w:val="24"/>
          <w:szCs w:val="24"/>
        </w:rPr>
        <w:t xml:space="preserve"> the profitability of the CSA strategy for </w:t>
      </w:r>
      <w:r w:rsidR="001B5039" w:rsidRPr="00A75601">
        <w:rPr>
          <w:rFonts w:ascii="Times New Roman" w:hAnsi="Times New Roman"/>
          <w:sz w:val="24"/>
          <w:szCs w:val="24"/>
        </w:rPr>
        <w:t>European</w:t>
      </w:r>
      <w:r w:rsidR="000D10E9" w:rsidRPr="00A75601">
        <w:rPr>
          <w:rFonts w:ascii="Times New Roman" w:hAnsi="Times New Roman"/>
          <w:sz w:val="24"/>
          <w:szCs w:val="24"/>
        </w:rPr>
        <w:t xml:space="preserve"> reference entities.</w:t>
      </w:r>
      <w:r w:rsidR="00F11BD0" w:rsidRPr="00A75601">
        <w:rPr>
          <w:rFonts w:ascii="Times New Roman" w:hAnsi="Times New Roman"/>
          <w:sz w:val="24"/>
          <w:szCs w:val="24"/>
        </w:rPr>
        <w:t xml:space="preserve"> </w:t>
      </w:r>
    </w:p>
    <w:p w14:paraId="2BBB639E" w14:textId="77777777" w:rsidR="00051A20" w:rsidRPr="00A75601" w:rsidRDefault="00F11BD0" w:rsidP="00A75601">
      <w:pPr>
        <w:spacing w:line="480" w:lineRule="auto"/>
        <w:jc w:val="both"/>
        <w:outlineLvl w:val="0"/>
        <w:rPr>
          <w:rFonts w:ascii="Times New Roman" w:hAnsi="Times New Roman"/>
          <w:sz w:val="24"/>
          <w:szCs w:val="24"/>
        </w:rPr>
      </w:pPr>
      <w:r w:rsidRPr="00A75601">
        <w:rPr>
          <w:rFonts w:ascii="Times New Roman" w:hAnsi="Times New Roman"/>
          <w:sz w:val="24"/>
          <w:szCs w:val="24"/>
        </w:rPr>
        <w:t>Our r</w:t>
      </w:r>
      <w:r w:rsidR="000D10E9" w:rsidRPr="00A75601">
        <w:rPr>
          <w:rFonts w:ascii="Times New Roman" w:hAnsi="Times New Roman"/>
          <w:sz w:val="24"/>
          <w:szCs w:val="24"/>
        </w:rPr>
        <w:t xml:space="preserve">esults (available on request) are qualitatively </w:t>
      </w:r>
      <w:r w:rsidR="00E37952" w:rsidRPr="00A75601">
        <w:rPr>
          <w:rFonts w:ascii="Times New Roman" w:hAnsi="Times New Roman"/>
          <w:sz w:val="24"/>
          <w:szCs w:val="24"/>
        </w:rPr>
        <w:t xml:space="preserve">similar to </w:t>
      </w:r>
      <w:r w:rsidR="00C33F0E" w:rsidRPr="00A75601">
        <w:rPr>
          <w:rFonts w:ascii="Times New Roman" w:hAnsi="Times New Roman"/>
          <w:sz w:val="24"/>
          <w:szCs w:val="24"/>
        </w:rPr>
        <w:t xml:space="preserve">those </w:t>
      </w:r>
      <w:r w:rsidR="00E37952" w:rsidRPr="00A75601">
        <w:rPr>
          <w:rFonts w:ascii="Times New Roman" w:hAnsi="Times New Roman"/>
          <w:sz w:val="24"/>
          <w:szCs w:val="24"/>
        </w:rPr>
        <w:t>reported</w:t>
      </w:r>
      <w:r w:rsidR="00FB7A9E">
        <w:rPr>
          <w:rFonts w:ascii="Times New Roman" w:hAnsi="Times New Roman"/>
          <w:sz w:val="24"/>
          <w:szCs w:val="24"/>
        </w:rPr>
        <w:t xml:space="preserve"> in Exhibit 5</w:t>
      </w:r>
      <w:r w:rsidR="000D10E9" w:rsidRPr="00A75601">
        <w:rPr>
          <w:rFonts w:ascii="Times New Roman" w:hAnsi="Times New Roman"/>
          <w:sz w:val="24"/>
          <w:szCs w:val="24"/>
        </w:rPr>
        <w:t>. However</w:t>
      </w:r>
      <w:r w:rsidR="00C33F0E" w:rsidRPr="00A75601">
        <w:rPr>
          <w:rFonts w:ascii="Times New Roman" w:hAnsi="Times New Roman"/>
          <w:sz w:val="24"/>
          <w:szCs w:val="24"/>
        </w:rPr>
        <w:t>,</w:t>
      </w:r>
      <w:r w:rsidR="000D10E9" w:rsidRPr="00A75601">
        <w:rPr>
          <w:rFonts w:ascii="Times New Roman" w:hAnsi="Times New Roman"/>
          <w:sz w:val="24"/>
          <w:szCs w:val="24"/>
        </w:rPr>
        <w:t xml:space="preserve"> we notice that Sharpe ratios are higher for the US sample</w:t>
      </w:r>
      <w:r w:rsidR="006B6516" w:rsidRPr="00A75601">
        <w:rPr>
          <w:rFonts w:ascii="Times New Roman" w:hAnsi="Times New Roman"/>
          <w:sz w:val="24"/>
          <w:szCs w:val="24"/>
        </w:rPr>
        <w:t xml:space="preserve">. In particular, during the crisis period, </w:t>
      </w:r>
      <w:r w:rsidR="00BC6E13" w:rsidRPr="00A75601">
        <w:rPr>
          <w:rFonts w:ascii="Times New Roman" w:hAnsi="Times New Roman"/>
          <w:sz w:val="24"/>
          <w:szCs w:val="24"/>
        </w:rPr>
        <w:t xml:space="preserve">for US obligors </w:t>
      </w:r>
      <w:r w:rsidR="00BA6C68">
        <w:rPr>
          <w:rFonts w:ascii="Times New Roman" w:hAnsi="Times New Roman"/>
          <w:sz w:val="24"/>
          <w:szCs w:val="24"/>
        </w:rPr>
        <w:t>even S</w:t>
      </w:r>
      <w:r w:rsidR="006B6516" w:rsidRPr="00A75601">
        <w:rPr>
          <w:rFonts w:ascii="Times New Roman" w:hAnsi="Times New Roman"/>
          <w:sz w:val="24"/>
          <w:szCs w:val="24"/>
        </w:rPr>
        <w:t xml:space="preserve">trategy 1 and 2 generate positive Sharpe ratios, although their performance is worse </w:t>
      </w:r>
      <w:r w:rsidR="00FB7A9E">
        <w:rPr>
          <w:rFonts w:ascii="Times New Roman" w:hAnsi="Times New Roman"/>
          <w:sz w:val="24"/>
          <w:szCs w:val="24"/>
        </w:rPr>
        <w:t xml:space="preserve">off when </w:t>
      </w:r>
      <w:r w:rsidR="006B6516" w:rsidRPr="00A75601">
        <w:rPr>
          <w:rFonts w:ascii="Times New Roman" w:hAnsi="Times New Roman"/>
          <w:sz w:val="24"/>
          <w:szCs w:val="24"/>
        </w:rPr>
        <w:t xml:space="preserve">compared with </w:t>
      </w:r>
      <w:r w:rsidR="00FB7A9E">
        <w:rPr>
          <w:rFonts w:ascii="Times New Roman" w:hAnsi="Times New Roman"/>
          <w:sz w:val="24"/>
          <w:szCs w:val="24"/>
        </w:rPr>
        <w:t xml:space="preserve">that of </w:t>
      </w:r>
      <w:r w:rsidR="006B6516" w:rsidRPr="00A75601">
        <w:rPr>
          <w:rFonts w:ascii="Times New Roman" w:hAnsi="Times New Roman"/>
          <w:sz w:val="24"/>
          <w:szCs w:val="24"/>
        </w:rPr>
        <w:t>the remaining strategies.</w:t>
      </w:r>
      <w:r w:rsidR="000D10E9" w:rsidRPr="00A75601">
        <w:rPr>
          <w:rFonts w:ascii="Times New Roman" w:hAnsi="Times New Roman"/>
          <w:sz w:val="24"/>
          <w:szCs w:val="24"/>
        </w:rPr>
        <w:t xml:space="preserve"> </w:t>
      </w:r>
      <w:r w:rsidR="00BF530A" w:rsidRPr="00A75601">
        <w:rPr>
          <w:rFonts w:ascii="Times New Roman" w:hAnsi="Times New Roman"/>
          <w:sz w:val="24"/>
          <w:szCs w:val="24"/>
        </w:rPr>
        <w:t xml:space="preserve"> </w:t>
      </w:r>
      <w:r w:rsidR="00F0734C" w:rsidRPr="00A75601">
        <w:rPr>
          <w:rFonts w:ascii="Times New Roman" w:hAnsi="Times New Roman"/>
          <w:sz w:val="24"/>
          <w:szCs w:val="24"/>
        </w:rPr>
        <w:t xml:space="preserve">   </w:t>
      </w:r>
    </w:p>
    <w:p w14:paraId="4EE960CA" w14:textId="77777777" w:rsidR="00A27EC5" w:rsidRPr="000B1A1E" w:rsidRDefault="00ED6213" w:rsidP="000B1A1E">
      <w:pPr>
        <w:pStyle w:val="ListParagraph"/>
        <w:numPr>
          <w:ilvl w:val="1"/>
          <w:numId w:val="18"/>
        </w:numPr>
        <w:spacing w:after="120" w:line="480" w:lineRule="auto"/>
        <w:ind w:left="426"/>
        <w:jc w:val="both"/>
        <w:outlineLvl w:val="0"/>
        <w:rPr>
          <w:rFonts w:ascii="Times New Roman" w:hAnsi="Times New Roman"/>
          <w:b/>
          <w:iCs/>
          <w:sz w:val="24"/>
          <w:szCs w:val="24"/>
        </w:rPr>
      </w:pPr>
      <w:r w:rsidRPr="000B1A1E">
        <w:rPr>
          <w:rFonts w:ascii="Times New Roman" w:hAnsi="Times New Roman"/>
          <w:b/>
          <w:iCs/>
          <w:sz w:val="24"/>
          <w:szCs w:val="24"/>
        </w:rPr>
        <w:t>The effect of the lack of cointegration between the CDS and equity market</w:t>
      </w:r>
    </w:p>
    <w:p w14:paraId="6A330EA8" w14:textId="77777777" w:rsidR="00A27EC5" w:rsidRPr="00A75601" w:rsidRDefault="00A27EC5" w:rsidP="00A75601">
      <w:pPr>
        <w:spacing w:line="480" w:lineRule="auto"/>
        <w:jc w:val="both"/>
        <w:outlineLvl w:val="0"/>
        <w:rPr>
          <w:rFonts w:ascii="Times New Roman" w:hAnsi="Times New Roman"/>
          <w:sz w:val="24"/>
          <w:szCs w:val="24"/>
        </w:rPr>
      </w:pPr>
      <w:r w:rsidRPr="00A75601">
        <w:rPr>
          <w:rFonts w:ascii="Times New Roman" w:hAnsi="Times New Roman"/>
          <w:sz w:val="24"/>
          <w:szCs w:val="24"/>
        </w:rPr>
        <w:t>For some obligors</w:t>
      </w:r>
      <w:r w:rsidR="00BC6E13" w:rsidRPr="00A75601">
        <w:rPr>
          <w:rFonts w:ascii="Times New Roman" w:hAnsi="Times New Roman"/>
          <w:sz w:val="24"/>
          <w:szCs w:val="24"/>
        </w:rPr>
        <w:t>,</w:t>
      </w:r>
      <w:r w:rsidRPr="00A75601">
        <w:rPr>
          <w:rFonts w:ascii="Times New Roman" w:hAnsi="Times New Roman"/>
          <w:sz w:val="24"/>
          <w:szCs w:val="24"/>
        </w:rPr>
        <w:t xml:space="preserve"> the CDS and equity markets were not </w:t>
      </w:r>
      <w:proofErr w:type="gramStart"/>
      <w:r w:rsidRPr="00A75601">
        <w:rPr>
          <w:rFonts w:ascii="Times New Roman" w:hAnsi="Times New Roman"/>
          <w:sz w:val="24"/>
          <w:szCs w:val="24"/>
        </w:rPr>
        <w:t>cointegrated</w:t>
      </w:r>
      <w:proofErr w:type="gramEnd"/>
      <w:r w:rsidRPr="00A75601">
        <w:rPr>
          <w:rFonts w:ascii="Times New Roman" w:hAnsi="Times New Roman"/>
          <w:sz w:val="24"/>
          <w:szCs w:val="24"/>
        </w:rPr>
        <w:t xml:space="preserve"> but we still estimated a VECM model from which the price discovery measures were derived. It can be argued that for these companies the VECM was not the most correct econometric specification to use. </w:t>
      </w:r>
      <w:r w:rsidR="00ED6213" w:rsidRPr="00A75601">
        <w:rPr>
          <w:rFonts w:ascii="Times New Roman" w:hAnsi="Times New Roman"/>
          <w:sz w:val="24"/>
          <w:szCs w:val="24"/>
        </w:rPr>
        <w:t>To test the effect of the lack of statistical cointegration</w:t>
      </w:r>
      <w:r w:rsidRPr="00A75601">
        <w:rPr>
          <w:rFonts w:ascii="Times New Roman" w:hAnsi="Times New Roman"/>
          <w:sz w:val="24"/>
          <w:szCs w:val="24"/>
        </w:rPr>
        <w:t xml:space="preserve">, we </w:t>
      </w:r>
      <w:r w:rsidR="00BC6E13" w:rsidRPr="00A75601">
        <w:rPr>
          <w:rFonts w:ascii="Times New Roman" w:hAnsi="Times New Roman"/>
          <w:sz w:val="24"/>
          <w:szCs w:val="24"/>
        </w:rPr>
        <w:t xml:space="preserve">discard </w:t>
      </w:r>
      <w:r w:rsidR="006777C5">
        <w:rPr>
          <w:rFonts w:ascii="Times New Roman" w:hAnsi="Times New Roman"/>
          <w:sz w:val="24"/>
          <w:szCs w:val="24"/>
        </w:rPr>
        <w:t xml:space="preserve">the </w:t>
      </w:r>
      <w:r w:rsidRPr="00A75601">
        <w:rPr>
          <w:rFonts w:ascii="Times New Roman" w:hAnsi="Times New Roman"/>
          <w:sz w:val="24"/>
          <w:szCs w:val="24"/>
        </w:rPr>
        <w:t xml:space="preserve">companies </w:t>
      </w:r>
      <w:r w:rsidR="00ED6213" w:rsidRPr="00A75601">
        <w:rPr>
          <w:rFonts w:ascii="Times New Roman" w:hAnsi="Times New Roman"/>
          <w:sz w:val="24"/>
          <w:szCs w:val="24"/>
        </w:rPr>
        <w:t xml:space="preserve">(7 out of 70) </w:t>
      </w:r>
      <w:r w:rsidRPr="00A75601">
        <w:rPr>
          <w:rFonts w:ascii="Times New Roman" w:hAnsi="Times New Roman"/>
          <w:sz w:val="24"/>
          <w:szCs w:val="24"/>
        </w:rPr>
        <w:t xml:space="preserve">which </w:t>
      </w:r>
      <w:r w:rsidR="006777C5">
        <w:rPr>
          <w:rFonts w:ascii="Times New Roman" w:hAnsi="Times New Roman"/>
          <w:sz w:val="24"/>
          <w:szCs w:val="24"/>
        </w:rPr>
        <w:t>are</w:t>
      </w:r>
      <w:r w:rsidRPr="00A75601">
        <w:rPr>
          <w:rFonts w:ascii="Times New Roman" w:hAnsi="Times New Roman"/>
          <w:sz w:val="24"/>
          <w:szCs w:val="24"/>
        </w:rPr>
        <w:t xml:space="preserve"> not cointegrated</w:t>
      </w:r>
      <w:r w:rsidR="00ED6213" w:rsidRPr="00A75601">
        <w:rPr>
          <w:rFonts w:ascii="Times New Roman" w:hAnsi="Times New Roman"/>
          <w:sz w:val="24"/>
          <w:szCs w:val="24"/>
        </w:rPr>
        <w:t>.</w:t>
      </w:r>
      <w:r w:rsidRPr="00A75601">
        <w:rPr>
          <w:rFonts w:ascii="Times New Roman" w:hAnsi="Times New Roman"/>
          <w:sz w:val="24"/>
          <w:szCs w:val="24"/>
        </w:rPr>
        <w:t xml:space="preserve"> </w:t>
      </w:r>
      <w:r w:rsidR="00BC6E13" w:rsidRPr="00A75601">
        <w:rPr>
          <w:rFonts w:ascii="Times New Roman" w:hAnsi="Times New Roman"/>
          <w:sz w:val="24"/>
          <w:szCs w:val="24"/>
        </w:rPr>
        <w:t>A</w:t>
      </w:r>
      <w:r w:rsidRPr="00A75601">
        <w:rPr>
          <w:rFonts w:ascii="Times New Roman" w:hAnsi="Times New Roman"/>
          <w:sz w:val="24"/>
          <w:szCs w:val="24"/>
        </w:rPr>
        <w:t xml:space="preserve">s expected, we obtain an improvement in the </w:t>
      </w:r>
      <w:r w:rsidR="00ED6213" w:rsidRPr="00A75601">
        <w:rPr>
          <w:rFonts w:ascii="Times New Roman" w:hAnsi="Times New Roman"/>
          <w:sz w:val="24"/>
          <w:szCs w:val="24"/>
        </w:rPr>
        <w:t xml:space="preserve">profitability of the </w:t>
      </w:r>
      <w:r w:rsidRPr="00A75601">
        <w:rPr>
          <w:rFonts w:ascii="Times New Roman" w:hAnsi="Times New Roman"/>
          <w:sz w:val="24"/>
          <w:szCs w:val="24"/>
        </w:rPr>
        <w:t>strategies</w:t>
      </w:r>
      <w:r w:rsidR="00C33F0E" w:rsidRPr="00A75601">
        <w:rPr>
          <w:rFonts w:ascii="Times New Roman" w:hAnsi="Times New Roman"/>
          <w:sz w:val="24"/>
          <w:szCs w:val="24"/>
        </w:rPr>
        <w:t xml:space="preserve"> (results available on request)</w:t>
      </w:r>
      <w:r w:rsidRPr="00A75601">
        <w:rPr>
          <w:rFonts w:ascii="Times New Roman" w:hAnsi="Times New Roman"/>
          <w:sz w:val="24"/>
          <w:szCs w:val="24"/>
        </w:rPr>
        <w:t xml:space="preserve">. Hence, </w:t>
      </w:r>
      <w:r w:rsidR="006777C5">
        <w:rPr>
          <w:rFonts w:ascii="Times New Roman" w:hAnsi="Times New Roman"/>
          <w:sz w:val="24"/>
          <w:szCs w:val="24"/>
        </w:rPr>
        <w:t>our proposed</w:t>
      </w:r>
      <w:r w:rsidRPr="00A75601">
        <w:rPr>
          <w:rFonts w:ascii="Times New Roman" w:hAnsi="Times New Roman"/>
          <w:sz w:val="24"/>
          <w:szCs w:val="24"/>
        </w:rPr>
        <w:t xml:space="preserve"> strategies seem to work better for cointegrated series and ideally, a trader should trade obligors for which </w:t>
      </w:r>
      <w:proofErr w:type="gramStart"/>
      <w:r w:rsidRPr="00A75601">
        <w:rPr>
          <w:rFonts w:ascii="Times New Roman" w:hAnsi="Times New Roman"/>
          <w:sz w:val="24"/>
          <w:szCs w:val="24"/>
        </w:rPr>
        <w:t>CDS</w:t>
      </w:r>
      <w:proofErr w:type="gramEnd"/>
      <w:r w:rsidRPr="00A75601">
        <w:rPr>
          <w:rFonts w:ascii="Times New Roman" w:hAnsi="Times New Roman"/>
          <w:sz w:val="24"/>
          <w:szCs w:val="24"/>
        </w:rPr>
        <w:t xml:space="preserve"> </w:t>
      </w:r>
      <w:r w:rsidR="00A263CB" w:rsidRPr="00A75601">
        <w:rPr>
          <w:rFonts w:ascii="Times New Roman" w:hAnsi="Times New Roman"/>
          <w:sz w:val="24"/>
          <w:szCs w:val="24"/>
        </w:rPr>
        <w:t>and equity-implied spreads</w:t>
      </w:r>
      <w:r w:rsidRPr="00A75601">
        <w:rPr>
          <w:rFonts w:ascii="Times New Roman" w:hAnsi="Times New Roman"/>
          <w:sz w:val="24"/>
          <w:szCs w:val="24"/>
        </w:rPr>
        <w:t xml:space="preserve"> are cointegrated. </w:t>
      </w:r>
    </w:p>
    <w:p w14:paraId="43C624BD" w14:textId="77777777" w:rsidR="00A32057" w:rsidRPr="000B1A1E" w:rsidRDefault="00D54BEA" w:rsidP="000B1A1E">
      <w:pPr>
        <w:pStyle w:val="ListParagraph"/>
        <w:numPr>
          <w:ilvl w:val="0"/>
          <w:numId w:val="18"/>
        </w:numPr>
        <w:spacing w:after="120" w:line="480" w:lineRule="auto"/>
        <w:jc w:val="both"/>
        <w:outlineLvl w:val="0"/>
        <w:rPr>
          <w:rFonts w:ascii="Times New Roman" w:hAnsi="Times New Roman"/>
          <w:b/>
          <w:sz w:val="24"/>
          <w:szCs w:val="24"/>
        </w:rPr>
      </w:pPr>
      <w:r w:rsidRPr="000B1A1E">
        <w:rPr>
          <w:rFonts w:ascii="Times New Roman" w:hAnsi="Times New Roman"/>
          <w:b/>
          <w:sz w:val="24"/>
          <w:szCs w:val="24"/>
        </w:rPr>
        <w:t>C</w:t>
      </w:r>
      <w:r w:rsidR="00A32057" w:rsidRPr="000B1A1E">
        <w:rPr>
          <w:rFonts w:ascii="Times New Roman" w:hAnsi="Times New Roman"/>
          <w:b/>
          <w:sz w:val="24"/>
          <w:szCs w:val="24"/>
        </w:rPr>
        <w:t>onclusions</w:t>
      </w:r>
    </w:p>
    <w:p w14:paraId="237C3B1B" w14:textId="77777777" w:rsidR="00E44AE5" w:rsidRPr="00A75601" w:rsidRDefault="00A27EC5" w:rsidP="00A75601">
      <w:pPr>
        <w:spacing w:line="480" w:lineRule="auto"/>
        <w:jc w:val="both"/>
        <w:outlineLvl w:val="0"/>
        <w:rPr>
          <w:rFonts w:ascii="Times New Roman" w:hAnsi="Times New Roman"/>
          <w:sz w:val="24"/>
          <w:szCs w:val="24"/>
        </w:rPr>
      </w:pPr>
      <w:r w:rsidRPr="00A75601">
        <w:rPr>
          <w:rFonts w:ascii="Times New Roman" w:hAnsi="Times New Roman"/>
          <w:sz w:val="24"/>
          <w:szCs w:val="24"/>
        </w:rPr>
        <w:t>Despite its popul</w:t>
      </w:r>
      <w:r w:rsidR="008D5C93" w:rsidRPr="00A75601">
        <w:rPr>
          <w:rFonts w:ascii="Times New Roman" w:hAnsi="Times New Roman"/>
          <w:sz w:val="24"/>
          <w:szCs w:val="24"/>
        </w:rPr>
        <w:t xml:space="preserve">arity, capital structure arbitrage </w:t>
      </w:r>
      <w:r w:rsidRPr="00A75601">
        <w:rPr>
          <w:rFonts w:ascii="Times New Roman" w:hAnsi="Times New Roman"/>
          <w:sz w:val="24"/>
          <w:szCs w:val="24"/>
        </w:rPr>
        <w:t xml:space="preserve">has undergone a clear decrease in profitability over the period 2005-2009. </w:t>
      </w:r>
      <w:r w:rsidR="009C6607">
        <w:rPr>
          <w:rFonts w:ascii="Times New Roman" w:hAnsi="Times New Roman"/>
          <w:sz w:val="24"/>
          <w:szCs w:val="24"/>
        </w:rPr>
        <w:t>In this paper,</w:t>
      </w:r>
      <w:r w:rsidR="00DD653F">
        <w:rPr>
          <w:rFonts w:ascii="Times New Roman" w:hAnsi="Times New Roman"/>
          <w:sz w:val="24"/>
          <w:szCs w:val="24"/>
        </w:rPr>
        <w:t xml:space="preserve"> we</w:t>
      </w:r>
      <w:r w:rsidRPr="00A75601">
        <w:rPr>
          <w:rFonts w:ascii="Times New Roman" w:hAnsi="Times New Roman"/>
          <w:sz w:val="24"/>
          <w:szCs w:val="24"/>
        </w:rPr>
        <w:t xml:space="preserve"> propose </w:t>
      </w:r>
      <w:r w:rsidR="009C6607">
        <w:rPr>
          <w:rFonts w:ascii="Times New Roman" w:hAnsi="Times New Roman"/>
          <w:sz w:val="24"/>
          <w:szCs w:val="24"/>
        </w:rPr>
        <w:t xml:space="preserve">three </w:t>
      </w:r>
      <w:r w:rsidRPr="00A75601">
        <w:rPr>
          <w:rFonts w:ascii="Times New Roman" w:hAnsi="Times New Roman"/>
          <w:sz w:val="24"/>
          <w:szCs w:val="24"/>
        </w:rPr>
        <w:t>new trading strategies involving the CDS and equity markets</w:t>
      </w:r>
      <w:r w:rsidR="00DD653F">
        <w:rPr>
          <w:rFonts w:ascii="Times New Roman" w:hAnsi="Times New Roman"/>
          <w:sz w:val="24"/>
          <w:szCs w:val="24"/>
        </w:rPr>
        <w:t>,</w:t>
      </w:r>
      <w:r w:rsidRPr="00A75601">
        <w:rPr>
          <w:rFonts w:ascii="Times New Roman" w:hAnsi="Times New Roman"/>
          <w:sz w:val="24"/>
          <w:szCs w:val="24"/>
        </w:rPr>
        <w:t xml:space="preserve"> </w:t>
      </w:r>
      <w:r w:rsidR="009C6607">
        <w:rPr>
          <w:rFonts w:ascii="Times New Roman" w:hAnsi="Times New Roman"/>
          <w:sz w:val="24"/>
          <w:szCs w:val="24"/>
        </w:rPr>
        <w:t xml:space="preserve">which are </w:t>
      </w:r>
      <w:r w:rsidRPr="00A75601">
        <w:rPr>
          <w:rFonts w:ascii="Times New Roman" w:hAnsi="Times New Roman"/>
          <w:sz w:val="24"/>
          <w:szCs w:val="24"/>
        </w:rPr>
        <w:t xml:space="preserve">based on the </w:t>
      </w:r>
      <w:r w:rsidR="00C33F0E" w:rsidRPr="00A75601">
        <w:rPr>
          <w:rFonts w:ascii="Times New Roman" w:hAnsi="Times New Roman"/>
          <w:sz w:val="24"/>
          <w:szCs w:val="24"/>
        </w:rPr>
        <w:t>supposed</w:t>
      </w:r>
      <w:r w:rsidR="00A1406E" w:rsidRPr="00A75601">
        <w:rPr>
          <w:rFonts w:ascii="Times New Roman" w:hAnsi="Times New Roman"/>
          <w:sz w:val="24"/>
          <w:szCs w:val="24"/>
        </w:rPr>
        <w:t xml:space="preserve"> cointegration of </w:t>
      </w:r>
      <w:r w:rsidR="00B02F42" w:rsidRPr="00A75601">
        <w:rPr>
          <w:rFonts w:ascii="Times New Roman" w:hAnsi="Times New Roman"/>
          <w:sz w:val="24"/>
          <w:szCs w:val="24"/>
        </w:rPr>
        <w:t xml:space="preserve">the </w:t>
      </w:r>
      <w:r w:rsidR="00A1406E" w:rsidRPr="00A75601">
        <w:rPr>
          <w:rFonts w:ascii="Times New Roman" w:hAnsi="Times New Roman"/>
          <w:sz w:val="24"/>
          <w:szCs w:val="24"/>
        </w:rPr>
        <w:t xml:space="preserve">CDS and equity </w:t>
      </w:r>
      <w:r w:rsidR="00DD2423" w:rsidRPr="00A75601">
        <w:rPr>
          <w:rFonts w:ascii="Times New Roman" w:hAnsi="Times New Roman"/>
          <w:sz w:val="24"/>
          <w:szCs w:val="24"/>
        </w:rPr>
        <w:t>implied</w:t>
      </w:r>
      <w:r w:rsidR="00D038AF" w:rsidRPr="00A75601">
        <w:rPr>
          <w:rFonts w:ascii="Times New Roman" w:hAnsi="Times New Roman"/>
          <w:sz w:val="24"/>
          <w:szCs w:val="24"/>
        </w:rPr>
        <w:t xml:space="preserve"> </w:t>
      </w:r>
      <w:r w:rsidR="00C33F0E" w:rsidRPr="00A75601">
        <w:rPr>
          <w:rFonts w:ascii="Times New Roman" w:hAnsi="Times New Roman"/>
          <w:sz w:val="24"/>
          <w:szCs w:val="24"/>
        </w:rPr>
        <w:t>spreads</w:t>
      </w:r>
      <w:r w:rsidR="009C6607">
        <w:rPr>
          <w:rFonts w:ascii="Times New Roman" w:hAnsi="Times New Roman"/>
          <w:sz w:val="24"/>
          <w:szCs w:val="24"/>
        </w:rPr>
        <w:t xml:space="preserve"> and their time-varying price discovery.</w:t>
      </w:r>
      <w:r w:rsidR="000F263F" w:rsidRPr="00A75601">
        <w:rPr>
          <w:rFonts w:ascii="Times New Roman" w:hAnsi="Times New Roman"/>
          <w:sz w:val="24"/>
          <w:szCs w:val="24"/>
        </w:rPr>
        <w:t xml:space="preserve"> </w:t>
      </w:r>
      <w:r w:rsidR="00E74541">
        <w:rPr>
          <w:rFonts w:ascii="Times New Roman" w:hAnsi="Times New Roman"/>
          <w:sz w:val="24"/>
          <w:szCs w:val="24"/>
        </w:rPr>
        <w:t xml:space="preserve">In particular, </w:t>
      </w:r>
      <w:r w:rsidR="00013043">
        <w:rPr>
          <w:rFonts w:ascii="Times New Roman" w:hAnsi="Times New Roman"/>
          <w:sz w:val="24"/>
          <w:szCs w:val="24"/>
        </w:rPr>
        <w:t xml:space="preserve">a </w:t>
      </w:r>
      <w:r w:rsidR="00E74541">
        <w:rPr>
          <w:rFonts w:ascii="Times New Roman" w:hAnsi="Times New Roman"/>
          <w:sz w:val="24"/>
          <w:szCs w:val="24"/>
        </w:rPr>
        <w:t xml:space="preserve">time-varying price discovery measure </w:t>
      </w:r>
      <w:r w:rsidR="00013043">
        <w:rPr>
          <w:rFonts w:ascii="Times New Roman" w:hAnsi="Times New Roman"/>
          <w:sz w:val="24"/>
          <w:szCs w:val="24"/>
        </w:rPr>
        <w:t>is</w:t>
      </w:r>
      <w:r w:rsidR="00E74541">
        <w:rPr>
          <w:rFonts w:ascii="Times New Roman" w:hAnsi="Times New Roman"/>
          <w:sz w:val="24"/>
          <w:szCs w:val="24"/>
        </w:rPr>
        <w:t xml:space="preserve"> employed as a new trading filter.  </w:t>
      </w:r>
    </w:p>
    <w:p w14:paraId="6FF4497B" w14:textId="77777777" w:rsidR="00A8348C" w:rsidRPr="00A75601" w:rsidRDefault="000F263F" w:rsidP="00A75601">
      <w:pPr>
        <w:spacing w:line="480" w:lineRule="auto"/>
        <w:jc w:val="both"/>
        <w:outlineLvl w:val="0"/>
        <w:rPr>
          <w:rFonts w:ascii="Times New Roman" w:hAnsi="Times New Roman"/>
          <w:sz w:val="24"/>
          <w:szCs w:val="24"/>
        </w:rPr>
      </w:pPr>
      <w:r w:rsidRPr="00A75601">
        <w:rPr>
          <w:rFonts w:ascii="Times New Roman" w:hAnsi="Times New Roman"/>
          <w:sz w:val="24"/>
          <w:szCs w:val="24"/>
        </w:rPr>
        <w:lastRenderedPageBreak/>
        <w:t xml:space="preserve">Our </w:t>
      </w:r>
      <w:r w:rsidR="00E44AE5" w:rsidRPr="00A75601">
        <w:rPr>
          <w:rFonts w:ascii="Times New Roman" w:hAnsi="Times New Roman"/>
          <w:sz w:val="24"/>
          <w:szCs w:val="24"/>
        </w:rPr>
        <w:t xml:space="preserve">study sheds new light on the role of </w:t>
      </w:r>
      <w:r w:rsidR="00020E7C" w:rsidRPr="00A75601">
        <w:rPr>
          <w:rFonts w:ascii="Times New Roman" w:hAnsi="Times New Roman"/>
          <w:sz w:val="24"/>
          <w:szCs w:val="24"/>
        </w:rPr>
        <w:t xml:space="preserve">equity </w:t>
      </w:r>
      <w:r w:rsidR="00E44AE5" w:rsidRPr="00A75601">
        <w:rPr>
          <w:rFonts w:ascii="Times New Roman" w:hAnsi="Times New Roman"/>
          <w:sz w:val="24"/>
          <w:szCs w:val="24"/>
        </w:rPr>
        <w:t xml:space="preserve">hedging </w:t>
      </w:r>
      <w:r w:rsidR="00020E7C" w:rsidRPr="00A75601">
        <w:rPr>
          <w:rFonts w:ascii="Times New Roman" w:hAnsi="Times New Roman"/>
          <w:sz w:val="24"/>
          <w:szCs w:val="24"/>
        </w:rPr>
        <w:t>of C</w:t>
      </w:r>
      <w:r w:rsidR="00E44AE5" w:rsidRPr="00A75601">
        <w:rPr>
          <w:rFonts w:ascii="Times New Roman" w:hAnsi="Times New Roman"/>
          <w:sz w:val="24"/>
          <w:szCs w:val="24"/>
        </w:rPr>
        <w:t>DS</w:t>
      </w:r>
      <w:r w:rsidR="00020E7C" w:rsidRPr="00A75601">
        <w:rPr>
          <w:rFonts w:ascii="Times New Roman" w:hAnsi="Times New Roman"/>
          <w:sz w:val="24"/>
          <w:szCs w:val="24"/>
        </w:rPr>
        <w:t xml:space="preserve"> contracts</w:t>
      </w:r>
      <w:r w:rsidR="005459E7" w:rsidRPr="00A75601">
        <w:rPr>
          <w:rFonts w:ascii="Times New Roman" w:hAnsi="Times New Roman"/>
          <w:sz w:val="24"/>
          <w:szCs w:val="24"/>
        </w:rPr>
        <w:t>.</w:t>
      </w:r>
      <w:r w:rsidR="00E44AE5" w:rsidRPr="00A75601">
        <w:rPr>
          <w:rFonts w:ascii="Times New Roman" w:hAnsi="Times New Roman"/>
          <w:sz w:val="24"/>
          <w:szCs w:val="24"/>
        </w:rPr>
        <w:t xml:space="preserve"> </w:t>
      </w:r>
      <w:r w:rsidR="0060148E" w:rsidRPr="00A75601">
        <w:rPr>
          <w:rFonts w:ascii="Times New Roman" w:hAnsi="Times New Roman"/>
          <w:sz w:val="24"/>
          <w:szCs w:val="24"/>
        </w:rPr>
        <w:t xml:space="preserve">Ineffective hedging can reduce the profitability of </w:t>
      </w:r>
      <w:r w:rsidR="00DD653F">
        <w:rPr>
          <w:rFonts w:ascii="Times New Roman" w:hAnsi="Times New Roman"/>
          <w:sz w:val="24"/>
          <w:szCs w:val="24"/>
        </w:rPr>
        <w:t>CSA</w:t>
      </w:r>
      <w:r w:rsidR="0060148E" w:rsidRPr="00A75601">
        <w:rPr>
          <w:rFonts w:ascii="Times New Roman" w:hAnsi="Times New Roman"/>
          <w:sz w:val="24"/>
          <w:szCs w:val="24"/>
        </w:rPr>
        <w:t xml:space="preserve">, as shown by Yu (2006). </w:t>
      </w:r>
      <w:r w:rsidR="005459E7" w:rsidRPr="00A75601">
        <w:rPr>
          <w:rFonts w:ascii="Times New Roman" w:hAnsi="Times New Roman"/>
          <w:sz w:val="24"/>
          <w:szCs w:val="24"/>
        </w:rPr>
        <w:t>W</w:t>
      </w:r>
      <w:r w:rsidR="00E44AE5" w:rsidRPr="00A75601">
        <w:rPr>
          <w:rFonts w:ascii="Times New Roman" w:hAnsi="Times New Roman"/>
          <w:sz w:val="24"/>
          <w:szCs w:val="24"/>
        </w:rPr>
        <w:t xml:space="preserve">e </w:t>
      </w:r>
      <w:r w:rsidR="004C5440" w:rsidRPr="00A75601">
        <w:rPr>
          <w:rFonts w:ascii="Times New Roman" w:hAnsi="Times New Roman"/>
          <w:sz w:val="24"/>
          <w:szCs w:val="24"/>
        </w:rPr>
        <w:t>find that this role is dependent on the state of the economy</w:t>
      </w:r>
      <w:r w:rsidR="00E44AE5" w:rsidRPr="00A75601">
        <w:rPr>
          <w:rFonts w:ascii="Times New Roman" w:hAnsi="Times New Roman"/>
          <w:sz w:val="24"/>
          <w:szCs w:val="24"/>
        </w:rPr>
        <w:t>. In particular,</w:t>
      </w:r>
      <w:r w:rsidR="00033EB3" w:rsidRPr="00A75601">
        <w:rPr>
          <w:rFonts w:ascii="Times New Roman" w:hAnsi="Times New Roman"/>
          <w:sz w:val="24"/>
          <w:szCs w:val="24"/>
        </w:rPr>
        <w:t xml:space="preserve"> </w:t>
      </w:r>
      <w:r w:rsidR="00F6311D" w:rsidRPr="00A75601">
        <w:rPr>
          <w:rFonts w:ascii="Times New Roman" w:hAnsi="Times New Roman"/>
          <w:sz w:val="24"/>
          <w:szCs w:val="24"/>
        </w:rPr>
        <w:t xml:space="preserve">during tranquil periods </w:t>
      </w:r>
      <w:r w:rsidR="00843F32" w:rsidRPr="00A75601">
        <w:rPr>
          <w:rFonts w:ascii="Times New Roman" w:hAnsi="Times New Roman"/>
          <w:sz w:val="24"/>
          <w:szCs w:val="24"/>
        </w:rPr>
        <w:t xml:space="preserve">hedging has a positive effect on the </w:t>
      </w:r>
      <w:r w:rsidR="003D12FD" w:rsidRPr="00A75601">
        <w:rPr>
          <w:rFonts w:ascii="Times New Roman" w:hAnsi="Times New Roman"/>
          <w:sz w:val="24"/>
          <w:szCs w:val="24"/>
        </w:rPr>
        <w:t xml:space="preserve">risk and </w:t>
      </w:r>
      <w:r w:rsidR="00843F32" w:rsidRPr="00A75601">
        <w:rPr>
          <w:rFonts w:ascii="Times New Roman" w:hAnsi="Times New Roman"/>
          <w:sz w:val="24"/>
          <w:szCs w:val="24"/>
        </w:rPr>
        <w:t xml:space="preserve">returns </w:t>
      </w:r>
      <w:r w:rsidR="00DD653F">
        <w:rPr>
          <w:rFonts w:ascii="Times New Roman" w:hAnsi="Times New Roman"/>
          <w:sz w:val="24"/>
          <w:szCs w:val="24"/>
        </w:rPr>
        <w:t>of CSA</w:t>
      </w:r>
      <w:r w:rsidR="00843F32" w:rsidRPr="00A75601">
        <w:rPr>
          <w:rFonts w:ascii="Times New Roman" w:hAnsi="Times New Roman"/>
          <w:sz w:val="24"/>
          <w:szCs w:val="24"/>
        </w:rPr>
        <w:t xml:space="preserve">. </w:t>
      </w:r>
      <w:r w:rsidR="00F6311D" w:rsidRPr="00A75601">
        <w:rPr>
          <w:rFonts w:ascii="Times New Roman" w:hAnsi="Times New Roman"/>
          <w:sz w:val="24"/>
          <w:szCs w:val="24"/>
        </w:rPr>
        <w:t xml:space="preserve">However, </w:t>
      </w:r>
      <w:r w:rsidR="00033EB3" w:rsidRPr="00A75601">
        <w:rPr>
          <w:rFonts w:ascii="Times New Roman" w:hAnsi="Times New Roman"/>
          <w:sz w:val="24"/>
          <w:szCs w:val="24"/>
        </w:rPr>
        <w:t>during the crisis period,</w:t>
      </w:r>
      <w:r w:rsidR="00E44AE5" w:rsidRPr="00A75601">
        <w:rPr>
          <w:rFonts w:ascii="Times New Roman" w:hAnsi="Times New Roman"/>
          <w:sz w:val="24"/>
          <w:szCs w:val="24"/>
        </w:rPr>
        <w:t xml:space="preserve"> </w:t>
      </w:r>
      <w:r w:rsidR="0054281C" w:rsidRPr="00A75601">
        <w:rPr>
          <w:rFonts w:ascii="Times New Roman" w:hAnsi="Times New Roman"/>
          <w:sz w:val="24"/>
          <w:szCs w:val="24"/>
        </w:rPr>
        <w:t>the strategies that</w:t>
      </w:r>
      <w:r w:rsidR="00AE1B5F" w:rsidRPr="00A75601">
        <w:rPr>
          <w:rFonts w:ascii="Times New Roman" w:hAnsi="Times New Roman"/>
          <w:sz w:val="24"/>
          <w:szCs w:val="24"/>
        </w:rPr>
        <w:t xml:space="preserve"> </w:t>
      </w:r>
      <w:r w:rsidR="00B02F42" w:rsidRPr="00A75601">
        <w:rPr>
          <w:rFonts w:ascii="Times New Roman" w:hAnsi="Times New Roman"/>
          <w:sz w:val="24"/>
          <w:szCs w:val="24"/>
        </w:rPr>
        <w:t>do</w:t>
      </w:r>
      <w:r w:rsidR="00916A01">
        <w:rPr>
          <w:rFonts w:ascii="Times New Roman" w:hAnsi="Times New Roman"/>
          <w:sz w:val="24"/>
          <w:szCs w:val="24"/>
        </w:rPr>
        <w:t xml:space="preserve"> not</w:t>
      </w:r>
      <w:r w:rsidR="00AE1B5F" w:rsidRPr="00A75601">
        <w:rPr>
          <w:rFonts w:ascii="Times New Roman" w:hAnsi="Times New Roman"/>
          <w:sz w:val="24"/>
          <w:szCs w:val="24"/>
        </w:rPr>
        <w:t xml:space="preserve"> hedg</w:t>
      </w:r>
      <w:r w:rsidR="00B02F42" w:rsidRPr="00A75601">
        <w:rPr>
          <w:rFonts w:ascii="Times New Roman" w:hAnsi="Times New Roman"/>
          <w:sz w:val="24"/>
          <w:szCs w:val="24"/>
        </w:rPr>
        <w:t>e</w:t>
      </w:r>
      <w:r w:rsidR="003D12FD" w:rsidRPr="00A75601">
        <w:rPr>
          <w:rFonts w:ascii="Times New Roman" w:hAnsi="Times New Roman"/>
          <w:sz w:val="24"/>
          <w:szCs w:val="24"/>
        </w:rPr>
        <w:t xml:space="preserve"> </w:t>
      </w:r>
      <w:r w:rsidR="0054281C" w:rsidRPr="00A75601">
        <w:rPr>
          <w:rFonts w:ascii="Times New Roman" w:hAnsi="Times New Roman"/>
          <w:sz w:val="24"/>
          <w:szCs w:val="24"/>
        </w:rPr>
        <w:t xml:space="preserve">perform </w:t>
      </w:r>
      <w:r w:rsidR="00E74541">
        <w:rPr>
          <w:rFonts w:ascii="Times New Roman" w:hAnsi="Times New Roman"/>
          <w:sz w:val="24"/>
          <w:szCs w:val="24"/>
        </w:rPr>
        <w:t xml:space="preserve">much </w:t>
      </w:r>
      <w:r w:rsidR="0054281C" w:rsidRPr="00A75601">
        <w:rPr>
          <w:rFonts w:ascii="Times New Roman" w:hAnsi="Times New Roman"/>
          <w:sz w:val="24"/>
          <w:szCs w:val="24"/>
        </w:rPr>
        <w:t xml:space="preserve">better </w:t>
      </w:r>
      <w:r w:rsidR="00B02F42" w:rsidRPr="00A75601">
        <w:rPr>
          <w:rFonts w:ascii="Times New Roman" w:hAnsi="Times New Roman"/>
          <w:sz w:val="24"/>
          <w:szCs w:val="24"/>
        </w:rPr>
        <w:t xml:space="preserve">than </w:t>
      </w:r>
      <w:r w:rsidR="0054281C" w:rsidRPr="00A75601">
        <w:rPr>
          <w:rFonts w:ascii="Times New Roman" w:hAnsi="Times New Roman"/>
          <w:sz w:val="24"/>
          <w:szCs w:val="24"/>
        </w:rPr>
        <w:t xml:space="preserve">those which </w:t>
      </w:r>
      <w:r w:rsidR="00290848">
        <w:rPr>
          <w:rFonts w:ascii="Times New Roman" w:hAnsi="Times New Roman"/>
          <w:sz w:val="24"/>
          <w:szCs w:val="24"/>
        </w:rPr>
        <w:t>do</w:t>
      </w:r>
      <w:r w:rsidR="009C5D48" w:rsidRPr="00A75601">
        <w:rPr>
          <w:rFonts w:ascii="Times New Roman" w:hAnsi="Times New Roman"/>
          <w:sz w:val="24"/>
          <w:szCs w:val="24"/>
        </w:rPr>
        <w:t>.</w:t>
      </w:r>
      <w:r w:rsidR="00606E3A">
        <w:rPr>
          <w:rFonts w:ascii="Times New Roman" w:hAnsi="Times New Roman"/>
          <w:sz w:val="24"/>
          <w:szCs w:val="24"/>
        </w:rPr>
        <w:t xml:space="preserve"> </w:t>
      </w:r>
      <w:r w:rsidR="00080A53">
        <w:rPr>
          <w:rFonts w:ascii="Times New Roman" w:hAnsi="Times New Roman"/>
          <w:sz w:val="24"/>
          <w:szCs w:val="24"/>
        </w:rPr>
        <w:t>In particular, in the pre-crisis period</w:t>
      </w:r>
      <w:r w:rsidR="00220F61">
        <w:rPr>
          <w:rFonts w:ascii="Times New Roman" w:hAnsi="Times New Roman"/>
          <w:sz w:val="24"/>
          <w:szCs w:val="24"/>
        </w:rPr>
        <w:t xml:space="preserve"> (January 2005 to July 2007)</w:t>
      </w:r>
      <w:r w:rsidR="00080A53">
        <w:rPr>
          <w:rFonts w:ascii="Times New Roman" w:hAnsi="Times New Roman"/>
          <w:sz w:val="24"/>
          <w:szCs w:val="24"/>
        </w:rPr>
        <w:t>, the unhedged strategies (strategies 3 and 4) deliver a very poor performance</w:t>
      </w:r>
      <w:r w:rsidR="00220F61">
        <w:rPr>
          <w:rFonts w:ascii="Times New Roman" w:hAnsi="Times New Roman"/>
          <w:sz w:val="24"/>
          <w:szCs w:val="24"/>
        </w:rPr>
        <w:t xml:space="preserve"> (most negative modified Sharpe ratios)</w:t>
      </w:r>
      <w:r w:rsidR="00080A53">
        <w:rPr>
          <w:rFonts w:ascii="Times New Roman" w:hAnsi="Times New Roman"/>
          <w:sz w:val="24"/>
          <w:szCs w:val="24"/>
        </w:rPr>
        <w:t xml:space="preserve">, whereas strategy 2 achieves a similar performance to the standard CSA (strategy 1) with a much lower trading frequency (almost 40% less trading). </w:t>
      </w:r>
      <w:r w:rsidR="00606E3A">
        <w:rPr>
          <w:rFonts w:ascii="Times New Roman" w:hAnsi="Times New Roman"/>
          <w:sz w:val="24"/>
          <w:szCs w:val="24"/>
        </w:rPr>
        <w:t xml:space="preserve">During the </w:t>
      </w:r>
      <w:r w:rsidR="00220F61">
        <w:rPr>
          <w:rFonts w:ascii="Times New Roman" w:hAnsi="Times New Roman"/>
          <w:sz w:val="24"/>
          <w:szCs w:val="24"/>
        </w:rPr>
        <w:t xml:space="preserve">crisis </w:t>
      </w:r>
      <w:r w:rsidR="00606E3A">
        <w:rPr>
          <w:rFonts w:ascii="Times New Roman" w:hAnsi="Times New Roman"/>
          <w:sz w:val="24"/>
          <w:szCs w:val="24"/>
        </w:rPr>
        <w:t xml:space="preserve">period </w:t>
      </w:r>
      <w:r w:rsidR="00220F61">
        <w:rPr>
          <w:rFonts w:ascii="Times New Roman" w:hAnsi="Times New Roman"/>
          <w:sz w:val="24"/>
          <w:szCs w:val="24"/>
        </w:rPr>
        <w:t>(</w:t>
      </w:r>
      <w:r w:rsidR="00606E3A">
        <w:rPr>
          <w:rFonts w:ascii="Times New Roman" w:hAnsi="Times New Roman"/>
          <w:sz w:val="24"/>
          <w:szCs w:val="24"/>
        </w:rPr>
        <w:t>August 2007 to December 2009</w:t>
      </w:r>
      <w:r w:rsidR="00220F61">
        <w:rPr>
          <w:rFonts w:ascii="Times New Roman" w:hAnsi="Times New Roman"/>
          <w:sz w:val="24"/>
          <w:szCs w:val="24"/>
        </w:rPr>
        <w:t>)</w:t>
      </w:r>
      <w:r w:rsidR="00080A53">
        <w:rPr>
          <w:rFonts w:ascii="Times New Roman" w:hAnsi="Times New Roman"/>
          <w:sz w:val="24"/>
          <w:szCs w:val="24"/>
        </w:rPr>
        <w:t>, the new trading strategies (2, 3 and 4)</w:t>
      </w:r>
      <w:r w:rsidR="000D02A7">
        <w:rPr>
          <w:rFonts w:ascii="Times New Roman" w:hAnsi="Times New Roman"/>
          <w:sz w:val="24"/>
          <w:szCs w:val="24"/>
        </w:rPr>
        <w:t xml:space="preserve"> outperform the standard CSA: positive Sharpe ratios close to one are observed for the unhedged strategies. </w:t>
      </w:r>
    </w:p>
    <w:p w14:paraId="09B3E940" w14:textId="77777777" w:rsidR="006D4D49" w:rsidRPr="00A75601" w:rsidRDefault="004823E0" w:rsidP="00A75601">
      <w:pPr>
        <w:spacing w:line="480" w:lineRule="auto"/>
        <w:jc w:val="both"/>
        <w:outlineLvl w:val="0"/>
        <w:rPr>
          <w:rFonts w:ascii="Times New Roman" w:hAnsi="Times New Roman"/>
          <w:sz w:val="24"/>
          <w:szCs w:val="24"/>
        </w:rPr>
      </w:pPr>
      <w:r w:rsidRPr="00A75601">
        <w:rPr>
          <w:rFonts w:ascii="Times New Roman" w:hAnsi="Times New Roman"/>
          <w:sz w:val="24"/>
          <w:szCs w:val="24"/>
        </w:rPr>
        <w:t>Our</w:t>
      </w:r>
      <w:r w:rsidR="00360D10" w:rsidRPr="00A75601">
        <w:rPr>
          <w:rFonts w:ascii="Times New Roman" w:hAnsi="Times New Roman"/>
          <w:sz w:val="24"/>
          <w:szCs w:val="24"/>
        </w:rPr>
        <w:t xml:space="preserve"> contribution is even more valuable since </w:t>
      </w:r>
      <w:r w:rsidR="0054281C" w:rsidRPr="00A75601">
        <w:rPr>
          <w:rFonts w:ascii="Times New Roman" w:hAnsi="Times New Roman"/>
          <w:sz w:val="24"/>
          <w:szCs w:val="24"/>
        </w:rPr>
        <w:t xml:space="preserve">the returns of </w:t>
      </w:r>
      <w:r w:rsidR="00360D10" w:rsidRPr="00A75601">
        <w:rPr>
          <w:rFonts w:ascii="Times New Roman" w:hAnsi="Times New Roman"/>
          <w:sz w:val="24"/>
          <w:szCs w:val="24"/>
        </w:rPr>
        <w:t xml:space="preserve">the new strategies show </w:t>
      </w:r>
      <w:r w:rsidR="00FE0872">
        <w:rPr>
          <w:rFonts w:ascii="Times New Roman" w:hAnsi="Times New Roman"/>
          <w:sz w:val="24"/>
          <w:szCs w:val="24"/>
        </w:rPr>
        <w:t>a</w:t>
      </w:r>
      <w:r w:rsidR="00AD5212">
        <w:rPr>
          <w:rFonts w:ascii="Times New Roman" w:hAnsi="Times New Roman"/>
          <w:sz w:val="24"/>
          <w:szCs w:val="24"/>
        </w:rPr>
        <w:t xml:space="preserve"> </w:t>
      </w:r>
      <w:r w:rsidR="00360D10" w:rsidRPr="00A75601">
        <w:rPr>
          <w:rFonts w:ascii="Times New Roman" w:hAnsi="Times New Roman"/>
          <w:sz w:val="24"/>
          <w:szCs w:val="24"/>
        </w:rPr>
        <w:t>low</w:t>
      </w:r>
      <w:r w:rsidR="00FE0872">
        <w:rPr>
          <w:rFonts w:ascii="Times New Roman" w:hAnsi="Times New Roman"/>
          <w:sz w:val="24"/>
          <w:szCs w:val="24"/>
        </w:rPr>
        <w:t>er</w:t>
      </w:r>
      <w:r w:rsidR="00360D10" w:rsidRPr="00A75601">
        <w:rPr>
          <w:rFonts w:ascii="Times New Roman" w:hAnsi="Times New Roman"/>
          <w:sz w:val="24"/>
          <w:szCs w:val="24"/>
        </w:rPr>
        <w:t xml:space="preserve"> correlation with market risk factors</w:t>
      </w:r>
      <w:r w:rsidR="00FE0872">
        <w:rPr>
          <w:rFonts w:ascii="Times New Roman" w:hAnsi="Times New Roman"/>
          <w:sz w:val="24"/>
          <w:szCs w:val="24"/>
        </w:rPr>
        <w:t xml:space="preserve"> than the CSA</w:t>
      </w:r>
      <w:r w:rsidR="00360D10" w:rsidRPr="00A75601">
        <w:rPr>
          <w:rFonts w:ascii="Times New Roman" w:hAnsi="Times New Roman"/>
          <w:sz w:val="24"/>
          <w:szCs w:val="24"/>
        </w:rPr>
        <w:t>. At the same time, the new strategies deliver monthly returns which show low or even negative correlation with the returns of fixed income hedge fund returns, proving that they can be a risk-reducing diversification tool.</w:t>
      </w:r>
      <w:r w:rsidR="007337BA" w:rsidRPr="00A75601">
        <w:rPr>
          <w:rFonts w:ascii="Times New Roman" w:hAnsi="Times New Roman"/>
          <w:sz w:val="24"/>
          <w:szCs w:val="24"/>
        </w:rPr>
        <w:t xml:space="preserve"> Furthermore, we</w:t>
      </w:r>
      <w:r w:rsidR="001E2D99" w:rsidRPr="00A75601">
        <w:rPr>
          <w:rFonts w:ascii="Times New Roman" w:hAnsi="Times New Roman"/>
          <w:sz w:val="24"/>
          <w:szCs w:val="24"/>
        </w:rPr>
        <w:t xml:space="preserve"> find </w:t>
      </w:r>
      <w:r w:rsidR="00F2428F" w:rsidRPr="00A75601">
        <w:rPr>
          <w:rFonts w:ascii="Times New Roman" w:hAnsi="Times New Roman"/>
          <w:sz w:val="24"/>
          <w:szCs w:val="24"/>
        </w:rPr>
        <w:t>strong</w:t>
      </w:r>
      <w:r w:rsidR="001E2D99" w:rsidRPr="00A75601">
        <w:rPr>
          <w:rFonts w:ascii="Times New Roman" w:hAnsi="Times New Roman"/>
          <w:sz w:val="24"/>
          <w:szCs w:val="24"/>
        </w:rPr>
        <w:t xml:space="preserve"> evidence </w:t>
      </w:r>
      <w:r w:rsidR="004B1A69" w:rsidRPr="00A75601">
        <w:rPr>
          <w:rFonts w:ascii="Times New Roman" w:hAnsi="Times New Roman"/>
          <w:sz w:val="24"/>
          <w:szCs w:val="24"/>
        </w:rPr>
        <w:t xml:space="preserve">of </w:t>
      </w:r>
      <w:r w:rsidR="007337BA" w:rsidRPr="00A75601">
        <w:rPr>
          <w:rFonts w:ascii="Times New Roman" w:hAnsi="Times New Roman"/>
          <w:sz w:val="24"/>
          <w:szCs w:val="24"/>
        </w:rPr>
        <w:t>risk</w:t>
      </w:r>
      <w:r w:rsidR="001E2D99" w:rsidRPr="00A75601">
        <w:rPr>
          <w:rFonts w:ascii="Times New Roman" w:hAnsi="Times New Roman"/>
          <w:sz w:val="24"/>
          <w:szCs w:val="24"/>
        </w:rPr>
        <w:t xml:space="preserve"> (</w:t>
      </w:r>
      <w:proofErr w:type="spellStart"/>
      <w:r w:rsidR="001E2D99" w:rsidRPr="00A75601">
        <w:rPr>
          <w:rFonts w:ascii="Times New Roman" w:hAnsi="Times New Roman"/>
          <w:sz w:val="24"/>
          <w:szCs w:val="24"/>
        </w:rPr>
        <w:t>VaR</w:t>
      </w:r>
      <w:proofErr w:type="spellEnd"/>
      <w:r w:rsidR="001E2D99" w:rsidRPr="00A75601">
        <w:rPr>
          <w:rFonts w:ascii="Times New Roman" w:hAnsi="Times New Roman"/>
          <w:sz w:val="24"/>
          <w:szCs w:val="24"/>
        </w:rPr>
        <w:t xml:space="preserve">) </w:t>
      </w:r>
      <w:r w:rsidR="007337BA" w:rsidRPr="00A75601">
        <w:rPr>
          <w:rFonts w:ascii="Times New Roman" w:hAnsi="Times New Roman"/>
          <w:sz w:val="24"/>
          <w:szCs w:val="24"/>
        </w:rPr>
        <w:t xml:space="preserve">reduction </w:t>
      </w:r>
      <w:r w:rsidR="001E2D99" w:rsidRPr="00A75601">
        <w:rPr>
          <w:rFonts w:ascii="Times New Roman" w:hAnsi="Times New Roman"/>
          <w:sz w:val="24"/>
          <w:szCs w:val="24"/>
        </w:rPr>
        <w:t xml:space="preserve">for the returns generated by </w:t>
      </w:r>
      <w:r w:rsidR="007337BA" w:rsidRPr="00A75601">
        <w:rPr>
          <w:rFonts w:ascii="Times New Roman" w:hAnsi="Times New Roman"/>
          <w:sz w:val="24"/>
          <w:szCs w:val="24"/>
        </w:rPr>
        <w:t>Strategy 4</w:t>
      </w:r>
      <w:r w:rsidR="001E2D99" w:rsidRPr="00A75601">
        <w:rPr>
          <w:rFonts w:ascii="Times New Roman" w:hAnsi="Times New Roman"/>
          <w:sz w:val="24"/>
          <w:szCs w:val="24"/>
        </w:rPr>
        <w:t>,</w:t>
      </w:r>
      <w:r w:rsidR="007337BA" w:rsidRPr="00A75601">
        <w:rPr>
          <w:rFonts w:ascii="Times New Roman" w:hAnsi="Times New Roman"/>
          <w:sz w:val="24"/>
          <w:szCs w:val="24"/>
        </w:rPr>
        <w:t xml:space="preserve"> especially for</w:t>
      </w:r>
      <w:r w:rsidR="001E2D99" w:rsidRPr="00A75601">
        <w:rPr>
          <w:rFonts w:ascii="Times New Roman" w:hAnsi="Times New Roman"/>
          <w:sz w:val="24"/>
          <w:szCs w:val="24"/>
        </w:rPr>
        <w:t xml:space="preserve"> speculative-grade obligors.</w:t>
      </w:r>
      <w:r w:rsidR="007337BA" w:rsidRPr="00A75601">
        <w:rPr>
          <w:rFonts w:ascii="Times New Roman" w:hAnsi="Times New Roman"/>
          <w:sz w:val="24"/>
          <w:szCs w:val="24"/>
        </w:rPr>
        <w:t xml:space="preserve"> W</w:t>
      </w:r>
      <w:r w:rsidR="004E5859" w:rsidRPr="00A75601">
        <w:rPr>
          <w:rFonts w:ascii="Times New Roman" w:hAnsi="Times New Roman"/>
          <w:sz w:val="24"/>
          <w:szCs w:val="24"/>
        </w:rPr>
        <w:t xml:space="preserve">e find that the results are robust to </w:t>
      </w:r>
      <w:r w:rsidR="00AD5212">
        <w:rPr>
          <w:rFonts w:ascii="Times New Roman" w:hAnsi="Times New Roman"/>
          <w:sz w:val="24"/>
          <w:szCs w:val="24"/>
        </w:rPr>
        <w:t xml:space="preserve">(1) </w:t>
      </w:r>
      <w:r w:rsidR="004E5859" w:rsidRPr="00A75601">
        <w:rPr>
          <w:rFonts w:ascii="Times New Roman" w:hAnsi="Times New Roman"/>
          <w:sz w:val="24"/>
          <w:szCs w:val="24"/>
        </w:rPr>
        <w:t>the length of the window used to estimate the volatility</w:t>
      </w:r>
      <w:r w:rsidR="007337BA" w:rsidRPr="00A75601">
        <w:rPr>
          <w:rFonts w:ascii="Times New Roman" w:hAnsi="Times New Roman"/>
          <w:sz w:val="24"/>
          <w:szCs w:val="24"/>
        </w:rPr>
        <w:t xml:space="preserve">; </w:t>
      </w:r>
      <w:r w:rsidR="00AD5212">
        <w:rPr>
          <w:rFonts w:ascii="Times New Roman" w:hAnsi="Times New Roman"/>
          <w:sz w:val="24"/>
          <w:szCs w:val="24"/>
        </w:rPr>
        <w:t xml:space="preserve">(2) </w:t>
      </w:r>
      <w:r w:rsidR="007337BA" w:rsidRPr="00A75601">
        <w:rPr>
          <w:rFonts w:ascii="Times New Roman" w:hAnsi="Times New Roman"/>
          <w:sz w:val="24"/>
          <w:szCs w:val="24"/>
        </w:rPr>
        <w:t xml:space="preserve">the time mismatch between the </w:t>
      </w:r>
      <w:r w:rsidR="00AD5212">
        <w:rPr>
          <w:rFonts w:ascii="Times New Roman" w:hAnsi="Times New Roman"/>
          <w:sz w:val="24"/>
          <w:szCs w:val="24"/>
        </w:rPr>
        <w:t>two</w:t>
      </w:r>
      <w:r w:rsidR="007337BA" w:rsidRPr="00A75601">
        <w:rPr>
          <w:rFonts w:ascii="Times New Roman" w:hAnsi="Times New Roman"/>
          <w:sz w:val="24"/>
          <w:szCs w:val="24"/>
        </w:rPr>
        <w:t xml:space="preserve"> markets</w:t>
      </w:r>
      <w:r w:rsidR="00AD5212">
        <w:rPr>
          <w:rFonts w:ascii="Times New Roman" w:hAnsi="Times New Roman"/>
          <w:sz w:val="24"/>
          <w:szCs w:val="24"/>
        </w:rPr>
        <w:t>;</w:t>
      </w:r>
      <w:r w:rsidR="007337BA" w:rsidRPr="00A75601">
        <w:rPr>
          <w:rFonts w:ascii="Times New Roman" w:hAnsi="Times New Roman"/>
          <w:sz w:val="24"/>
          <w:szCs w:val="24"/>
        </w:rPr>
        <w:t xml:space="preserve"> and </w:t>
      </w:r>
      <w:r w:rsidR="00AD5212">
        <w:rPr>
          <w:rFonts w:ascii="Times New Roman" w:hAnsi="Times New Roman"/>
          <w:sz w:val="24"/>
          <w:szCs w:val="24"/>
        </w:rPr>
        <w:t xml:space="preserve">(3) </w:t>
      </w:r>
      <w:r w:rsidR="007337BA" w:rsidRPr="00A75601">
        <w:rPr>
          <w:rFonts w:ascii="Times New Roman" w:hAnsi="Times New Roman"/>
          <w:sz w:val="24"/>
          <w:szCs w:val="24"/>
        </w:rPr>
        <w:t>the</w:t>
      </w:r>
      <w:r w:rsidR="00B51565" w:rsidRPr="00A75601">
        <w:rPr>
          <w:rFonts w:ascii="Times New Roman" w:hAnsi="Times New Roman"/>
          <w:sz w:val="24"/>
          <w:szCs w:val="24"/>
        </w:rPr>
        <w:t xml:space="preserve"> contractual terms</w:t>
      </w:r>
      <w:r w:rsidR="000B396B" w:rsidRPr="00A75601">
        <w:rPr>
          <w:rFonts w:ascii="Times New Roman" w:hAnsi="Times New Roman"/>
          <w:sz w:val="24"/>
          <w:szCs w:val="24"/>
        </w:rPr>
        <w:t xml:space="preserve"> of the CDS. </w:t>
      </w:r>
      <w:r w:rsidR="00F03811">
        <w:rPr>
          <w:rFonts w:ascii="Times New Roman" w:hAnsi="Times New Roman"/>
          <w:sz w:val="24"/>
          <w:szCs w:val="24"/>
        </w:rPr>
        <w:t>F</w:t>
      </w:r>
      <w:r w:rsidR="0056513E">
        <w:rPr>
          <w:rFonts w:ascii="Times New Roman" w:hAnsi="Times New Roman"/>
          <w:sz w:val="24"/>
          <w:szCs w:val="24"/>
        </w:rPr>
        <w:t>inally</w:t>
      </w:r>
      <w:r w:rsidR="007337BA" w:rsidRPr="00A75601">
        <w:rPr>
          <w:rFonts w:ascii="Times New Roman" w:hAnsi="Times New Roman"/>
          <w:sz w:val="24"/>
          <w:szCs w:val="24"/>
        </w:rPr>
        <w:t>, a</w:t>
      </w:r>
      <w:r w:rsidR="002B1812" w:rsidRPr="00A75601">
        <w:rPr>
          <w:rFonts w:ascii="Times New Roman" w:hAnsi="Times New Roman"/>
          <w:sz w:val="24"/>
          <w:szCs w:val="24"/>
        </w:rPr>
        <w:t xml:space="preserve">ll strategies generate a better performance for US obligors and for </w:t>
      </w:r>
      <w:r w:rsidR="00D4631B" w:rsidRPr="00A75601">
        <w:rPr>
          <w:rFonts w:ascii="Times New Roman" w:hAnsi="Times New Roman"/>
          <w:sz w:val="24"/>
          <w:szCs w:val="24"/>
        </w:rPr>
        <w:t xml:space="preserve">obligors with </w:t>
      </w:r>
      <w:r w:rsidR="002B1812" w:rsidRPr="00A75601">
        <w:rPr>
          <w:rFonts w:ascii="Times New Roman" w:hAnsi="Times New Roman"/>
          <w:sz w:val="24"/>
          <w:szCs w:val="24"/>
        </w:rPr>
        <w:t xml:space="preserve">cointegrated </w:t>
      </w:r>
      <w:r w:rsidR="00C17AE7" w:rsidRPr="00A75601">
        <w:rPr>
          <w:rFonts w:ascii="Times New Roman" w:hAnsi="Times New Roman"/>
          <w:sz w:val="24"/>
          <w:szCs w:val="24"/>
        </w:rPr>
        <w:t>spreads</w:t>
      </w:r>
      <w:r w:rsidR="002B1812" w:rsidRPr="00A75601">
        <w:rPr>
          <w:rFonts w:ascii="Times New Roman" w:hAnsi="Times New Roman"/>
          <w:sz w:val="24"/>
          <w:szCs w:val="24"/>
        </w:rPr>
        <w:t>.</w:t>
      </w:r>
    </w:p>
    <w:p w14:paraId="5607EF93" w14:textId="77777777" w:rsidR="00A32057" w:rsidRPr="00A75601" w:rsidRDefault="00A32057" w:rsidP="00DA42E4">
      <w:pPr>
        <w:spacing w:line="240" w:lineRule="auto"/>
        <w:jc w:val="both"/>
        <w:outlineLvl w:val="0"/>
        <w:rPr>
          <w:rFonts w:ascii="Times New Roman" w:hAnsi="Times New Roman"/>
          <w:b/>
          <w:sz w:val="24"/>
          <w:szCs w:val="24"/>
        </w:rPr>
      </w:pPr>
      <w:r w:rsidRPr="00A75601">
        <w:rPr>
          <w:rFonts w:ascii="Times New Roman" w:hAnsi="Times New Roman"/>
          <w:b/>
          <w:sz w:val="24"/>
          <w:szCs w:val="24"/>
        </w:rPr>
        <w:t>References</w:t>
      </w:r>
    </w:p>
    <w:p w14:paraId="097EC481" w14:textId="77777777" w:rsidR="00545A94" w:rsidRDefault="00545A94" w:rsidP="00DA42E4">
      <w:pPr>
        <w:tabs>
          <w:tab w:val="left" w:pos="284"/>
        </w:tabs>
        <w:spacing w:after="120" w:line="240" w:lineRule="auto"/>
        <w:jc w:val="both"/>
        <w:rPr>
          <w:rFonts w:ascii="Times New Roman" w:hAnsi="Times New Roman"/>
          <w:sz w:val="24"/>
          <w:szCs w:val="24"/>
        </w:rPr>
      </w:pPr>
      <w:r w:rsidRPr="00A75601">
        <w:rPr>
          <w:rFonts w:ascii="Times New Roman" w:hAnsi="Times New Roman"/>
          <w:sz w:val="24"/>
          <w:szCs w:val="24"/>
        </w:rPr>
        <w:t>Acharya, V.V., Johnson, T.C., 2007. Insider trading in credit derivatives. Journal of Financial Economics 84, 110-141.</w:t>
      </w:r>
    </w:p>
    <w:p w14:paraId="5F454421" w14:textId="77777777" w:rsidR="00837CF5" w:rsidRPr="00A75601" w:rsidRDefault="00837CF5" w:rsidP="00DA42E4">
      <w:pPr>
        <w:tabs>
          <w:tab w:val="left" w:pos="284"/>
        </w:tabs>
        <w:spacing w:after="120" w:line="240" w:lineRule="auto"/>
        <w:jc w:val="both"/>
        <w:rPr>
          <w:rFonts w:ascii="Times New Roman" w:hAnsi="Times New Roman"/>
          <w:sz w:val="24"/>
          <w:szCs w:val="24"/>
        </w:rPr>
      </w:pPr>
      <w:r>
        <w:rPr>
          <w:rFonts w:ascii="Times New Roman" w:hAnsi="Times New Roman"/>
          <w:sz w:val="24"/>
          <w:szCs w:val="24"/>
        </w:rPr>
        <w:t xml:space="preserve">Alexander, C., </w:t>
      </w:r>
      <w:proofErr w:type="spellStart"/>
      <w:r>
        <w:rPr>
          <w:rFonts w:ascii="Times New Roman" w:hAnsi="Times New Roman"/>
          <w:sz w:val="24"/>
          <w:szCs w:val="24"/>
        </w:rPr>
        <w:t>Dimitriu</w:t>
      </w:r>
      <w:proofErr w:type="spellEnd"/>
      <w:r>
        <w:rPr>
          <w:rFonts w:ascii="Times New Roman" w:hAnsi="Times New Roman"/>
          <w:sz w:val="24"/>
          <w:szCs w:val="24"/>
        </w:rPr>
        <w:t>, A., 2005. Indexing, cointegration and equity market regimes. International Journal of Finance and Economics 10, 213-231.</w:t>
      </w:r>
    </w:p>
    <w:p w14:paraId="7F5399D3" w14:textId="77777777" w:rsidR="00CA5155" w:rsidRPr="00A75601" w:rsidRDefault="00CA5155" w:rsidP="00DA42E4">
      <w:pPr>
        <w:tabs>
          <w:tab w:val="left" w:pos="284"/>
        </w:tabs>
        <w:spacing w:after="120" w:line="240" w:lineRule="auto"/>
        <w:jc w:val="both"/>
        <w:rPr>
          <w:rFonts w:ascii="Times New Roman" w:hAnsi="Times New Roman"/>
          <w:sz w:val="24"/>
          <w:szCs w:val="24"/>
        </w:rPr>
      </w:pPr>
      <w:r w:rsidRPr="00A75601">
        <w:rPr>
          <w:rFonts w:ascii="Times New Roman" w:hAnsi="Times New Roman"/>
          <w:sz w:val="24"/>
          <w:szCs w:val="24"/>
        </w:rPr>
        <w:t xml:space="preserve">Alexander, C., </w:t>
      </w:r>
      <w:proofErr w:type="spellStart"/>
      <w:r w:rsidRPr="00A75601">
        <w:rPr>
          <w:rFonts w:ascii="Times New Roman" w:hAnsi="Times New Roman"/>
          <w:sz w:val="24"/>
          <w:szCs w:val="24"/>
        </w:rPr>
        <w:t>Kaeck</w:t>
      </w:r>
      <w:proofErr w:type="spellEnd"/>
      <w:r w:rsidRPr="00A75601">
        <w:rPr>
          <w:rFonts w:ascii="Times New Roman" w:hAnsi="Times New Roman"/>
          <w:sz w:val="24"/>
          <w:szCs w:val="24"/>
        </w:rPr>
        <w:t>, A., 2008. Regime dependent determinants of credit default swap spreads. Journal of Banking and Finance 32, 1008-1021.</w:t>
      </w:r>
    </w:p>
    <w:p w14:paraId="45412CD0" w14:textId="77777777" w:rsidR="00621ED4" w:rsidRPr="00A75601" w:rsidRDefault="00621ED4" w:rsidP="00DA42E4">
      <w:pPr>
        <w:tabs>
          <w:tab w:val="left" w:pos="284"/>
        </w:tabs>
        <w:spacing w:after="120" w:line="240" w:lineRule="auto"/>
        <w:jc w:val="both"/>
        <w:rPr>
          <w:rFonts w:ascii="Times New Roman" w:hAnsi="Times New Roman"/>
          <w:sz w:val="24"/>
          <w:szCs w:val="24"/>
        </w:rPr>
      </w:pPr>
      <w:r w:rsidRPr="00A75601">
        <w:rPr>
          <w:rFonts w:ascii="Times New Roman" w:hAnsi="Times New Roman"/>
          <w:sz w:val="24"/>
          <w:szCs w:val="24"/>
        </w:rPr>
        <w:lastRenderedPageBreak/>
        <w:t xml:space="preserve">Avino, D., Lazar, E., </w:t>
      </w:r>
      <w:proofErr w:type="spellStart"/>
      <w:r w:rsidRPr="00A75601">
        <w:rPr>
          <w:rFonts w:ascii="Times New Roman" w:hAnsi="Times New Roman"/>
          <w:sz w:val="24"/>
          <w:szCs w:val="24"/>
        </w:rPr>
        <w:t>Varotto</w:t>
      </w:r>
      <w:proofErr w:type="spellEnd"/>
      <w:r w:rsidRPr="00A75601">
        <w:rPr>
          <w:rFonts w:ascii="Times New Roman" w:hAnsi="Times New Roman"/>
          <w:sz w:val="24"/>
          <w:szCs w:val="24"/>
        </w:rPr>
        <w:t>, S., 2013. Price discovery of credit spreads in tranquil and crisis periods. International Review of Financial Analysis 30, 242-253.</w:t>
      </w:r>
    </w:p>
    <w:p w14:paraId="7060F676" w14:textId="77777777" w:rsidR="005E6F58" w:rsidRPr="00A75601" w:rsidRDefault="006D2469" w:rsidP="00DA42E4">
      <w:pPr>
        <w:tabs>
          <w:tab w:val="left" w:pos="284"/>
        </w:tabs>
        <w:spacing w:after="120" w:line="240" w:lineRule="auto"/>
        <w:jc w:val="both"/>
        <w:rPr>
          <w:rFonts w:ascii="Times New Roman" w:hAnsi="Times New Roman"/>
          <w:sz w:val="24"/>
          <w:szCs w:val="24"/>
        </w:rPr>
      </w:pPr>
      <w:r w:rsidRPr="00A75601">
        <w:rPr>
          <w:rFonts w:ascii="Times New Roman" w:hAnsi="Times New Roman"/>
          <w:sz w:val="24"/>
          <w:szCs w:val="24"/>
        </w:rPr>
        <w:t xml:space="preserve">Baillie, R.T., Booth, G.G., </w:t>
      </w:r>
      <w:proofErr w:type="spellStart"/>
      <w:r w:rsidRPr="00A75601">
        <w:rPr>
          <w:rFonts w:ascii="Times New Roman" w:hAnsi="Times New Roman"/>
          <w:sz w:val="24"/>
          <w:szCs w:val="24"/>
        </w:rPr>
        <w:t>Tse</w:t>
      </w:r>
      <w:proofErr w:type="spellEnd"/>
      <w:r w:rsidRPr="00A75601">
        <w:rPr>
          <w:rFonts w:ascii="Times New Roman" w:hAnsi="Times New Roman"/>
          <w:sz w:val="24"/>
          <w:szCs w:val="24"/>
        </w:rPr>
        <w:t xml:space="preserve">, Y., </w:t>
      </w:r>
      <w:proofErr w:type="spellStart"/>
      <w:r w:rsidRPr="00A75601">
        <w:rPr>
          <w:rFonts w:ascii="Times New Roman" w:hAnsi="Times New Roman"/>
          <w:sz w:val="24"/>
          <w:szCs w:val="24"/>
        </w:rPr>
        <w:t>Zabotina</w:t>
      </w:r>
      <w:proofErr w:type="spellEnd"/>
      <w:r w:rsidRPr="00A75601">
        <w:rPr>
          <w:rFonts w:ascii="Times New Roman" w:hAnsi="Times New Roman"/>
          <w:sz w:val="24"/>
          <w:szCs w:val="24"/>
        </w:rPr>
        <w:t>, T., 2002. Price discovery and common factor models. Journal of Financial Markets 5, 309-321.</w:t>
      </w:r>
    </w:p>
    <w:p w14:paraId="52DBF0F8" w14:textId="77777777" w:rsidR="006D2469" w:rsidRPr="00A75601" w:rsidRDefault="005E6F58" w:rsidP="00DA42E4">
      <w:pPr>
        <w:tabs>
          <w:tab w:val="left" w:pos="284"/>
        </w:tabs>
        <w:spacing w:after="120" w:line="240" w:lineRule="auto"/>
        <w:jc w:val="both"/>
        <w:rPr>
          <w:rFonts w:ascii="Times New Roman" w:hAnsi="Times New Roman"/>
          <w:sz w:val="24"/>
          <w:szCs w:val="24"/>
        </w:rPr>
      </w:pPr>
      <w:proofErr w:type="spellStart"/>
      <w:r w:rsidRPr="00A75601">
        <w:rPr>
          <w:rFonts w:ascii="Times New Roman" w:hAnsi="Times New Roman"/>
          <w:sz w:val="24"/>
          <w:szCs w:val="24"/>
        </w:rPr>
        <w:t>Bajlum</w:t>
      </w:r>
      <w:proofErr w:type="spellEnd"/>
      <w:r w:rsidRPr="00A75601">
        <w:rPr>
          <w:rFonts w:ascii="Times New Roman" w:hAnsi="Times New Roman"/>
          <w:sz w:val="24"/>
          <w:szCs w:val="24"/>
        </w:rPr>
        <w:t>, C., Larsen, P.T., 2008. Capital structure arbitrage: model choice and volatility calibration. Working Paper.</w:t>
      </w:r>
    </w:p>
    <w:p w14:paraId="5AB84DB5" w14:textId="77777777" w:rsidR="0002224A" w:rsidRPr="00A75601" w:rsidRDefault="00F84703" w:rsidP="00DA42E4">
      <w:pPr>
        <w:tabs>
          <w:tab w:val="left" w:pos="284"/>
        </w:tabs>
        <w:spacing w:after="120" w:line="240" w:lineRule="auto"/>
        <w:jc w:val="both"/>
        <w:rPr>
          <w:rFonts w:ascii="Times New Roman" w:hAnsi="Times New Roman"/>
          <w:sz w:val="24"/>
          <w:szCs w:val="24"/>
        </w:rPr>
      </w:pPr>
      <w:proofErr w:type="spellStart"/>
      <w:r w:rsidRPr="00A75601">
        <w:rPr>
          <w:rFonts w:ascii="Times New Roman" w:hAnsi="Times New Roman"/>
          <w:sz w:val="24"/>
          <w:szCs w:val="24"/>
          <w:lang w:val="it-IT"/>
        </w:rPr>
        <w:t>Blanco</w:t>
      </w:r>
      <w:proofErr w:type="spellEnd"/>
      <w:r w:rsidRPr="00A75601">
        <w:rPr>
          <w:rFonts w:ascii="Times New Roman" w:hAnsi="Times New Roman"/>
          <w:sz w:val="24"/>
          <w:szCs w:val="24"/>
          <w:lang w:val="it-IT"/>
        </w:rPr>
        <w:t xml:space="preserve">, F., </w:t>
      </w:r>
      <w:proofErr w:type="spellStart"/>
      <w:r w:rsidRPr="00A75601">
        <w:rPr>
          <w:rFonts w:ascii="Times New Roman" w:hAnsi="Times New Roman"/>
          <w:sz w:val="24"/>
          <w:szCs w:val="24"/>
          <w:lang w:val="it-IT"/>
        </w:rPr>
        <w:t>Brennan</w:t>
      </w:r>
      <w:proofErr w:type="spellEnd"/>
      <w:r w:rsidRPr="00A75601">
        <w:rPr>
          <w:rFonts w:ascii="Times New Roman" w:hAnsi="Times New Roman"/>
          <w:sz w:val="24"/>
          <w:szCs w:val="24"/>
          <w:lang w:val="it-IT"/>
        </w:rPr>
        <w:t xml:space="preserve">, S., </w:t>
      </w:r>
      <w:proofErr w:type="spellStart"/>
      <w:r w:rsidRPr="00A75601">
        <w:rPr>
          <w:rFonts w:ascii="Times New Roman" w:hAnsi="Times New Roman"/>
          <w:sz w:val="24"/>
          <w:szCs w:val="24"/>
          <w:lang w:val="it-IT"/>
        </w:rPr>
        <w:t>Marsh</w:t>
      </w:r>
      <w:proofErr w:type="spellEnd"/>
      <w:r w:rsidRPr="00A75601">
        <w:rPr>
          <w:rFonts w:ascii="Times New Roman" w:hAnsi="Times New Roman"/>
          <w:sz w:val="24"/>
          <w:szCs w:val="24"/>
          <w:lang w:val="it-IT"/>
        </w:rPr>
        <w:t xml:space="preserve">, I.W., 2005. </w:t>
      </w:r>
      <w:r w:rsidRPr="00A75601">
        <w:rPr>
          <w:rFonts w:ascii="Times New Roman" w:hAnsi="Times New Roman"/>
          <w:sz w:val="24"/>
          <w:szCs w:val="24"/>
        </w:rPr>
        <w:t>An empirical analysis of the dynamic relationship between investment grade bonds and credit default swaps. Journal of Finance 60, 2255-2281.</w:t>
      </w:r>
    </w:p>
    <w:p w14:paraId="6B89FD01" w14:textId="77777777" w:rsidR="00F84703" w:rsidRPr="00A75601" w:rsidRDefault="0002224A" w:rsidP="00DA42E4">
      <w:pPr>
        <w:tabs>
          <w:tab w:val="left" w:pos="284"/>
        </w:tabs>
        <w:spacing w:after="120" w:line="240" w:lineRule="auto"/>
        <w:jc w:val="both"/>
        <w:rPr>
          <w:rFonts w:ascii="Times New Roman" w:hAnsi="Times New Roman"/>
          <w:sz w:val="24"/>
          <w:szCs w:val="24"/>
        </w:rPr>
      </w:pPr>
      <w:proofErr w:type="spellStart"/>
      <w:r w:rsidRPr="00A75601">
        <w:rPr>
          <w:rFonts w:ascii="Times New Roman" w:hAnsi="Times New Roman"/>
          <w:sz w:val="24"/>
          <w:szCs w:val="24"/>
        </w:rPr>
        <w:t>Brunnermeier</w:t>
      </w:r>
      <w:proofErr w:type="spellEnd"/>
      <w:r w:rsidRPr="00A75601">
        <w:rPr>
          <w:rFonts w:ascii="Times New Roman" w:hAnsi="Times New Roman"/>
          <w:sz w:val="24"/>
          <w:szCs w:val="24"/>
        </w:rPr>
        <w:t xml:space="preserve">, M.K., Pedersen, L.H., 2009. Market liquidity and funding liquidity. Review of Financial Studies 22, 2201-2238. </w:t>
      </w:r>
    </w:p>
    <w:p w14:paraId="27BC10EB" w14:textId="77777777" w:rsidR="00460C69" w:rsidRPr="00A75601" w:rsidRDefault="00460C69" w:rsidP="00563094">
      <w:pPr>
        <w:tabs>
          <w:tab w:val="left" w:pos="284"/>
        </w:tabs>
        <w:autoSpaceDE w:val="0"/>
        <w:autoSpaceDN w:val="0"/>
        <w:adjustRightInd w:val="0"/>
        <w:spacing w:after="120" w:line="240" w:lineRule="auto"/>
        <w:rPr>
          <w:rFonts w:ascii="Times New Roman" w:hAnsi="Times New Roman"/>
          <w:sz w:val="24"/>
          <w:szCs w:val="24"/>
        </w:rPr>
      </w:pPr>
      <w:proofErr w:type="spellStart"/>
      <w:r w:rsidRPr="00A75601">
        <w:rPr>
          <w:rFonts w:ascii="Times New Roman" w:hAnsi="Times New Roman"/>
          <w:sz w:val="24"/>
          <w:szCs w:val="24"/>
        </w:rPr>
        <w:t>CreditGrades</w:t>
      </w:r>
      <w:proofErr w:type="spellEnd"/>
      <w:r w:rsidRPr="00A75601">
        <w:rPr>
          <w:rFonts w:ascii="Times New Roman" w:hAnsi="Times New Roman"/>
          <w:sz w:val="24"/>
          <w:szCs w:val="24"/>
        </w:rPr>
        <w:t xml:space="preserve"> Technical Document, 2002. http://www.creditgrades.com/resources/pdf/CGtechdoc.pdf</w:t>
      </w:r>
    </w:p>
    <w:p w14:paraId="74E1BD17" w14:textId="77777777" w:rsidR="00242134" w:rsidRPr="00A75601" w:rsidRDefault="00242134" w:rsidP="00DA42E4">
      <w:pPr>
        <w:tabs>
          <w:tab w:val="left" w:pos="284"/>
        </w:tabs>
        <w:spacing w:after="120" w:line="240" w:lineRule="auto"/>
        <w:jc w:val="both"/>
        <w:rPr>
          <w:rFonts w:ascii="Times New Roman" w:hAnsi="Times New Roman"/>
          <w:sz w:val="24"/>
          <w:szCs w:val="24"/>
        </w:rPr>
      </w:pPr>
      <w:proofErr w:type="spellStart"/>
      <w:r w:rsidRPr="00A75601">
        <w:rPr>
          <w:rFonts w:ascii="Times New Roman" w:hAnsi="Times New Roman"/>
          <w:sz w:val="24"/>
          <w:szCs w:val="24"/>
        </w:rPr>
        <w:t>Cserna</w:t>
      </w:r>
      <w:proofErr w:type="spellEnd"/>
      <w:r w:rsidRPr="00A75601">
        <w:rPr>
          <w:rFonts w:ascii="Times New Roman" w:hAnsi="Times New Roman"/>
          <w:sz w:val="24"/>
          <w:szCs w:val="24"/>
        </w:rPr>
        <w:t xml:space="preserve">, B., </w:t>
      </w:r>
      <w:proofErr w:type="spellStart"/>
      <w:r w:rsidRPr="00A75601">
        <w:rPr>
          <w:rFonts w:ascii="Times New Roman" w:hAnsi="Times New Roman"/>
          <w:sz w:val="24"/>
          <w:szCs w:val="24"/>
        </w:rPr>
        <w:t>Imbierowicz</w:t>
      </w:r>
      <w:proofErr w:type="spellEnd"/>
      <w:r w:rsidRPr="00A75601">
        <w:rPr>
          <w:rFonts w:ascii="Times New Roman" w:hAnsi="Times New Roman"/>
          <w:sz w:val="24"/>
          <w:szCs w:val="24"/>
        </w:rPr>
        <w:t>, B., 2009, How efficient are credit default swap markets? An empirical study of capital structure arbitrage based on structural pricing models, Working Paper.</w:t>
      </w:r>
    </w:p>
    <w:p w14:paraId="132024A1" w14:textId="77777777" w:rsidR="00044F51" w:rsidRPr="00A75601" w:rsidRDefault="004F4D19" w:rsidP="00DA42E4">
      <w:pPr>
        <w:tabs>
          <w:tab w:val="left" w:pos="284"/>
        </w:tabs>
        <w:spacing w:after="120" w:line="240" w:lineRule="auto"/>
        <w:jc w:val="both"/>
        <w:rPr>
          <w:rFonts w:ascii="Times New Roman" w:hAnsi="Times New Roman"/>
          <w:sz w:val="24"/>
          <w:szCs w:val="24"/>
        </w:rPr>
      </w:pPr>
      <w:r w:rsidRPr="00A75601">
        <w:rPr>
          <w:rFonts w:ascii="Times New Roman" w:hAnsi="Times New Roman"/>
          <w:sz w:val="24"/>
          <w:szCs w:val="24"/>
        </w:rPr>
        <w:t>Currie</w:t>
      </w:r>
      <w:r w:rsidR="00CA5155" w:rsidRPr="00A75601">
        <w:rPr>
          <w:rFonts w:ascii="Times New Roman" w:hAnsi="Times New Roman"/>
          <w:sz w:val="24"/>
          <w:szCs w:val="24"/>
        </w:rPr>
        <w:t xml:space="preserve">, </w:t>
      </w:r>
      <w:r w:rsidRPr="00A75601">
        <w:rPr>
          <w:rFonts w:ascii="Times New Roman" w:hAnsi="Times New Roman"/>
          <w:sz w:val="24"/>
          <w:szCs w:val="24"/>
        </w:rPr>
        <w:t>A</w:t>
      </w:r>
      <w:r w:rsidR="00CA5155" w:rsidRPr="00A75601">
        <w:rPr>
          <w:rFonts w:ascii="Times New Roman" w:hAnsi="Times New Roman"/>
          <w:sz w:val="24"/>
          <w:szCs w:val="24"/>
        </w:rPr>
        <w:t xml:space="preserve">., </w:t>
      </w:r>
      <w:r w:rsidRPr="00A75601">
        <w:rPr>
          <w:rFonts w:ascii="Times New Roman" w:hAnsi="Times New Roman"/>
          <w:sz w:val="24"/>
          <w:szCs w:val="24"/>
        </w:rPr>
        <w:t>Morris</w:t>
      </w:r>
      <w:r w:rsidR="00CA5155" w:rsidRPr="00A75601">
        <w:rPr>
          <w:rFonts w:ascii="Times New Roman" w:hAnsi="Times New Roman"/>
          <w:sz w:val="24"/>
          <w:szCs w:val="24"/>
        </w:rPr>
        <w:t xml:space="preserve">, </w:t>
      </w:r>
      <w:r w:rsidRPr="00A75601">
        <w:rPr>
          <w:rFonts w:ascii="Times New Roman" w:hAnsi="Times New Roman"/>
          <w:sz w:val="24"/>
          <w:szCs w:val="24"/>
        </w:rPr>
        <w:t>J</w:t>
      </w:r>
      <w:r w:rsidR="00CA5155" w:rsidRPr="00A75601">
        <w:rPr>
          <w:rFonts w:ascii="Times New Roman" w:hAnsi="Times New Roman"/>
          <w:sz w:val="24"/>
          <w:szCs w:val="24"/>
        </w:rPr>
        <w:t>., 200</w:t>
      </w:r>
      <w:r w:rsidRPr="00A75601">
        <w:rPr>
          <w:rFonts w:ascii="Times New Roman" w:hAnsi="Times New Roman"/>
          <w:sz w:val="24"/>
          <w:szCs w:val="24"/>
        </w:rPr>
        <w:t>2</w:t>
      </w:r>
      <w:r w:rsidR="00CA5155" w:rsidRPr="00A75601">
        <w:rPr>
          <w:rFonts w:ascii="Times New Roman" w:hAnsi="Times New Roman"/>
          <w:sz w:val="24"/>
          <w:szCs w:val="24"/>
        </w:rPr>
        <w:t>.</w:t>
      </w:r>
      <w:r w:rsidRPr="00A75601">
        <w:rPr>
          <w:rFonts w:ascii="Times New Roman" w:hAnsi="Times New Roman"/>
          <w:sz w:val="24"/>
          <w:szCs w:val="24"/>
        </w:rPr>
        <w:t xml:space="preserve"> And now for capital structure arbitrage</w:t>
      </w:r>
      <w:r w:rsidR="00CA5155" w:rsidRPr="00A75601">
        <w:rPr>
          <w:rFonts w:ascii="Times New Roman" w:hAnsi="Times New Roman"/>
          <w:sz w:val="24"/>
          <w:szCs w:val="24"/>
        </w:rPr>
        <w:t xml:space="preserve">. </w:t>
      </w:r>
      <w:r w:rsidRPr="00A75601">
        <w:rPr>
          <w:rFonts w:ascii="Times New Roman" w:hAnsi="Times New Roman"/>
          <w:sz w:val="24"/>
          <w:szCs w:val="24"/>
        </w:rPr>
        <w:t>Euromoney</w:t>
      </w:r>
      <w:r w:rsidR="00CA5155" w:rsidRPr="00A75601">
        <w:rPr>
          <w:rFonts w:ascii="Times New Roman" w:hAnsi="Times New Roman"/>
          <w:sz w:val="24"/>
          <w:szCs w:val="24"/>
        </w:rPr>
        <w:t xml:space="preserve"> </w:t>
      </w:r>
      <w:r w:rsidRPr="00A75601">
        <w:rPr>
          <w:rFonts w:ascii="Times New Roman" w:hAnsi="Times New Roman"/>
          <w:sz w:val="24"/>
          <w:szCs w:val="24"/>
        </w:rPr>
        <w:t>(December)</w:t>
      </w:r>
      <w:r w:rsidR="00CA5155" w:rsidRPr="00A75601">
        <w:rPr>
          <w:rFonts w:ascii="Times New Roman" w:hAnsi="Times New Roman"/>
          <w:sz w:val="24"/>
          <w:szCs w:val="24"/>
        </w:rPr>
        <w:t xml:space="preserve">, </w:t>
      </w:r>
      <w:r w:rsidRPr="00A75601">
        <w:rPr>
          <w:rFonts w:ascii="Times New Roman" w:hAnsi="Times New Roman"/>
          <w:sz w:val="24"/>
          <w:szCs w:val="24"/>
        </w:rPr>
        <w:t>38</w:t>
      </w:r>
      <w:r w:rsidR="00CA5155" w:rsidRPr="00A75601">
        <w:rPr>
          <w:rFonts w:ascii="Times New Roman" w:hAnsi="Times New Roman"/>
          <w:sz w:val="24"/>
          <w:szCs w:val="24"/>
        </w:rPr>
        <w:t>-</w:t>
      </w:r>
      <w:r w:rsidRPr="00A75601">
        <w:rPr>
          <w:rFonts w:ascii="Times New Roman" w:hAnsi="Times New Roman"/>
          <w:sz w:val="24"/>
          <w:szCs w:val="24"/>
        </w:rPr>
        <w:t>4</w:t>
      </w:r>
      <w:r w:rsidR="00CA5155" w:rsidRPr="00A75601">
        <w:rPr>
          <w:rFonts w:ascii="Times New Roman" w:hAnsi="Times New Roman"/>
          <w:sz w:val="24"/>
          <w:szCs w:val="24"/>
        </w:rPr>
        <w:t>3.</w:t>
      </w:r>
    </w:p>
    <w:p w14:paraId="5329DEF9" w14:textId="77777777" w:rsidR="00460F5E" w:rsidRPr="00A75601" w:rsidRDefault="00460F5E" w:rsidP="00DA42E4">
      <w:pPr>
        <w:tabs>
          <w:tab w:val="left" w:pos="284"/>
        </w:tabs>
        <w:spacing w:after="120" w:line="240" w:lineRule="auto"/>
        <w:jc w:val="both"/>
        <w:rPr>
          <w:rFonts w:ascii="Times New Roman" w:hAnsi="Times New Roman"/>
          <w:sz w:val="24"/>
          <w:szCs w:val="24"/>
        </w:rPr>
      </w:pPr>
      <w:r w:rsidRPr="00A75601">
        <w:rPr>
          <w:rFonts w:ascii="Times New Roman" w:hAnsi="Times New Roman"/>
          <w:sz w:val="24"/>
          <w:szCs w:val="24"/>
        </w:rPr>
        <w:t xml:space="preserve">Das, S.R., </w:t>
      </w:r>
      <w:proofErr w:type="spellStart"/>
      <w:r w:rsidRPr="00A75601">
        <w:rPr>
          <w:rFonts w:ascii="Times New Roman" w:hAnsi="Times New Roman"/>
          <w:sz w:val="24"/>
          <w:szCs w:val="24"/>
        </w:rPr>
        <w:t>Hanouna</w:t>
      </w:r>
      <w:proofErr w:type="spellEnd"/>
      <w:r w:rsidRPr="00A75601">
        <w:rPr>
          <w:rFonts w:ascii="Times New Roman" w:hAnsi="Times New Roman"/>
          <w:sz w:val="24"/>
          <w:szCs w:val="24"/>
        </w:rPr>
        <w:t>, P., 2009. Hedging credit: equity liquidity matters. Journal of Financial Intermediation 18, 112-123.</w:t>
      </w:r>
    </w:p>
    <w:p w14:paraId="085BCFED" w14:textId="77777777" w:rsidR="003F3975" w:rsidRPr="00A75601" w:rsidRDefault="003F3975" w:rsidP="00DA42E4">
      <w:pPr>
        <w:tabs>
          <w:tab w:val="left" w:pos="284"/>
        </w:tabs>
        <w:spacing w:after="120" w:line="240" w:lineRule="auto"/>
        <w:jc w:val="both"/>
        <w:rPr>
          <w:rFonts w:ascii="Times New Roman" w:hAnsi="Times New Roman"/>
          <w:sz w:val="24"/>
          <w:szCs w:val="24"/>
        </w:rPr>
      </w:pPr>
      <w:r w:rsidRPr="00A75601">
        <w:rPr>
          <w:rFonts w:ascii="Times New Roman" w:hAnsi="Times New Roman"/>
          <w:sz w:val="24"/>
          <w:szCs w:val="24"/>
        </w:rPr>
        <w:t>Duarte, J., Longstaff, F., Yu, F., 2007. Risk and return in fixed income arbitrage: nickels in front of a      steamroller? Review of Financial Studies 20, 769-811.</w:t>
      </w:r>
    </w:p>
    <w:p w14:paraId="454465EE" w14:textId="77777777" w:rsidR="001D42B3" w:rsidRPr="00A75601" w:rsidRDefault="001D42B3" w:rsidP="00DA42E4">
      <w:pPr>
        <w:tabs>
          <w:tab w:val="left" w:pos="284"/>
        </w:tabs>
        <w:spacing w:after="120" w:line="240" w:lineRule="auto"/>
        <w:jc w:val="both"/>
        <w:outlineLvl w:val="0"/>
        <w:rPr>
          <w:rFonts w:ascii="Times New Roman" w:hAnsi="Times New Roman"/>
          <w:sz w:val="24"/>
          <w:szCs w:val="24"/>
        </w:rPr>
      </w:pPr>
      <w:r w:rsidRPr="00A75601">
        <w:rPr>
          <w:rFonts w:ascii="Times New Roman" w:hAnsi="Times New Roman"/>
          <w:sz w:val="24"/>
          <w:szCs w:val="24"/>
        </w:rPr>
        <w:t>Engle, R., Kroner, K., 1995. Multivariate simultaneous generalized ARCH. Econometric Theory 11, 122-150.</w:t>
      </w:r>
    </w:p>
    <w:p w14:paraId="6C072317" w14:textId="77777777" w:rsidR="00B707F3" w:rsidRPr="00A75601" w:rsidRDefault="003A6B64" w:rsidP="00DA42E4">
      <w:pPr>
        <w:tabs>
          <w:tab w:val="left" w:pos="284"/>
        </w:tabs>
        <w:spacing w:after="120" w:line="240" w:lineRule="auto"/>
        <w:jc w:val="both"/>
        <w:rPr>
          <w:rFonts w:ascii="Times New Roman" w:hAnsi="Times New Roman"/>
          <w:sz w:val="24"/>
          <w:szCs w:val="24"/>
        </w:rPr>
      </w:pPr>
      <w:proofErr w:type="spellStart"/>
      <w:r w:rsidRPr="00A75601">
        <w:rPr>
          <w:rFonts w:ascii="Times New Roman" w:hAnsi="Times New Roman"/>
          <w:sz w:val="24"/>
          <w:szCs w:val="24"/>
        </w:rPr>
        <w:t>Eom</w:t>
      </w:r>
      <w:proofErr w:type="spellEnd"/>
      <w:r w:rsidRPr="00A75601">
        <w:rPr>
          <w:rFonts w:ascii="Times New Roman" w:hAnsi="Times New Roman"/>
          <w:sz w:val="24"/>
          <w:szCs w:val="24"/>
        </w:rPr>
        <w:t xml:space="preserve">, Y., </w:t>
      </w:r>
      <w:proofErr w:type="spellStart"/>
      <w:r w:rsidRPr="00A75601">
        <w:rPr>
          <w:rFonts w:ascii="Times New Roman" w:hAnsi="Times New Roman"/>
          <w:sz w:val="24"/>
          <w:szCs w:val="24"/>
        </w:rPr>
        <w:t>Helwege</w:t>
      </w:r>
      <w:proofErr w:type="spellEnd"/>
      <w:r w:rsidRPr="00A75601">
        <w:rPr>
          <w:rFonts w:ascii="Times New Roman" w:hAnsi="Times New Roman"/>
          <w:sz w:val="24"/>
          <w:szCs w:val="24"/>
        </w:rPr>
        <w:t>, J., Huang, J., 2004. Structural models of corporate bond pricing: an empirical analysis. Review of Financial Studies 17, 499-544.</w:t>
      </w:r>
    </w:p>
    <w:p w14:paraId="68DA1C12" w14:textId="77777777" w:rsidR="003A28B6" w:rsidRPr="00A75601" w:rsidRDefault="0041586C" w:rsidP="00DA42E4">
      <w:pPr>
        <w:tabs>
          <w:tab w:val="left" w:pos="284"/>
        </w:tabs>
        <w:spacing w:after="120" w:line="240" w:lineRule="auto"/>
        <w:jc w:val="both"/>
        <w:rPr>
          <w:rFonts w:ascii="Times New Roman" w:hAnsi="Times New Roman"/>
          <w:sz w:val="24"/>
          <w:szCs w:val="24"/>
        </w:rPr>
      </w:pPr>
      <w:r w:rsidRPr="00A75601">
        <w:rPr>
          <w:rFonts w:ascii="Times New Roman" w:hAnsi="Times New Roman"/>
          <w:sz w:val="24"/>
          <w:szCs w:val="24"/>
        </w:rPr>
        <w:t xml:space="preserve">Ericsson, J., </w:t>
      </w:r>
      <w:proofErr w:type="spellStart"/>
      <w:r w:rsidRPr="00A75601">
        <w:rPr>
          <w:rFonts w:ascii="Times New Roman" w:hAnsi="Times New Roman"/>
          <w:sz w:val="24"/>
          <w:szCs w:val="24"/>
        </w:rPr>
        <w:t>Reneby</w:t>
      </w:r>
      <w:proofErr w:type="spellEnd"/>
      <w:r w:rsidRPr="00A75601">
        <w:rPr>
          <w:rFonts w:ascii="Times New Roman" w:hAnsi="Times New Roman"/>
          <w:sz w:val="24"/>
          <w:szCs w:val="24"/>
        </w:rPr>
        <w:t>, J., Wang, H., 2006. Can structural models price default risk? Evidence from bond and credit derivative markets. Working Paper, McGill University.</w:t>
      </w:r>
    </w:p>
    <w:p w14:paraId="1273BBFA" w14:textId="77777777" w:rsidR="00230DC3" w:rsidRPr="00A75601" w:rsidRDefault="00230DC3" w:rsidP="00DA42E4">
      <w:pPr>
        <w:tabs>
          <w:tab w:val="left" w:pos="284"/>
        </w:tabs>
        <w:spacing w:after="120" w:line="240" w:lineRule="auto"/>
        <w:jc w:val="both"/>
        <w:rPr>
          <w:rFonts w:ascii="Times New Roman" w:hAnsi="Times New Roman"/>
          <w:sz w:val="24"/>
          <w:szCs w:val="24"/>
        </w:rPr>
      </w:pPr>
      <w:proofErr w:type="spellStart"/>
      <w:r w:rsidRPr="00A75601">
        <w:rPr>
          <w:rFonts w:ascii="Times New Roman" w:hAnsi="Times New Roman"/>
          <w:sz w:val="24"/>
          <w:szCs w:val="24"/>
        </w:rPr>
        <w:t>Fama</w:t>
      </w:r>
      <w:proofErr w:type="spellEnd"/>
      <w:r w:rsidRPr="00A75601">
        <w:rPr>
          <w:rFonts w:ascii="Times New Roman" w:hAnsi="Times New Roman"/>
          <w:sz w:val="24"/>
          <w:szCs w:val="24"/>
        </w:rPr>
        <w:t>, E., French, K., 1993. Common risk factors in the returns on stocks and bonds. Journal of Financial Economics 33, 3-56.</w:t>
      </w:r>
    </w:p>
    <w:p w14:paraId="7CFF2CB3" w14:textId="77777777" w:rsidR="00460F5E" w:rsidRPr="00A75601" w:rsidRDefault="00460F5E" w:rsidP="00DA42E4">
      <w:pPr>
        <w:tabs>
          <w:tab w:val="left" w:pos="284"/>
        </w:tabs>
        <w:spacing w:after="120" w:line="240" w:lineRule="auto"/>
        <w:jc w:val="both"/>
        <w:rPr>
          <w:rFonts w:ascii="Times New Roman" w:hAnsi="Times New Roman"/>
          <w:sz w:val="24"/>
          <w:szCs w:val="24"/>
        </w:rPr>
      </w:pPr>
      <w:r w:rsidRPr="00A75601">
        <w:rPr>
          <w:rFonts w:ascii="Times New Roman" w:hAnsi="Times New Roman"/>
          <w:sz w:val="24"/>
          <w:szCs w:val="24"/>
          <w:lang w:val="en-US"/>
        </w:rPr>
        <w:t xml:space="preserve">Forte, S., Peña, J.I., 2009. </w:t>
      </w:r>
      <w:r w:rsidRPr="00A75601">
        <w:rPr>
          <w:rFonts w:ascii="Times New Roman" w:hAnsi="Times New Roman"/>
          <w:sz w:val="24"/>
          <w:szCs w:val="24"/>
        </w:rPr>
        <w:t xml:space="preserve">Credit spreads: An empirical analysis on the informational content of stocks, bonds, </w:t>
      </w:r>
      <w:r w:rsidRPr="00A75601">
        <w:rPr>
          <w:rFonts w:ascii="Times New Roman" w:hAnsi="Times New Roman"/>
          <w:sz w:val="24"/>
          <w:szCs w:val="24"/>
        </w:rPr>
        <w:tab/>
        <w:t>and CDS. Journal of Banking and Finance 33, 2013-2025.</w:t>
      </w:r>
    </w:p>
    <w:p w14:paraId="6462C8C9" w14:textId="77777777" w:rsidR="00B85E3E" w:rsidRPr="00A75601" w:rsidRDefault="008B6995" w:rsidP="00DA42E4">
      <w:pPr>
        <w:tabs>
          <w:tab w:val="left" w:pos="284"/>
        </w:tabs>
        <w:spacing w:after="120" w:line="240" w:lineRule="auto"/>
        <w:jc w:val="both"/>
        <w:rPr>
          <w:rFonts w:ascii="Times New Roman" w:hAnsi="Times New Roman"/>
          <w:sz w:val="24"/>
          <w:szCs w:val="24"/>
        </w:rPr>
      </w:pPr>
      <w:r w:rsidRPr="00A75601">
        <w:rPr>
          <w:rFonts w:ascii="Times New Roman" w:hAnsi="Times New Roman"/>
          <w:sz w:val="24"/>
          <w:szCs w:val="24"/>
        </w:rPr>
        <w:t>Hasbrouck, J., 1995. One security, many markets: determining the contributions to price discovery. Journal of Finance 50, 1175-1199.</w:t>
      </w:r>
    </w:p>
    <w:p w14:paraId="3CBDA74E" w14:textId="77777777" w:rsidR="0084430D" w:rsidRPr="00A75601" w:rsidRDefault="0084430D" w:rsidP="00DA42E4">
      <w:pPr>
        <w:tabs>
          <w:tab w:val="left" w:pos="284"/>
        </w:tabs>
        <w:spacing w:after="120" w:line="240" w:lineRule="auto"/>
        <w:jc w:val="both"/>
        <w:rPr>
          <w:rFonts w:ascii="Times New Roman" w:hAnsi="Times New Roman"/>
          <w:sz w:val="24"/>
          <w:szCs w:val="24"/>
        </w:rPr>
      </w:pPr>
      <w:r w:rsidRPr="00A75601">
        <w:rPr>
          <w:rFonts w:ascii="Times New Roman" w:hAnsi="Times New Roman"/>
          <w:sz w:val="24"/>
          <w:szCs w:val="24"/>
        </w:rPr>
        <w:t>Hodgson, A., Masih, A., Masih, R., 2003. Price discovery between informationally linked markets during different trading phases. Journal of Financial Research 26, 77-95.</w:t>
      </w:r>
    </w:p>
    <w:p w14:paraId="52C81E79" w14:textId="77777777" w:rsidR="007E2CCD" w:rsidRPr="00A75601" w:rsidRDefault="00B85E3E" w:rsidP="00DA42E4">
      <w:pPr>
        <w:tabs>
          <w:tab w:val="left" w:pos="284"/>
        </w:tabs>
        <w:spacing w:after="120" w:line="240" w:lineRule="auto"/>
        <w:jc w:val="both"/>
        <w:rPr>
          <w:rFonts w:ascii="Times New Roman" w:hAnsi="Times New Roman"/>
          <w:sz w:val="24"/>
          <w:szCs w:val="24"/>
        </w:rPr>
      </w:pPr>
      <w:r w:rsidRPr="00A75601">
        <w:rPr>
          <w:rFonts w:ascii="Times New Roman" w:hAnsi="Times New Roman"/>
          <w:sz w:val="24"/>
          <w:szCs w:val="24"/>
        </w:rPr>
        <w:t>Huang, J.Z., Huang, M., 20</w:t>
      </w:r>
      <w:r w:rsidR="00F14F03" w:rsidRPr="00A75601">
        <w:rPr>
          <w:rFonts w:ascii="Times New Roman" w:hAnsi="Times New Roman"/>
          <w:sz w:val="24"/>
          <w:szCs w:val="24"/>
        </w:rPr>
        <w:t>12</w:t>
      </w:r>
      <w:r w:rsidRPr="00A75601">
        <w:rPr>
          <w:rFonts w:ascii="Times New Roman" w:hAnsi="Times New Roman"/>
          <w:sz w:val="24"/>
          <w:szCs w:val="24"/>
        </w:rPr>
        <w:t>. How much of corporate-treasury yield spread is due to credit risk?</w:t>
      </w:r>
      <w:r w:rsidR="00F14F03" w:rsidRPr="00A75601">
        <w:rPr>
          <w:rFonts w:ascii="Times New Roman" w:hAnsi="Times New Roman"/>
          <w:sz w:val="24"/>
          <w:szCs w:val="24"/>
        </w:rPr>
        <w:t xml:space="preserve"> Review of Asset Pricing Studies 2, 153-202</w:t>
      </w:r>
      <w:r w:rsidRPr="00A75601">
        <w:rPr>
          <w:rFonts w:ascii="Times New Roman" w:hAnsi="Times New Roman"/>
          <w:sz w:val="24"/>
          <w:szCs w:val="24"/>
        </w:rPr>
        <w:t>.</w:t>
      </w:r>
    </w:p>
    <w:p w14:paraId="6245D834" w14:textId="77777777" w:rsidR="008B6995" w:rsidRPr="00A75601" w:rsidRDefault="00757A23" w:rsidP="00DA42E4">
      <w:pPr>
        <w:tabs>
          <w:tab w:val="left" w:pos="284"/>
        </w:tabs>
        <w:spacing w:after="120" w:line="240" w:lineRule="auto"/>
        <w:jc w:val="both"/>
        <w:rPr>
          <w:rFonts w:ascii="Times New Roman" w:hAnsi="Times New Roman"/>
          <w:sz w:val="24"/>
          <w:szCs w:val="24"/>
        </w:rPr>
      </w:pPr>
      <w:proofErr w:type="spellStart"/>
      <w:r w:rsidRPr="00A75601">
        <w:rPr>
          <w:rFonts w:ascii="Times New Roman" w:hAnsi="Times New Roman"/>
          <w:sz w:val="24"/>
          <w:szCs w:val="24"/>
        </w:rPr>
        <w:t>Israelsen</w:t>
      </w:r>
      <w:proofErr w:type="spellEnd"/>
      <w:r w:rsidRPr="00A75601">
        <w:rPr>
          <w:rFonts w:ascii="Times New Roman" w:hAnsi="Times New Roman"/>
          <w:sz w:val="24"/>
          <w:szCs w:val="24"/>
        </w:rPr>
        <w:t>, C.L., 2005. A refinement to the Sharpe ratio and information ratio. Journal of Asset Management 5, 423-427.</w:t>
      </w:r>
    </w:p>
    <w:p w14:paraId="2C843156" w14:textId="77777777" w:rsidR="007712EE" w:rsidRPr="00A75601" w:rsidRDefault="00AF6A1F" w:rsidP="00DA42E4">
      <w:pPr>
        <w:tabs>
          <w:tab w:val="left" w:pos="284"/>
        </w:tabs>
        <w:spacing w:after="120" w:line="240" w:lineRule="auto"/>
        <w:jc w:val="both"/>
        <w:rPr>
          <w:rFonts w:ascii="Times New Roman" w:hAnsi="Times New Roman"/>
          <w:sz w:val="24"/>
          <w:szCs w:val="24"/>
        </w:rPr>
      </w:pPr>
      <w:r w:rsidRPr="00A75601">
        <w:rPr>
          <w:rFonts w:ascii="Times New Roman" w:hAnsi="Times New Roman"/>
          <w:sz w:val="24"/>
          <w:szCs w:val="24"/>
        </w:rPr>
        <w:t>Jones, E.P., Mason, S.P., Rosenfeld, E., 1984. Contingent claims analysis of corporate capital structures: an empirical investigation. Journal of Finance 39, 611-625.</w:t>
      </w:r>
    </w:p>
    <w:p w14:paraId="6665800A" w14:textId="77777777" w:rsidR="000953A9" w:rsidRDefault="007712EE" w:rsidP="00DA42E4">
      <w:pPr>
        <w:tabs>
          <w:tab w:val="left" w:pos="284"/>
        </w:tabs>
        <w:spacing w:after="120" w:line="240" w:lineRule="auto"/>
        <w:jc w:val="both"/>
        <w:rPr>
          <w:rFonts w:ascii="Times New Roman" w:hAnsi="Times New Roman"/>
          <w:sz w:val="24"/>
          <w:szCs w:val="24"/>
        </w:rPr>
      </w:pPr>
      <w:r w:rsidRPr="00A75601">
        <w:rPr>
          <w:rFonts w:ascii="Times New Roman" w:hAnsi="Times New Roman"/>
          <w:sz w:val="24"/>
          <w:szCs w:val="24"/>
        </w:rPr>
        <w:lastRenderedPageBreak/>
        <w:t xml:space="preserve">Kapadia, N., Pu, X., </w:t>
      </w:r>
      <w:r w:rsidR="002E769A" w:rsidRPr="00A75601">
        <w:rPr>
          <w:rFonts w:ascii="Times New Roman" w:hAnsi="Times New Roman"/>
          <w:sz w:val="24"/>
          <w:szCs w:val="24"/>
        </w:rPr>
        <w:t>20</w:t>
      </w:r>
      <w:r w:rsidR="00F41105" w:rsidRPr="00A75601">
        <w:rPr>
          <w:rFonts w:ascii="Times New Roman" w:hAnsi="Times New Roman"/>
          <w:sz w:val="24"/>
          <w:szCs w:val="24"/>
        </w:rPr>
        <w:t>12</w:t>
      </w:r>
      <w:r w:rsidR="002E769A" w:rsidRPr="00A75601">
        <w:rPr>
          <w:rFonts w:ascii="Times New Roman" w:hAnsi="Times New Roman"/>
          <w:sz w:val="24"/>
          <w:szCs w:val="24"/>
        </w:rPr>
        <w:t xml:space="preserve">. Limited arbitrage between equity and credit markets. </w:t>
      </w:r>
      <w:r w:rsidR="00F41105" w:rsidRPr="00A75601">
        <w:rPr>
          <w:rFonts w:ascii="Times New Roman" w:hAnsi="Times New Roman"/>
          <w:sz w:val="24"/>
          <w:szCs w:val="24"/>
        </w:rPr>
        <w:t>Journal of Financial Economics 105, 542-564.</w:t>
      </w:r>
    </w:p>
    <w:p w14:paraId="5EEDEAA1" w14:textId="77777777" w:rsidR="00586FD0" w:rsidRPr="00A75601" w:rsidRDefault="00586FD0" w:rsidP="00DA42E4">
      <w:pPr>
        <w:tabs>
          <w:tab w:val="left" w:pos="284"/>
        </w:tabs>
        <w:spacing w:after="120" w:line="240" w:lineRule="auto"/>
        <w:jc w:val="both"/>
        <w:rPr>
          <w:rFonts w:ascii="Times New Roman" w:hAnsi="Times New Roman"/>
          <w:sz w:val="24"/>
          <w:szCs w:val="24"/>
        </w:rPr>
      </w:pPr>
      <w:r>
        <w:rPr>
          <w:rFonts w:ascii="Times New Roman" w:hAnsi="Times New Roman"/>
          <w:sz w:val="24"/>
          <w:szCs w:val="24"/>
        </w:rPr>
        <w:t>Lehmann, B.N., 2002. Some desiderata for the measurement of price discovery across markets. Journal of Financial Markets 5, 259-276.</w:t>
      </w:r>
    </w:p>
    <w:p w14:paraId="684F0B03" w14:textId="77777777" w:rsidR="00015505" w:rsidRPr="00A75601" w:rsidRDefault="00AF6A1F" w:rsidP="00DA42E4">
      <w:pPr>
        <w:tabs>
          <w:tab w:val="left" w:pos="284"/>
        </w:tabs>
        <w:spacing w:after="120" w:line="240" w:lineRule="auto"/>
        <w:jc w:val="both"/>
        <w:rPr>
          <w:rFonts w:ascii="Times New Roman" w:hAnsi="Times New Roman"/>
          <w:sz w:val="24"/>
          <w:szCs w:val="24"/>
        </w:rPr>
      </w:pPr>
      <w:r w:rsidRPr="00A75601">
        <w:rPr>
          <w:rFonts w:ascii="Times New Roman" w:hAnsi="Times New Roman"/>
          <w:sz w:val="24"/>
          <w:szCs w:val="24"/>
        </w:rPr>
        <w:t>Leland, H., Toft, K.B., 1996. Optimal capital structure, endogenous bankruptcy, and the term structure of credit spreads. Journal of Finance 51, 987-1019.</w:t>
      </w:r>
    </w:p>
    <w:p w14:paraId="3B665AD7" w14:textId="77777777" w:rsidR="00921551" w:rsidRPr="00A75601" w:rsidRDefault="00015505" w:rsidP="00DA42E4">
      <w:pPr>
        <w:tabs>
          <w:tab w:val="left" w:pos="284"/>
        </w:tabs>
        <w:spacing w:after="120" w:line="240" w:lineRule="auto"/>
        <w:jc w:val="both"/>
        <w:rPr>
          <w:rFonts w:ascii="Times New Roman" w:hAnsi="Times New Roman"/>
          <w:sz w:val="24"/>
          <w:szCs w:val="24"/>
        </w:rPr>
      </w:pPr>
      <w:r w:rsidRPr="00A75601">
        <w:rPr>
          <w:rFonts w:ascii="Times New Roman" w:hAnsi="Times New Roman"/>
          <w:sz w:val="24"/>
          <w:szCs w:val="24"/>
        </w:rPr>
        <w:t>Lipper/</w:t>
      </w:r>
      <w:proofErr w:type="spellStart"/>
      <w:r w:rsidRPr="00A75601">
        <w:rPr>
          <w:rFonts w:ascii="Times New Roman" w:hAnsi="Times New Roman"/>
          <w:sz w:val="24"/>
          <w:szCs w:val="24"/>
        </w:rPr>
        <w:t>Tass</w:t>
      </w:r>
      <w:proofErr w:type="spellEnd"/>
      <w:r w:rsidRPr="00A75601">
        <w:rPr>
          <w:rFonts w:ascii="Times New Roman" w:hAnsi="Times New Roman"/>
          <w:sz w:val="24"/>
          <w:szCs w:val="24"/>
        </w:rPr>
        <w:t>, 2009. Fourth quarter asset flows report, Thomson Reuters.</w:t>
      </w:r>
    </w:p>
    <w:p w14:paraId="60B7C165" w14:textId="77777777" w:rsidR="00935B7A" w:rsidRPr="00A75601" w:rsidRDefault="00B23C83" w:rsidP="00DA42E4">
      <w:pPr>
        <w:tabs>
          <w:tab w:val="left" w:pos="284"/>
        </w:tabs>
        <w:spacing w:after="120" w:line="240" w:lineRule="auto"/>
        <w:jc w:val="both"/>
        <w:rPr>
          <w:rFonts w:ascii="Times New Roman" w:hAnsi="Times New Roman"/>
          <w:sz w:val="24"/>
          <w:szCs w:val="24"/>
        </w:rPr>
      </w:pPr>
      <w:r w:rsidRPr="00A75601">
        <w:rPr>
          <w:rFonts w:ascii="Times New Roman" w:hAnsi="Times New Roman"/>
          <w:sz w:val="24"/>
          <w:szCs w:val="24"/>
        </w:rPr>
        <w:t xml:space="preserve">Longstaff, F.A., </w:t>
      </w:r>
      <w:proofErr w:type="spellStart"/>
      <w:r w:rsidRPr="00A75601">
        <w:rPr>
          <w:rFonts w:ascii="Times New Roman" w:hAnsi="Times New Roman"/>
          <w:sz w:val="24"/>
          <w:szCs w:val="24"/>
        </w:rPr>
        <w:t>Mithal</w:t>
      </w:r>
      <w:proofErr w:type="spellEnd"/>
      <w:r w:rsidRPr="00A75601">
        <w:rPr>
          <w:rFonts w:ascii="Times New Roman" w:hAnsi="Times New Roman"/>
          <w:sz w:val="24"/>
          <w:szCs w:val="24"/>
        </w:rPr>
        <w:t xml:space="preserve">, S., </w:t>
      </w:r>
      <w:proofErr w:type="spellStart"/>
      <w:r w:rsidRPr="00A75601">
        <w:rPr>
          <w:rFonts w:ascii="Times New Roman" w:hAnsi="Times New Roman"/>
          <w:sz w:val="24"/>
          <w:szCs w:val="24"/>
        </w:rPr>
        <w:t>Neis</w:t>
      </w:r>
      <w:proofErr w:type="spellEnd"/>
      <w:r w:rsidRPr="00A75601">
        <w:rPr>
          <w:rFonts w:ascii="Times New Roman" w:hAnsi="Times New Roman"/>
          <w:sz w:val="24"/>
          <w:szCs w:val="24"/>
        </w:rPr>
        <w:t>, E., 2003. The credit-default swap market: is credit protection priced correctly? Working Paper, UCLA</w:t>
      </w:r>
      <w:r w:rsidR="00B66C31" w:rsidRPr="00A75601">
        <w:rPr>
          <w:rFonts w:ascii="Times New Roman" w:hAnsi="Times New Roman"/>
          <w:sz w:val="24"/>
          <w:szCs w:val="24"/>
        </w:rPr>
        <w:t>.</w:t>
      </w:r>
    </w:p>
    <w:p w14:paraId="048330FD" w14:textId="77777777" w:rsidR="00B01038" w:rsidRPr="00A75601" w:rsidRDefault="00B01038" w:rsidP="00DA42E4">
      <w:pPr>
        <w:tabs>
          <w:tab w:val="left" w:pos="284"/>
        </w:tabs>
        <w:spacing w:after="120" w:line="240" w:lineRule="auto"/>
        <w:jc w:val="both"/>
        <w:rPr>
          <w:rFonts w:ascii="Times New Roman" w:hAnsi="Times New Roman"/>
          <w:sz w:val="24"/>
          <w:szCs w:val="24"/>
        </w:rPr>
      </w:pPr>
      <w:r w:rsidRPr="00A75601">
        <w:rPr>
          <w:rFonts w:ascii="Times New Roman" w:hAnsi="Times New Roman"/>
          <w:sz w:val="24"/>
          <w:szCs w:val="24"/>
        </w:rPr>
        <w:t>Lowenstein, R., 2000. When genius failed: the rise and fall of Long-Term Capital Management, Random House.</w:t>
      </w:r>
    </w:p>
    <w:p w14:paraId="37FAFF9A" w14:textId="77777777" w:rsidR="00FC7045" w:rsidRPr="00A75601" w:rsidRDefault="00935B7A" w:rsidP="00DA42E4">
      <w:pPr>
        <w:tabs>
          <w:tab w:val="left" w:pos="284"/>
        </w:tabs>
        <w:spacing w:after="120" w:line="240" w:lineRule="auto"/>
        <w:jc w:val="both"/>
        <w:rPr>
          <w:rFonts w:ascii="Times New Roman" w:hAnsi="Times New Roman"/>
          <w:sz w:val="24"/>
          <w:szCs w:val="24"/>
        </w:rPr>
      </w:pPr>
      <w:proofErr w:type="spellStart"/>
      <w:r w:rsidRPr="00A75601">
        <w:rPr>
          <w:rFonts w:ascii="Times New Roman" w:hAnsi="Times New Roman"/>
          <w:sz w:val="24"/>
          <w:szCs w:val="24"/>
        </w:rPr>
        <w:t>Mayordomo</w:t>
      </w:r>
      <w:proofErr w:type="spellEnd"/>
      <w:r w:rsidRPr="00A75601">
        <w:rPr>
          <w:rFonts w:ascii="Times New Roman" w:hAnsi="Times New Roman"/>
          <w:sz w:val="24"/>
          <w:szCs w:val="24"/>
        </w:rPr>
        <w:t xml:space="preserve">, S., </w:t>
      </w:r>
      <w:r w:rsidRPr="00A75601">
        <w:rPr>
          <w:rFonts w:ascii="Times New Roman" w:hAnsi="Times New Roman"/>
          <w:sz w:val="24"/>
          <w:szCs w:val="24"/>
          <w:lang w:val="en-US"/>
        </w:rPr>
        <w:t>Peña, J.I., Schwartz, E.S., 201</w:t>
      </w:r>
      <w:r w:rsidR="00F41105" w:rsidRPr="00A75601">
        <w:rPr>
          <w:rFonts w:ascii="Times New Roman" w:hAnsi="Times New Roman"/>
          <w:sz w:val="24"/>
          <w:szCs w:val="24"/>
          <w:lang w:val="en-US"/>
        </w:rPr>
        <w:t>3</w:t>
      </w:r>
      <w:r w:rsidRPr="00A75601">
        <w:rPr>
          <w:rFonts w:ascii="Times New Roman" w:hAnsi="Times New Roman"/>
          <w:sz w:val="24"/>
          <w:szCs w:val="24"/>
          <w:lang w:val="en-US"/>
        </w:rPr>
        <w:t xml:space="preserve">. Are all credit default swap databases equal? </w:t>
      </w:r>
      <w:r w:rsidR="00F41105" w:rsidRPr="00A75601">
        <w:rPr>
          <w:rFonts w:ascii="Times New Roman" w:hAnsi="Times New Roman"/>
          <w:sz w:val="24"/>
          <w:szCs w:val="24"/>
          <w:lang w:val="en-US"/>
        </w:rPr>
        <w:t xml:space="preserve">European Financial </w:t>
      </w:r>
      <w:r w:rsidR="00F41105" w:rsidRPr="00A75601">
        <w:rPr>
          <w:rFonts w:ascii="Times New Roman" w:hAnsi="Times New Roman"/>
          <w:sz w:val="24"/>
          <w:szCs w:val="24"/>
        </w:rPr>
        <w:t>Management</w:t>
      </w:r>
      <w:r w:rsidRPr="00A75601">
        <w:rPr>
          <w:rFonts w:ascii="Times New Roman" w:hAnsi="Times New Roman"/>
          <w:sz w:val="24"/>
          <w:szCs w:val="24"/>
        </w:rPr>
        <w:t>.</w:t>
      </w:r>
      <w:r w:rsidR="00703F24" w:rsidRPr="00A75601">
        <w:rPr>
          <w:rFonts w:ascii="Times New Roman" w:hAnsi="Times New Roman"/>
          <w:sz w:val="24"/>
          <w:szCs w:val="24"/>
        </w:rPr>
        <w:t xml:space="preserve"> </w:t>
      </w:r>
      <w:proofErr w:type="spellStart"/>
      <w:r w:rsidR="00703F24" w:rsidRPr="00A75601">
        <w:rPr>
          <w:rFonts w:ascii="Times New Roman" w:hAnsi="Times New Roman"/>
          <w:sz w:val="24"/>
          <w:szCs w:val="24"/>
        </w:rPr>
        <w:t>doi</w:t>
      </w:r>
      <w:proofErr w:type="spellEnd"/>
      <w:r w:rsidR="00703F24" w:rsidRPr="00A75601">
        <w:rPr>
          <w:rFonts w:ascii="Times New Roman" w:hAnsi="Times New Roman"/>
          <w:sz w:val="24"/>
          <w:szCs w:val="24"/>
        </w:rPr>
        <w:t>: 10.1111/j.1468-036X.</w:t>
      </w:r>
      <w:proofErr w:type="gramStart"/>
      <w:r w:rsidR="00703F24" w:rsidRPr="00A75601">
        <w:rPr>
          <w:rFonts w:ascii="Times New Roman" w:hAnsi="Times New Roman"/>
          <w:sz w:val="24"/>
          <w:szCs w:val="24"/>
        </w:rPr>
        <w:t>2013.12023.x</w:t>
      </w:r>
      <w:proofErr w:type="gramEnd"/>
    </w:p>
    <w:p w14:paraId="332C786F" w14:textId="77777777" w:rsidR="00060EC7" w:rsidRPr="00A75601" w:rsidRDefault="00FC7045" w:rsidP="00DA42E4">
      <w:pPr>
        <w:tabs>
          <w:tab w:val="left" w:pos="284"/>
        </w:tabs>
        <w:spacing w:after="120" w:line="240" w:lineRule="auto"/>
        <w:jc w:val="both"/>
        <w:rPr>
          <w:rFonts w:ascii="Times New Roman" w:hAnsi="Times New Roman"/>
          <w:sz w:val="24"/>
          <w:szCs w:val="24"/>
          <w:lang w:val="en-US"/>
        </w:rPr>
      </w:pPr>
      <w:r w:rsidRPr="00A75601">
        <w:rPr>
          <w:rFonts w:ascii="Times New Roman" w:hAnsi="Times New Roman"/>
          <w:sz w:val="24"/>
          <w:szCs w:val="24"/>
          <w:lang w:val="en-US"/>
        </w:rPr>
        <w:t>Merton, R., 1974. On the pricing of corporate debt: the risk structure of interest rates. Journal of Finance 29, 449-470.</w:t>
      </w:r>
    </w:p>
    <w:p w14:paraId="4C150AB9" w14:textId="77777777" w:rsidR="00B66C31" w:rsidRPr="00A75601" w:rsidRDefault="00B66C31" w:rsidP="00DA42E4">
      <w:pPr>
        <w:tabs>
          <w:tab w:val="left" w:pos="284"/>
        </w:tabs>
        <w:spacing w:after="120" w:line="240" w:lineRule="auto"/>
        <w:jc w:val="both"/>
        <w:rPr>
          <w:rFonts w:ascii="Times New Roman" w:hAnsi="Times New Roman"/>
          <w:sz w:val="24"/>
          <w:szCs w:val="24"/>
        </w:rPr>
      </w:pPr>
      <w:r w:rsidRPr="00A75601">
        <w:rPr>
          <w:rFonts w:ascii="Times New Roman" w:hAnsi="Times New Roman"/>
          <w:sz w:val="24"/>
          <w:szCs w:val="24"/>
        </w:rPr>
        <w:t>Moody’s, 2011. Corporate default and recovery rates, 1920-2010.</w:t>
      </w:r>
    </w:p>
    <w:p w14:paraId="5E493139" w14:textId="77777777" w:rsidR="00F921CB" w:rsidRPr="00A75601" w:rsidRDefault="00B66C31" w:rsidP="00DA42E4">
      <w:pPr>
        <w:tabs>
          <w:tab w:val="left" w:pos="284"/>
        </w:tabs>
        <w:spacing w:after="120" w:line="240" w:lineRule="auto"/>
        <w:jc w:val="both"/>
        <w:rPr>
          <w:rFonts w:ascii="Times New Roman" w:hAnsi="Times New Roman"/>
          <w:sz w:val="24"/>
          <w:szCs w:val="24"/>
        </w:rPr>
      </w:pPr>
      <w:r w:rsidRPr="00A75601">
        <w:rPr>
          <w:rFonts w:ascii="Times New Roman" w:hAnsi="Times New Roman"/>
          <w:sz w:val="24"/>
          <w:szCs w:val="24"/>
        </w:rPr>
        <w:t>Norden, L., Weber, M., 2009. The co-movement of credit default swap, bond and stock markets: an empirical analysis. European Financial Management 15, 529-562.</w:t>
      </w:r>
    </w:p>
    <w:p w14:paraId="38F245A1" w14:textId="77777777" w:rsidR="00885682" w:rsidRPr="00A75601" w:rsidRDefault="00885682" w:rsidP="00DA42E4">
      <w:pPr>
        <w:tabs>
          <w:tab w:val="left" w:pos="284"/>
        </w:tabs>
        <w:spacing w:after="120" w:line="240" w:lineRule="auto"/>
        <w:jc w:val="both"/>
        <w:rPr>
          <w:rFonts w:ascii="Times New Roman" w:hAnsi="Times New Roman"/>
          <w:sz w:val="24"/>
          <w:szCs w:val="24"/>
        </w:rPr>
      </w:pPr>
      <w:r w:rsidRPr="00A75601">
        <w:rPr>
          <w:rFonts w:ascii="Times New Roman" w:hAnsi="Times New Roman"/>
          <w:sz w:val="24"/>
          <w:szCs w:val="24"/>
        </w:rPr>
        <w:t>Patton, A.J., 2009. Are “market neutral” hedge funds really market neutral? Review of Financial Studies 22, 2495-2530.</w:t>
      </w:r>
    </w:p>
    <w:p w14:paraId="4165F6DF" w14:textId="77777777" w:rsidR="00DA4EFF" w:rsidRPr="00A75601" w:rsidRDefault="00DA4EFF" w:rsidP="00DA42E4">
      <w:pPr>
        <w:tabs>
          <w:tab w:val="left" w:pos="284"/>
        </w:tabs>
        <w:spacing w:after="120" w:line="240" w:lineRule="auto"/>
        <w:jc w:val="both"/>
        <w:rPr>
          <w:rFonts w:ascii="Times New Roman" w:hAnsi="Times New Roman"/>
          <w:sz w:val="24"/>
          <w:szCs w:val="24"/>
        </w:rPr>
      </w:pPr>
      <w:proofErr w:type="spellStart"/>
      <w:r w:rsidRPr="00A75601">
        <w:rPr>
          <w:rFonts w:ascii="Times New Roman" w:hAnsi="Times New Roman"/>
          <w:sz w:val="24"/>
          <w:szCs w:val="24"/>
        </w:rPr>
        <w:t>Putniņš</w:t>
      </w:r>
      <w:proofErr w:type="spellEnd"/>
      <w:r w:rsidRPr="00A75601">
        <w:rPr>
          <w:rFonts w:ascii="Times New Roman" w:hAnsi="Times New Roman"/>
          <w:sz w:val="24"/>
          <w:szCs w:val="24"/>
        </w:rPr>
        <w:t>, T.J., 2013. What do price discovery metrics really measure? Journal of Empirical Finance 23, 68-83.</w:t>
      </w:r>
    </w:p>
    <w:p w14:paraId="7FBCAA7D" w14:textId="77777777" w:rsidR="00B66C31" w:rsidRPr="00A75601" w:rsidRDefault="00F921CB" w:rsidP="00DA42E4">
      <w:pPr>
        <w:tabs>
          <w:tab w:val="left" w:pos="284"/>
        </w:tabs>
        <w:spacing w:after="120" w:line="240" w:lineRule="auto"/>
        <w:jc w:val="both"/>
        <w:rPr>
          <w:rFonts w:ascii="Times New Roman" w:hAnsi="Times New Roman"/>
          <w:sz w:val="24"/>
          <w:szCs w:val="24"/>
        </w:rPr>
      </w:pPr>
      <w:r w:rsidRPr="00A75601">
        <w:rPr>
          <w:rFonts w:ascii="Times New Roman" w:hAnsi="Times New Roman"/>
          <w:sz w:val="24"/>
          <w:szCs w:val="24"/>
        </w:rPr>
        <w:t xml:space="preserve">Schaefer, S.M., </w:t>
      </w:r>
      <w:proofErr w:type="spellStart"/>
      <w:r w:rsidRPr="00A75601">
        <w:rPr>
          <w:rFonts w:ascii="Times New Roman" w:hAnsi="Times New Roman"/>
          <w:sz w:val="24"/>
          <w:szCs w:val="24"/>
        </w:rPr>
        <w:t>Strebulaev</w:t>
      </w:r>
      <w:proofErr w:type="spellEnd"/>
      <w:r w:rsidRPr="00A75601">
        <w:rPr>
          <w:rFonts w:ascii="Times New Roman" w:hAnsi="Times New Roman"/>
          <w:sz w:val="24"/>
          <w:szCs w:val="24"/>
        </w:rPr>
        <w:t xml:space="preserve">, I.A., 2008. </w:t>
      </w:r>
      <w:r w:rsidR="00361B2B" w:rsidRPr="00A75601">
        <w:rPr>
          <w:rFonts w:ascii="Times New Roman" w:hAnsi="Times New Roman"/>
          <w:sz w:val="24"/>
          <w:szCs w:val="24"/>
        </w:rPr>
        <w:t>Structural models of credit risk are useful: evidence from hedge ratios on corporate bonds. Journal of Financial Economics 90, 1-19.</w:t>
      </w:r>
    </w:p>
    <w:p w14:paraId="03E589AE" w14:textId="77777777" w:rsidR="00DA4EFF" w:rsidRPr="00A75601" w:rsidRDefault="00DA4EFF" w:rsidP="00DA42E4">
      <w:pPr>
        <w:tabs>
          <w:tab w:val="left" w:pos="284"/>
        </w:tabs>
        <w:spacing w:after="120" w:line="240" w:lineRule="auto"/>
        <w:jc w:val="both"/>
        <w:rPr>
          <w:rFonts w:ascii="Times New Roman" w:hAnsi="Times New Roman"/>
          <w:sz w:val="24"/>
          <w:szCs w:val="24"/>
        </w:rPr>
      </w:pPr>
      <w:r w:rsidRPr="00A75601">
        <w:rPr>
          <w:rFonts w:ascii="Times New Roman" w:hAnsi="Times New Roman"/>
          <w:sz w:val="24"/>
          <w:szCs w:val="24"/>
        </w:rPr>
        <w:t xml:space="preserve">Yan, B., </w:t>
      </w:r>
      <w:proofErr w:type="spellStart"/>
      <w:r w:rsidRPr="00A75601">
        <w:rPr>
          <w:rFonts w:ascii="Times New Roman" w:hAnsi="Times New Roman"/>
          <w:sz w:val="24"/>
          <w:szCs w:val="24"/>
        </w:rPr>
        <w:t>Zivot</w:t>
      </w:r>
      <w:proofErr w:type="spellEnd"/>
      <w:r w:rsidRPr="00A75601">
        <w:rPr>
          <w:rFonts w:ascii="Times New Roman" w:hAnsi="Times New Roman"/>
          <w:sz w:val="24"/>
          <w:szCs w:val="24"/>
        </w:rPr>
        <w:t>, E., 2010. A structural analysis of price discovery measures. Journal of Financial Markets 13, 1-19.</w:t>
      </w:r>
    </w:p>
    <w:p w14:paraId="17DF8CE3" w14:textId="77777777" w:rsidR="009F5D71" w:rsidRPr="00A75601" w:rsidRDefault="009F5D71" w:rsidP="00DA42E4">
      <w:pPr>
        <w:tabs>
          <w:tab w:val="left" w:pos="284"/>
        </w:tabs>
        <w:spacing w:after="120" w:line="240" w:lineRule="auto"/>
        <w:jc w:val="both"/>
        <w:rPr>
          <w:rFonts w:ascii="Times New Roman" w:hAnsi="Times New Roman"/>
          <w:sz w:val="24"/>
          <w:szCs w:val="24"/>
        </w:rPr>
      </w:pPr>
      <w:r w:rsidRPr="00A75601">
        <w:rPr>
          <w:rFonts w:ascii="Times New Roman" w:hAnsi="Times New Roman"/>
          <w:sz w:val="24"/>
          <w:szCs w:val="24"/>
        </w:rPr>
        <w:t xml:space="preserve">Yu, F., 2006. How profitable is capital structure arbitrage? Financial Analysts Journal 62, 47-62.  </w:t>
      </w:r>
    </w:p>
    <w:p w14:paraId="762CAE8A" w14:textId="77777777" w:rsidR="00AA5398" w:rsidRPr="00A75601" w:rsidRDefault="00AA5398" w:rsidP="00DA42E4">
      <w:pPr>
        <w:tabs>
          <w:tab w:val="left" w:pos="284"/>
        </w:tabs>
        <w:spacing w:after="120" w:line="240" w:lineRule="auto"/>
        <w:jc w:val="both"/>
        <w:rPr>
          <w:rFonts w:ascii="Times New Roman" w:hAnsi="Times New Roman"/>
          <w:sz w:val="24"/>
          <w:szCs w:val="24"/>
        </w:rPr>
      </w:pPr>
      <w:r w:rsidRPr="00A75601">
        <w:rPr>
          <w:rFonts w:ascii="Times New Roman" w:hAnsi="Times New Roman"/>
          <w:sz w:val="24"/>
          <w:szCs w:val="24"/>
        </w:rPr>
        <w:t>Zhou, C., 2001. The term structure of credit spreads with jump risk. Journal of Banking and Finance 25, 2015-2040.</w:t>
      </w:r>
    </w:p>
    <w:p w14:paraId="2B30C850" w14:textId="77777777" w:rsidR="00DC32C6" w:rsidRPr="00A75601" w:rsidRDefault="009F5D71" w:rsidP="00DA42E4">
      <w:pPr>
        <w:tabs>
          <w:tab w:val="left" w:pos="284"/>
        </w:tabs>
        <w:spacing w:after="120" w:line="240" w:lineRule="auto"/>
        <w:jc w:val="both"/>
        <w:rPr>
          <w:rFonts w:ascii="Times New Roman" w:hAnsi="Times New Roman"/>
          <w:sz w:val="24"/>
          <w:szCs w:val="24"/>
        </w:rPr>
      </w:pPr>
      <w:r w:rsidRPr="00A75601">
        <w:rPr>
          <w:rFonts w:ascii="Times New Roman" w:hAnsi="Times New Roman"/>
          <w:sz w:val="24"/>
          <w:szCs w:val="24"/>
        </w:rPr>
        <w:t>Zhu, H., 2004. An empirical comparison of credit spreads between the bond market and the credit default swap market. Journal of Financial Services Research 29, 211-235.</w:t>
      </w:r>
    </w:p>
    <w:p w14:paraId="0981795C" w14:textId="77777777" w:rsidR="00201560" w:rsidRDefault="00201560" w:rsidP="00201560">
      <w:pPr>
        <w:tabs>
          <w:tab w:val="left" w:pos="284"/>
        </w:tabs>
        <w:spacing w:after="120" w:line="240" w:lineRule="auto"/>
        <w:jc w:val="both"/>
        <w:rPr>
          <w:rFonts w:ascii="Times New Roman" w:hAnsi="Times New Roman"/>
          <w:b/>
          <w:sz w:val="24"/>
          <w:szCs w:val="24"/>
        </w:rPr>
      </w:pPr>
    </w:p>
    <w:p w14:paraId="47197F29" w14:textId="77777777" w:rsidR="004A7F6B" w:rsidRDefault="00C47672" w:rsidP="00DC32C6">
      <w:pPr>
        <w:spacing w:after="0" w:line="240" w:lineRule="auto"/>
        <w:rPr>
          <w:rFonts w:ascii="Times New Roman" w:hAnsi="Times New Roman"/>
          <w:b/>
          <w:sz w:val="24"/>
          <w:szCs w:val="24"/>
        </w:rPr>
      </w:pPr>
      <w:r>
        <w:rPr>
          <w:rFonts w:ascii="Times New Roman" w:hAnsi="Times New Roman"/>
          <w:b/>
          <w:sz w:val="24"/>
          <w:szCs w:val="24"/>
        </w:rPr>
        <w:t>Exhibit</w:t>
      </w:r>
      <w:r w:rsidR="004A7F6B" w:rsidRPr="003F2B73">
        <w:rPr>
          <w:rFonts w:ascii="Times New Roman" w:hAnsi="Times New Roman"/>
          <w:b/>
          <w:sz w:val="24"/>
          <w:szCs w:val="24"/>
        </w:rPr>
        <w:t xml:space="preserve"> </w:t>
      </w:r>
      <w:r w:rsidR="004A7F6B">
        <w:rPr>
          <w:rFonts w:ascii="Times New Roman" w:hAnsi="Times New Roman"/>
          <w:b/>
          <w:sz w:val="24"/>
          <w:szCs w:val="24"/>
        </w:rPr>
        <w:t>1</w:t>
      </w:r>
      <w:r w:rsidR="004A7F6B" w:rsidRPr="003F2B73">
        <w:rPr>
          <w:rFonts w:ascii="Times New Roman" w:hAnsi="Times New Roman"/>
          <w:b/>
          <w:sz w:val="24"/>
          <w:szCs w:val="24"/>
        </w:rPr>
        <w:t xml:space="preserve">. </w:t>
      </w:r>
      <w:r w:rsidR="009A7AC4">
        <w:rPr>
          <w:rFonts w:ascii="Times New Roman" w:hAnsi="Times New Roman"/>
          <w:b/>
          <w:sz w:val="24"/>
          <w:szCs w:val="24"/>
        </w:rPr>
        <w:t>Trading rules of the strategies</w:t>
      </w:r>
    </w:p>
    <w:p w14:paraId="38301F56" w14:textId="77777777" w:rsidR="00DA42E4" w:rsidRDefault="00DA42E4" w:rsidP="00DC32C6">
      <w:pPr>
        <w:spacing w:after="0" w:line="240" w:lineRule="auto"/>
        <w:rPr>
          <w:rFonts w:ascii="Times New Roman" w:hAnsi="Times New Roman"/>
          <w:b/>
          <w:sz w:val="24"/>
          <w:szCs w:val="24"/>
        </w:rPr>
      </w:pPr>
    </w:p>
    <w:tbl>
      <w:tblPr>
        <w:tblStyle w:val="TableGrid"/>
        <w:tblW w:w="5000" w:type="pct"/>
        <w:jc w:val="center"/>
        <w:tblLook w:val="04A0" w:firstRow="1" w:lastRow="0" w:firstColumn="1" w:lastColumn="0" w:noHBand="0" w:noVBand="1"/>
      </w:tblPr>
      <w:tblGrid>
        <w:gridCol w:w="1062"/>
        <w:gridCol w:w="6505"/>
        <w:gridCol w:w="664"/>
        <w:gridCol w:w="786"/>
      </w:tblGrid>
      <w:tr w:rsidR="00F746B1" w:rsidRPr="003003FF" w14:paraId="3E979160" w14:textId="77777777" w:rsidTr="00FE0EF2">
        <w:trPr>
          <w:jc w:val="center"/>
        </w:trPr>
        <w:tc>
          <w:tcPr>
            <w:tcW w:w="589" w:type="pct"/>
            <w:vMerge w:val="restart"/>
            <w:vAlign w:val="center"/>
          </w:tcPr>
          <w:p w14:paraId="292EFF1C" w14:textId="77777777" w:rsidR="00F746B1" w:rsidRPr="00401DCD" w:rsidRDefault="00D7101E" w:rsidP="00FE0EF2">
            <w:pPr>
              <w:jc w:val="center"/>
              <w:rPr>
                <w:rFonts w:ascii="Times New Roman" w:hAnsi="Times New Roman"/>
                <w:b/>
              </w:rPr>
            </w:pPr>
            <w:r>
              <w:rPr>
                <w:rFonts w:ascii="Times New Roman" w:hAnsi="Times New Roman"/>
                <w:b/>
              </w:rPr>
              <w:t>Strategy</w:t>
            </w:r>
          </w:p>
        </w:tc>
        <w:tc>
          <w:tcPr>
            <w:tcW w:w="3607" w:type="pct"/>
            <w:vMerge w:val="restart"/>
            <w:vAlign w:val="center"/>
          </w:tcPr>
          <w:p w14:paraId="0AFD98FC" w14:textId="77777777" w:rsidR="00F746B1" w:rsidRPr="00401DCD" w:rsidRDefault="00F746B1" w:rsidP="00FE0EF2">
            <w:pPr>
              <w:jc w:val="center"/>
              <w:rPr>
                <w:rFonts w:ascii="Times New Roman" w:hAnsi="Times New Roman"/>
                <w:b/>
              </w:rPr>
            </w:pPr>
            <w:r w:rsidRPr="00401DCD">
              <w:rPr>
                <w:rFonts w:ascii="Times New Roman" w:hAnsi="Times New Roman"/>
                <w:b/>
              </w:rPr>
              <w:t>Trading rule condition</w:t>
            </w:r>
          </w:p>
        </w:tc>
        <w:tc>
          <w:tcPr>
            <w:tcW w:w="804" w:type="pct"/>
            <w:gridSpan w:val="2"/>
            <w:vAlign w:val="center"/>
          </w:tcPr>
          <w:p w14:paraId="3DE2BDC9" w14:textId="77777777" w:rsidR="00F746B1" w:rsidRPr="00401DCD" w:rsidRDefault="00F746B1" w:rsidP="00FE0EF2">
            <w:pPr>
              <w:jc w:val="center"/>
              <w:rPr>
                <w:rFonts w:ascii="Times New Roman" w:hAnsi="Times New Roman"/>
                <w:b/>
              </w:rPr>
            </w:pPr>
            <w:r w:rsidRPr="00401DCD">
              <w:rPr>
                <w:rFonts w:ascii="Times New Roman" w:hAnsi="Times New Roman"/>
                <w:b/>
              </w:rPr>
              <w:t>Trade</w:t>
            </w:r>
          </w:p>
        </w:tc>
      </w:tr>
      <w:tr w:rsidR="00F746B1" w:rsidRPr="003003FF" w14:paraId="5240DE42" w14:textId="77777777" w:rsidTr="00FE0EF2">
        <w:trPr>
          <w:jc w:val="center"/>
        </w:trPr>
        <w:tc>
          <w:tcPr>
            <w:tcW w:w="589" w:type="pct"/>
            <w:vMerge/>
            <w:vAlign w:val="center"/>
          </w:tcPr>
          <w:p w14:paraId="57B0E30B" w14:textId="77777777" w:rsidR="00F746B1" w:rsidRPr="00846BB2" w:rsidRDefault="00F746B1" w:rsidP="00FE0EF2">
            <w:pPr>
              <w:jc w:val="center"/>
              <w:rPr>
                <w:rFonts w:ascii="Times New Roman" w:hAnsi="Times New Roman"/>
                <w:b/>
                <w:color w:val="FF0000"/>
              </w:rPr>
            </w:pPr>
          </w:p>
        </w:tc>
        <w:tc>
          <w:tcPr>
            <w:tcW w:w="3607" w:type="pct"/>
            <w:vMerge/>
            <w:vAlign w:val="center"/>
          </w:tcPr>
          <w:p w14:paraId="38030EAA" w14:textId="77777777" w:rsidR="00F746B1" w:rsidRPr="00846BB2" w:rsidRDefault="00F746B1" w:rsidP="00FE0EF2">
            <w:pPr>
              <w:jc w:val="center"/>
              <w:rPr>
                <w:rFonts w:ascii="Times New Roman" w:hAnsi="Times New Roman"/>
                <w:b/>
                <w:color w:val="FF0000"/>
              </w:rPr>
            </w:pPr>
          </w:p>
        </w:tc>
        <w:tc>
          <w:tcPr>
            <w:tcW w:w="368" w:type="pct"/>
            <w:vAlign w:val="center"/>
          </w:tcPr>
          <w:p w14:paraId="68565849" w14:textId="77777777" w:rsidR="00F746B1" w:rsidRPr="00401DCD" w:rsidRDefault="00F746B1" w:rsidP="00FE0EF2">
            <w:pPr>
              <w:jc w:val="center"/>
              <w:rPr>
                <w:rFonts w:ascii="Times New Roman" w:hAnsi="Times New Roman"/>
                <w:b/>
              </w:rPr>
            </w:pPr>
            <w:r w:rsidRPr="00401DCD">
              <w:rPr>
                <w:rFonts w:ascii="Times New Roman" w:hAnsi="Times New Roman"/>
                <w:b/>
              </w:rPr>
              <w:t>CDS</w:t>
            </w:r>
          </w:p>
        </w:tc>
        <w:tc>
          <w:tcPr>
            <w:tcW w:w="436" w:type="pct"/>
            <w:vAlign w:val="center"/>
          </w:tcPr>
          <w:p w14:paraId="5385E221" w14:textId="77777777" w:rsidR="00F746B1" w:rsidRPr="00401DCD" w:rsidRDefault="00F746B1" w:rsidP="00FE0EF2">
            <w:pPr>
              <w:jc w:val="center"/>
              <w:rPr>
                <w:rFonts w:ascii="Times New Roman" w:hAnsi="Times New Roman"/>
                <w:b/>
              </w:rPr>
            </w:pPr>
            <w:r w:rsidRPr="00401DCD">
              <w:rPr>
                <w:rFonts w:ascii="Times New Roman" w:hAnsi="Times New Roman"/>
                <w:b/>
              </w:rPr>
              <w:t>equity</w:t>
            </w:r>
          </w:p>
        </w:tc>
      </w:tr>
      <w:tr w:rsidR="00F746B1" w:rsidRPr="003003FF" w14:paraId="25FAE498" w14:textId="77777777" w:rsidTr="00FE0EF2">
        <w:trPr>
          <w:jc w:val="center"/>
        </w:trPr>
        <w:tc>
          <w:tcPr>
            <w:tcW w:w="589" w:type="pct"/>
            <w:vMerge w:val="restart"/>
            <w:vAlign w:val="center"/>
          </w:tcPr>
          <w:p w14:paraId="1D9B74C0" w14:textId="77777777" w:rsidR="00F746B1" w:rsidRPr="003003FF" w:rsidRDefault="00F746B1" w:rsidP="00FE0EF2">
            <w:pPr>
              <w:jc w:val="center"/>
              <w:rPr>
                <w:rFonts w:ascii="Times New Roman" w:hAnsi="Times New Roman"/>
              </w:rPr>
            </w:pPr>
            <w:r w:rsidRPr="003003FF">
              <w:rPr>
                <w:rFonts w:ascii="Times New Roman" w:hAnsi="Times New Roman"/>
              </w:rPr>
              <w:t>Strategy 1</w:t>
            </w:r>
          </w:p>
        </w:tc>
        <w:tc>
          <w:tcPr>
            <w:tcW w:w="3607" w:type="pct"/>
            <w:vAlign w:val="center"/>
          </w:tcPr>
          <w:p w14:paraId="6FDABD5E" w14:textId="77777777" w:rsidR="00F746B1" w:rsidRPr="003003FF" w:rsidRDefault="007E3D27" w:rsidP="00FE0EF2">
            <w:pPr>
              <w:rPr>
                <w:rFonts w:ascii="Times New Roman" w:hAnsi="Times New Roman"/>
              </w:rPr>
            </w:pPr>
            <m:oMathPara>
              <m:oMath>
                <m:sSub>
                  <m:sSubPr>
                    <m:ctrlPr>
                      <w:rPr>
                        <w:rFonts w:ascii="Cambria Math" w:hAnsi="Cambria Math"/>
                        <w:i/>
                      </w:rPr>
                    </m:ctrlPr>
                  </m:sSubPr>
                  <m:e>
                    <m:r>
                      <w:rPr>
                        <w:rFonts w:ascii="Cambria Math" w:hAnsi="Cambria Math"/>
                      </w:rPr>
                      <m:t>cds</m:t>
                    </m:r>
                  </m:e>
                  <m:sub>
                    <m:r>
                      <w:rPr>
                        <w:rFonts w:ascii="Cambria Math" w:hAnsi="Cambria Math"/>
                      </w:rPr>
                      <m:t>t-1</m:t>
                    </m:r>
                  </m:sub>
                </m:sSub>
                <m:r>
                  <w:rPr>
                    <w:rFonts w:ascii="Cambria Math" w:hAnsi="Cambria Math"/>
                  </w:rPr>
                  <m:t>&gt;</m:t>
                </m:r>
                <m:d>
                  <m:dPr>
                    <m:ctrlPr>
                      <w:rPr>
                        <w:rFonts w:ascii="Cambria Math" w:hAnsi="Cambria Math"/>
                        <w:i/>
                      </w:rPr>
                    </m:ctrlPr>
                  </m:dPr>
                  <m:e>
                    <m:r>
                      <w:rPr>
                        <w:rFonts w:ascii="Cambria Math" w:hAnsi="Cambria Math"/>
                      </w:rPr>
                      <m:t>1+θ</m:t>
                    </m:r>
                  </m:e>
                </m:d>
                <m:r>
                  <w:rPr>
                    <w:rFonts w:ascii="Cambria Math" w:hAnsi="Cambria Math"/>
                  </w:rPr>
                  <m:t>*</m:t>
                </m:r>
                <m:sSub>
                  <m:sSubPr>
                    <m:ctrlPr>
                      <w:rPr>
                        <w:rFonts w:ascii="Cambria Math" w:hAnsi="Cambria Math"/>
                        <w:i/>
                      </w:rPr>
                    </m:ctrlPr>
                  </m:sSubPr>
                  <m:e>
                    <m:r>
                      <w:rPr>
                        <w:rFonts w:ascii="Cambria Math" w:hAnsi="Cambria Math"/>
                      </w:rPr>
                      <m:t>eis</m:t>
                    </m:r>
                  </m:e>
                  <m:sub>
                    <m:r>
                      <w:rPr>
                        <w:rFonts w:ascii="Cambria Math" w:hAnsi="Cambria Math"/>
                      </w:rPr>
                      <m:t>t-1</m:t>
                    </m:r>
                  </m:sub>
                </m:sSub>
              </m:oMath>
            </m:oMathPara>
          </w:p>
        </w:tc>
        <w:tc>
          <w:tcPr>
            <w:tcW w:w="368" w:type="pct"/>
            <w:vAlign w:val="center"/>
          </w:tcPr>
          <w:p w14:paraId="359FB443" w14:textId="77777777" w:rsidR="00F746B1" w:rsidRPr="003003FF" w:rsidRDefault="00F746B1" w:rsidP="00FE0EF2">
            <w:pPr>
              <w:rPr>
                <w:rFonts w:ascii="Times New Roman" w:hAnsi="Times New Roman"/>
              </w:rPr>
            </w:pPr>
            <w:r w:rsidRPr="003003FF">
              <w:rPr>
                <w:rFonts w:ascii="Times New Roman" w:hAnsi="Times New Roman"/>
              </w:rPr>
              <w:t>short</w:t>
            </w:r>
          </w:p>
        </w:tc>
        <w:tc>
          <w:tcPr>
            <w:tcW w:w="436" w:type="pct"/>
            <w:vAlign w:val="center"/>
          </w:tcPr>
          <w:p w14:paraId="4AD34495" w14:textId="77777777" w:rsidR="00F746B1" w:rsidRPr="003003FF" w:rsidRDefault="00F746B1" w:rsidP="00FE0EF2">
            <w:pPr>
              <w:rPr>
                <w:rFonts w:ascii="Times New Roman" w:hAnsi="Times New Roman"/>
              </w:rPr>
            </w:pPr>
            <w:r w:rsidRPr="003003FF">
              <w:rPr>
                <w:rFonts w:ascii="Times New Roman" w:hAnsi="Times New Roman"/>
              </w:rPr>
              <w:t>short</w:t>
            </w:r>
          </w:p>
        </w:tc>
      </w:tr>
      <w:tr w:rsidR="00F746B1" w:rsidRPr="003003FF" w14:paraId="391C6D53" w14:textId="77777777" w:rsidTr="00FE0EF2">
        <w:trPr>
          <w:jc w:val="center"/>
        </w:trPr>
        <w:tc>
          <w:tcPr>
            <w:tcW w:w="589" w:type="pct"/>
            <w:vMerge/>
            <w:vAlign w:val="center"/>
          </w:tcPr>
          <w:p w14:paraId="2520543E" w14:textId="77777777" w:rsidR="00F746B1" w:rsidRPr="003003FF" w:rsidRDefault="00F746B1" w:rsidP="00FE0EF2">
            <w:pPr>
              <w:rPr>
                <w:rFonts w:ascii="Times New Roman" w:hAnsi="Times New Roman"/>
              </w:rPr>
            </w:pPr>
          </w:p>
        </w:tc>
        <w:tc>
          <w:tcPr>
            <w:tcW w:w="3607" w:type="pct"/>
            <w:vAlign w:val="center"/>
          </w:tcPr>
          <w:p w14:paraId="644C8AC4" w14:textId="77777777" w:rsidR="00F746B1" w:rsidRPr="003003FF" w:rsidRDefault="007E3D27" w:rsidP="00FE0EF2">
            <w:pPr>
              <w:rPr>
                <w:rFonts w:ascii="Times New Roman" w:hAnsi="Times New Roman"/>
              </w:rPr>
            </w:pPr>
            <m:oMathPara>
              <m:oMath>
                <m:sSub>
                  <m:sSubPr>
                    <m:ctrlPr>
                      <w:rPr>
                        <w:rFonts w:ascii="Cambria Math" w:hAnsi="Cambria Math"/>
                        <w:i/>
                      </w:rPr>
                    </m:ctrlPr>
                  </m:sSubPr>
                  <m:e>
                    <m:r>
                      <w:rPr>
                        <w:rFonts w:ascii="Cambria Math" w:hAnsi="Cambria Math"/>
                      </w:rPr>
                      <m:t xml:space="preserve">   eis</m:t>
                    </m:r>
                  </m:e>
                  <m:sub>
                    <m:r>
                      <w:rPr>
                        <w:rFonts w:ascii="Cambria Math" w:hAnsi="Cambria Math"/>
                      </w:rPr>
                      <m:t>t-1</m:t>
                    </m:r>
                  </m:sub>
                </m:sSub>
                <m:r>
                  <w:rPr>
                    <w:rFonts w:ascii="Cambria Math" w:hAnsi="Cambria Math"/>
                  </w:rPr>
                  <m:t>&gt;</m:t>
                </m:r>
                <m:d>
                  <m:dPr>
                    <m:ctrlPr>
                      <w:rPr>
                        <w:rFonts w:ascii="Cambria Math" w:hAnsi="Cambria Math"/>
                        <w:i/>
                      </w:rPr>
                    </m:ctrlPr>
                  </m:dPr>
                  <m:e>
                    <m:r>
                      <w:rPr>
                        <w:rFonts w:ascii="Cambria Math" w:hAnsi="Cambria Math"/>
                      </w:rPr>
                      <m:t>1+θ</m:t>
                    </m:r>
                  </m:e>
                </m:d>
                <m:r>
                  <w:rPr>
                    <w:rFonts w:ascii="Cambria Math" w:hAnsi="Cambria Math"/>
                  </w:rPr>
                  <m:t>*</m:t>
                </m:r>
                <m:sSub>
                  <m:sSubPr>
                    <m:ctrlPr>
                      <w:rPr>
                        <w:rFonts w:ascii="Cambria Math" w:hAnsi="Cambria Math"/>
                        <w:i/>
                      </w:rPr>
                    </m:ctrlPr>
                  </m:sSubPr>
                  <m:e>
                    <m:r>
                      <w:rPr>
                        <w:rFonts w:ascii="Cambria Math" w:hAnsi="Cambria Math"/>
                      </w:rPr>
                      <m:t>cds</m:t>
                    </m:r>
                  </m:e>
                  <m:sub>
                    <m:r>
                      <w:rPr>
                        <w:rFonts w:ascii="Cambria Math" w:hAnsi="Cambria Math"/>
                      </w:rPr>
                      <m:t>t-1</m:t>
                    </m:r>
                  </m:sub>
                </m:sSub>
                <m:r>
                  <w:rPr>
                    <w:rFonts w:ascii="Cambria Math" w:hAnsi="Cambria Math"/>
                  </w:rPr>
                  <m:t xml:space="preserve">   </m:t>
                </m:r>
              </m:oMath>
            </m:oMathPara>
          </w:p>
        </w:tc>
        <w:tc>
          <w:tcPr>
            <w:tcW w:w="368" w:type="pct"/>
            <w:vAlign w:val="center"/>
          </w:tcPr>
          <w:p w14:paraId="67745C8A" w14:textId="77777777" w:rsidR="00F746B1" w:rsidRPr="003003FF" w:rsidRDefault="00F746B1" w:rsidP="00FE0EF2">
            <w:pPr>
              <w:rPr>
                <w:rFonts w:ascii="Times New Roman" w:hAnsi="Times New Roman"/>
              </w:rPr>
            </w:pPr>
            <w:r w:rsidRPr="003003FF">
              <w:rPr>
                <w:rFonts w:ascii="Times New Roman" w:hAnsi="Times New Roman"/>
              </w:rPr>
              <w:t>long</w:t>
            </w:r>
          </w:p>
        </w:tc>
        <w:tc>
          <w:tcPr>
            <w:tcW w:w="436" w:type="pct"/>
            <w:vAlign w:val="center"/>
          </w:tcPr>
          <w:p w14:paraId="760F0414" w14:textId="77777777" w:rsidR="00F746B1" w:rsidRPr="003003FF" w:rsidRDefault="00F746B1" w:rsidP="00FE0EF2">
            <w:pPr>
              <w:rPr>
                <w:rFonts w:ascii="Times New Roman" w:hAnsi="Times New Roman"/>
              </w:rPr>
            </w:pPr>
            <w:r w:rsidRPr="003003FF">
              <w:rPr>
                <w:rFonts w:ascii="Times New Roman" w:hAnsi="Times New Roman"/>
              </w:rPr>
              <w:t>long</w:t>
            </w:r>
          </w:p>
        </w:tc>
      </w:tr>
      <w:tr w:rsidR="00F746B1" w:rsidRPr="003003FF" w14:paraId="6AEE6423" w14:textId="77777777" w:rsidTr="00FE0EF2">
        <w:trPr>
          <w:jc w:val="center"/>
        </w:trPr>
        <w:tc>
          <w:tcPr>
            <w:tcW w:w="589" w:type="pct"/>
            <w:vMerge w:val="restart"/>
            <w:vAlign w:val="center"/>
          </w:tcPr>
          <w:p w14:paraId="129ADEF3" w14:textId="77777777" w:rsidR="00F746B1" w:rsidRPr="003003FF" w:rsidRDefault="00F746B1" w:rsidP="00FE0EF2">
            <w:pPr>
              <w:jc w:val="center"/>
              <w:rPr>
                <w:rFonts w:ascii="Times New Roman" w:hAnsi="Times New Roman"/>
              </w:rPr>
            </w:pPr>
            <w:r w:rsidRPr="003003FF">
              <w:rPr>
                <w:rFonts w:ascii="Times New Roman" w:hAnsi="Times New Roman"/>
              </w:rPr>
              <w:lastRenderedPageBreak/>
              <w:t>Strategy 2</w:t>
            </w:r>
          </w:p>
        </w:tc>
        <w:tc>
          <w:tcPr>
            <w:tcW w:w="3607" w:type="pct"/>
            <w:vAlign w:val="center"/>
          </w:tcPr>
          <w:p w14:paraId="5A67C2ED" w14:textId="77777777" w:rsidR="00F746B1" w:rsidRPr="003003FF" w:rsidRDefault="007E3D27" w:rsidP="00FE0EF2">
            <w:pPr>
              <w:rPr>
                <w:rFonts w:ascii="Times New Roman" w:hAnsi="Times New Roman"/>
              </w:rPr>
            </w:pPr>
            <m:oMathPara>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cds</m:t>
                        </m:r>
                      </m:e>
                      <m:sub>
                        <m:r>
                          <w:rPr>
                            <w:rFonts w:ascii="Cambria Math" w:hAnsi="Cambria Math"/>
                          </w:rPr>
                          <m:t>t-1</m:t>
                        </m:r>
                      </m:sub>
                    </m:sSub>
                    <m:r>
                      <w:rPr>
                        <w:rFonts w:ascii="Cambria Math" w:hAnsi="Cambria Math"/>
                      </w:rPr>
                      <m:t>&gt;</m:t>
                    </m:r>
                    <m:d>
                      <m:dPr>
                        <m:ctrlPr>
                          <w:rPr>
                            <w:rFonts w:ascii="Cambria Math" w:hAnsi="Cambria Math"/>
                            <w:i/>
                          </w:rPr>
                        </m:ctrlPr>
                      </m:dPr>
                      <m:e>
                        <m:r>
                          <w:rPr>
                            <w:rFonts w:ascii="Cambria Math" w:hAnsi="Cambria Math"/>
                          </w:rPr>
                          <m:t>1+θ</m:t>
                        </m:r>
                      </m:e>
                    </m:d>
                    <m:r>
                      <w:rPr>
                        <w:rFonts w:ascii="Cambria Math" w:hAnsi="Cambria Math"/>
                      </w:rPr>
                      <m:t>*</m:t>
                    </m:r>
                    <m:sSub>
                      <m:sSubPr>
                        <m:ctrlPr>
                          <w:rPr>
                            <w:rFonts w:ascii="Cambria Math" w:hAnsi="Cambria Math"/>
                            <w:i/>
                          </w:rPr>
                        </m:ctrlPr>
                      </m:sSubPr>
                      <m:e>
                        <m:r>
                          <w:rPr>
                            <w:rFonts w:ascii="Cambria Math" w:hAnsi="Cambria Math"/>
                          </w:rPr>
                          <m:t>eis</m:t>
                        </m:r>
                      </m:e>
                      <m:sub>
                        <m:r>
                          <w:rPr>
                            <w:rFonts w:ascii="Cambria Math" w:hAnsi="Cambria Math"/>
                          </w:rPr>
                          <m:t>t-1</m:t>
                        </m:r>
                      </m:sub>
                    </m:sSub>
                  </m:e>
                </m:d>
                <m:r>
                  <m:rPr>
                    <m:nor/>
                  </m:rPr>
                  <w:rPr>
                    <w:rFonts w:ascii="Times New Roman" w:hAnsi="Times New Roman"/>
                  </w:rPr>
                  <m:t xml:space="preserve"> and </m:t>
                </m:r>
                <m:d>
                  <m:dPr>
                    <m:begChr m:val="["/>
                    <m:endChr m:val="]"/>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IS</m:t>
                            </m:r>
                          </m:e>
                          <m:sub>
                            <m:r>
                              <w:rPr>
                                <w:rFonts w:ascii="Cambria Math" w:hAnsi="Cambria Math"/>
                              </w:rPr>
                              <m:t>cds,t-1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l</m:t>
                            </m:r>
                          </m:sub>
                        </m:sSub>
                      </m:e>
                    </m:d>
                    <m:r>
                      <m:rPr>
                        <m:nor/>
                      </m:rPr>
                      <w:rPr>
                        <w:rFonts w:ascii="Times New Roman" w:hAnsi="Times New Roman"/>
                      </w:rPr>
                      <m:t xml:space="preserve"> or </m:t>
                    </m:r>
                    <m:r>
                      <w:rPr>
                        <w:rFonts w:ascii="Cambria Math" w:hAnsi="Cambria Math"/>
                      </w:rPr>
                      <m:t>(</m:t>
                    </m:r>
                    <m:sSub>
                      <m:sSubPr>
                        <m:ctrlPr>
                          <w:rPr>
                            <w:rFonts w:ascii="Cambria Math" w:hAnsi="Cambria Math"/>
                            <w:i/>
                          </w:rPr>
                        </m:ctrlPr>
                      </m:sSubPr>
                      <m:e>
                        <m:r>
                          <w:rPr>
                            <w:rFonts w:ascii="Cambria Math" w:hAnsi="Cambria Math"/>
                          </w:rPr>
                          <m:t>IS</m:t>
                        </m:r>
                      </m:e>
                      <m:sub>
                        <m:r>
                          <w:rPr>
                            <w:rFonts w:ascii="Cambria Math" w:hAnsi="Cambria Math"/>
                          </w:rPr>
                          <m:t>cds,t-1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u</m:t>
                        </m:r>
                      </m:sub>
                    </m:sSub>
                    <m:r>
                      <w:rPr>
                        <w:rFonts w:ascii="Cambria Math" w:hAnsi="Cambria Math"/>
                      </w:rPr>
                      <m:t>)</m:t>
                    </m:r>
                  </m:e>
                </m:d>
              </m:oMath>
            </m:oMathPara>
          </w:p>
        </w:tc>
        <w:tc>
          <w:tcPr>
            <w:tcW w:w="368" w:type="pct"/>
            <w:vAlign w:val="center"/>
          </w:tcPr>
          <w:p w14:paraId="59ADF635" w14:textId="77777777" w:rsidR="00F746B1" w:rsidRPr="003003FF" w:rsidRDefault="00F746B1" w:rsidP="00FE0EF2">
            <w:pPr>
              <w:rPr>
                <w:rFonts w:ascii="Times New Roman" w:hAnsi="Times New Roman"/>
              </w:rPr>
            </w:pPr>
            <w:r w:rsidRPr="003003FF">
              <w:rPr>
                <w:rFonts w:ascii="Times New Roman" w:hAnsi="Times New Roman"/>
              </w:rPr>
              <w:t>short</w:t>
            </w:r>
          </w:p>
        </w:tc>
        <w:tc>
          <w:tcPr>
            <w:tcW w:w="436" w:type="pct"/>
            <w:vAlign w:val="center"/>
          </w:tcPr>
          <w:p w14:paraId="01CB2F9E" w14:textId="77777777" w:rsidR="00F746B1" w:rsidRPr="003003FF" w:rsidRDefault="00F746B1" w:rsidP="00FE0EF2">
            <w:pPr>
              <w:rPr>
                <w:rFonts w:ascii="Times New Roman" w:hAnsi="Times New Roman"/>
              </w:rPr>
            </w:pPr>
            <w:r w:rsidRPr="003003FF">
              <w:rPr>
                <w:rFonts w:ascii="Times New Roman" w:hAnsi="Times New Roman"/>
              </w:rPr>
              <w:t>short</w:t>
            </w:r>
          </w:p>
        </w:tc>
      </w:tr>
      <w:tr w:rsidR="00F746B1" w:rsidRPr="003003FF" w14:paraId="2F63577B" w14:textId="77777777" w:rsidTr="00FE0EF2">
        <w:trPr>
          <w:jc w:val="center"/>
        </w:trPr>
        <w:tc>
          <w:tcPr>
            <w:tcW w:w="589" w:type="pct"/>
            <w:vMerge/>
            <w:vAlign w:val="center"/>
          </w:tcPr>
          <w:p w14:paraId="56848535" w14:textId="77777777" w:rsidR="00F746B1" w:rsidRPr="003003FF" w:rsidRDefault="00F746B1" w:rsidP="00FE0EF2">
            <w:pPr>
              <w:rPr>
                <w:rFonts w:ascii="Times New Roman" w:hAnsi="Times New Roman"/>
              </w:rPr>
            </w:pPr>
          </w:p>
        </w:tc>
        <w:tc>
          <w:tcPr>
            <w:tcW w:w="3607" w:type="pct"/>
            <w:vAlign w:val="center"/>
          </w:tcPr>
          <w:p w14:paraId="34F721CA" w14:textId="77777777" w:rsidR="00F746B1" w:rsidRPr="003003FF" w:rsidRDefault="007E3D27" w:rsidP="00FE0EF2">
            <w:pPr>
              <w:rPr>
                <w:rFonts w:ascii="Times New Roman" w:hAnsi="Times New Roman"/>
              </w:rPr>
            </w:pPr>
            <m:oMathPara>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eis</m:t>
                        </m:r>
                      </m:e>
                      <m:sub>
                        <m:r>
                          <w:rPr>
                            <w:rFonts w:ascii="Cambria Math" w:hAnsi="Cambria Math"/>
                          </w:rPr>
                          <m:t>t-1</m:t>
                        </m:r>
                      </m:sub>
                    </m:sSub>
                    <m:r>
                      <w:rPr>
                        <w:rFonts w:ascii="Cambria Math" w:hAnsi="Cambria Math"/>
                      </w:rPr>
                      <m:t>&gt;</m:t>
                    </m:r>
                    <m:d>
                      <m:dPr>
                        <m:ctrlPr>
                          <w:rPr>
                            <w:rFonts w:ascii="Cambria Math" w:hAnsi="Cambria Math"/>
                            <w:i/>
                          </w:rPr>
                        </m:ctrlPr>
                      </m:dPr>
                      <m:e>
                        <m:r>
                          <w:rPr>
                            <w:rFonts w:ascii="Cambria Math" w:hAnsi="Cambria Math"/>
                          </w:rPr>
                          <m:t>1+θ</m:t>
                        </m:r>
                      </m:e>
                    </m:d>
                    <m:r>
                      <w:rPr>
                        <w:rFonts w:ascii="Cambria Math" w:hAnsi="Cambria Math"/>
                      </w:rPr>
                      <m:t>*</m:t>
                    </m:r>
                    <m:sSub>
                      <m:sSubPr>
                        <m:ctrlPr>
                          <w:rPr>
                            <w:rFonts w:ascii="Cambria Math" w:hAnsi="Cambria Math"/>
                            <w:i/>
                          </w:rPr>
                        </m:ctrlPr>
                      </m:sSubPr>
                      <m:e>
                        <m:r>
                          <w:rPr>
                            <w:rFonts w:ascii="Cambria Math" w:hAnsi="Cambria Math"/>
                          </w:rPr>
                          <m:t>cds</m:t>
                        </m:r>
                      </m:e>
                      <m:sub>
                        <m:r>
                          <w:rPr>
                            <w:rFonts w:ascii="Cambria Math" w:hAnsi="Cambria Math"/>
                          </w:rPr>
                          <m:t>t-1</m:t>
                        </m:r>
                      </m:sub>
                    </m:sSub>
                  </m:e>
                </m:d>
                <m:r>
                  <m:rPr>
                    <m:nor/>
                  </m:rPr>
                  <w:rPr>
                    <w:rFonts w:ascii="Times New Roman" w:hAnsi="Times New Roman"/>
                  </w:rPr>
                  <m:t xml:space="preserve"> and </m:t>
                </m:r>
                <m:d>
                  <m:dPr>
                    <m:begChr m:val="["/>
                    <m:endChr m:val="]"/>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IS</m:t>
                            </m:r>
                          </m:e>
                          <m:sub>
                            <m:r>
                              <w:rPr>
                                <w:rFonts w:ascii="Cambria Math" w:hAnsi="Cambria Math"/>
                              </w:rPr>
                              <m:t>cds,t-1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l</m:t>
                            </m:r>
                          </m:sub>
                        </m:sSub>
                      </m:e>
                    </m:d>
                    <m:r>
                      <m:rPr>
                        <m:nor/>
                      </m:rPr>
                      <w:rPr>
                        <w:rFonts w:ascii="Times New Roman" w:hAnsi="Times New Roman"/>
                      </w:rPr>
                      <m:t xml:space="preserve"> or </m:t>
                    </m:r>
                    <m:r>
                      <w:rPr>
                        <w:rFonts w:ascii="Cambria Math" w:hAnsi="Cambria Math"/>
                      </w:rPr>
                      <m:t>(</m:t>
                    </m:r>
                    <m:sSub>
                      <m:sSubPr>
                        <m:ctrlPr>
                          <w:rPr>
                            <w:rFonts w:ascii="Cambria Math" w:hAnsi="Cambria Math"/>
                            <w:i/>
                          </w:rPr>
                        </m:ctrlPr>
                      </m:sSubPr>
                      <m:e>
                        <m:r>
                          <w:rPr>
                            <w:rFonts w:ascii="Cambria Math" w:hAnsi="Cambria Math"/>
                          </w:rPr>
                          <m:t>IS</m:t>
                        </m:r>
                      </m:e>
                      <m:sub>
                        <m:r>
                          <w:rPr>
                            <w:rFonts w:ascii="Cambria Math" w:hAnsi="Cambria Math"/>
                          </w:rPr>
                          <m:t>cds,t-1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u</m:t>
                        </m:r>
                      </m:sub>
                    </m:sSub>
                    <m:r>
                      <w:rPr>
                        <w:rFonts w:ascii="Cambria Math" w:hAnsi="Cambria Math"/>
                      </w:rPr>
                      <m:t>)</m:t>
                    </m:r>
                  </m:e>
                </m:d>
              </m:oMath>
            </m:oMathPara>
          </w:p>
        </w:tc>
        <w:tc>
          <w:tcPr>
            <w:tcW w:w="368" w:type="pct"/>
            <w:vAlign w:val="center"/>
          </w:tcPr>
          <w:p w14:paraId="07D80C91" w14:textId="77777777" w:rsidR="00F746B1" w:rsidRPr="003003FF" w:rsidRDefault="00F746B1" w:rsidP="00FE0EF2">
            <w:pPr>
              <w:rPr>
                <w:rFonts w:ascii="Times New Roman" w:hAnsi="Times New Roman"/>
              </w:rPr>
            </w:pPr>
            <w:r w:rsidRPr="003003FF">
              <w:rPr>
                <w:rFonts w:ascii="Times New Roman" w:hAnsi="Times New Roman"/>
              </w:rPr>
              <w:t>long</w:t>
            </w:r>
          </w:p>
        </w:tc>
        <w:tc>
          <w:tcPr>
            <w:tcW w:w="436" w:type="pct"/>
            <w:vAlign w:val="center"/>
          </w:tcPr>
          <w:p w14:paraId="0666C369" w14:textId="77777777" w:rsidR="00F746B1" w:rsidRPr="003003FF" w:rsidRDefault="00F746B1" w:rsidP="00FE0EF2">
            <w:pPr>
              <w:rPr>
                <w:rFonts w:ascii="Times New Roman" w:hAnsi="Times New Roman"/>
              </w:rPr>
            </w:pPr>
            <w:r w:rsidRPr="003003FF">
              <w:rPr>
                <w:rFonts w:ascii="Times New Roman" w:hAnsi="Times New Roman"/>
              </w:rPr>
              <w:t>long</w:t>
            </w:r>
          </w:p>
        </w:tc>
      </w:tr>
      <w:tr w:rsidR="00F746B1" w:rsidRPr="003003FF" w14:paraId="2513E828" w14:textId="77777777" w:rsidTr="00FE0EF2">
        <w:trPr>
          <w:jc w:val="center"/>
        </w:trPr>
        <w:tc>
          <w:tcPr>
            <w:tcW w:w="589" w:type="pct"/>
            <w:vMerge w:val="restart"/>
            <w:vAlign w:val="center"/>
          </w:tcPr>
          <w:p w14:paraId="111FD657" w14:textId="77777777" w:rsidR="00F746B1" w:rsidRPr="003003FF" w:rsidRDefault="00F746B1" w:rsidP="00FE0EF2">
            <w:pPr>
              <w:jc w:val="center"/>
              <w:rPr>
                <w:rFonts w:ascii="Times New Roman" w:hAnsi="Times New Roman"/>
              </w:rPr>
            </w:pPr>
            <w:r w:rsidRPr="003003FF">
              <w:rPr>
                <w:rFonts w:ascii="Times New Roman" w:hAnsi="Times New Roman"/>
              </w:rPr>
              <w:t>Strategy 3</w:t>
            </w:r>
          </w:p>
        </w:tc>
        <w:tc>
          <w:tcPr>
            <w:tcW w:w="3607" w:type="pct"/>
            <w:vAlign w:val="center"/>
          </w:tcPr>
          <w:p w14:paraId="0D6E741E" w14:textId="77777777" w:rsidR="00F746B1" w:rsidRPr="003003FF" w:rsidRDefault="007E3D27" w:rsidP="00FE0EF2">
            <w:pPr>
              <w:rPr>
                <w:rFonts w:ascii="Times New Roman" w:hAnsi="Times New Roman"/>
              </w:rPr>
            </w:pPr>
            <m:oMathPara>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cds</m:t>
                        </m:r>
                      </m:e>
                      <m:sub>
                        <m:r>
                          <w:rPr>
                            <w:rFonts w:ascii="Cambria Math" w:hAnsi="Cambria Math"/>
                          </w:rPr>
                          <m:t>t-1</m:t>
                        </m:r>
                      </m:sub>
                    </m:sSub>
                    <m:r>
                      <w:rPr>
                        <w:rFonts w:ascii="Cambria Math" w:hAnsi="Cambria Math"/>
                      </w:rPr>
                      <m:t>&gt;</m:t>
                    </m:r>
                    <m:d>
                      <m:dPr>
                        <m:ctrlPr>
                          <w:rPr>
                            <w:rFonts w:ascii="Cambria Math" w:hAnsi="Cambria Math"/>
                            <w:i/>
                          </w:rPr>
                        </m:ctrlPr>
                      </m:dPr>
                      <m:e>
                        <m:r>
                          <w:rPr>
                            <w:rFonts w:ascii="Cambria Math" w:hAnsi="Cambria Math"/>
                          </w:rPr>
                          <m:t>1+θ</m:t>
                        </m:r>
                      </m:e>
                    </m:d>
                    <m:r>
                      <w:rPr>
                        <w:rFonts w:ascii="Cambria Math" w:hAnsi="Cambria Math"/>
                      </w:rPr>
                      <m:t>*</m:t>
                    </m:r>
                    <m:sSub>
                      <m:sSubPr>
                        <m:ctrlPr>
                          <w:rPr>
                            <w:rFonts w:ascii="Cambria Math" w:hAnsi="Cambria Math"/>
                            <w:i/>
                          </w:rPr>
                        </m:ctrlPr>
                      </m:sSubPr>
                      <m:e>
                        <m:r>
                          <w:rPr>
                            <w:rFonts w:ascii="Cambria Math" w:hAnsi="Cambria Math"/>
                          </w:rPr>
                          <m:t>eis</m:t>
                        </m:r>
                      </m:e>
                      <m:sub>
                        <m:r>
                          <w:rPr>
                            <w:rFonts w:ascii="Cambria Math" w:hAnsi="Cambria Math"/>
                          </w:rPr>
                          <m:t>t-1</m:t>
                        </m:r>
                      </m:sub>
                    </m:sSub>
                  </m:e>
                </m:d>
                <m:r>
                  <w:rPr>
                    <w:rFonts w:ascii="Cambria Math" w:hAnsi="Cambria Math"/>
                  </w:rPr>
                  <m:t xml:space="preserve"> </m:t>
                </m:r>
                <m:r>
                  <m:rPr>
                    <m:nor/>
                  </m:rPr>
                  <w:rPr>
                    <w:rFonts w:ascii="Times New Roman" w:hAnsi="Times New Roman"/>
                  </w:rPr>
                  <m:t>and</m:t>
                </m:r>
                <m:r>
                  <w:rPr>
                    <w:rFonts w:ascii="Cambria Math"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IS</m:t>
                        </m:r>
                      </m:e>
                      <m:sub>
                        <m:r>
                          <w:rPr>
                            <w:rFonts w:ascii="Cambria Math" w:hAnsi="Cambria Math"/>
                          </w:rPr>
                          <m:t>cds,t-1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l</m:t>
                        </m:r>
                      </m:sub>
                    </m:sSub>
                  </m:e>
                </m:d>
              </m:oMath>
            </m:oMathPara>
          </w:p>
        </w:tc>
        <w:tc>
          <w:tcPr>
            <w:tcW w:w="368" w:type="pct"/>
            <w:vAlign w:val="center"/>
          </w:tcPr>
          <w:p w14:paraId="61695254" w14:textId="77777777" w:rsidR="00F746B1" w:rsidRPr="003003FF" w:rsidRDefault="00F746B1" w:rsidP="00FE0EF2">
            <w:pPr>
              <w:rPr>
                <w:rFonts w:ascii="Times New Roman" w:hAnsi="Times New Roman"/>
              </w:rPr>
            </w:pPr>
            <w:r w:rsidRPr="003003FF">
              <w:rPr>
                <w:rFonts w:ascii="Times New Roman" w:hAnsi="Times New Roman"/>
              </w:rPr>
              <w:t>short</w:t>
            </w:r>
          </w:p>
        </w:tc>
        <w:tc>
          <w:tcPr>
            <w:tcW w:w="436" w:type="pct"/>
            <w:vAlign w:val="center"/>
          </w:tcPr>
          <w:p w14:paraId="20883988" w14:textId="77777777" w:rsidR="00F746B1" w:rsidRPr="003003FF" w:rsidRDefault="00F746B1" w:rsidP="00FE0EF2">
            <w:pPr>
              <w:rPr>
                <w:rFonts w:ascii="Times New Roman" w:hAnsi="Times New Roman"/>
              </w:rPr>
            </w:pPr>
            <w:r w:rsidRPr="003003FF">
              <w:rPr>
                <w:rFonts w:ascii="Times New Roman" w:hAnsi="Times New Roman"/>
              </w:rPr>
              <w:t>-</w:t>
            </w:r>
          </w:p>
        </w:tc>
      </w:tr>
      <w:tr w:rsidR="00F746B1" w:rsidRPr="003003FF" w14:paraId="13ED6970" w14:textId="77777777" w:rsidTr="00FE0EF2">
        <w:trPr>
          <w:jc w:val="center"/>
        </w:trPr>
        <w:tc>
          <w:tcPr>
            <w:tcW w:w="589" w:type="pct"/>
            <w:vMerge/>
            <w:vAlign w:val="center"/>
          </w:tcPr>
          <w:p w14:paraId="07BE0088" w14:textId="77777777" w:rsidR="00F746B1" w:rsidRPr="003003FF" w:rsidRDefault="00F746B1" w:rsidP="00FE0EF2">
            <w:pPr>
              <w:rPr>
                <w:rFonts w:ascii="Times New Roman" w:hAnsi="Times New Roman"/>
              </w:rPr>
            </w:pPr>
          </w:p>
        </w:tc>
        <w:tc>
          <w:tcPr>
            <w:tcW w:w="3607" w:type="pct"/>
            <w:vAlign w:val="center"/>
          </w:tcPr>
          <w:p w14:paraId="1F270526" w14:textId="77777777" w:rsidR="00F746B1" w:rsidRPr="003003FF" w:rsidRDefault="007E3D27" w:rsidP="00FE0EF2">
            <w:pPr>
              <w:rPr>
                <w:rFonts w:ascii="Times New Roman" w:hAnsi="Times New Roman"/>
              </w:rPr>
            </w:pPr>
            <m:oMathPara>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cds</m:t>
                        </m:r>
                      </m:e>
                      <m:sub>
                        <m:r>
                          <w:rPr>
                            <w:rFonts w:ascii="Cambria Math" w:hAnsi="Cambria Math"/>
                          </w:rPr>
                          <m:t>t-1</m:t>
                        </m:r>
                      </m:sub>
                    </m:sSub>
                    <m:r>
                      <w:rPr>
                        <w:rFonts w:ascii="Cambria Math" w:hAnsi="Cambria Math"/>
                      </w:rPr>
                      <m:t>&gt;</m:t>
                    </m:r>
                    <m:d>
                      <m:dPr>
                        <m:ctrlPr>
                          <w:rPr>
                            <w:rFonts w:ascii="Cambria Math" w:hAnsi="Cambria Math"/>
                            <w:i/>
                          </w:rPr>
                        </m:ctrlPr>
                      </m:dPr>
                      <m:e>
                        <m:r>
                          <w:rPr>
                            <w:rFonts w:ascii="Cambria Math" w:hAnsi="Cambria Math"/>
                          </w:rPr>
                          <m:t>1+θ</m:t>
                        </m:r>
                      </m:e>
                    </m:d>
                    <m:r>
                      <w:rPr>
                        <w:rFonts w:ascii="Cambria Math" w:hAnsi="Cambria Math"/>
                      </w:rPr>
                      <m:t>*</m:t>
                    </m:r>
                    <m:sSub>
                      <m:sSubPr>
                        <m:ctrlPr>
                          <w:rPr>
                            <w:rFonts w:ascii="Cambria Math" w:hAnsi="Cambria Math"/>
                            <w:i/>
                          </w:rPr>
                        </m:ctrlPr>
                      </m:sSubPr>
                      <m:e>
                        <m:r>
                          <w:rPr>
                            <w:rFonts w:ascii="Cambria Math" w:hAnsi="Cambria Math"/>
                          </w:rPr>
                          <m:t>eis</m:t>
                        </m:r>
                      </m:e>
                      <m:sub>
                        <m:r>
                          <w:rPr>
                            <w:rFonts w:ascii="Cambria Math" w:hAnsi="Cambria Math"/>
                          </w:rPr>
                          <m:t>t-1</m:t>
                        </m:r>
                      </m:sub>
                    </m:sSub>
                  </m:e>
                </m:d>
                <m:r>
                  <w:rPr>
                    <w:rFonts w:ascii="Cambria Math" w:hAnsi="Cambria Math"/>
                  </w:rPr>
                  <m:t xml:space="preserve"> </m:t>
                </m:r>
                <m:r>
                  <m:rPr>
                    <m:nor/>
                  </m:rPr>
                  <w:rPr>
                    <w:rFonts w:ascii="Times New Roman" w:hAnsi="Times New Roman"/>
                  </w:rPr>
                  <m:t>and</m:t>
                </m:r>
                <m:r>
                  <w:rPr>
                    <w:rFonts w:ascii="Cambria Math"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IS</m:t>
                        </m:r>
                      </m:e>
                      <m:sub>
                        <m:r>
                          <w:rPr>
                            <w:rFonts w:ascii="Cambria Math" w:hAnsi="Cambria Math"/>
                          </w:rPr>
                          <m:t>cds,t-1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u</m:t>
                        </m:r>
                      </m:sub>
                    </m:sSub>
                  </m:e>
                </m:d>
              </m:oMath>
            </m:oMathPara>
          </w:p>
        </w:tc>
        <w:tc>
          <w:tcPr>
            <w:tcW w:w="368" w:type="pct"/>
            <w:vAlign w:val="center"/>
          </w:tcPr>
          <w:p w14:paraId="36FD4EEF" w14:textId="77777777" w:rsidR="00F746B1" w:rsidRPr="003003FF" w:rsidRDefault="00F746B1" w:rsidP="00FE0EF2">
            <w:pPr>
              <w:rPr>
                <w:rFonts w:ascii="Times New Roman" w:hAnsi="Times New Roman"/>
              </w:rPr>
            </w:pPr>
            <w:r w:rsidRPr="003003FF">
              <w:rPr>
                <w:rFonts w:ascii="Times New Roman" w:hAnsi="Times New Roman"/>
              </w:rPr>
              <w:t>-</w:t>
            </w:r>
          </w:p>
        </w:tc>
        <w:tc>
          <w:tcPr>
            <w:tcW w:w="436" w:type="pct"/>
            <w:vAlign w:val="center"/>
          </w:tcPr>
          <w:p w14:paraId="2EC9EF48" w14:textId="77777777" w:rsidR="00F746B1" w:rsidRPr="003003FF" w:rsidRDefault="00F746B1" w:rsidP="00FE0EF2">
            <w:pPr>
              <w:rPr>
                <w:rFonts w:ascii="Times New Roman" w:hAnsi="Times New Roman"/>
              </w:rPr>
            </w:pPr>
            <w:r w:rsidRPr="003003FF">
              <w:rPr>
                <w:rFonts w:ascii="Times New Roman" w:hAnsi="Times New Roman"/>
              </w:rPr>
              <w:t>short</w:t>
            </w:r>
          </w:p>
        </w:tc>
      </w:tr>
      <w:tr w:rsidR="00F746B1" w:rsidRPr="003003FF" w14:paraId="239B152A" w14:textId="77777777" w:rsidTr="00FE0EF2">
        <w:trPr>
          <w:jc w:val="center"/>
        </w:trPr>
        <w:tc>
          <w:tcPr>
            <w:tcW w:w="589" w:type="pct"/>
            <w:vMerge/>
            <w:vAlign w:val="center"/>
          </w:tcPr>
          <w:p w14:paraId="15F29DB8" w14:textId="77777777" w:rsidR="00F746B1" w:rsidRPr="003003FF" w:rsidRDefault="00F746B1" w:rsidP="00FE0EF2">
            <w:pPr>
              <w:rPr>
                <w:rFonts w:ascii="Times New Roman" w:hAnsi="Times New Roman"/>
              </w:rPr>
            </w:pPr>
          </w:p>
        </w:tc>
        <w:tc>
          <w:tcPr>
            <w:tcW w:w="3607" w:type="pct"/>
            <w:vAlign w:val="center"/>
          </w:tcPr>
          <w:p w14:paraId="17995FE2" w14:textId="77777777" w:rsidR="00F746B1" w:rsidRPr="003003FF" w:rsidRDefault="007E3D27" w:rsidP="00FE0EF2">
            <w:pPr>
              <w:rPr>
                <w:rFonts w:ascii="Times New Roman" w:hAnsi="Times New Roman"/>
              </w:rPr>
            </w:pPr>
            <m:oMathPara>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eis</m:t>
                        </m:r>
                      </m:e>
                      <m:sub>
                        <m:r>
                          <w:rPr>
                            <w:rFonts w:ascii="Cambria Math" w:hAnsi="Cambria Math"/>
                          </w:rPr>
                          <m:t>t-1</m:t>
                        </m:r>
                      </m:sub>
                    </m:sSub>
                    <m:r>
                      <w:rPr>
                        <w:rFonts w:ascii="Cambria Math" w:hAnsi="Cambria Math"/>
                      </w:rPr>
                      <m:t>&gt;</m:t>
                    </m:r>
                    <m:d>
                      <m:dPr>
                        <m:ctrlPr>
                          <w:rPr>
                            <w:rFonts w:ascii="Cambria Math" w:hAnsi="Cambria Math"/>
                            <w:i/>
                          </w:rPr>
                        </m:ctrlPr>
                      </m:dPr>
                      <m:e>
                        <m:r>
                          <w:rPr>
                            <w:rFonts w:ascii="Cambria Math" w:hAnsi="Cambria Math"/>
                          </w:rPr>
                          <m:t>1+θ</m:t>
                        </m:r>
                      </m:e>
                    </m:d>
                    <m:r>
                      <w:rPr>
                        <w:rFonts w:ascii="Cambria Math" w:hAnsi="Cambria Math"/>
                      </w:rPr>
                      <m:t>*</m:t>
                    </m:r>
                    <m:sSub>
                      <m:sSubPr>
                        <m:ctrlPr>
                          <w:rPr>
                            <w:rFonts w:ascii="Cambria Math" w:hAnsi="Cambria Math"/>
                            <w:i/>
                          </w:rPr>
                        </m:ctrlPr>
                      </m:sSubPr>
                      <m:e>
                        <m:r>
                          <w:rPr>
                            <w:rFonts w:ascii="Cambria Math" w:hAnsi="Cambria Math"/>
                          </w:rPr>
                          <m:t>cds</m:t>
                        </m:r>
                      </m:e>
                      <m:sub>
                        <m:r>
                          <w:rPr>
                            <w:rFonts w:ascii="Cambria Math" w:hAnsi="Cambria Math"/>
                          </w:rPr>
                          <m:t>t-1</m:t>
                        </m:r>
                      </m:sub>
                    </m:sSub>
                  </m:e>
                </m:d>
                <m:r>
                  <w:rPr>
                    <w:rFonts w:ascii="Cambria Math" w:hAnsi="Cambria Math"/>
                  </w:rPr>
                  <m:t xml:space="preserve"> </m:t>
                </m:r>
                <m:r>
                  <m:rPr>
                    <m:nor/>
                  </m:rPr>
                  <w:rPr>
                    <w:rFonts w:ascii="Times New Roman" w:hAnsi="Times New Roman"/>
                  </w:rPr>
                  <m:t>and</m:t>
                </m:r>
                <m:r>
                  <w:rPr>
                    <w:rFonts w:ascii="Cambria Math"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IS</m:t>
                        </m:r>
                      </m:e>
                      <m:sub>
                        <m:r>
                          <w:rPr>
                            <w:rFonts w:ascii="Cambria Math" w:hAnsi="Cambria Math"/>
                          </w:rPr>
                          <m:t>cds,t-1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l</m:t>
                        </m:r>
                      </m:sub>
                    </m:sSub>
                  </m:e>
                </m:d>
              </m:oMath>
            </m:oMathPara>
          </w:p>
        </w:tc>
        <w:tc>
          <w:tcPr>
            <w:tcW w:w="368" w:type="pct"/>
            <w:vAlign w:val="center"/>
          </w:tcPr>
          <w:p w14:paraId="720011E1" w14:textId="77777777" w:rsidR="00F746B1" w:rsidRPr="003003FF" w:rsidRDefault="00F746B1" w:rsidP="00FE0EF2">
            <w:pPr>
              <w:rPr>
                <w:rFonts w:ascii="Times New Roman" w:hAnsi="Times New Roman"/>
              </w:rPr>
            </w:pPr>
            <w:r w:rsidRPr="003003FF">
              <w:rPr>
                <w:rFonts w:ascii="Times New Roman" w:hAnsi="Times New Roman"/>
              </w:rPr>
              <w:t>long</w:t>
            </w:r>
          </w:p>
        </w:tc>
        <w:tc>
          <w:tcPr>
            <w:tcW w:w="436" w:type="pct"/>
            <w:vAlign w:val="center"/>
          </w:tcPr>
          <w:p w14:paraId="07BAC819" w14:textId="77777777" w:rsidR="00F746B1" w:rsidRPr="003003FF" w:rsidRDefault="00F746B1" w:rsidP="00FE0EF2">
            <w:pPr>
              <w:rPr>
                <w:rFonts w:ascii="Times New Roman" w:hAnsi="Times New Roman"/>
              </w:rPr>
            </w:pPr>
            <w:r w:rsidRPr="003003FF">
              <w:rPr>
                <w:rFonts w:ascii="Times New Roman" w:hAnsi="Times New Roman"/>
              </w:rPr>
              <w:t>-</w:t>
            </w:r>
          </w:p>
        </w:tc>
      </w:tr>
      <w:tr w:rsidR="00F746B1" w:rsidRPr="003003FF" w14:paraId="3AE3BE21" w14:textId="77777777" w:rsidTr="00FE0EF2">
        <w:trPr>
          <w:jc w:val="center"/>
        </w:trPr>
        <w:tc>
          <w:tcPr>
            <w:tcW w:w="589" w:type="pct"/>
            <w:vMerge/>
            <w:vAlign w:val="center"/>
          </w:tcPr>
          <w:p w14:paraId="0F87BAF0" w14:textId="77777777" w:rsidR="00F746B1" w:rsidRPr="003003FF" w:rsidRDefault="00F746B1" w:rsidP="00FE0EF2">
            <w:pPr>
              <w:rPr>
                <w:rFonts w:ascii="Times New Roman" w:hAnsi="Times New Roman"/>
              </w:rPr>
            </w:pPr>
          </w:p>
        </w:tc>
        <w:tc>
          <w:tcPr>
            <w:tcW w:w="3607" w:type="pct"/>
            <w:vAlign w:val="center"/>
          </w:tcPr>
          <w:p w14:paraId="651B3206" w14:textId="77777777" w:rsidR="00F746B1" w:rsidRPr="003003FF" w:rsidRDefault="007E3D27" w:rsidP="00FE0EF2">
            <w:pPr>
              <w:rPr>
                <w:rFonts w:ascii="Times New Roman" w:hAnsi="Times New Roman"/>
              </w:rPr>
            </w:pPr>
            <m:oMathPara>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eis</m:t>
                        </m:r>
                      </m:e>
                      <m:sub>
                        <m:r>
                          <w:rPr>
                            <w:rFonts w:ascii="Cambria Math" w:hAnsi="Cambria Math"/>
                          </w:rPr>
                          <m:t>t-1</m:t>
                        </m:r>
                      </m:sub>
                    </m:sSub>
                    <m:r>
                      <w:rPr>
                        <w:rFonts w:ascii="Cambria Math" w:hAnsi="Cambria Math"/>
                      </w:rPr>
                      <m:t>&gt;</m:t>
                    </m:r>
                    <m:d>
                      <m:dPr>
                        <m:ctrlPr>
                          <w:rPr>
                            <w:rFonts w:ascii="Cambria Math" w:hAnsi="Cambria Math"/>
                            <w:i/>
                          </w:rPr>
                        </m:ctrlPr>
                      </m:dPr>
                      <m:e>
                        <m:r>
                          <w:rPr>
                            <w:rFonts w:ascii="Cambria Math" w:hAnsi="Cambria Math"/>
                          </w:rPr>
                          <m:t>1+θ</m:t>
                        </m:r>
                      </m:e>
                    </m:d>
                    <m:r>
                      <w:rPr>
                        <w:rFonts w:ascii="Cambria Math" w:hAnsi="Cambria Math"/>
                      </w:rPr>
                      <m:t>*</m:t>
                    </m:r>
                    <m:sSub>
                      <m:sSubPr>
                        <m:ctrlPr>
                          <w:rPr>
                            <w:rFonts w:ascii="Cambria Math" w:hAnsi="Cambria Math"/>
                            <w:i/>
                          </w:rPr>
                        </m:ctrlPr>
                      </m:sSubPr>
                      <m:e>
                        <m:r>
                          <w:rPr>
                            <w:rFonts w:ascii="Cambria Math" w:hAnsi="Cambria Math"/>
                          </w:rPr>
                          <m:t>cds</m:t>
                        </m:r>
                      </m:e>
                      <m:sub>
                        <m:r>
                          <w:rPr>
                            <w:rFonts w:ascii="Cambria Math" w:hAnsi="Cambria Math"/>
                          </w:rPr>
                          <m:t>t-1</m:t>
                        </m:r>
                      </m:sub>
                    </m:sSub>
                  </m:e>
                </m:d>
                <m:r>
                  <w:rPr>
                    <w:rFonts w:ascii="Cambria Math" w:hAnsi="Cambria Math"/>
                  </w:rPr>
                  <m:t xml:space="preserve"> </m:t>
                </m:r>
                <m:r>
                  <m:rPr>
                    <m:nor/>
                  </m:rPr>
                  <w:rPr>
                    <w:rFonts w:ascii="Times New Roman" w:hAnsi="Times New Roman"/>
                  </w:rPr>
                  <m:t>and</m:t>
                </m:r>
                <m:r>
                  <w:rPr>
                    <w:rFonts w:ascii="Cambria Math"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IS</m:t>
                        </m:r>
                      </m:e>
                      <m:sub>
                        <m:r>
                          <w:rPr>
                            <w:rFonts w:ascii="Cambria Math" w:hAnsi="Cambria Math"/>
                          </w:rPr>
                          <m:t>cds,t-1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u</m:t>
                        </m:r>
                      </m:sub>
                    </m:sSub>
                  </m:e>
                </m:d>
              </m:oMath>
            </m:oMathPara>
          </w:p>
        </w:tc>
        <w:tc>
          <w:tcPr>
            <w:tcW w:w="368" w:type="pct"/>
            <w:vAlign w:val="center"/>
          </w:tcPr>
          <w:p w14:paraId="5F5AE9CB" w14:textId="77777777" w:rsidR="00F746B1" w:rsidRPr="003003FF" w:rsidRDefault="00F746B1" w:rsidP="00FE0EF2">
            <w:pPr>
              <w:rPr>
                <w:rFonts w:ascii="Times New Roman" w:hAnsi="Times New Roman"/>
              </w:rPr>
            </w:pPr>
            <w:r w:rsidRPr="003003FF">
              <w:rPr>
                <w:rFonts w:ascii="Times New Roman" w:hAnsi="Times New Roman"/>
              </w:rPr>
              <w:t>-</w:t>
            </w:r>
          </w:p>
        </w:tc>
        <w:tc>
          <w:tcPr>
            <w:tcW w:w="436" w:type="pct"/>
            <w:vAlign w:val="center"/>
          </w:tcPr>
          <w:p w14:paraId="3DC7F3E0" w14:textId="77777777" w:rsidR="00F746B1" w:rsidRPr="003003FF" w:rsidRDefault="00F746B1" w:rsidP="00FE0EF2">
            <w:pPr>
              <w:rPr>
                <w:rFonts w:ascii="Times New Roman" w:hAnsi="Times New Roman"/>
              </w:rPr>
            </w:pPr>
            <w:r w:rsidRPr="003003FF">
              <w:rPr>
                <w:rFonts w:ascii="Times New Roman" w:hAnsi="Times New Roman"/>
              </w:rPr>
              <w:t>long</w:t>
            </w:r>
          </w:p>
        </w:tc>
      </w:tr>
      <w:tr w:rsidR="00F746B1" w:rsidRPr="003003FF" w14:paraId="28EDE40C" w14:textId="77777777" w:rsidTr="00FE0EF2">
        <w:trPr>
          <w:jc w:val="center"/>
        </w:trPr>
        <w:tc>
          <w:tcPr>
            <w:tcW w:w="589" w:type="pct"/>
            <w:vMerge w:val="restart"/>
            <w:vAlign w:val="center"/>
          </w:tcPr>
          <w:p w14:paraId="4E01C517" w14:textId="77777777" w:rsidR="00F746B1" w:rsidRPr="003003FF" w:rsidRDefault="00F746B1" w:rsidP="00FE0EF2">
            <w:pPr>
              <w:jc w:val="center"/>
              <w:rPr>
                <w:rFonts w:ascii="Times New Roman" w:hAnsi="Times New Roman"/>
              </w:rPr>
            </w:pPr>
            <w:r w:rsidRPr="003003FF">
              <w:rPr>
                <w:rFonts w:ascii="Times New Roman" w:hAnsi="Times New Roman"/>
              </w:rPr>
              <w:t>Strategy 4</w:t>
            </w:r>
          </w:p>
        </w:tc>
        <w:tc>
          <w:tcPr>
            <w:tcW w:w="3607" w:type="pct"/>
            <w:vAlign w:val="center"/>
          </w:tcPr>
          <w:p w14:paraId="34F2D9AD" w14:textId="77777777" w:rsidR="00F746B1" w:rsidRPr="003003FF" w:rsidRDefault="007E3D27" w:rsidP="002F191F">
            <w:pPr>
              <w:rPr>
                <w:rFonts w:ascii="Times New Roman" w:hAnsi="Times New Roman"/>
              </w:rPr>
            </w:pPr>
            <m:oMathPara>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cds</m:t>
                        </m:r>
                      </m:e>
                      <m:sub>
                        <m:r>
                          <w:rPr>
                            <w:rFonts w:ascii="Cambria Math" w:hAnsi="Cambria Math"/>
                          </w:rPr>
                          <m:t>t-1</m:t>
                        </m:r>
                      </m:sub>
                    </m:sSub>
                    <m:r>
                      <w:rPr>
                        <w:rFonts w:ascii="Cambria Math" w:hAnsi="Cambria Math"/>
                      </w:rPr>
                      <m:t>&gt;</m:t>
                    </m:r>
                    <m:d>
                      <m:dPr>
                        <m:ctrlPr>
                          <w:rPr>
                            <w:rFonts w:ascii="Cambria Math" w:hAnsi="Cambria Math"/>
                            <w:i/>
                          </w:rPr>
                        </m:ctrlPr>
                      </m:dPr>
                      <m:e>
                        <m:r>
                          <w:rPr>
                            <w:rFonts w:ascii="Cambria Math" w:hAnsi="Cambria Math"/>
                          </w:rPr>
                          <m:t>1+θ</m:t>
                        </m:r>
                      </m:e>
                    </m:d>
                    <m:r>
                      <w:rPr>
                        <w:rFonts w:ascii="Cambria Math" w:hAnsi="Cambria Math"/>
                      </w:rPr>
                      <m:t>*α*</m:t>
                    </m:r>
                    <m:sSub>
                      <m:sSubPr>
                        <m:ctrlPr>
                          <w:rPr>
                            <w:rFonts w:ascii="Cambria Math" w:hAnsi="Cambria Math"/>
                            <w:i/>
                          </w:rPr>
                        </m:ctrlPr>
                      </m:sSubPr>
                      <m:e>
                        <m:r>
                          <w:rPr>
                            <w:rFonts w:ascii="Cambria Math" w:hAnsi="Cambria Math"/>
                          </w:rPr>
                          <m:t>eis</m:t>
                        </m:r>
                      </m:e>
                      <m:sub>
                        <m:r>
                          <w:rPr>
                            <w:rFonts w:ascii="Cambria Math" w:hAnsi="Cambria Math"/>
                          </w:rPr>
                          <m:t>t-1</m:t>
                        </m:r>
                      </m:sub>
                    </m:sSub>
                  </m:e>
                </m:d>
                <m:r>
                  <w:rPr>
                    <w:rFonts w:ascii="Cambria Math" w:hAnsi="Cambria Math"/>
                  </w:rPr>
                  <m:t xml:space="preserve"> </m:t>
                </m:r>
                <m:r>
                  <m:rPr>
                    <m:nor/>
                  </m:rPr>
                  <w:rPr>
                    <w:rFonts w:ascii="Times New Roman" w:hAnsi="Times New Roman"/>
                  </w:rPr>
                  <m:t>and</m:t>
                </m:r>
                <m:r>
                  <w:rPr>
                    <w:rFonts w:ascii="Cambria Math"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IS</m:t>
                        </m:r>
                      </m:e>
                      <m:sub>
                        <m:r>
                          <w:rPr>
                            <w:rFonts w:ascii="Cambria Math" w:hAnsi="Cambria Math"/>
                          </w:rPr>
                          <m:t>cds,t-1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l</m:t>
                        </m:r>
                      </m:sub>
                    </m:sSub>
                  </m:e>
                </m:d>
              </m:oMath>
            </m:oMathPara>
          </w:p>
        </w:tc>
        <w:tc>
          <w:tcPr>
            <w:tcW w:w="368" w:type="pct"/>
            <w:vAlign w:val="center"/>
          </w:tcPr>
          <w:p w14:paraId="63957EEA" w14:textId="77777777" w:rsidR="00F746B1" w:rsidRPr="003003FF" w:rsidRDefault="00F746B1" w:rsidP="00FE0EF2">
            <w:pPr>
              <w:rPr>
                <w:rFonts w:ascii="Times New Roman" w:hAnsi="Times New Roman"/>
              </w:rPr>
            </w:pPr>
            <w:r w:rsidRPr="003003FF">
              <w:rPr>
                <w:rFonts w:ascii="Times New Roman" w:hAnsi="Times New Roman"/>
              </w:rPr>
              <w:t>short</w:t>
            </w:r>
          </w:p>
        </w:tc>
        <w:tc>
          <w:tcPr>
            <w:tcW w:w="436" w:type="pct"/>
            <w:vAlign w:val="center"/>
          </w:tcPr>
          <w:p w14:paraId="7932B244" w14:textId="77777777" w:rsidR="00F746B1" w:rsidRPr="003003FF" w:rsidRDefault="00F746B1" w:rsidP="00FE0EF2">
            <w:pPr>
              <w:rPr>
                <w:rFonts w:ascii="Times New Roman" w:hAnsi="Times New Roman"/>
              </w:rPr>
            </w:pPr>
            <w:r w:rsidRPr="003003FF">
              <w:rPr>
                <w:rFonts w:ascii="Times New Roman" w:hAnsi="Times New Roman"/>
              </w:rPr>
              <w:t>-</w:t>
            </w:r>
          </w:p>
        </w:tc>
      </w:tr>
      <w:tr w:rsidR="00F746B1" w:rsidRPr="003003FF" w14:paraId="2761979D" w14:textId="77777777" w:rsidTr="00FE0EF2">
        <w:trPr>
          <w:jc w:val="center"/>
        </w:trPr>
        <w:tc>
          <w:tcPr>
            <w:tcW w:w="589" w:type="pct"/>
            <w:vMerge/>
            <w:vAlign w:val="center"/>
          </w:tcPr>
          <w:p w14:paraId="49527840" w14:textId="77777777" w:rsidR="00F746B1" w:rsidRPr="003003FF" w:rsidRDefault="00F746B1" w:rsidP="00FE0EF2">
            <w:pPr>
              <w:rPr>
                <w:rFonts w:ascii="Times New Roman" w:hAnsi="Times New Roman"/>
              </w:rPr>
            </w:pPr>
          </w:p>
        </w:tc>
        <w:tc>
          <w:tcPr>
            <w:tcW w:w="3607" w:type="pct"/>
            <w:vAlign w:val="center"/>
          </w:tcPr>
          <w:p w14:paraId="7BDC0B8F" w14:textId="77777777" w:rsidR="00F746B1" w:rsidRPr="003003FF" w:rsidRDefault="007E3D27" w:rsidP="002F191F">
            <w:pPr>
              <w:rPr>
                <w:rFonts w:ascii="Times New Roman" w:hAnsi="Times New Roman"/>
              </w:rPr>
            </w:pPr>
            <m:oMathPara>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cds</m:t>
                        </m:r>
                      </m:e>
                      <m:sub>
                        <m:r>
                          <w:rPr>
                            <w:rFonts w:ascii="Cambria Math" w:hAnsi="Cambria Math"/>
                          </w:rPr>
                          <m:t>t-1</m:t>
                        </m:r>
                      </m:sub>
                    </m:sSub>
                    <m:r>
                      <w:rPr>
                        <w:rFonts w:ascii="Cambria Math" w:hAnsi="Cambria Math"/>
                      </w:rPr>
                      <m:t>&gt;</m:t>
                    </m:r>
                    <m:d>
                      <m:dPr>
                        <m:ctrlPr>
                          <w:rPr>
                            <w:rFonts w:ascii="Cambria Math" w:hAnsi="Cambria Math"/>
                            <w:i/>
                          </w:rPr>
                        </m:ctrlPr>
                      </m:dPr>
                      <m:e>
                        <m:r>
                          <w:rPr>
                            <w:rFonts w:ascii="Cambria Math" w:hAnsi="Cambria Math"/>
                          </w:rPr>
                          <m:t>1+θ</m:t>
                        </m:r>
                      </m:e>
                    </m:d>
                    <m:r>
                      <w:rPr>
                        <w:rFonts w:ascii="Cambria Math" w:hAnsi="Cambria Math"/>
                      </w:rPr>
                      <m:t>*α*</m:t>
                    </m:r>
                    <m:sSub>
                      <m:sSubPr>
                        <m:ctrlPr>
                          <w:rPr>
                            <w:rFonts w:ascii="Cambria Math" w:hAnsi="Cambria Math"/>
                            <w:i/>
                          </w:rPr>
                        </m:ctrlPr>
                      </m:sSubPr>
                      <m:e>
                        <m:r>
                          <w:rPr>
                            <w:rFonts w:ascii="Cambria Math" w:hAnsi="Cambria Math"/>
                          </w:rPr>
                          <m:t>eis</m:t>
                        </m:r>
                      </m:e>
                      <m:sub>
                        <m:r>
                          <w:rPr>
                            <w:rFonts w:ascii="Cambria Math" w:hAnsi="Cambria Math"/>
                          </w:rPr>
                          <m:t>t-1</m:t>
                        </m:r>
                      </m:sub>
                    </m:sSub>
                  </m:e>
                </m:d>
                <m:r>
                  <w:rPr>
                    <w:rFonts w:ascii="Cambria Math" w:hAnsi="Cambria Math"/>
                  </w:rPr>
                  <m:t xml:space="preserve"> </m:t>
                </m:r>
                <m:r>
                  <m:rPr>
                    <m:nor/>
                  </m:rPr>
                  <w:rPr>
                    <w:rFonts w:ascii="Times New Roman" w:hAnsi="Times New Roman"/>
                  </w:rPr>
                  <m:t>and</m:t>
                </m:r>
                <m:r>
                  <w:rPr>
                    <w:rFonts w:ascii="Cambria Math"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IS</m:t>
                        </m:r>
                      </m:e>
                      <m:sub>
                        <m:r>
                          <w:rPr>
                            <w:rFonts w:ascii="Cambria Math" w:hAnsi="Cambria Math"/>
                          </w:rPr>
                          <m:t>cds,t-1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u</m:t>
                        </m:r>
                      </m:sub>
                    </m:sSub>
                  </m:e>
                </m:d>
              </m:oMath>
            </m:oMathPara>
          </w:p>
        </w:tc>
        <w:tc>
          <w:tcPr>
            <w:tcW w:w="368" w:type="pct"/>
            <w:vAlign w:val="center"/>
          </w:tcPr>
          <w:p w14:paraId="43B464C2" w14:textId="77777777" w:rsidR="00F746B1" w:rsidRPr="003003FF" w:rsidRDefault="00F746B1" w:rsidP="00FE0EF2">
            <w:pPr>
              <w:rPr>
                <w:rFonts w:ascii="Times New Roman" w:hAnsi="Times New Roman"/>
              </w:rPr>
            </w:pPr>
            <w:r w:rsidRPr="003003FF">
              <w:rPr>
                <w:rFonts w:ascii="Times New Roman" w:hAnsi="Times New Roman"/>
              </w:rPr>
              <w:t>-</w:t>
            </w:r>
          </w:p>
        </w:tc>
        <w:tc>
          <w:tcPr>
            <w:tcW w:w="436" w:type="pct"/>
            <w:vAlign w:val="center"/>
          </w:tcPr>
          <w:p w14:paraId="7A8A5165" w14:textId="77777777" w:rsidR="00F746B1" w:rsidRPr="003003FF" w:rsidRDefault="00F746B1" w:rsidP="00FE0EF2">
            <w:pPr>
              <w:rPr>
                <w:rFonts w:ascii="Times New Roman" w:hAnsi="Times New Roman"/>
              </w:rPr>
            </w:pPr>
            <w:r w:rsidRPr="003003FF">
              <w:rPr>
                <w:rFonts w:ascii="Times New Roman" w:hAnsi="Times New Roman"/>
              </w:rPr>
              <w:t>short</w:t>
            </w:r>
          </w:p>
        </w:tc>
      </w:tr>
      <w:tr w:rsidR="00F746B1" w:rsidRPr="003003FF" w14:paraId="1969D1FC" w14:textId="77777777" w:rsidTr="00FE0EF2">
        <w:trPr>
          <w:jc w:val="center"/>
        </w:trPr>
        <w:tc>
          <w:tcPr>
            <w:tcW w:w="589" w:type="pct"/>
            <w:vMerge/>
            <w:vAlign w:val="center"/>
          </w:tcPr>
          <w:p w14:paraId="660228B1" w14:textId="77777777" w:rsidR="00F746B1" w:rsidRPr="003003FF" w:rsidRDefault="00F746B1" w:rsidP="00FE0EF2">
            <w:pPr>
              <w:rPr>
                <w:rFonts w:ascii="Times New Roman" w:hAnsi="Times New Roman"/>
              </w:rPr>
            </w:pPr>
          </w:p>
        </w:tc>
        <w:tc>
          <w:tcPr>
            <w:tcW w:w="3607" w:type="pct"/>
            <w:vAlign w:val="center"/>
          </w:tcPr>
          <w:p w14:paraId="7BDFF327" w14:textId="77777777" w:rsidR="00F746B1" w:rsidRPr="003003FF" w:rsidRDefault="007E3D27" w:rsidP="002F191F">
            <w:pPr>
              <w:rPr>
                <w:rFonts w:ascii="Times New Roman" w:hAnsi="Times New Roman"/>
              </w:rPr>
            </w:pPr>
            <m:oMathPara>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eis</m:t>
                        </m:r>
                      </m:e>
                      <m:sub>
                        <m:r>
                          <w:rPr>
                            <w:rFonts w:ascii="Cambria Math" w:hAnsi="Cambria Math"/>
                          </w:rPr>
                          <m:t>t-1</m:t>
                        </m:r>
                      </m:sub>
                    </m:sSub>
                    <m:r>
                      <w:rPr>
                        <w:rFonts w:ascii="Cambria Math" w:hAnsi="Cambria Math"/>
                      </w:rPr>
                      <m:t>&gt;</m:t>
                    </m:r>
                    <m:d>
                      <m:dPr>
                        <m:ctrlPr>
                          <w:rPr>
                            <w:rFonts w:ascii="Cambria Math" w:hAnsi="Cambria Math"/>
                            <w:i/>
                          </w:rPr>
                        </m:ctrlPr>
                      </m:dPr>
                      <m:e>
                        <m:r>
                          <w:rPr>
                            <w:rFonts w:ascii="Cambria Math" w:hAnsi="Cambria Math"/>
                          </w:rPr>
                          <m:t>1+θ</m:t>
                        </m:r>
                      </m:e>
                    </m:d>
                    <m:r>
                      <w:rPr>
                        <w:rFonts w:ascii="Cambria Math" w:hAnsi="Cambria Math"/>
                      </w:rPr>
                      <m:t>*</m:t>
                    </m:r>
                    <m:f>
                      <m:fPr>
                        <m:type m:val="lin"/>
                        <m:ctrlPr>
                          <w:rPr>
                            <w:rFonts w:ascii="Cambria Math" w:hAnsi="Cambria Math"/>
                            <w:i/>
                          </w:rPr>
                        </m:ctrlPr>
                      </m:fPr>
                      <m:num>
                        <m:sSub>
                          <m:sSubPr>
                            <m:ctrlPr>
                              <w:rPr>
                                <w:rFonts w:ascii="Cambria Math" w:hAnsi="Cambria Math"/>
                                <w:i/>
                              </w:rPr>
                            </m:ctrlPr>
                          </m:sSubPr>
                          <m:e>
                            <m:r>
                              <w:rPr>
                                <w:rFonts w:ascii="Cambria Math" w:hAnsi="Cambria Math"/>
                              </w:rPr>
                              <m:t>cds</m:t>
                            </m:r>
                          </m:e>
                          <m:sub>
                            <m:r>
                              <w:rPr>
                                <w:rFonts w:ascii="Cambria Math" w:hAnsi="Cambria Math"/>
                              </w:rPr>
                              <m:t>t-1</m:t>
                            </m:r>
                          </m:sub>
                        </m:sSub>
                      </m:num>
                      <m:den>
                        <m:r>
                          <w:rPr>
                            <w:rFonts w:ascii="Cambria Math" w:hAnsi="Cambria Math"/>
                          </w:rPr>
                          <m:t>α</m:t>
                        </m:r>
                      </m:den>
                    </m:f>
                    <m:r>
                      <w:rPr>
                        <w:rFonts w:ascii="Cambria Math" w:hAnsi="Cambria Math"/>
                      </w:rPr>
                      <m:t xml:space="preserve"> </m:t>
                    </m:r>
                  </m:e>
                </m:d>
                <m:r>
                  <m:rPr>
                    <m:nor/>
                  </m:rPr>
                  <w:rPr>
                    <w:rFonts w:ascii="Times New Roman" w:hAnsi="Times New Roman"/>
                  </w:rPr>
                  <m:t xml:space="preserve"> and</m:t>
                </m:r>
                <m:r>
                  <w:rPr>
                    <w:rFonts w:ascii="Cambria Math"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IS</m:t>
                        </m:r>
                      </m:e>
                      <m:sub>
                        <m:r>
                          <w:rPr>
                            <w:rFonts w:ascii="Cambria Math" w:hAnsi="Cambria Math"/>
                          </w:rPr>
                          <m:t>cds,t-1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l</m:t>
                        </m:r>
                      </m:sub>
                    </m:sSub>
                  </m:e>
                </m:d>
              </m:oMath>
            </m:oMathPara>
          </w:p>
        </w:tc>
        <w:tc>
          <w:tcPr>
            <w:tcW w:w="368" w:type="pct"/>
            <w:vAlign w:val="center"/>
          </w:tcPr>
          <w:p w14:paraId="59800BBD" w14:textId="77777777" w:rsidR="00F746B1" w:rsidRPr="003003FF" w:rsidRDefault="00F746B1" w:rsidP="00FE0EF2">
            <w:pPr>
              <w:rPr>
                <w:rFonts w:ascii="Times New Roman" w:hAnsi="Times New Roman"/>
              </w:rPr>
            </w:pPr>
            <w:r w:rsidRPr="003003FF">
              <w:rPr>
                <w:rFonts w:ascii="Times New Roman" w:hAnsi="Times New Roman"/>
              </w:rPr>
              <w:t>long</w:t>
            </w:r>
          </w:p>
        </w:tc>
        <w:tc>
          <w:tcPr>
            <w:tcW w:w="436" w:type="pct"/>
            <w:vAlign w:val="center"/>
          </w:tcPr>
          <w:p w14:paraId="204F3325" w14:textId="77777777" w:rsidR="00F746B1" w:rsidRPr="003003FF" w:rsidRDefault="00F746B1" w:rsidP="00FE0EF2">
            <w:pPr>
              <w:rPr>
                <w:rFonts w:ascii="Times New Roman" w:hAnsi="Times New Roman"/>
              </w:rPr>
            </w:pPr>
            <w:r w:rsidRPr="003003FF">
              <w:rPr>
                <w:rFonts w:ascii="Times New Roman" w:hAnsi="Times New Roman"/>
              </w:rPr>
              <w:t>-</w:t>
            </w:r>
          </w:p>
        </w:tc>
      </w:tr>
      <w:tr w:rsidR="00F746B1" w:rsidRPr="003003FF" w14:paraId="4AADB75F" w14:textId="77777777" w:rsidTr="00FE0EF2">
        <w:trPr>
          <w:jc w:val="center"/>
        </w:trPr>
        <w:tc>
          <w:tcPr>
            <w:tcW w:w="589" w:type="pct"/>
            <w:vMerge/>
            <w:vAlign w:val="center"/>
          </w:tcPr>
          <w:p w14:paraId="0BA9653A" w14:textId="77777777" w:rsidR="00F746B1" w:rsidRPr="003003FF" w:rsidRDefault="00F746B1" w:rsidP="00FE0EF2">
            <w:pPr>
              <w:rPr>
                <w:rFonts w:ascii="Times New Roman" w:hAnsi="Times New Roman"/>
              </w:rPr>
            </w:pPr>
          </w:p>
        </w:tc>
        <w:tc>
          <w:tcPr>
            <w:tcW w:w="3607" w:type="pct"/>
            <w:vAlign w:val="center"/>
          </w:tcPr>
          <w:p w14:paraId="7C9D09C7" w14:textId="77777777" w:rsidR="00F746B1" w:rsidRPr="003003FF" w:rsidRDefault="007E3D27" w:rsidP="002F191F">
            <w:pPr>
              <w:rPr>
                <w:rFonts w:ascii="Times New Roman" w:hAnsi="Times New Roman"/>
              </w:rPr>
            </w:pPr>
            <m:oMathPara>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eis</m:t>
                        </m:r>
                      </m:e>
                      <m:sub>
                        <m:r>
                          <w:rPr>
                            <w:rFonts w:ascii="Cambria Math" w:hAnsi="Cambria Math"/>
                          </w:rPr>
                          <m:t>t-1</m:t>
                        </m:r>
                      </m:sub>
                    </m:sSub>
                    <m:r>
                      <w:rPr>
                        <w:rFonts w:ascii="Cambria Math" w:hAnsi="Cambria Math"/>
                      </w:rPr>
                      <m:t>&gt;</m:t>
                    </m:r>
                    <m:d>
                      <m:dPr>
                        <m:ctrlPr>
                          <w:rPr>
                            <w:rFonts w:ascii="Cambria Math" w:hAnsi="Cambria Math"/>
                            <w:i/>
                          </w:rPr>
                        </m:ctrlPr>
                      </m:dPr>
                      <m:e>
                        <m:r>
                          <w:rPr>
                            <w:rFonts w:ascii="Cambria Math" w:hAnsi="Cambria Math"/>
                          </w:rPr>
                          <m:t>1+θ</m:t>
                        </m:r>
                      </m:e>
                    </m:d>
                    <m:r>
                      <w:rPr>
                        <w:rFonts w:ascii="Cambria Math" w:hAnsi="Cambria Math"/>
                      </w:rPr>
                      <m:t>*</m:t>
                    </m:r>
                    <m:f>
                      <m:fPr>
                        <m:type m:val="lin"/>
                        <m:ctrlPr>
                          <w:rPr>
                            <w:rFonts w:ascii="Cambria Math" w:hAnsi="Cambria Math"/>
                            <w:i/>
                          </w:rPr>
                        </m:ctrlPr>
                      </m:fPr>
                      <m:num>
                        <m:sSub>
                          <m:sSubPr>
                            <m:ctrlPr>
                              <w:rPr>
                                <w:rFonts w:ascii="Cambria Math" w:hAnsi="Cambria Math"/>
                                <w:i/>
                              </w:rPr>
                            </m:ctrlPr>
                          </m:sSubPr>
                          <m:e>
                            <m:r>
                              <w:rPr>
                                <w:rFonts w:ascii="Cambria Math" w:hAnsi="Cambria Math"/>
                              </w:rPr>
                              <m:t>cds</m:t>
                            </m:r>
                          </m:e>
                          <m:sub>
                            <m:r>
                              <w:rPr>
                                <w:rFonts w:ascii="Cambria Math" w:hAnsi="Cambria Math"/>
                              </w:rPr>
                              <m:t>t-1</m:t>
                            </m:r>
                          </m:sub>
                        </m:sSub>
                      </m:num>
                      <m:den>
                        <m:r>
                          <w:rPr>
                            <w:rFonts w:ascii="Cambria Math" w:hAnsi="Cambria Math"/>
                          </w:rPr>
                          <m:t>α</m:t>
                        </m:r>
                      </m:den>
                    </m:f>
                    <m:r>
                      <w:rPr>
                        <w:rFonts w:ascii="Cambria Math" w:hAnsi="Cambria Math"/>
                      </w:rPr>
                      <m:t xml:space="preserve"> </m:t>
                    </m:r>
                  </m:e>
                </m:d>
                <m:r>
                  <m:rPr>
                    <m:nor/>
                  </m:rPr>
                  <w:rPr>
                    <w:rFonts w:ascii="Times New Roman" w:hAnsi="Times New Roman"/>
                  </w:rPr>
                  <m:t xml:space="preserve"> and</m:t>
                </m:r>
                <m:r>
                  <w:rPr>
                    <w:rFonts w:ascii="Cambria Math"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IS</m:t>
                        </m:r>
                      </m:e>
                      <m:sub>
                        <m:r>
                          <w:rPr>
                            <w:rFonts w:ascii="Cambria Math" w:hAnsi="Cambria Math"/>
                          </w:rPr>
                          <m:t>cds,t-1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u</m:t>
                        </m:r>
                      </m:sub>
                    </m:sSub>
                  </m:e>
                </m:d>
              </m:oMath>
            </m:oMathPara>
          </w:p>
        </w:tc>
        <w:tc>
          <w:tcPr>
            <w:tcW w:w="368" w:type="pct"/>
            <w:vAlign w:val="center"/>
          </w:tcPr>
          <w:p w14:paraId="2F8D21D6" w14:textId="77777777" w:rsidR="00F746B1" w:rsidRPr="003003FF" w:rsidRDefault="00F746B1" w:rsidP="00FE0EF2">
            <w:pPr>
              <w:rPr>
                <w:rFonts w:ascii="Times New Roman" w:hAnsi="Times New Roman"/>
              </w:rPr>
            </w:pPr>
            <w:r w:rsidRPr="003003FF">
              <w:rPr>
                <w:rFonts w:ascii="Times New Roman" w:hAnsi="Times New Roman"/>
              </w:rPr>
              <w:t>-</w:t>
            </w:r>
          </w:p>
        </w:tc>
        <w:tc>
          <w:tcPr>
            <w:tcW w:w="436" w:type="pct"/>
            <w:vAlign w:val="center"/>
          </w:tcPr>
          <w:p w14:paraId="5457E309" w14:textId="77777777" w:rsidR="00F746B1" w:rsidRPr="003003FF" w:rsidRDefault="00F746B1" w:rsidP="00FE0EF2">
            <w:pPr>
              <w:rPr>
                <w:rFonts w:ascii="Times New Roman" w:hAnsi="Times New Roman"/>
              </w:rPr>
            </w:pPr>
            <w:r w:rsidRPr="003003FF">
              <w:rPr>
                <w:rFonts w:ascii="Times New Roman" w:hAnsi="Times New Roman"/>
              </w:rPr>
              <w:t>long</w:t>
            </w:r>
          </w:p>
        </w:tc>
      </w:tr>
    </w:tbl>
    <w:p w14:paraId="05608EF5" w14:textId="77777777" w:rsidR="00F746B1" w:rsidRDefault="00F746B1" w:rsidP="00C61C0E">
      <w:pPr>
        <w:spacing w:line="240" w:lineRule="auto"/>
        <w:jc w:val="both"/>
        <w:outlineLvl w:val="0"/>
        <w:rPr>
          <w:rFonts w:ascii="Times New Roman" w:hAnsi="Times New Roman"/>
          <w:b/>
          <w:sz w:val="24"/>
          <w:szCs w:val="24"/>
        </w:rPr>
      </w:pPr>
    </w:p>
    <w:p w14:paraId="6458FF81" w14:textId="77777777" w:rsidR="00802941" w:rsidRDefault="00C47672" w:rsidP="00DA42E4">
      <w:pPr>
        <w:spacing w:after="0" w:line="240" w:lineRule="auto"/>
        <w:rPr>
          <w:rFonts w:ascii="Times New Roman" w:hAnsi="Times New Roman"/>
          <w:b/>
          <w:sz w:val="24"/>
          <w:szCs w:val="24"/>
        </w:rPr>
      </w:pPr>
      <w:r>
        <w:rPr>
          <w:rFonts w:ascii="Times New Roman" w:hAnsi="Times New Roman"/>
          <w:b/>
          <w:sz w:val="24"/>
          <w:szCs w:val="24"/>
        </w:rPr>
        <w:t>Exhibit</w:t>
      </w:r>
      <w:r w:rsidR="00802941" w:rsidRPr="003F2B73">
        <w:rPr>
          <w:rFonts w:ascii="Times New Roman" w:hAnsi="Times New Roman"/>
          <w:b/>
          <w:sz w:val="24"/>
          <w:szCs w:val="24"/>
        </w:rPr>
        <w:t xml:space="preserve"> </w:t>
      </w:r>
      <w:r w:rsidR="004A7F6B">
        <w:rPr>
          <w:rFonts w:ascii="Times New Roman" w:hAnsi="Times New Roman"/>
          <w:b/>
          <w:sz w:val="24"/>
          <w:szCs w:val="24"/>
        </w:rPr>
        <w:t>2</w:t>
      </w:r>
      <w:r w:rsidR="00802941" w:rsidRPr="003F2B73">
        <w:rPr>
          <w:rFonts w:ascii="Times New Roman" w:hAnsi="Times New Roman"/>
          <w:b/>
          <w:sz w:val="24"/>
          <w:szCs w:val="24"/>
        </w:rPr>
        <w:t>. Main features of the trading strategies</w:t>
      </w:r>
    </w:p>
    <w:tbl>
      <w:tblPr>
        <w:tblStyle w:val="TableGrid"/>
        <w:tblW w:w="3008" w:type="pct"/>
        <w:tblLook w:val="04A0" w:firstRow="1" w:lastRow="0" w:firstColumn="1" w:lastColumn="0" w:noHBand="0" w:noVBand="1"/>
      </w:tblPr>
      <w:tblGrid>
        <w:gridCol w:w="1006"/>
        <w:gridCol w:w="1006"/>
        <w:gridCol w:w="1027"/>
        <w:gridCol w:w="987"/>
        <w:gridCol w:w="1405"/>
      </w:tblGrid>
      <w:tr w:rsidR="00FF0ED8" w:rsidRPr="00C61C0E" w14:paraId="3B07AC24" w14:textId="77777777" w:rsidTr="00C47672">
        <w:trPr>
          <w:trHeight w:val="574"/>
        </w:trPr>
        <w:tc>
          <w:tcPr>
            <w:tcW w:w="1000" w:type="pct"/>
            <w:tcBorders>
              <w:left w:val="nil"/>
              <w:bottom w:val="single" w:sz="4" w:space="0" w:color="auto"/>
              <w:right w:val="nil"/>
            </w:tcBorders>
          </w:tcPr>
          <w:p w14:paraId="454EE209" w14:textId="77777777" w:rsidR="00FF0ED8" w:rsidRPr="00D7101E" w:rsidRDefault="00D7101E" w:rsidP="00C47672">
            <w:pPr>
              <w:spacing w:after="120" w:line="240" w:lineRule="auto"/>
              <w:outlineLvl w:val="0"/>
              <w:rPr>
                <w:rFonts w:ascii="Times New Roman" w:hAnsi="Times New Roman"/>
                <w:b/>
              </w:rPr>
            </w:pPr>
            <w:r w:rsidRPr="00D7101E">
              <w:rPr>
                <w:rFonts w:ascii="Times New Roman" w:hAnsi="Times New Roman"/>
                <w:b/>
              </w:rPr>
              <w:t xml:space="preserve">         Strategy</w:t>
            </w:r>
          </w:p>
        </w:tc>
        <w:tc>
          <w:tcPr>
            <w:tcW w:w="1000" w:type="pct"/>
            <w:tcBorders>
              <w:left w:val="nil"/>
              <w:bottom w:val="single" w:sz="4" w:space="0" w:color="auto"/>
              <w:right w:val="nil"/>
            </w:tcBorders>
          </w:tcPr>
          <w:p w14:paraId="7E425BDE" w14:textId="77777777" w:rsidR="00FF0ED8" w:rsidRPr="00846BB2" w:rsidRDefault="00FF0ED8" w:rsidP="00397CA8">
            <w:pPr>
              <w:spacing w:after="120" w:line="240" w:lineRule="auto"/>
              <w:jc w:val="center"/>
              <w:outlineLvl w:val="0"/>
              <w:rPr>
                <w:rFonts w:ascii="Times New Roman" w:hAnsi="Times New Roman"/>
                <w:b/>
              </w:rPr>
            </w:pPr>
            <w:r>
              <w:rPr>
                <w:rFonts w:ascii="Times New Roman" w:hAnsi="Times New Roman"/>
                <w:b/>
              </w:rPr>
              <w:t>T</w:t>
            </w:r>
            <w:r w:rsidRPr="00401DCD">
              <w:rPr>
                <w:rFonts w:ascii="Times New Roman" w:hAnsi="Times New Roman"/>
                <w:b/>
              </w:rPr>
              <w:t>rading t</w:t>
            </w:r>
            <w:r w:rsidRPr="00846BB2">
              <w:rPr>
                <w:rFonts w:ascii="Times New Roman" w:hAnsi="Times New Roman"/>
                <w:b/>
              </w:rPr>
              <w:t>rigger</w:t>
            </w:r>
          </w:p>
        </w:tc>
        <w:tc>
          <w:tcPr>
            <w:tcW w:w="1000" w:type="pct"/>
            <w:tcBorders>
              <w:left w:val="nil"/>
              <w:bottom w:val="single" w:sz="4" w:space="0" w:color="auto"/>
              <w:right w:val="nil"/>
            </w:tcBorders>
          </w:tcPr>
          <w:p w14:paraId="52CB435E" w14:textId="77777777" w:rsidR="00FF0ED8" w:rsidRPr="00846BB2" w:rsidRDefault="00FF0ED8" w:rsidP="009444F9">
            <w:pPr>
              <w:spacing w:after="120" w:line="240" w:lineRule="auto"/>
              <w:jc w:val="center"/>
              <w:outlineLvl w:val="0"/>
              <w:rPr>
                <w:rFonts w:ascii="Times New Roman" w:hAnsi="Times New Roman"/>
                <w:b/>
              </w:rPr>
            </w:pPr>
            <w:r>
              <w:rPr>
                <w:rFonts w:ascii="Times New Roman" w:hAnsi="Times New Roman"/>
                <w:b/>
              </w:rPr>
              <w:t>Price discovery</w:t>
            </w:r>
            <w:r w:rsidRPr="00846BB2">
              <w:rPr>
                <w:rFonts w:ascii="Times New Roman" w:hAnsi="Times New Roman"/>
                <w:b/>
              </w:rPr>
              <w:t xml:space="preserve"> trigger</w:t>
            </w:r>
          </w:p>
        </w:tc>
        <w:tc>
          <w:tcPr>
            <w:tcW w:w="1000" w:type="pct"/>
            <w:tcBorders>
              <w:left w:val="nil"/>
              <w:bottom w:val="single" w:sz="4" w:space="0" w:color="auto"/>
              <w:right w:val="nil"/>
            </w:tcBorders>
          </w:tcPr>
          <w:p w14:paraId="5AE44064" w14:textId="77777777" w:rsidR="00FF0ED8" w:rsidRPr="00846BB2" w:rsidRDefault="00FF0ED8" w:rsidP="00397CA8">
            <w:pPr>
              <w:spacing w:after="120" w:line="240" w:lineRule="auto"/>
              <w:jc w:val="center"/>
              <w:outlineLvl w:val="0"/>
              <w:rPr>
                <w:rFonts w:ascii="Times New Roman" w:hAnsi="Times New Roman"/>
                <w:b/>
              </w:rPr>
            </w:pPr>
            <w:r w:rsidRPr="00846BB2">
              <w:rPr>
                <w:rFonts w:ascii="Times New Roman" w:hAnsi="Times New Roman"/>
                <w:b/>
              </w:rPr>
              <w:t>Hedging</w:t>
            </w:r>
          </w:p>
        </w:tc>
        <w:tc>
          <w:tcPr>
            <w:tcW w:w="1000" w:type="pct"/>
            <w:tcBorders>
              <w:left w:val="nil"/>
              <w:bottom w:val="single" w:sz="4" w:space="0" w:color="auto"/>
              <w:right w:val="nil"/>
            </w:tcBorders>
          </w:tcPr>
          <w:p w14:paraId="018734F8" w14:textId="77777777" w:rsidR="00FF0ED8" w:rsidRPr="00846BB2" w:rsidRDefault="00FF0ED8" w:rsidP="00EA4DF4">
            <w:pPr>
              <w:spacing w:after="120" w:line="240" w:lineRule="auto"/>
              <w:jc w:val="center"/>
              <w:outlineLvl w:val="0"/>
              <w:rPr>
                <w:rFonts w:ascii="Times New Roman" w:hAnsi="Times New Roman"/>
                <w:b/>
              </w:rPr>
            </w:pPr>
            <w:r w:rsidRPr="00846BB2">
              <w:rPr>
                <w:rFonts w:ascii="Times New Roman" w:hAnsi="Times New Roman"/>
                <w:b/>
              </w:rPr>
              <w:t>C</w:t>
            </w:r>
            <w:r>
              <w:rPr>
                <w:rFonts w:ascii="Times New Roman" w:hAnsi="Times New Roman"/>
                <w:b/>
              </w:rPr>
              <w:t xml:space="preserve">ointegrating </w:t>
            </w:r>
            <w:r w:rsidR="009A7AC4">
              <w:rPr>
                <w:rFonts w:ascii="Times New Roman" w:hAnsi="Times New Roman"/>
                <w:b/>
              </w:rPr>
              <w:t>e</w:t>
            </w:r>
            <w:r>
              <w:rPr>
                <w:rFonts w:ascii="Times New Roman" w:hAnsi="Times New Roman"/>
                <w:b/>
              </w:rPr>
              <w:t>quation</w:t>
            </w:r>
          </w:p>
        </w:tc>
      </w:tr>
      <w:tr w:rsidR="00FF0ED8" w:rsidRPr="00C61C0E" w14:paraId="08EE04AE" w14:textId="77777777" w:rsidTr="00C47672">
        <w:trPr>
          <w:trHeight w:val="348"/>
        </w:trPr>
        <w:tc>
          <w:tcPr>
            <w:tcW w:w="1000" w:type="pct"/>
            <w:tcBorders>
              <w:left w:val="nil"/>
              <w:bottom w:val="nil"/>
              <w:right w:val="nil"/>
            </w:tcBorders>
            <w:vAlign w:val="center"/>
          </w:tcPr>
          <w:p w14:paraId="3063B4B3" w14:textId="77777777" w:rsidR="00FF0ED8" w:rsidRPr="00401DCD" w:rsidRDefault="00FF0ED8" w:rsidP="00397CA8">
            <w:pPr>
              <w:spacing w:after="120" w:line="240" w:lineRule="auto"/>
              <w:jc w:val="center"/>
              <w:outlineLvl w:val="0"/>
              <w:rPr>
                <w:rFonts w:ascii="Times New Roman" w:hAnsi="Times New Roman"/>
              </w:rPr>
            </w:pPr>
            <w:r w:rsidRPr="00401DCD">
              <w:rPr>
                <w:rFonts w:ascii="Times New Roman" w:hAnsi="Times New Roman"/>
              </w:rPr>
              <w:t>Strategy 1</w:t>
            </w:r>
          </w:p>
        </w:tc>
        <w:tc>
          <w:tcPr>
            <w:tcW w:w="1000" w:type="pct"/>
            <w:tcBorders>
              <w:left w:val="nil"/>
              <w:bottom w:val="nil"/>
              <w:right w:val="nil"/>
            </w:tcBorders>
            <w:vAlign w:val="center"/>
          </w:tcPr>
          <w:p w14:paraId="7C18113D" w14:textId="77777777" w:rsidR="00FF0ED8" w:rsidRPr="00846BB2" w:rsidRDefault="00FF0ED8" w:rsidP="00397CA8">
            <w:pPr>
              <w:spacing w:after="120" w:line="240" w:lineRule="auto"/>
              <w:jc w:val="center"/>
              <w:outlineLvl w:val="0"/>
              <w:rPr>
                <w:rFonts w:ascii="Times New Roman" w:hAnsi="Times New Roman"/>
              </w:rPr>
            </w:pPr>
            <w:r w:rsidRPr="00846BB2">
              <w:rPr>
                <w:rFonts w:ascii="Times New Roman" w:hAnsi="Times New Roman"/>
              </w:rPr>
              <w:t>√</w:t>
            </w:r>
          </w:p>
        </w:tc>
        <w:tc>
          <w:tcPr>
            <w:tcW w:w="1000" w:type="pct"/>
            <w:tcBorders>
              <w:left w:val="nil"/>
              <w:bottom w:val="nil"/>
              <w:right w:val="nil"/>
            </w:tcBorders>
            <w:vAlign w:val="center"/>
          </w:tcPr>
          <w:p w14:paraId="425A45AD" w14:textId="77777777" w:rsidR="00FF0ED8" w:rsidRPr="00846BB2" w:rsidRDefault="00FF0ED8" w:rsidP="00397CA8">
            <w:pPr>
              <w:spacing w:after="120" w:line="240" w:lineRule="auto"/>
              <w:jc w:val="center"/>
              <w:outlineLvl w:val="0"/>
              <w:rPr>
                <w:rFonts w:ascii="Times New Roman" w:hAnsi="Times New Roman"/>
              </w:rPr>
            </w:pPr>
            <w:r w:rsidRPr="00846BB2">
              <w:rPr>
                <w:rFonts w:ascii="Times New Roman" w:hAnsi="Times New Roman"/>
              </w:rPr>
              <w:t>-</w:t>
            </w:r>
          </w:p>
        </w:tc>
        <w:tc>
          <w:tcPr>
            <w:tcW w:w="1000" w:type="pct"/>
            <w:tcBorders>
              <w:left w:val="nil"/>
              <w:bottom w:val="nil"/>
              <w:right w:val="nil"/>
            </w:tcBorders>
            <w:vAlign w:val="center"/>
          </w:tcPr>
          <w:p w14:paraId="1C2FC2B6" w14:textId="77777777" w:rsidR="00FF0ED8" w:rsidRPr="00846BB2" w:rsidRDefault="00FF0ED8" w:rsidP="00397CA8">
            <w:pPr>
              <w:spacing w:after="120" w:line="240" w:lineRule="auto"/>
              <w:jc w:val="center"/>
              <w:outlineLvl w:val="0"/>
              <w:rPr>
                <w:rFonts w:ascii="Times New Roman" w:hAnsi="Times New Roman"/>
              </w:rPr>
            </w:pPr>
            <w:r w:rsidRPr="00846BB2">
              <w:rPr>
                <w:rFonts w:ascii="Times New Roman" w:hAnsi="Times New Roman"/>
              </w:rPr>
              <w:t>√</w:t>
            </w:r>
          </w:p>
        </w:tc>
        <w:tc>
          <w:tcPr>
            <w:tcW w:w="1000" w:type="pct"/>
            <w:tcBorders>
              <w:left w:val="nil"/>
              <w:bottom w:val="nil"/>
              <w:right w:val="nil"/>
            </w:tcBorders>
            <w:vAlign w:val="center"/>
          </w:tcPr>
          <w:p w14:paraId="6F4D70D1" w14:textId="77777777" w:rsidR="00FF0ED8" w:rsidRPr="00846BB2" w:rsidRDefault="00FF0ED8" w:rsidP="00397CA8">
            <w:pPr>
              <w:spacing w:after="120" w:line="240" w:lineRule="auto"/>
              <w:jc w:val="center"/>
              <w:outlineLvl w:val="0"/>
              <w:rPr>
                <w:rFonts w:ascii="Times New Roman" w:hAnsi="Times New Roman"/>
              </w:rPr>
            </w:pPr>
            <w:r w:rsidRPr="00846BB2">
              <w:rPr>
                <w:rFonts w:ascii="Times New Roman" w:hAnsi="Times New Roman"/>
              </w:rPr>
              <w:t>-</w:t>
            </w:r>
          </w:p>
        </w:tc>
      </w:tr>
      <w:tr w:rsidR="00FF0ED8" w:rsidRPr="00C61C0E" w14:paraId="635F3FAA" w14:textId="77777777" w:rsidTr="00C47672">
        <w:trPr>
          <w:trHeight w:val="348"/>
        </w:trPr>
        <w:tc>
          <w:tcPr>
            <w:tcW w:w="1000" w:type="pct"/>
            <w:tcBorders>
              <w:top w:val="nil"/>
              <w:left w:val="nil"/>
              <w:bottom w:val="nil"/>
              <w:right w:val="nil"/>
            </w:tcBorders>
            <w:vAlign w:val="center"/>
          </w:tcPr>
          <w:p w14:paraId="2E363957" w14:textId="77777777" w:rsidR="00FF0ED8" w:rsidRPr="00401DCD" w:rsidRDefault="00FF0ED8" w:rsidP="00397CA8">
            <w:pPr>
              <w:spacing w:after="120" w:line="240" w:lineRule="auto"/>
              <w:jc w:val="center"/>
              <w:outlineLvl w:val="0"/>
              <w:rPr>
                <w:rFonts w:ascii="Times New Roman" w:hAnsi="Times New Roman"/>
              </w:rPr>
            </w:pPr>
            <w:r w:rsidRPr="00401DCD">
              <w:rPr>
                <w:rFonts w:ascii="Times New Roman" w:hAnsi="Times New Roman"/>
              </w:rPr>
              <w:t>Strategy 2</w:t>
            </w:r>
          </w:p>
        </w:tc>
        <w:tc>
          <w:tcPr>
            <w:tcW w:w="1000" w:type="pct"/>
            <w:tcBorders>
              <w:top w:val="nil"/>
              <w:left w:val="nil"/>
              <w:bottom w:val="nil"/>
              <w:right w:val="nil"/>
            </w:tcBorders>
            <w:vAlign w:val="center"/>
          </w:tcPr>
          <w:p w14:paraId="714285EF" w14:textId="77777777" w:rsidR="00FF0ED8" w:rsidRPr="00846BB2" w:rsidRDefault="00FF0ED8" w:rsidP="00397CA8">
            <w:pPr>
              <w:spacing w:after="120" w:line="240" w:lineRule="auto"/>
              <w:jc w:val="center"/>
              <w:outlineLvl w:val="0"/>
              <w:rPr>
                <w:rFonts w:ascii="Times New Roman" w:hAnsi="Times New Roman"/>
              </w:rPr>
            </w:pPr>
            <w:r w:rsidRPr="00846BB2">
              <w:rPr>
                <w:rFonts w:ascii="Times New Roman" w:hAnsi="Times New Roman"/>
              </w:rPr>
              <w:t>√</w:t>
            </w:r>
          </w:p>
        </w:tc>
        <w:tc>
          <w:tcPr>
            <w:tcW w:w="1000" w:type="pct"/>
            <w:tcBorders>
              <w:top w:val="nil"/>
              <w:left w:val="nil"/>
              <w:bottom w:val="nil"/>
              <w:right w:val="nil"/>
            </w:tcBorders>
            <w:vAlign w:val="center"/>
          </w:tcPr>
          <w:p w14:paraId="20191F08" w14:textId="77777777" w:rsidR="00FF0ED8" w:rsidRPr="00846BB2" w:rsidRDefault="00FF0ED8" w:rsidP="00397CA8">
            <w:pPr>
              <w:spacing w:after="120" w:line="240" w:lineRule="auto"/>
              <w:jc w:val="center"/>
              <w:outlineLvl w:val="0"/>
              <w:rPr>
                <w:rFonts w:ascii="Times New Roman" w:hAnsi="Times New Roman"/>
              </w:rPr>
            </w:pPr>
            <w:r w:rsidRPr="00846BB2">
              <w:rPr>
                <w:rFonts w:ascii="Times New Roman" w:hAnsi="Times New Roman"/>
              </w:rPr>
              <w:t>√</w:t>
            </w:r>
          </w:p>
        </w:tc>
        <w:tc>
          <w:tcPr>
            <w:tcW w:w="1000" w:type="pct"/>
            <w:tcBorders>
              <w:top w:val="nil"/>
              <w:left w:val="nil"/>
              <w:bottom w:val="nil"/>
              <w:right w:val="nil"/>
            </w:tcBorders>
            <w:vAlign w:val="center"/>
          </w:tcPr>
          <w:p w14:paraId="7EC83D76" w14:textId="77777777" w:rsidR="00FF0ED8" w:rsidRPr="00846BB2" w:rsidRDefault="00FF0ED8" w:rsidP="00397CA8">
            <w:pPr>
              <w:spacing w:after="120" w:line="240" w:lineRule="auto"/>
              <w:jc w:val="center"/>
              <w:outlineLvl w:val="0"/>
              <w:rPr>
                <w:rFonts w:ascii="Times New Roman" w:hAnsi="Times New Roman"/>
              </w:rPr>
            </w:pPr>
            <w:r w:rsidRPr="00846BB2">
              <w:rPr>
                <w:rFonts w:ascii="Times New Roman" w:hAnsi="Times New Roman"/>
              </w:rPr>
              <w:t>√</w:t>
            </w:r>
          </w:p>
        </w:tc>
        <w:tc>
          <w:tcPr>
            <w:tcW w:w="1000" w:type="pct"/>
            <w:tcBorders>
              <w:top w:val="nil"/>
              <w:left w:val="nil"/>
              <w:bottom w:val="nil"/>
              <w:right w:val="nil"/>
            </w:tcBorders>
            <w:vAlign w:val="center"/>
          </w:tcPr>
          <w:p w14:paraId="62EAC39D" w14:textId="77777777" w:rsidR="00FF0ED8" w:rsidRPr="00846BB2" w:rsidRDefault="00FF0ED8" w:rsidP="00397CA8">
            <w:pPr>
              <w:spacing w:after="120" w:line="240" w:lineRule="auto"/>
              <w:jc w:val="center"/>
              <w:outlineLvl w:val="0"/>
              <w:rPr>
                <w:rFonts w:ascii="Times New Roman" w:hAnsi="Times New Roman"/>
              </w:rPr>
            </w:pPr>
            <w:r w:rsidRPr="00846BB2">
              <w:rPr>
                <w:rFonts w:ascii="Times New Roman" w:hAnsi="Times New Roman"/>
              </w:rPr>
              <w:t>-</w:t>
            </w:r>
          </w:p>
        </w:tc>
      </w:tr>
      <w:tr w:rsidR="00FF0ED8" w:rsidRPr="00C61C0E" w14:paraId="45538D2F" w14:textId="77777777" w:rsidTr="00C47672">
        <w:trPr>
          <w:trHeight w:val="363"/>
        </w:trPr>
        <w:tc>
          <w:tcPr>
            <w:tcW w:w="1000" w:type="pct"/>
            <w:tcBorders>
              <w:top w:val="nil"/>
              <w:left w:val="nil"/>
              <w:bottom w:val="nil"/>
              <w:right w:val="nil"/>
            </w:tcBorders>
            <w:vAlign w:val="center"/>
          </w:tcPr>
          <w:p w14:paraId="581A5099" w14:textId="77777777" w:rsidR="00FF0ED8" w:rsidRPr="00401DCD" w:rsidRDefault="00FF0ED8" w:rsidP="00397CA8">
            <w:pPr>
              <w:spacing w:after="120" w:line="240" w:lineRule="auto"/>
              <w:jc w:val="center"/>
              <w:outlineLvl w:val="0"/>
              <w:rPr>
                <w:rFonts w:ascii="Times New Roman" w:hAnsi="Times New Roman"/>
              </w:rPr>
            </w:pPr>
            <w:r w:rsidRPr="00401DCD">
              <w:rPr>
                <w:rFonts w:ascii="Times New Roman" w:hAnsi="Times New Roman"/>
              </w:rPr>
              <w:t>Strategy 3</w:t>
            </w:r>
          </w:p>
        </w:tc>
        <w:tc>
          <w:tcPr>
            <w:tcW w:w="1000" w:type="pct"/>
            <w:tcBorders>
              <w:top w:val="nil"/>
              <w:left w:val="nil"/>
              <w:bottom w:val="nil"/>
              <w:right w:val="nil"/>
            </w:tcBorders>
            <w:vAlign w:val="center"/>
          </w:tcPr>
          <w:p w14:paraId="0492D062" w14:textId="77777777" w:rsidR="00FF0ED8" w:rsidRPr="00846BB2" w:rsidRDefault="00FF0ED8" w:rsidP="00397CA8">
            <w:pPr>
              <w:spacing w:after="120" w:line="240" w:lineRule="auto"/>
              <w:jc w:val="center"/>
              <w:outlineLvl w:val="0"/>
              <w:rPr>
                <w:rFonts w:ascii="Times New Roman" w:hAnsi="Times New Roman"/>
              </w:rPr>
            </w:pPr>
            <w:r w:rsidRPr="00846BB2">
              <w:rPr>
                <w:rFonts w:ascii="Times New Roman" w:hAnsi="Times New Roman"/>
              </w:rPr>
              <w:t>√</w:t>
            </w:r>
          </w:p>
        </w:tc>
        <w:tc>
          <w:tcPr>
            <w:tcW w:w="1000" w:type="pct"/>
            <w:tcBorders>
              <w:top w:val="nil"/>
              <w:left w:val="nil"/>
              <w:bottom w:val="nil"/>
              <w:right w:val="nil"/>
            </w:tcBorders>
            <w:vAlign w:val="center"/>
          </w:tcPr>
          <w:p w14:paraId="0F50E811" w14:textId="77777777" w:rsidR="00FF0ED8" w:rsidRPr="00846BB2" w:rsidRDefault="00FF0ED8" w:rsidP="00397CA8">
            <w:pPr>
              <w:spacing w:after="120" w:line="240" w:lineRule="auto"/>
              <w:jc w:val="center"/>
              <w:outlineLvl w:val="0"/>
              <w:rPr>
                <w:rFonts w:ascii="Times New Roman" w:hAnsi="Times New Roman"/>
              </w:rPr>
            </w:pPr>
            <w:r w:rsidRPr="00846BB2">
              <w:rPr>
                <w:rFonts w:ascii="Times New Roman" w:hAnsi="Times New Roman"/>
              </w:rPr>
              <w:t>√</w:t>
            </w:r>
          </w:p>
        </w:tc>
        <w:tc>
          <w:tcPr>
            <w:tcW w:w="1000" w:type="pct"/>
            <w:tcBorders>
              <w:top w:val="nil"/>
              <w:left w:val="nil"/>
              <w:bottom w:val="nil"/>
              <w:right w:val="nil"/>
            </w:tcBorders>
            <w:vAlign w:val="center"/>
          </w:tcPr>
          <w:p w14:paraId="2DE38AF3" w14:textId="77777777" w:rsidR="00FF0ED8" w:rsidRPr="00846BB2" w:rsidRDefault="00FF0ED8" w:rsidP="00397CA8">
            <w:pPr>
              <w:spacing w:after="120" w:line="240" w:lineRule="auto"/>
              <w:jc w:val="center"/>
              <w:outlineLvl w:val="0"/>
              <w:rPr>
                <w:rFonts w:ascii="Times New Roman" w:hAnsi="Times New Roman"/>
              </w:rPr>
            </w:pPr>
            <w:r w:rsidRPr="00846BB2">
              <w:rPr>
                <w:rFonts w:ascii="Times New Roman" w:hAnsi="Times New Roman"/>
              </w:rPr>
              <w:t>-</w:t>
            </w:r>
          </w:p>
        </w:tc>
        <w:tc>
          <w:tcPr>
            <w:tcW w:w="1000" w:type="pct"/>
            <w:tcBorders>
              <w:top w:val="nil"/>
              <w:left w:val="nil"/>
              <w:bottom w:val="nil"/>
              <w:right w:val="nil"/>
            </w:tcBorders>
            <w:vAlign w:val="center"/>
          </w:tcPr>
          <w:p w14:paraId="0D565DA7" w14:textId="77777777" w:rsidR="00FF0ED8" w:rsidRPr="00846BB2" w:rsidRDefault="00FF0ED8" w:rsidP="00397CA8">
            <w:pPr>
              <w:spacing w:after="120" w:line="240" w:lineRule="auto"/>
              <w:jc w:val="center"/>
              <w:outlineLvl w:val="0"/>
              <w:rPr>
                <w:rFonts w:ascii="Times New Roman" w:hAnsi="Times New Roman"/>
              </w:rPr>
            </w:pPr>
            <w:r w:rsidRPr="00846BB2">
              <w:rPr>
                <w:rFonts w:ascii="Times New Roman" w:hAnsi="Times New Roman"/>
              </w:rPr>
              <w:t>-</w:t>
            </w:r>
          </w:p>
        </w:tc>
      </w:tr>
      <w:tr w:rsidR="00FF0ED8" w:rsidRPr="00C61C0E" w14:paraId="56A15B6D" w14:textId="77777777" w:rsidTr="00C47672">
        <w:trPr>
          <w:trHeight w:val="363"/>
        </w:trPr>
        <w:tc>
          <w:tcPr>
            <w:tcW w:w="1000" w:type="pct"/>
            <w:tcBorders>
              <w:top w:val="nil"/>
              <w:left w:val="nil"/>
              <w:bottom w:val="single" w:sz="4" w:space="0" w:color="auto"/>
              <w:right w:val="nil"/>
            </w:tcBorders>
            <w:vAlign w:val="center"/>
          </w:tcPr>
          <w:p w14:paraId="315C22C9" w14:textId="77777777" w:rsidR="00FF0ED8" w:rsidRPr="00401DCD" w:rsidRDefault="00FF0ED8" w:rsidP="00397CA8">
            <w:pPr>
              <w:spacing w:after="120" w:line="240" w:lineRule="auto"/>
              <w:jc w:val="center"/>
              <w:outlineLvl w:val="0"/>
              <w:rPr>
                <w:rFonts w:ascii="Times New Roman" w:hAnsi="Times New Roman"/>
              </w:rPr>
            </w:pPr>
            <w:r w:rsidRPr="00401DCD">
              <w:rPr>
                <w:rFonts w:ascii="Times New Roman" w:hAnsi="Times New Roman"/>
              </w:rPr>
              <w:t>Strategy 4</w:t>
            </w:r>
          </w:p>
        </w:tc>
        <w:tc>
          <w:tcPr>
            <w:tcW w:w="1000" w:type="pct"/>
            <w:tcBorders>
              <w:top w:val="nil"/>
              <w:left w:val="nil"/>
              <w:bottom w:val="single" w:sz="4" w:space="0" w:color="auto"/>
              <w:right w:val="nil"/>
            </w:tcBorders>
            <w:vAlign w:val="center"/>
          </w:tcPr>
          <w:p w14:paraId="36AF4346" w14:textId="77777777" w:rsidR="00FF0ED8" w:rsidRPr="00846BB2" w:rsidRDefault="00FF0ED8" w:rsidP="00397CA8">
            <w:pPr>
              <w:spacing w:after="120" w:line="240" w:lineRule="auto"/>
              <w:jc w:val="center"/>
              <w:outlineLvl w:val="0"/>
              <w:rPr>
                <w:rFonts w:ascii="Times New Roman" w:hAnsi="Times New Roman"/>
              </w:rPr>
            </w:pPr>
            <w:r w:rsidRPr="00846BB2">
              <w:rPr>
                <w:rFonts w:ascii="Times New Roman" w:hAnsi="Times New Roman"/>
              </w:rPr>
              <w:t>√</w:t>
            </w:r>
          </w:p>
        </w:tc>
        <w:tc>
          <w:tcPr>
            <w:tcW w:w="1000" w:type="pct"/>
            <w:tcBorders>
              <w:top w:val="nil"/>
              <w:left w:val="nil"/>
              <w:bottom w:val="single" w:sz="4" w:space="0" w:color="auto"/>
              <w:right w:val="nil"/>
            </w:tcBorders>
            <w:vAlign w:val="center"/>
          </w:tcPr>
          <w:p w14:paraId="7CB4AE7D" w14:textId="77777777" w:rsidR="00FF0ED8" w:rsidRPr="00846BB2" w:rsidRDefault="00FF0ED8" w:rsidP="00397CA8">
            <w:pPr>
              <w:spacing w:after="120" w:line="240" w:lineRule="auto"/>
              <w:jc w:val="center"/>
              <w:outlineLvl w:val="0"/>
              <w:rPr>
                <w:rFonts w:ascii="Times New Roman" w:hAnsi="Times New Roman"/>
              </w:rPr>
            </w:pPr>
            <w:r w:rsidRPr="00846BB2">
              <w:rPr>
                <w:rFonts w:ascii="Times New Roman" w:hAnsi="Times New Roman"/>
              </w:rPr>
              <w:t>√</w:t>
            </w:r>
          </w:p>
        </w:tc>
        <w:tc>
          <w:tcPr>
            <w:tcW w:w="1000" w:type="pct"/>
            <w:tcBorders>
              <w:top w:val="nil"/>
              <w:left w:val="nil"/>
              <w:bottom w:val="single" w:sz="4" w:space="0" w:color="auto"/>
              <w:right w:val="nil"/>
            </w:tcBorders>
            <w:vAlign w:val="center"/>
          </w:tcPr>
          <w:p w14:paraId="3A96FE5A" w14:textId="77777777" w:rsidR="00FF0ED8" w:rsidRPr="00846BB2" w:rsidRDefault="00FF0ED8" w:rsidP="00397CA8">
            <w:pPr>
              <w:spacing w:after="120" w:line="240" w:lineRule="auto"/>
              <w:jc w:val="center"/>
              <w:outlineLvl w:val="0"/>
              <w:rPr>
                <w:rFonts w:ascii="Times New Roman" w:hAnsi="Times New Roman"/>
              </w:rPr>
            </w:pPr>
            <w:r w:rsidRPr="00846BB2">
              <w:rPr>
                <w:rFonts w:ascii="Times New Roman" w:hAnsi="Times New Roman"/>
              </w:rPr>
              <w:t>-</w:t>
            </w:r>
          </w:p>
        </w:tc>
        <w:tc>
          <w:tcPr>
            <w:tcW w:w="1000" w:type="pct"/>
            <w:tcBorders>
              <w:top w:val="nil"/>
              <w:left w:val="nil"/>
              <w:bottom w:val="single" w:sz="4" w:space="0" w:color="auto"/>
              <w:right w:val="nil"/>
            </w:tcBorders>
            <w:vAlign w:val="center"/>
          </w:tcPr>
          <w:p w14:paraId="4DA88FCC" w14:textId="77777777" w:rsidR="00FF0ED8" w:rsidRPr="00846BB2" w:rsidRDefault="00FF0ED8" w:rsidP="00397CA8">
            <w:pPr>
              <w:spacing w:after="120" w:line="240" w:lineRule="auto"/>
              <w:jc w:val="center"/>
              <w:outlineLvl w:val="0"/>
              <w:rPr>
                <w:rFonts w:ascii="Times New Roman" w:hAnsi="Times New Roman"/>
              </w:rPr>
            </w:pPr>
            <w:r w:rsidRPr="00846BB2">
              <w:rPr>
                <w:rFonts w:ascii="Times New Roman" w:hAnsi="Times New Roman"/>
              </w:rPr>
              <w:t>√</w:t>
            </w:r>
          </w:p>
        </w:tc>
      </w:tr>
    </w:tbl>
    <w:p w14:paraId="073D4808" w14:textId="77777777" w:rsidR="00B33A10" w:rsidRDefault="00B33A10">
      <w:pPr>
        <w:spacing w:after="0" w:line="240" w:lineRule="auto"/>
        <w:rPr>
          <w:rFonts w:ascii="Times New Roman" w:hAnsi="Times New Roman"/>
          <w:b/>
          <w:sz w:val="24"/>
          <w:szCs w:val="24"/>
        </w:rPr>
      </w:pPr>
      <w:r>
        <w:rPr>
          <w:rFonts w:ascii="Times New Roman" w:hAnsi="Times New Roman"/>
          <w:b/>
          <w:sz w:val="24"/>
          <w:szCs w:val="24"/>
        </w:rPr>
        <w:br w:type="page"/>
      </w:r>
    </w:p>
    <w:p w14:paraId="55010FCE" w14:textId="77777777" w:rsidR="00044F51" w:rsidRDefault="00C47672" w:rsidP="00C61C0E">
      <w:pPr>
        <w:spacing w:line="240" w:lineRule="auto"/>
        <w:jc w:val="both"/>
        <w:outlineLvl w:val="0"/>
        <w:rPr>
          <w:rFonts w:ascii="Times New Roman" w:hAnsi="Times New Roman"/>
          <w:b/>
          <w:sz w:val="24"/>
          <w:szCs w:val="24"/>
        </w:rPr>
      </w:pPr>
      <w:r>
        <w:rPr>
          <w:rFonts w:ascii="Times New Roman" w:hAnsi="Times New Roman"/>
          <w:b/>
          <w:sz w:val="24"/>
          <w:szCs w:val="24"/>
        </w:rPr>
        <w:lastRenderedPageBreak/>
        <w:t>Exhibit</w:t>
      </w:r>
      <w:r w:rsidR="00B82C1D">
        <w:rPr>
          <w:rFonts w:ascii="Times New Roman" w:hAnsi="Times New Roman"/>
          <w:b/>
          <w:sz w:val="24"/>
          <w:szCs w:val="24"/>
        </w:rPr>
        <w:t xml:space="preserve"> </w:t>
      </w:r>
      <w:r w:rsidR="004A7F6B">
        <w:rPr>
          <w:rFonts w:ascii="Times New Roman" w:hAnsi="Times New Roman"/>
          <w:b/>
          <w:sz w:val="24"/>
          <w:szCs w:val="24"/>
        </w:rPr>
        <w:t>3</w:t>
      </w:r>
      <w:r w:rsidR="00613A24">
        <w:rPr>
          <w:rFonts w:ascii="Times New Roman" w:hAnsi="Times New Roman"/>
          <w:b/>
          <w:sz w:val="24"/>
          <w:szCs w:val="24"/>
        </w:rPr>
        <w:t>.</w:t>
      </w:r>
      <w:r w:rsidR="007A5399">
        <w:rPr>
          <w:rFonts w:ascii="Times New Roman" w:hAnsi="Times New Roman"/>
          <w:b/>
          <w:sz w:val="24"/>
          <w:szCs w:val="24"/>
        </w:rPr>
        <w:t xml:space="preserve"> Summary </w:t>
      </w:r>
      <w:r w:rsidR="00782507">
        <w:rPr>
          <w:rFonts w:ascii="Times New Roman" w:hAnsi="Times New Roman"/>
          <w:b/>
          <w:sz w:val="24"/>
          <w:szCs w:val="24"/>
        </w:rPr>
        <w:t>s</w:t>
      </w:r>
      <w:r w:rsidR="007A5399">
        <w:rPr>
          <w:rFonts w:ascii="Times New Roman" w:hAnsi="Times New Roman"/>
          <w:b/>
          <w:sz w:val="24"/>
          <w:szCs w:val="24"/>
        </w:rPr>
        <w:t>tatistics</w:t>
      </w:r>
      <w:r w:rsidR="00555C92">
        <w:rPr>
          <w:rFonts w:ascii="Times New Roman" w:hAnsi="Times New Roman"/>
          <w:b/>
          <w:sz w:val="24"/>
          <w:szCs w:val="24"/>
        </w:rPr>
        <w:t xml:space="preserve"> of the </w:t>
      </w:r>
      <w:r w:rsidR="00574EF4">
        <w:rPr>
          <w:rFonts w:ascii="Times New Roman" w:hAnsi="Times New Roman"/>
          <w:b/>
          <w:sz w:val="24"/>
          <w:szCs w:val="24"/>
        </w:rPr>
        <w:t>obligors for rating categories</w:t>
      </w:r>
    </w:p>
    <w:p w14:paraId="24C834D1" w14:textId="77777777" w:rsidR="00613A24" w:rsidRPr="00846BB2" w:rsidRDefault="00B47F0C" w:rsidP="007715C1">
      <w:pPr>
        <w:spacing w:line="240" w:lineRule="auto"/>
        <w:jc w:val="both"/>
        <w:outlineLvl w:val="0"/>
        <w:rPr>
          <w:rFonts w:ascii="Times New Roman" w:hAnsi="Times New Roman"/>
          <w:sz w:val="20"/>
          <w:szCs w:val="20"/>
        </w:rPr>
      </w:pPr>
      <w:r w:rsidRPr="00846BB2">
        <w:rPr>
          <w:rFonts w:ascii="Times New Roman" w:hAnsi="Times New Roman"/>
          <w:i/>
          <w:sz w:val="20"/>
          <w:szCs w:val="20"/>
        </w:rPr>
        <w:t>N</w:t>
      </w:r>
      <w:r w:rsidRPr="00846BB2">
        <w:rPr>
          <w:rFonts w:ascii="Times New Roman" w:hAnsi="Times New Roman"/>
          <w:sz w:val="20"/>
          <w:szCs w:val="20"/>
        </w:rPr>
        <w:t xml:space="preserve"> represents the number of obligors. </w:t>
      </w:r>
      <w:r w:rsidRPr="00846BB2">
        <w:rPr>
          <w:rFonts w:ascii="Times New Roman" w:hAnsi="Times New Roman"/>
          <w:i/>
          <w:sz w:val="20"/>
          <w:szCs w:val="20"/>
        </w:rPr>
        <w:t>Spread</w:t>
      </w:r>
      <w:r w:rsidRPr="00846BB2">
        <w:rPr>
          <w:rFonts w:ascii="Times New Roman" w:hAnsi="Times New Roman"/>
          <w:sz w:val="20"/>
          <w:szCs w:val="20"/>
        </w:rPr>
        <w:t xml:space="preserve"> is the </w:t>
      </w:r>
      <w:r w:rsidR="00C04201" w:rsidRPr="003D540A">
        <w:rPr>
          <w:rFonts w:ascii="Times New Roman" w:hAnsi="Times New Roman"/>
          <w:sz w:val="20"/>
          <w:szCs w:val="20"/>
        </w:rPr>
        <w:t xml:space="preserve">average </w:t>
      </w:r>
      <w:r w:rsidRPr="00846BB2">
        <w:rPr>
          <w:rFonts w:ascii="Times New Roman" w:hAnsi="Times New Roman"/>
          <w:sz w:val="20"/>
          <w:szCs w:val="20"/>
        </w:rPr>
        <w:t xml:space="preserve">daily CDS spread in basis points. </w:t>
      </w:r>
      <w:r w:rsidRPr="00846BB2">
        <w:rPr>
          <w:rFonts w:ascii="Times New Roman" w:hAnsi="Times New Roman"/>
          <w:i/>
          <w:sz w:val="20"/>
          <w:szCs w:val="20"/>
        </w:rPr>
        <w:t>VOL250</w:t>
      </w:r>
      <w:r w:rsidRPr="00846BB2">
        <w:rPr>
          <w:rFonts w:ascii="Times New Roman" w:hAnsi="Times New Roman"/>
          <w:sz w:val="20"/>
          <w:szCs w:val="20"/>
        </w:rPr>
        <w:t xml:space="preserve"> and </w:t>
      </w:r>
      <w:r w:rsidRPr="00846BB2">
        <w:rPr>
          <w:rFonts w:ascii="Times New Roman" w:hAnsi="Times New Roman"/>
          <w:i/>
          <w:sz w:val="20"/>
          <w:szCs w:val="20"/>
        </w:rPr>
        <w:t>VOL1000</w:t>
      </w:r>
      <w:r w:rsidRPr="00846BB2">
        <w:rPr>
          <w:rFonts w:ascii="Times New Roman" w:hAnsi="Times New Roman"/>
          <w:sz w:val="20"/>
          <w:szCs w:val="20"/>
        </w:rPr>
        <w:t xml:space="preserve"> are the 250-day and 1000-day historical equity volatility, respectively. </w:t>
      </w:r>
      <w:r w:rsidRPr="00846BB2">
        <w:rPr>
          <w:rFonts w:ascii="Times New Roman" w:hAnsi="Times New Roman"/>
          <w:i/>
          <w:sz w:val="20"/>
          <w:szCs w:val="20"/>
        </w:rPr>
        <w:t>Lev</w:t>
      </w:r>
      <w:r w:rsidRPr="00846BB2">
        <w:rPr>
          <w:rFonts w:ascii="Times New Roman" w:hAnsi="Times New Roman"/>
          <w:sz w:val="20"/>
          <w:szCs w:val="20"/>
        </w:rPr>
        <w:t xml:space="preserve"> is</w:t>
      </w:r>
      <w:r w:rsidR="007715C1" w:rsidRPr="00846BB2">
        <w:rPr>
          <w:rFonts w:ascii="Times New Roman" w:hAnsi="Times New Roman"/>
          <w:sz w:val="20"/>
          <w:szCs w:val="20"/>
        </w:rPr>
        <w:t xml:space="preserve"> the ratio of total liabilities over the sum of total liabilities and equity market capitalisation. </w:t>
      </w:r>
      <w:r w:rsidR="007715C1" w:rsidRPr="00846BB2">
        <w:rPr>
          <w:rFonts w:ascii="Times New Roman" w:hAnsi="Times New Roman"/>
          <w:i/>
          <w:sz w:val="20"/>
          <w:szCs w:val="20"/>
        </w:rPr>
        <w:t>Size</w:t>
      </w:r>
      <w:r w:rsidR="007715C1" w:rsidRPr="00846BB2">
        <w:rPr>
          <w:rFonts w:ascii="Times New Roman" w:hAnsi="Times New Roman"/>
          <w:sz w:val="20"/>
          <w:szCs w:val="20"/>
        </w:rPr>
        <w:t xml:space="preserve"> is the equity market capitalisation in millions of dollars. </w:t>
      </w:r>
      <w:proofErr w:type="spellStart"/>
      <w:r w:rsidR="007715C1" w:rsidRPr="00846BB2">
        <w:rPr>
          <w:rFonts w:ascii="Times New Roman" w:hAnsi="Times New Roman"/>
          <w:i/>
          <w:sz w:val="20"/>
          <w:szCs w:val="20"/>
        </w:rPr>
        <w:t>Corr</w:t>
      </w:r>
      <w:proofErr w:type="spellEnd"/>
      <w:r w:rsidR="007715C1" w:rsidRPr="00846BB2">
        <w:rPr>
          <w:rFonts w:ascii="Times New Roman" w:hAnsi="Times New Roman"/>
          <w:sz w:val="20"/>
          <w:szCs w:val="20"/>
        </w:rPr>
        <w:t xml:space="preserve"> is the correlation between daily changes in the CDS spread and the equity price.</w:t>
      </w:r>
    </w:p>
    <w:tbl>
      <w:tblPr>
        <w:tblStyle w:val="TableGrid"/>
        <w:tblW w:w="0" w:type="auto"/>
        <w:tblLook w:val="04A0" w:firstRow="1" w:lastRow="0" w:firstColumn="1" w:lastColumn="0" w:noHBand="0" w:noVBand="1"/>
      </w:tblPr>
      <w:tblGrid>
        <w:gridCol w:w="1758"/>
        <w:gridCol w:w="490"/>
        <w:gridCol w:w="1132"/>
        <w:gridCol w:w="1154"/>
        <w:gridCol w:w="1171"/>
        <w:gridCol w:w="1103"/>
        <w:gridCol w:w="1121"/>
        <w:gridCol w:w="1098"/>
      </w:tblGrid>
      <w:tr w:rsidR="00C046B0" w:rsidRPr="00C61C0E" w14:paraId="3BB8D239" w14:textId="77777777" w:rsidTr="00563094">
        <w:tc>
          <w:tcPr>
            <w:tcW w:w="1809" w:type="dxa"/>
            <w:tcBorders>
              <w:left w:val="nil"/>
              <w:bottom w:val="single" w:sz="4" w:space="0" w:color="auto"/>
              <w:right w:val="nil"/>
            </w:tcBorders>
          </w:tcPr>
          <w:p w14:paraId="2F9F0DBE" w14:textId="77777777" w:rsidR="00C046B0" w:rsidRPr="00D7101E" w:rsidRDefault="00C046B0" w:rsidP="00397CA8">
            <w:pPr>
              <w:spacing w:after="0" w:line="240" w:lineRule="auto"/>
              <w:jc w:val="center"/>
              <w:outlineLvl w:val="0"/>
              <w:rPr>
                <w:rFonts w:ascii="Times New Roman" w:hAnsi="Times New Roman"/>
                <w:b/>
              </w:rPr>
            </w:pPr>
            <w:r w:rsidRPr="00D7101E">
              <w:rPr>
                <w:rFonts w:ascii="Times New Roman" w:hAnsi="Times New Roman"/>
                <w:b/>
              </w:rPr>
              <w:t>Category</w:t>
            </w:r>
          </w:p>
        </w:tc>
        <w:tc>
          <w:tcPr>
            <w:tcW w:w="496" w:type="dxa"/>
            <w:tcBorders>
              <w:left w:val="nil"/>
              <w:bottom w:val="single" w:sz="4" w:space="0" w:color="auto"/>
              <w:right w:val="nil"/>
            </w:tcBorders>
          </w:tcPr>
          <w:p w14:paraId="03DF075F" w14:textId="77777777" w:rsidR="00C046B0" w:rsidRPr="00D7101E" w:rsidRDefault="00520EE9" w:rsidP="00397CA8">
            <w:pPr>
              <w:spacing w:after="0" w:line="240" w:lineRule="auto"/>
              <w:jc w:val="center"/>
              <w:outlineLvl w:val="0"/>
              <w:rPr>
                <w:rFonts w:ascii="Times New Roman" w:hAnsi="Times New Roman"/>
                <w:b/>
              </w:rPr>
            </w:pPr>
            <w:r w:rsidRPr="00D7101E">
              <w:rPr>
                <w:rFonts w:ascii="Times New Roman" w:hAnsi="Times New Roman"/>
                <w:b/>
              </w:rPr>
              <w:t>N</w:t>
            </w:r>
          </w:p>
        </w:tc>
        <w:tc>
          <w:tcPr>
            <w:tcW w:w="1158" w:type="dxa"/>
            <w:tcBorders>
              <w:left w:val="nil"/>
              <w:bottom w:val="single" w:sz="4" w:space="0" w:color="auto"/>
              <w:right w:val="nil"/>
            </w:tcBorders>
          </w:tcPr>
          <w:p w14:paraId="1E2A76B8" w14:textId="77777777" w:rsidR="00C046B0" w:rsidRPr="00D7101E" w:rsidRDefault="00520EE9" w:rsidP="00397CA8">
            <w:pPr>
              <w:spacing w:after="0" w:line="240" w:lineRule="auto"/>
              <w:jc w:val="center"/>
              <w:outlineLvl w:val="0"/>
              <w:rPr>
                <w:rFonts w:ascii="Times New Roman" w:hAnsi="Times New Roman"/>
                <w:b/>
              </w:rPr>
            </w:pPr>
            <w:r w:rsidRPr="00D7101E">
              <w:rPr>
                <w:rFonts w:ascii="Times New Roman" w:hAnsi="Times New Roman"/>
                <w:b/>
              </w:rPr>
              <w:t>Spread</w:t>
            </w:r>
          </w:p>
        </w:tc>
        <w:tc>
          <w:tcPr>
            <w:tcW w:w="1171" w:type="dxa"/>
            <w:tcBorders>
              <w:left w:val="nil"/>
              <w:bottom w:val="single" w:sz="4" w:space="0" w:color="auto"/>
              <w:right w:val="nil"/>
            </w:tcBorders>
          </w:tcPr>
          <w:p w14:paraId="5E1934F4" w14:textId="77777777" w:rsidR="00C046B0" w:rsidRPr="00D7101E" w:rsidRDefault="00520EE9" w:rsidP="00397CA8">
            <w:pPr>
              <w:spacing w:after="0" w:line="240" w:lineRule="auto"/>
              <w:jc w:val="center"/>
              <w:outlineLvl w:val="0"/>
              <w:rPr>
                <w:rFonts w:ascii="Times New Roman" w:hAnsi="Times New Roman"/>
                <w:b/>
              </w:rPr>
            </w:pPr>
            <w:r w:rsidRPr="00D7101E">
              <w:rPr>
                <w:rFonts w:ascii="Times New Roman" w:hAnsi="Times New Roman"/>
                <w:b/>
              </w:rPr>
              <w:t>VOL250</w:t>
            </w:r>
          </w:p>
        </w:tc>
        <w:tc>
          <w:tcPr>
            <w:tcW w:w="1181" w:type="dxa"/>
            <w:tcBorders>
              <w:left w:val="nil"/>
              <w:bottom w:val="single" w:sz="4" w:space="0" w:color="auto"/>
              <w:right w:val="nil"/>
            </w:tcBorders>
          </w:tcPr>
          <w:p w14:paraId="081152C1" w14:textId="77777777" w:rsidR="00C046B0" w:rsidRPr="00D7101E" w:rsidRDefault="00520EE9" w:rsidP="00397CA8">
            <w:pPr>
              <w:spacing w:after="0" w:line="240" w:lineRule="auto"/>
              <w:jc w:val="center"/>
              <w:outlineLvl w:val="0"/>
              <w:rPr>
                <w:rFonts w:ascii="Times New Roman" w:hAnsi="Times New Roman"/>
                <w:b/>
              </w:rPr>
            </w:pPr>
            <w:r w:rsidRPr="00D7101E">
              <w:rPr>
                <w:rFonts w:ascii="Times New Roman" w:hAnsi="Times New Roman"/>
                <w:b/>
              </w:rPr>
              <w:t>VOL1000</w:t>
            </w:r>
          </w:p>
        </w:tc>
        <w:tc>
          <w:tcPr>
            <w:tcW w:w="1140" w:type="dxa"/>
            <w:tcBorders>
              <w:left w:val="nil"/>
              <w:bottom w:val="single" w:sz="4" w:space="0" w:color="auto"/>
              <w:right w:val="nil"/>
            </w:tcBorders>
          </w:tcPr>
          <w:p w14:paraId="1BA06EFD" w14:textId="77777777" w:rsidR="00C046B0" w:rsidRPr="00D7101E" w:rsidRDefault="00520EE9" w:rsidP="00397CA8">
            <w:pPr>
              <w:spacing w:after="0" w:line="240" w:lineRule="auto"/>
              <w:jc w:val="center"/>
              <w:outlineLvl w:val="0"/>
              <w:rPr>
                <w:rFonts w:ascii="Times New Roman" w:hAnsi="Times New Roman"/>
                <w:b/>
              </w:rPr>
            </w:pPr>
            <w:r w:rsidRPr="00D7101E">
              <w:rPr>
                <w:rFonts w:ascii="Times New Roman" w:hAnsi="Times New Roman"/>
                <w:b/>
              </w:rPr>
              <w:t>Lev</w:t>
            </w:r>
          </w:p>
        </w:tc>
        <w:tc>
          <w:tcPr>
            <w:tcW w:w="1151" w:type="dxa"/>
            <w:tcBorders>
              <w:left w:val="nil"/>
              <w:bottom w:val="single" w:sz="4" w:space="0" w:color="auto"/>
              <w:right w:val="nil"/>
            </w:tcBorders>
          </w:tcPr>
          <w:p w14:paraId="74CE8E37" w14:textId="77777777" w:rsidR="00C046B0" w:rsidRPr="00D7101E" w:rsidRDefault="00520EE9" w:rsidP="00397CA8">
            <w:pPr>
              <w:spacing w:after="0" w:line="240" w:lineRule="auto"/>
              <w:jc w:val="center"/>
              <w:outlineLvl w:val="0"/>
              <w:rPr>
                <w:rFonts w:ascii="Times New Roman" w:hAnsi="Times New Roman"/>
                <w:b/>
              </w:rPr>
            </w:pPr>
            <w:r w:rsidRPr="00D7101E">
              <w:rPr>
                <w:rFonts w:ascii="Times New Roman" w:hAnsi="Times New Roman"/>
                <w:b/>
              </w:rPr>
              <w:t>Size</w:t>
            </w:r>
          </w:p>
        </w:tc>
        <w:tc>
          <w:tcPr>
            <w:tcW w:w="1137" w:type="dxa"/>
            <w:tcBorders>
              <w:left w:val="nil"/>
              <w:bottom w:val="single" w:sz="4" w:space="0" w:color="auto"/>
              <w:right w:val="nil"/>
            </w:tcBorders>
          </w:tcPr>
          <w:p w14:paraId="3332B790" w14:textId="77777777" w:rsidR="00C046B0" w:rsidRPr="00D7101E" w:rsidRDefault="00520EE9" w:rsidP="00397CA8">
            <w:pPr>
              <w:spacing w:after="0" w:line="240" w:lineRule="auto"/>
              <w:jc w:val="center"/>
              <w:outlineLvl w:val="0"/>
              <w:rPr>
                <w:rFonts w:ascii="Times New Roman" w:hAnsi="Times New Roman"/>
                <w:b/>
              </w:rPr>
            </w:pPr>
            <w:proofErr w:type="spellStart"/>
            <w:r w:rsidRPr="00D7101E">
              <w:rPr>
                <w:rFonts w:ascii="Times New Roman" w:hAnsi="Times New Roman"/>
                <w:b/>
              </w:rPr>
              <w:t>Corr</w:t>
            </w:r>
            <w:proofErr w:type="spellEnd"/>
          </w:p>
        </w:tc>
      </w:tr>
      <w:tr w:rsidR="00C046B0" w:rsidRPr="00C61C0E" w14:paraId="2513D4F4" w14:textId="77777777" w:rsidTr="00563094">
        <w:tc>
          <w:tcPr>
            <w:tcW w:w="9243" w:type="dxa"/>
            <w:gridSpan w:val="8"/>
            <w:tcBorders>
              <w:left w:val="nil"/>
              <w:bottom w:val="single" w:sz="4" w:space="0" w:color="auto"/>
              <w:right w:val="nil"/>
            </w:tcBorders>
          </w:tcPr>
          <w:p w14:paraId="3C65B66A" w14:textId="77777777" w:rsidR="00C046B0" w:rsidRPr="00846BB2" w:rsidRDefault="00C046B0" w:rsidP="00C47672">
            <w:pPr>
              <w:spacing w:after="0" w:line="240" w:lineRule="auto"/>
              <w:jc w:val="both"/>
              <w:outlineLvl w:val="0"/>
              <w:rPr>
                <w:rFonts w:ascii="Times New Roman" w:hAnsi="Times New Roman"/>
                <w:b/>
              </w:rPr>
            </w:pPr>
            <w:r w:rsidRPr="00846BB2">
              <w:rPr>
                <w:rFonts w:ascii="Times New Roman" w:hAnsi="Times New Roman"/>
                <w:b/>
              </w:rPr>
              <w:t>A. Whole Sample</w:t>
            </w:r>
            <w:r w:rsidR="00C47672">
              <w:rPr>
                <w:rFonts w:ascii="Times New Roman" w:hAnsi="Times New Roman"/>
                <w:b/>
              </w:rPr>
              <w:t xml:space="preserve"> </w:t>
            </w:r>
            <w:r w:rsidR="00C47672" w:rsidRPr="00C47672">
              <w:rPr>
                <w:rFonts w:ascii="Times New Roman" w:hAnsi="Times New Roman"/>
                <w:b/>
              </w:rPr>
              <w:t>(January 2005-</w:t>
            </w:r>
            <w:r w:rsidR="00C47672">
              <w:rPr>
                <w:rFonts w:ascii="Times New Roman" w:hAnsi="Times New Roman"/>
                <w:b/>
              </w:rPr>
              <w:t>December</w:t>
            </w:r>
            <w:r w:rsidR="00C47672" w:rsidRPr="00C47672">
              <w:rPr>
                <w:rFonts w:ascii="Times New Roman" w:hAnsi="Times New Roman"/>
                <w:b/>
              </w:rPr>
              <w:t xml:space="preserve"> 200</w:t>
            </w:r>
            <w:r w:rsidR="00C47672">
              <w:rPr>
                <w:rFonts w:ascii="Times New Roman" w:hAnsi="Times New Roman"/>
                <w:b/>
              </w:rPr>
              <w:t>9</w:t>
            </w:r>
            <w:r w:rsidR="00C47672" w:rsidRPr="00C47672">
              <w:rPr>
                <w:rFonts w:ascii="Times New Roman" w:hAnsi="Times New Roman"/>
                <w:b/>
              </w:rPr>
              <w:t>)</w:t>
            </w:r>
          </w:p>
        </w:tc>
      </w:tr>
      <w:tr w:rsidR="00C046B0" w:rsidRPr="00C61C0E" w14:paraId="723647E7" w14:textId="77777777" w:rsidTr="00563094">
        <w:tc>
          <w:tcPr>
            <w:tcW w:w="1809" w:type="dxa"/>
            <w:tcBorders>
              <w:left w:val="nil"/>
              <w:bottom w:val="nil"/>
              <w:right w:val="nil"/>
            </w:tcBorders>
          </w:tcPr>
          <w:p w14:paraId="04DD6352" w14:textId="77777777" w:rsidR="00C046B0" w:rsidRPr="003D540A" w:rsidRDefault="00C046B0" w:rsidP="00397CA8">
            <w:pPr>
              <w:spacing w:after="0" w:line="240" w:lineRule="auto"/>
              <w:jc w:val="center"/>
              <w:outlineLvl w:val="0"/>
              <w:rPr>
                <w:rFonts w:ascii="Times New Roman" w:hAnsi="Times New Roman"/>
              </w:rPr>
            </w:pPr>
            <w:r w:rsidRPr="003D540A">
              <w:rPr>
                <w:rFonts w:ascii="Times New Roman" w:hAnsi="Times New Roman"/>
              </w:rPr>
              <w:t>Investment</w:t>
            </w:r>
            <w:r w:rsidR="003725B8" w:rsidRPr="003D540A">
              <w:rPr>
                <w:rFonts w:ascii="Times New Roman" w:hAnsi="Times New Roman"/>
              </w:rPr>
              <w:t xml:space="preserve"> grade</w:t>
            </w:r>
          </w:p>
        </w:tc>
        <w:tc>
          <w:tcPr>
            <w:tcW w:w="496" w:type="dxa"/>
            <w:tcBorders>
              <w:left w:val="nil"/>
              <w:bottom w:val="nil"/>
              <w:right w:val="nil"/>
            </w:tcBorders>
          </w:tcPr>
          <w:p w14:paraId="3C37E9A0" w14:textId="77777777" w:rsidR="00C046B0" w:rsidRPr="00846BB2" w:rsidRDefault="00C046B0" w:rsidP="00397CA8">
            <w:pPr>
              <w:spacing w:after="0" w:line="240" w:lineRule="auto"/>
              <w:jc w:val="center"/>
              <w:outlineLvl w:val="0"/>
              <w:rPr>
                <w:rFonts w:ascii="Times New Roman" w:hAnsi="Times New Roman"/>
              </w:rPr>
            </w:pPr>
            <w:r w:rsidRPr="00846BB2">
              <w:rPr>
                <w:rFonts w:ascii="Times New Roman" w:hAnsi="Times New Roman"/>
              </w:rPr>
              <w:t>57</w:t>
            </w:r>
          </w:p>
        </w:tc>
        <w:tc>
          <w:tcPr>
            <w:tcW w:w="1158" w:type="dxa"/>
            <w:tcBorders>
              <w:left w:val="nil"/>
              <w:bottom w:val="nil"/>
              <w:right w:val="nil"/>
            </w:tcBorders>
          </w:tcPr>
          <w:p w14:paraId="480A78BD" w14:textId="77777777" w:rsidR="00C046B0" w:rsidRPr="00846BB2" w:rsidRDefault="00C046B0" w:rsidP="00397CA8">
            <w:pPr>
              <w:spacing w:after="0" w:line="240" w:lineRule="auto"/>
              <w:jc w:val="center"/>
              <w:outlineLvl w:val="0"/>
              <w:rPr>
                <w:rFonts w:ascii="Times New Roman" w:hAnsi="Times New Roman"/>
              </w:rPr>
            </w:pPr>
            <w:r w:rsidRPr="00846BB2">
              <w:rPr>
                <w:rFonts w:ascii="Times New Roman" w:hAnsi="Times New Roman"/>
              </w:rPr>
              <w:t>63</w:t>
            </w:r>
          </w:p>
        </w:tc>
        <w:tc>
          <w:tcPr>
            <w:tcW w:w="1171" w:type="dxa"/>
            <w:tcBorders>
              <w:left w:val="nil"/>
              <w:bottom w:val="nil"/>
              <w:right w:val="nil"/>
            </w:tcBorders>
          </w:tcPr>
          <w:p w14:paraId="54C6CDCA" w14:textId="77777777" w:rsidR="00C046B0" w:rsidRPr="00846BB2" w:rsidRDefault="00C046B0" w:rsidP="00397CA8">
            <w:pPr>
              <w:spacing w:after="0" w:line="240" w:lineRule="auto"/>
              <w:jc w:val="center"/>
              <w:outlineLvl w:val="0"/>
              <w:rPr>
                <w:rFonts w:ascii="Times New Roman" w:hAnsi="Times New Roman"/>
              </w:rPr>
            </w:pPr>
            <w:r w:rsidRPr="00846BB2">
              <w:rPr>
                <w:rFonts w:ascii="Times New Roman" w:hAnsi="Times New Roman"/>
              </w:rPr>
              <w:t>28</w:t>
            </w:r>
            <w:r w:rsidR="003D540A">
              <w:rPr>
                <w:rFonts w:ascii="Times New Roman" w:hAnsi="Times New Roman"/>
              </w:rPr>
              <w:t>.</w:t>
            </w:r>
            <w:r w:rsidRPr="00846BB2">
              <w:rPr>
                <w:rFonts w:ascii="Times New Roman" w:hAnsi="Times New Roman"/>
              </w:rPr>
              <w:t>4</w:t>
            </w:r>
            <w:r w:rsidR="003D540A">
              <w:rPr>
                <w:rFonts w:ascii="Times New Roman" w:hAnsi="Times New Roman"/>
              </w:rPr>
              <w:t>%</w:t>
            </w:r>
          </w:p>
        </w:tc>
        <w:tc>
          <w:tcPr>
            <w:tcW w:w="1181" w:type="dxa"/>
            <w:tcBorders>
              <w:left w:val="nil"/>
              <w:bottom w:val="nil"/>
              <w:right w:val="nil"/>
            </w:tcBorders>
          </w:tcPr>
          <w:p w14:paraId="69D1A422" w14:textId="77777777" w:rsidR="00C046B0" w:rsidRPr="00846BB2" w:rsidRDefault="00C046B0" w:rsidP="00397CA8">
            <w:pPr>
              <w:spacing w:after="0" w:line="240" w:lineRule="auto"/>
              <w:jc w:val="center"/>
              <w:outlineLvl w:val="0"/>
              <w:rPr>
                <w:rFonts w:ascii="Times New Roman" w:hAnsi="Times New Roman"/>
              </w:rPr>
            </w:pPr>
            <w:r w:rsidRPr="00846BB2">
              <w:rPr>
                <w:rFonts w:ascii="Times New Roman" w:hAnsi="Times New Roman"/>
              </w:rPr>
              <w:t>27</w:t>
            </w:r>
            <w:r w:rsidR="003D540A">
              <w:rPr>
                <w:rFonts w:ascii="Times New Roman" w:hAnsi="Times New Roman"/>
              </w:rPr>
              <w:t>.</w:t>
            </w:r>
            <w:r w:rsidRPr="00846BB2">
              <w:rPr>
                <w:rFonts w:ascii="Times New Roman" w:hAnsi="Times New Roman"/>
              </w:rPr>
              <w:t>8</w:t>
            </w:r>
            <w:r w:rsidR="003D540A">
              <w:rPr>
                <w:rFonts w:ascii="Times New Roman" w:hAnsi="Times New Roman"/>
              </w:rPr>
              <w:t>%</w:t>
            </w:r>
          </w:p>
        </w:tc>
        <w:tc>
          <w:tcPr>
            <w:tcW w:w="1140" w:type="dxa"/>
            <w:tcBorders>
              <w:left w:val="nil"/>
              <w:bottom w:val="nil"/>
              <w:right w:val="nil"/>
            </w:tcBorders>
          </w:tcPr>
          <w:p w14:paraId="2A929FD1" w14:textId="77777777" w:rsidR="00C046B0" w:rsidRPr="00846BB2" w:rsidRDefault="00397CA8" w:rsidP="00397CA8">
            <w:pPr>
              <w:spacing w:after="0" w:line="240" w:lineRule="auto"/>
              <w:jc w:val="center"/>
              <w:outlineLvl w:val="0"/>
              <w:rPr>
                <w:rFonts w:ascii="Times New Roman" w:hAnsi="Times New Roman"/>
              </w:rPr>
            </w:pPr>
            <w:r w:rsidRPr="00846BB2">
              <w:rPr>
                <w:rFonts w:ascii="Times New Roman" w:hAnsi="Times New Roman"/>
              </w:rPr>
              <w:t>0.378</w:t>
            </w:r>
          </w:p>
        </w:tc>
        <w:tc>
          <w:tcPr>
            <w:tcW w:w="1151" w:type="dxa"/>
            <w:tcBorders>
              <w:left w:val="nil"/>
              <w:bottom w:val="nil"/>
              <w:right w:val="nil"/>
            </w:tcBorders>
          </w:tcPr>
          <w:p w14:paraId="5609EB3E" w14:textId="77777777" w:rsidR="00C046B0" w:rsidRPr="00846BB2" w:rsidRDefault="00397CA8" w:rsidP="00397CA8">
            <w:pPr>
              <w:spacing w:after="0" w:line="240" w:lineRule="auto"/>
              <w:jc w:val="center"/>
              <w:outlineLvl w:val="0"/>
              <w:rPr>
                <w:rFonts w:ascii="Times New Roman" w:hAnsi="Times New Roman"/>
              </w:rPr>
            </w:pPr>
            <w:r w:rsidRPr="00846BB2">
              <w:rPr>
                <w:rFonts w:ascii="Times New Roman" w:hAnsi="Times New Roman"/>
              </w:rPr>
              <w:t>58,164</w:t>
            </w:r>
          </w:p>
        </w:tc>
        <w:tc>
          <w:tcPr>
            <w:tcW w:w="1137" w:type="dxa"/>
            <w:tcBorders>
              <w:left w:val="nil"/>
              <w:bottom w:val="nil"/>
              <w:right w:val="nil"/>
            </w:tcBorders>
          </w:tcPr>
          <w:p w14:paraId="55928CF4" w14:textId="77777777" w:rsidR="00C046B0" w:rsidRPr="00846BB2" w:rsidRDefault="00397CA8" w:rsidP="00397CA8">
            <w:pPr>
              <w:spacing w:after="0" w:line="240" w:lineRule="auto"/>
              <w:jc w:val="center"/>
              <w:outlineLvl w:val="0"/>
              <w:rPr>
                <w:rFonts w:ascii="Times New Roman" w:hAnsi="Times New Roman"/>
              </w:rPr>
            </w:pPr>
            <w:r w:rsidRPr="00846BB2">
              <w:rPr>
                <w:rFonts w:ascii="Times New Roman" w:hAnsi="Times New Roman"/>
              </w:rPr>
              <w:t>-0.04</w:t>
            </w:r>
          </w:p>
        </w:tc>
      </w:tr>
      <w:tr w:rsidR="00C046B0" w:rsidRPr="00C61C0E" w14:paraId="55A70A94" w14:textId="77777777" w:rsidTr="00563094">
        <w:tc>
          <w:tcPr>
            <w:tcW w:w="1809" w:type="dxa"/>
            <w:tcBorders>
              <w:top w:val="nil"/>
              <w:left w:val="nil"/>
              <w:bottom w:val="single" w:sz="4" w:space="0" w:color="auto"/>
              <w:right w:val="nil"/>
            </w:tcBorders>
          </w:tcPr>
          <w:p w14:paraId="27714BE6" w14:textId="77777777" w:rsidR="00C046B0" w:rsidRPr="003D540A" w:rsidRDefault="00C046B0" w:rsidP="00397CA8">
            <w:pPr>
              <w:spacing w:after="0" w:line="240" w:lineRule="auto"/>
              <w:jc w:val="center"/>
              <w:outlineLvl w:val="0"/>
              <w:rPr>
                <w:rFonts w:ascii="Times New Roman" w:hAnsi="Times New Roman"/>
              </w:rPr>
            </w:pPr>
            <w:r w:rsidRPr="003D540A">
              <w:rPr>
                <w:rFonts w:ascii="Times New Roman" w:hAnsi="Times New Roman"/>
              </w:rPr>
              <w:t>Speculative</w:t>
            </w:r>
            <w:r w:rsidR="003725B8" w:rsidRPr="003D540A">
              <w:rPr>
                <w:rFonts w:ascii="Times New Roman" w:hAnsi="Times New Roman"/>
              </w:rPr>
              <w:t xml:space="preserve"> grade</w:t>
            </w:r>
          </w:p>
        </w:tc>
        <w:tc>
          <w:tcPr>
            <w:tcW w:w="496" w:type="dxa"/>
            <w:tcBorders>
              <w:top w:val="nil"/>
              <w:left w:val="nil"/>
              <w:bottom w:val="single" w:sz="4" w:space="0" w:color="auto"/>
              <w:right w:val="nil"/>
            </w:tcBorders>
          </w:tcPr>
          <w:p w14:paraId="40798E72" w14:textId="77777777" w:rsidR="00C046B0" w:rsidRPr="00846BB2" w:rsidRDefault="00C046B0" w:rsidP="00555C92">
            <w:pPr>
              <w:spacing w:after="0" w:line="240" w:lineRule="auto"/>
              <w:jc w:val="center"/>
              <w:outlineLvl w:val="0"/>
              <w:rPr>
                <w:rFonts w:ascii="Times New Roman" w:hAnsi="Times New Roman"/>
              </w:rPr>
            </w:pPr>
            <w:r w:rsidRPr="00846BB2">
              <w:rPr>
                <w:rFonts w:ascii="Times New Roman" w:hAnsi="Times New Roman"/>
              </w:rPr>
              <w:t>1</w:t>
            </w:r>
            <w:r w:rsidR="00AF43AA" w:rsidRPr="00846BB2">
              <w:rPr>
                <w:rFonts w:ascii="Times New Roman" w:hAnsi="Times New Roman"/>
              </w:rPr>
              <w:t>3</w:t>
            </w:r>
          </w:p>
        </w:tc>
        <w:tc>
          <w:tcPr>
            <w:tcW w:w="1158" w:type="dxa"/>
            <w:tcBorders>
              <w:top w:val="nil"/>
              <w:left w:val="nil"/>
              <w:bottom w:val="single" w:sz="4" w:space="0" w:color="auto"/>
              <w:right w:val="nil"/>
            </w:tcBorders>
          </w:tcPr>
          <w:p w14:paraId="125A87BB" w14:textId="77777777" w:rsidR="00C046B0" w:rsidRPr="00846BB2" w:rsidRDefault="00C046B0" w:rsidP="00397CA8">
            <w:pPr>
              <w:spacing w:after="0" w:line="240" w:lineRule="auto"/>
              <w:jc w:val="center"/>
              <w:outlineLvl w:val="0"/>
              <w:rPr>
                <w:rFonts w:ascii="Times New Roman" w:hAnsi="Times New Roman"/>
              </w:rPr>
            </w:pPr>
            <w:r w:rsidRPr="00846BB2">
              <w:rPr>
                <w:rFonts w:ascii="Times New Roman" w:hAnsi="Times New Roman"/>
              </w:rPr>
              <w:t>217</w:t>
            </w:r>
          </w:p>
        </w:tc>
        <w:tc>
          <w:tcPr>
            <w:tcW w:w="1171" w:type="dxa"/>
            <w:tcBorders>
              <w:top w:val="nil"/>
              <w:left w:val="nil"/>
              <w:bottom w:val="single" w:sz="4" w:space="0" w:color="auto"/>
              <w:right w:val="nil"/>
            </w:tcBorders>
          </w:tcPr>
          <w:p w14:paraId="3615BC05" w14:textId="77777777" w:rsidR="00C046B0" w:rsidRPr="00846BB2" w:rsidRDefault="00C046B0" w:rsidP="00397CA8">
            <w:pPr>
              <w:spacing w:after="0" w:line="240" w:lineRule="auto"/>
              <w:jc w:val="center"/>
              <w:outlineLvl w:val="0"/>
              <w:rPr>
                <w:rFonts w:ascii="Times New Roman" w:hAnsi="Times New Roman"/>
              </w:rPr>
            </w:pPr>
            <w:r w:rsidRPr="00846BB2">
              <w:rPr>
                <w:rFonts w:ascii="Times New Roman" w:hAnsi="Times New Roman"/>
              </w:rPr>
              <w:t>37</w:t>
            </w:r>
            <w:r w:rsidR="003D540A">
              <w:rPr>
                <w:rFonts w:ascii="Times New Roman" w:hAnsi="Times New Roman"/>
              </w:rPr>
              <w:t>.</w:t>
            </w:r>
            <w:r w:rsidRPr="00846BB2">
              <w:rPr>
                <w:rFonts w:ascii="Times New Roman" w:hAnsi="Times New Roman"/>
              </w:rPr>
              <w:t>2</w:t>
            </w:r>
            <w:r w:rsidR="003D540A">
              <w:rPr>
                <w:rFonts w:ascii="Times New Roman" w:hAnsi="Times New Roman"/>
              </w:rPr>
              <w:t>%</w:t>
            </w:r>
          </w:p>
        </w:tc>
        <w:tc>
          <w:tcPr>
            <w:tcW w:w="1181" w:type="dxa"/>
            <w:tcBorders>
              <w:top w:val="nil"/>
              <w:left w:val="nil"/>
              <w:bottom w:val="single" w:sz="4" w:space="0" w:color="auto"/>
              <w:right w:val="nil"/>
            </w:tcBorders>
          </w:tcPr>
          <w:p w14:paraId="7ADAD04C" w14:textId="77777777" w:rsidR="00C046B0" w:rsidRPr="00846BB2" w:rsidRDefault="00C046B0" w:rsidP="00397CA8">
            <w:pPr>
              <w:spacing w:after="0" w:line="240" w:lineRule="auto"/>
              <w:jc w:val="center"/>
              <w:outlineLvl w:val="0"/>
              <w:rPr>
                <w:rFonts w:ascii="Times New Roman" w:hAnsi="Times New Roman"/>
              </w:rPr>
            </w:pPr>
            <w:r w:rsidRPr="00846BB2">
              <w:rPr>
                <w:rFonts w:ascii="Times New Roman" w:hAnsi="Times New Roman"/>
              </w:rPr>
              <w:t>35</w:t>
            </w:r>
            <w:r w:rsidR="003D540A">
              <w:rPr>
                <w:rFonts w:ascii="Times New Roman" w:hAnsi="Times New Roman"/>
              </w:rPr>
              <w:t>.</w:t>
            </w:r>
            <w:r w:rsidRPr="00846BB2">
              <w:rPr>
                <w:rFonts w:ascii="Times New Roman" w:hAnsi="Times New Roman"/>
              </w:rPr>
              <w:t>0</w:t>
            </w:r>
            <w:r w:rsidR="003D540A">
              <w:rPr>
                <w:rFonts w:ascii="Times New Roman" w:hAnsi="Times New Roman"/>
              </w:rPr>
              <w:t>%</w:t>
            </w:r>
          </w:p>
        </w:tc>
        <w:tc>
          <w:tcPr>
            <w:tcW w:w="1140" w:type="dxa"/>
            <w:tcBorders>
              <w:top w:val="nil"/>
              <w:left w:val="nil"/>
              <w:bottom w:val="single" w:sz="4" w:space="0" w:color="auto"/>
              <w:right w:val="nil"/>
            </w:tcBorders>
          </w:tcPr>
          <w:p w14:paraId="3775F490" w14:textId="77777777" w:rsidR="00C046B0" w:rsidRPr="00846BB2" w:rsidRDefault="00397CA8" w:rsidP="00397CA8">
            <w:pPr>
              <w:spacing w:after="0" w:line="240" w:lineRule="auto"/>
              <w:jc w:val="center"/>
              <w:outlineLvl w:val="0"/>
              <w:rPr>
                <w:rFonts w:ascii="Times New Roman" w:hAnsi="Times New Roman"/>
              </w:rPr>
            </w:pPr>
            <w:r w:rsidRPr="00846BB2">
              <w:rPr>
                <w:rFonts w:ascii="Times New Roman" w:hAnsi="Times New Roman"/>
              </w:rPr>
              <w:t>0.507</w:t>
            </w:r>
          </w:p>
        </w:tc>
        <w:tc>
          <w:tcPr>
            <w:tcW w:w="1151" w:type="dxa"/>
            <w:tcBorders>
              <w:top w:val="nil"/>
              <w:left w:val="nil"/>
              <w:bottom w:val="single" w:sz="4" w:space="0" w:color="auto"/>
              <w:right w:val="nil"/>
            </w:tcBorders>
          </w:tcPr>
          <w:p w14:paraId="43340304" w14:textId="77777777" w:rsidR="00C046B0" w:rsidRPr="00846BB2" w:rsidRDefault="00397CA8" w:rsidP="00397CA8">
            <w:pPr>
              <w:spacing w:after="0" w:line="240" w:lineRule="auto"/>
              <w:jc w:val="center"/>
              <w:outlineLvl w:val="0"/>
              <w:rPr>
                <w:rFonts w:ascii="Times New Roman" w:hAnsi="Times New Roman"/>
              </w:rPr>
            </w:pPr>
            <w:r w:rsidRPr="00846BB2">
              <w:rPr>
                <w:rFonts w:ascii="Times New Roman" w:hAnsi="Times New Roman"/>
              </w:rPr>
              <w:t>6,657</w:t>
            </w:r>
          </w:p>
        </w:tc>
        <w:tc>
          <w:tcPr>
            <w:tcW w:w="1137" w:type="dxa"/>
            <w:tcBorders>
              <w:top w:val="nil"/>
              <w:left w:val="nil"/>
              <w:bottom w:val="single" w:sz="4" w:space="0" w:color="auto"/>
              <w:right w:val="nil"/>
            </w:tcBorders>
          </w:tcPr>
          <w:p w14:paraId="3D648DF7" w14:textId="77777777" w:rsidR="00C046B0" w:rsidRPr="00846BB2" w:rsidRDefault="00397CA8" w:rsidP="00397CA8">
            <w:pPr>
              <w:spacing w:after="0" w:line="240" w:lineRule="auto"/>
              <w:jc w:val="center"/>
              <w:outlineLvl w:val="0"/>
              <w:rPr>
                <w:rFonts w:ascii="Times New Roman" w:hAnsi="Times New Roman"/>
              </w:rPr>
            </w:pPr>
            <w:r w:rsidRPr="00846BB2">
              <w:rPr>
                <w:rFonts w:ascii="Times New Roman" w:hAnsi="Times New Roman"/>
              </w:rPr>
              <w:t>-0.</w:t>
            </w:r>
            <w:r w:rsidR="00FE1648" w:rsidRPr="00846BB2">
              <w:rPr>
                <w:rFonts w:ascii="Times New Roman" w:hAnsi="Times New Roman"/>
              </w:rPr>
              <w:t>10</w:t>
            </w:r>
          </w:p>
        </w:tc>
      </w:tr>
      <w:tr w:rsidR="00C046B0" w:rsidRPr="00C61C0E" w14:paraId="369AE100" w14:textId="77777777" w:rsidTr="00563094">
        <w:tc>
          <w:tcPr>
            <w:tcW w:w="9243" w:type="dxa"/>
            <w:gridSpan w:val="8"/>
            <w:tcBorders>
              <w:left w:val="nil"/>
              <w:bottom w:val="single" w:sz="4" w:space="0" w:color="auto"/>
              <w:right w:val="nil"/>
            </w:tcBorders>
          </w:tcPr>
          <w:p w14:paraId="044DC568" w14:textId="77777777" w:rsidR="00C046B0" w:rsidRPr="003725B8" w:rsidRDefault="00C046B0" w:rsidP="00397CA8">
            <w:pPr>
              <w:spacing w:after="0" w:line="240" w:lineRule="auto"/>
              <w:jc w:val="both"/>
              <w:outlineLvl w:val="0"/>
              <w:rPr>
                <w:rFonts w:ascii="Times New Roman" w:hAnsi="Times New Roman"/>
                <w:b/>
              </w:rPr>
            </w:pPr>
            <w:r w:rsidRPr="003725B8">
              <w:rPr>
                <w:rFonts w:ascii="Times New Roman" w:hAnsi="Times New Roman"/>
                <w:b/>
              </w:rPr>
              <w:t>B. Pre-crisis</w:t>
            </w:r>
            <w:r w:rsidR="008577F4">
              <w:rPr>
                <w:rFonts w:ascii="Times New Roman" w:hAnsi="Times New Roman"/>
                <w:b/>
              </w:rPr>
              <w:t xml:space="preserve"> period</w:t>
            </w:r>
            <w:r w:rsidR="00C47672">
              <w:rPr>
                <w:rFonts w:ascii="Times New Roman" w:hAnsi="Times New Roman"/>
                <w:b/>
              </w:rPr>
              <w:t xml:space="preserve"> </w:t>
            </w:r>
            <w:r w:rsidR="00C47672" w:rsidRPr="00C47672">
              <w:rPr>
                <w:rFonts w:ascii="Times New Roman" w:hAnsi="Times New Roman"/>
                <w:b/>
              </w:rPr>
              <w:t>(January 2005-July 2007)</w:t>
            </w:r>
          </w:p>
        </w:tc>
      </w:tr>
      <w:tr w:rsidR="00C046B0" w:rsidRPr="00C61C0E" w14:paraId="73019D27" w14:textId="77777777" w:rsidTr="00563094">
        <w:tc>
          <w:tcPr>
            <w:tcW w:w="1809" w:type="dxa"/>
            <w:tcBorders>
              <w:left w:val="nil"/>
              <w:bottom w:val="nil"/>
              <w:right w:val="nil"/>
            </w:tcBorders>
          </w:tcPr>
          <w:p w14:paraId="6EB69C02" w14:textId="77777777" w:rsidR="00C046B0" w:rsidRPr="003D540A" w:rsidRDefault="00C046B0" w:rsidP="00397CA8">
            <w:pPr>
              <w:spacing w:after="0" w:line="240" w:lineRule="auto"/>
              <w:jc w:val="center"/>
              <w:outlineLvl w:val="0"/>
              <w:rPr>
                <w:rFonts w:ascii="Times New Roman" w:hAnsi="Times New Roman"/>
              </w:rPr>
            </w:pPr>
            <w:r w:rsidRPr="003D540A">
              <w:rPr>
                <w:rFonts w:ascii="Times New Roman" w:hAnsi="Times New Roman"/>
              </w:rPr>
              <w:t>Investment</w:t>
            </w:r>
            <w:r w:rsidR="003725B8" w:rsidRPr="003D540A">
              <w:rPr>
                <w:rFonts w:ascii="Times New Roman" w:hAnsi="Times New Roman"/>
              </w:rPr>
              <w:t xml:space="preserve"> grade</w:t>
            </w:r>
          </w:p>
        </w:tc>
        <w:tc>
          <w:tcPr>
            <w:tcW w:w="496" w:type="dxa"/>
            <w:tcBorders>
              <w:left w:val="nil"/>
              <w:bottom w:val="nil"/>
              <w:right w:val="nil"/>
            </w:tcBorders>
          </w:tcPr>
          <w:p w14:paraId="6E8BDEDA" w14:textId="77777777" w:rsidR="00C046B0" w:rsidRPr="00846BB2" w:rsidRDefault="00C046B0" w:rsidP="00397CA8">
            <w:pPr>
              <w:spacing w:after="0" w:line="240" w:lineRule="auto"/>
              <w:jc w:val="center"/>
              <w:outlineLvl w:val="0"/>
              <w:rPr>
                <w:rFonts w:ascii="Times New Roman" w:hAnsi="Times New Roman"/>
              </w:rPr>
            </w:pPr>
            <w:r w:rsidRPr="00846BB2">
              <w:rPr>
                <w:rFonts w:ascii="Times New Roman" w:hAnsi="Times New Roman"/>
              </w:rPr>
              <w:t>57</w:t>
            </w:r>
          </w:p>
        </w:tc>
        <w:tc>
          <w:tcPr>
            <w:tcW w:w="1158" w:type="dxa"/>
            <w:tcBorders>
              <w:left w:val="nil"/>
              <w:bottom w:val="nil"/>
              <w:right w:val="nil"/>
            </w:tcBorders>
          </w:tcPr>
          <w:p w14:paraId="06F14138" w14:textId="77777777" w:rsidR="00C046B0" w:rsidRPr="00846BB2" w:rsidRDefault="00C046B0" w:rsidP="00397CA8">
            <w:pPr>
              <w:spacing w:after="0" w:line="240" w:lineRule="auto"/>
              <w:jc w:val="center"/>
              <w:outlineLvl w:val="0"/>
              <w:rPr>
                <w:rFonts w:ascii="Times New Roman" w:hAnsi="Times New Roman"/>
              </w:rPr>
            </w:pPr>
            <w:r w:rsidRPr="00846BB2">
              <w:rPr>
                <w:rFonts w:ascii="Times New Roman" w:hAnsi="Times New Roman"/>
              </w:rPr>
              <w:t>26</w:t>
            </w:r>
          </w:p>
        </w:tc>
        <w:tc>
          <w:tcPr>
            <w:tcW w:w="1171" w:type="dxa"/>
            <w:tcBorders>
              <w:left w:val="nil"/>
              <w:bottom w:val="nil"/>
              <w:right w:val="nil"/>
            </w:tcBorders>
          </w:tcPr>
          <w:p w14:paraId="705FA3BC" w14:textId="77777777" w:rsidR="00C046B0" w:rsidRPr="00846BB2" w:rsidRDefault="00C046B0" w:rsidP="00397CA8">
            <w:pPr>
              <w:spacing w:after="0" w:line="240" w:lineRule="auto"/>
              <w:jc w:val="center"/>
              <w:outlineLvl w:val="0"/>
              <w:rPr>
                <w:rFonts w:ascii="Times New Roman" w:hAnsi="Times New Roman"/>
              </w:rPr>
            </w:pPr>
            <w:r w:rsidRPr="00846BB2">
              <w:rPr>
                <w:rFonts w:ascii="Times New Roman" w:hAnsi="Times New Roman"/>
              </w:rPr>
              <w:t>20</w:t>
            </w:r>
            <w:r w:rsidR="003D540A">
              <w:rPr>
                <w:rFonts w:ascii="Times New Roman" w:hAnsi="Times New Roman"/>
              </w:rPr>
              <w:t>.</w:t>
            </w:r>
            <w:r w:rsidRPr="00846BB2">
              <w:rPr>
                <w:rFonts w:ascii="Times New Roman" w:hAnsi="Times New Roman"/>
              </w:rPr>
              <w:t>2</w:t>
            </w:r>
            <w:r w:rsidR="003D540A">
              <w:rPr>
                <w:rFonts w:ascii="Times New Roman" w:hAnsi="Times New Roman"/>
              </w:rPr>
              <w:t>%</w:t>
            </w:r>
          </w:p>
        </w:tc>
        <w:tc>
          <w:tcPr>
            <w:tcW w:w="1181" w:type="dxa"/>
            <w:tcBorders>
              <w:left w:val="nil"/>
              <w:bottom w:val="nil"/>
              <w:right w:val="nil"/>
            </w:tcBorders>
          </w:tcPr>
          <w:p w14:paraId="20194B73" w14:textId="77777777" w:rsidR="00C046B0" w:rsidRPr="00846BB2" w:rsidRDefault="00C046B0" w:rsidP="00397CA8">
            <w:pPr>
              <w:spacing w:after="0" w:line="240" w:lineRule="auto"/>
              <w:jc w:val="center"/>
              <w:outlineLvl w:val="0"/>
              <w:rPr>
                <w:rFonts w:ascii="Times New Roman" w:hAnsi="Times New Roman"/>
              </w:rPr>
            </w:pPr>
            <w:r w:rsidRPr="00846BB2">
              <w:rPr>
                <w:rFonts w:ascii="Times New Roman" w:hAnsi="Times New Roman"/>
              </w:rPr>
              <w:t>25</w:t>
            </w:r>
            <w:r w:rsidR="003D540A">
              <w:rPr>
                <w:rFonts w:ascii="Times New Roman" w:hAnsi="Times New Roman"/>
              </w:rPr>
              <w:t>.</w:t>
            </w:r>
            <w:r w:rsidRPr="00846BB2">
              <w:rPr>
                <w:rFonts w:ascii="Times New Roman" w:hAnsi="Times New Roman"/>
              </w:rPr>
              <w:t>9</w:t>
            </w:r>
            <w:r w:rsidR="003D540A">
              <w:rPr>
                <w:rFonts w:ascii="Times New Roman" w:hAnsi="Times New Roman"/>
              </w:rPr>
              <w:t>%</w:t>
            </w:r>
          </w:p>
        </w:tc>
        <w:tc>
          <w:tcPr>
            <w:tcW w:w="1140" w:type="dxa"/>
            <w:tcBorders>
              <w:left w:val="nil"/>
              <w:bottom w:val="nil"/>
              <w:right w:val="nil"/>
            </w:tcBorders>
          </w:tcPr>
          <w:p w14:paraId="057040D7" w14:textId="77777777" w:rsidR="00C046B0" w:rsidRPr="00846BB2" w:rsidRDefault="00397CA8" w:rsidP="00397CA8">
            <w:pPr>
              <w:spacing w:after="0" w:line="240" w:lineRule="auto"/>
              <w:jc w:val="center"/>
              <w:outlineLvl w:val="0"/>
              <w:rPr>
                <w:rFonts w:ascii="Times New Roman" w:hAnsi="Times New Roman"/>
              </w:rPr>
            </w:pPr>
            <w:r w:rsidRPr="00846BB2">
              <w:rPr>
                <w:rFonts w:ascii="Times New Roman" w:hAnsi="Times New Roman"/>
              </w:rPr>
              <w:t>0.342</w:t>
            </w:r>
          </w:p>
        </w:tc>
        <w:tc>
          <w:tcPr>
            <w:tcW w:w="1151" w:type="dxa"/>
            <w:tcBorders>
              <w:left w:val="nil"/>
              <w:bottom w:val="nil"/>
              <w:right w:val="nil"/>
            </w:tcBorders>
          </w:tcPr>
          <w:p w14:paraId="3E742536" w14:textId="77777777" w:rsidR="00C046B0" w:rsidRPr="00846BB2" w:rsidRDefault="00397CA8" w:rsidP="00397CA8">
            <w:pPr>
              <w:spacing w:after="0" w:line="240" w:lineRule="auto"/>
              <w:jc w:val="center"/>
              <w:outlineLvl w:val="0"/>
              <w:rPr>
                <w:rFonts w:ascii="Times New Roman" w:hAnsi="Times New Roman"/>
              </w:rPr>
            </w:pPr>
            <w:r w:rsidRPr="00846BB2">
              <w:rPr>
                <w:rFonts w:ascii="Times New Roman" w:hAnsi="Times New Roman"/>
              </w:rPr>
              <w:t>62,969</w:t>
            </w:r>
          </w:p>
        </w:tc>
        <w:tc>
          <w:tcPr>
            <w:tcW w:w="1137" w:type="dxa"/>
            <w:tcBorders>
              <w:left w:val="nil"/>
              <w:bottom w:val="nil"/>
              <w:right w:val="nil"/>
            </w:tcBorders>
          </w:tcPr>
          <w:p w14:paraId="08C46FCC" w14:textId="77777777" w:rsidR="00C046B0" w:rsidRPr="00846BB2" w:rsidRDefault="00397CA8" w:rsidP="00397CA8">
            <w:pPr>
              <w:spacing w:after="0" w:line="240" w:lineRule="auto"/>
              <w:jc w:val="center"/>
              <w:outlineLvl w:val="0"/>
              <w:rPr>
                <w:rFonts w:ascii="Times New Roman" w:hAnsi="Times New Roman"/>
              </w:rPr>
            </w:pPr>
            <w:r w:rsidRPr="00846BB2">
              <w:rPr>
                <w:rFonts w:ascii="Times New Roman" w:hAnsi="Times New Roman"/>
              </w:rPr>
              <w:t>-0.09</w:t>
            </w:r>
          </w:p>
        </w:tc>
      </w:tr>
      <w:tr w:rsidR="00C046B0" w:rsidRPr="00C61C0E" w14:paraId="03E04BD8" w14:textId="77777777" w:rsidTr="00563094">
        <w:tc>
          <w:tcPr>
            <w:tcW w:w="1809" w:type="dxa"/>
            <w:tcBorders>
              <w:top w:val="nil"/>
              <w:left w:val="nil"/>
              <w:bottom w:val="single" w:sz="4" w:space="0" w:color="auto"/>
              <w:right w:val="nil"/>
            </w:tcBorders>
          </w:tcPr>
          <w:p w14:paraId="1FF6DC47" w14:textId="77777777" w:rsidR="00C046B0" w:rsidRPr="003D540A" w:rsidRDefault="00C046B0" w:rsidP="00397CA8">
            <w:pPr>
              <w:spacing w:after="0" w:line="240" w:lineRule="auto"/>
              <w:jc w:val="center"/>
              <w:outlineLvl w:val="0"/>
              <w:rPr>
                <w:rFonts w:ascii="Times New Roman" w:hAnsi="Times New Roman"/>
              </w:rPr>
            </w:pPr>
            <w:r w:rsidRPr="003D540A">
              <w:rPr>
                <w:rFonts w:ascii="Times New Roman" w:hAnsi="Times New Roman"/>
              </w:rPr>
              <w:t>Speculative</w:t>
            </w:r>
            <w:r w:rsidR="003725B8" w:rsidRPr="003D540A">
              <w:rPr>
                <w:rFonts w:ascii="Times New Roman" w:hAnsi="Times New Roman"/>
              </w:rPr>
              <w:t xml:space="preserve"> grade</w:t>
            </w:r>
          </w:p>
        </w:tc>
        <w:tc>
          <w:tcPr>
            <w:tcW w:w="496" w:type="dxa"/>
            <w:tcBorders>
              <w:top w:val="nil"/>
              <w:left w:val="nil"/>
              <w:bottom w:val="single" w:sz="4" w:space="0" w:color="auto"/>
              <w:right w:val="nil"/>
            </w:tcBorders>
          </w:tcPr>
          <w:p w14:paraId="5C6D540D" w14:textId="77777777" w:rsidR="00C046B0" w:rsidRPr="00846BB2" w:rsidRDefault="00C046B0" w:rsidP="00397CA8">
            <w:pPr>
              <w:spacing w:after="0" w:line="240" w:lineRule="auto"/>
              <w:jc w:val="center"/>
              <w:outlineLvl w:val="0"/>
              <w:rPr>
                <w:rFonts w:ascii="Times New Roman" w:hAnsi="Times New Roman"/>
              </w:rPr>
            </w:pPr>
            <w:r w:rsidRPr="00846BB2">
              <w:rPr>
                <w:rFonts w:ascii="Times New Roman" w:hAnsi="Times New Roman"/>
              </w:rPr>
              <w:t>1</w:t>
            </w:r>
            <w:r w:rsidR="00AF43AA" w:rsidRPr="00846BB2">
              <w:rPr>
                <w:rFonts w:ascii="Times New Roman" w:hAnsi="Times New Roman"/>
              </w:rPr>
              <w:t>3</w:t>
            </w:r>
          </w:p>
        </w:tc>
        <w:tc>
          <w:tcPr>
            <w:tcW w:w="1158" w:type="dxa"/>
            <w:tcBorders>
              <w:top w:val="nil"/>
              <w:left w:val="nil"/>
              <w:bottom w:val="single" w:sz="4" w:space="0" w:color="auto"/>
              <w:right w:val="nil"/>
            </w:tcBorders>
          </w:tcPr>
          <w:p w14:paraId="693E62C4" w14:textId="77777777" w:rsidR="00C046B0" w:rsidRPr="00846BB2" w:rsidRDefault="00C046B0" w:rsidP="00397CA8">
            <w:pPr>
              <w:spacing w:after="0" w:line="240" w:lineRule="auto"/>
              <w:jc w:val="center"/>
              <w:outlineLvl w:val="0"/>
              <w:rPr>
                <w:rFonts w:ascii="Times New Roman" w:hAnsi="Times New Roman"/>
              </w:rPr>
            </w:pPr>
            <w:r w:rsidRPr="00846BB2">
              <w:rPr>
                <w:rFonts w:ascii="Times New Roman" w:hAnsi="Times New Roman"/>
              </w:rPr>
              <w:t>90</w:t>
            </w:r>
          </w:p>
        </w:tc>
        <w:tc>
          <w:tcPr>
            <w:tcW w:w="1171" w:type="dxa"/>
            <w:tcBorders>
              <w:top w:val="nil"/>
              <w:left w:val="nil"/>
              <w:bottom w:val="single" w:sz="4" w:space="0" w:color="auto"/>
              <w:right w:val="nil"/>
            </w:tcBorders>
          </w:tcPr>
          <w:p w14:paraId="195FF690" w14:textId="77777777" w:rsidR="00C046B0" w:rsidRPr="00846BB2" w:rsidRDefault="00C046B0" w:rsidP="00397CA8">
            <w:pPr>
              <w:spacing w:after="0" w:line="240" w:lineRule="auto"/>
              <w:jc w:val="center"/>
              <w:outlineLvl w:val="0"/>
              <w:rPr>
                <w:rFonts w:ascii="Times New Roman" w:hAnsi="Times New Roman"/>
              </w:rPr>
            </w:pPr>
            <w:r w:rsidRPr="00846BB2">
              <w:rPr>
                <w:rFonts w:ascii="Times New Roman" w:hAnsi="Times New Roman"/>
              </w:rPr>
              <w:t>24</w:t>
            </w:r>
            <w:r w:rsidR="003D540A">
              <w:rPr>
                <w:rFonts w:ascii="Times New Roman" w:hAnsi="Times New Roman"/>
              </w:rPr>
              <w:t>.</w:t>
            </w:r>
            <w:r w:rsidRPr="00846BB2">
              <w:rPr>
                <w:rFonts w:ascii="Times New Roman" w:hAnsi="Times New Roman"/>
              </w:rPr>
              <w:t>1</w:t>
            </w:r>
            <w:r w:rsidR="003D540A">
              <w:rPr>
                <w:rFonts w:ascii="Times New Roman" w:hAnsi="Times New Roman"/>
              </w:rPr>
              <w:t>%</w:t>
            </w:r>
          </w:p>
        </w:tc>
        <w:tc>
          <w:tcPr>
            <w:tcW w:w="1181" w:type="dxa"/>
            <w:tcBorders>
              <w:top w:val="nil"/>
              <w:left w:val="nil"/>
              <w:bottom w:val="single" w:sz="4" w:space="0" w:color="auto"/>
              <w:right w:val="nil"/>
            </w:tcBorders>
          </w:tcPr>
          <w:p w14:paraId="1182A15F" w14:textId="77777777" w:rsidR="00C046B0" w:rsidRPr="00846BB2" w:rsidRDefault="00C046B0" w:rsidP="00397CA8">
            <w:pPr>
              <w:spacing w:after="0" w:line="240" w:lineRule="auto"/>
              <w:jc w:val="center"/>
              <w:outlineLvl w:val="0"/>
              <w:rPr>
                <w:rFonts w:ascii="Times New Roman" w:hAnsi="Times New Roman"/>
              </w:rPr>
            </w:pPr>
            <w:r w:rsidRPr="00846BB2">
              <w:rPr>
                <w:rFonts w:ascii="Times New Roman" w:hAnsi="Times New Roman"/>
              </w:rPr>
              <w:t>31</w:t>
            </w:r>
            <w:r w:rsidR="003D540A">
              <w:rPr>
                <w:rFonts w:ascii="Times New Roman" w:hAnsi="Times New Roman"/>
              </w:rPr>
              <w:t>.</w:t>
            </w:r>
            <w:r w:rsidRPr="00846BB2">
              <w:rPr>
                <w:rFonts w:ascii="Times New Roman" w:hAnsi="Times New Roman"/>
              </w:rPr>
              <w:t>0</w:t>
            </w:r>
            <w:r w:rsidR="003D540A">
              <w:rPr>
                <w:rFonts w:ascii="Times New Roman" w:hAnsi="Times New Roman"/>
              </w:rPr>
              <w:t>%</w:t>
            </w:r>
          </w:p>
        </w:tc>
        <w:tc>
          <w:tcPr>
            <w:tcW w:w="1140" w:type="dxa"/>
            <w:tcBorders>
              <w:top w:val="nil"/>
              <w:left w:val="nil"/>
              <w:bottom w:val="single" w:sz="4" w:space="0" w:color="auto"/>
              <w:right w:val="nil"/>
            </w:tcBorders>
          </w:tcPr>
          <w:p w14:paraId="5B756FAF" w14:textId="77777777" w:rsidR="00C046B0" w:rsidRPr="00846BB2" w:rsidRDefault="00397CA8" w:rsidP="00397CA8">
            <w:pPr>
              <w:spacing w:after="0" w:line="240" w:lineRule="auto"/>
              <w:jc w:val="center"/>
              <w:outlineLvl w:val="0"/>
              <w:rPr>
                <w:rFonts w:ascii="Times New Roman" w:hAnsi="Times New Roman"/>
              </w:rPr>
            </w:pPr>
            <w:r w:rsidRPr="00846BB2">
              <w:rPr>
                <w:rFonts w:ascii="Times New Roman" w:hAnsi="Times New Roman"/>
              </w:rPr>
              <w:t>0.449</w:t>
            </w:r>
          </w:p>
        </w:tc>
        <w:tc>
          <w:tcPr>
            <w:tcW w:w="1151" w:type="dxa"/>
            <w:tcBorders>
              <w:top w:val="nil"/>
              <w:left w:val="nil"/>
              <w:bottom w:val="single" w:sz="4" w:space="0" w:color="auto"/>
              <w:right w:val="nil"/>
            </w:tcBorders>
          </w:tcPr>
          <w:p w14:paraId="434A72ED" w14:textId="77777777" w:rsidR="00C046B0" w:rsidRPr="00846BB2" w:rsidRDefault="00397CA8" w:rsidP="00397CA8">
            <w:pPr>
              <w:spacing w:after="0" w:line="240" w:lineRule="auto"/>
              <w:jc w:val="center"/>
              <w:outlineLvl w:val="0"/>
              <w:rPr>
                <w:rFonts w:ascii="Times New Roman" w:hAnsi="Times New Roman"/>
              </w:rPr>
            </w:pPr>
            <w:r w:rsidRPr="00846BB2">
              <w:rPr>
                <w:rFonts w:ascii="Times New Roman" w:hAnsi="Times New Roman"/>
              </w:rPr>
              <w:t>8,025</w:t>
            </w:r>
          </w:p>
        </w:tc>
        <w:tc>
          <w:tcPr>
            <w:tcW w:w="1137" w:type="dxa"/>
            <w:tcBorders>
              <w:top w:val="nil"/>
              <w:left w:val="nil"/>
              <w:bottom w:val="single" w:sz="4" w:space="0" w:color="auto"/>
              <w:right w:val="nil"/>
            </w:tcBorders>
          </w:tcPr>
          <w:p w14:paraId="1A27CC96" w14:textId="77777777" w:rsidR="00C046B0" w:rsidRPr="00846BB2" w:rsidRDefault="00397CA8" w:rsidP="00397CA8">
            <w:pPr>
              <w:spacing w:after="0" w:line="240" w:lineRule="auto"/>
              <w:jc w:val="center"/>
              <w:outlineLvl w:val="0"/>
              <w:rPr>
                <w:rFonts w:ascii="Times New Roman" w:hAnsi="Times New Roman"/>
              </w:rPr>
            </w:pPr>
            <w:r w:rsidRPr="00846BB2">
              <w:rPr>
                <w:rFonts w:ascii="Times New Roman" w:hAnsi="Times New Roman"/>
              </w:rPr>
              <w:t>-0.</w:t>
            </w:r>
            <w:r w:rsidR="00FE1648" w:rsidRPr="00846BB2">
              <w:rPr>
                <w:rFonts w:ascii="Times New Roman" w:hAnsi="Times New Roman"/>
              </w:rPr>
              <w:t>32</w:t>
            </w:r>
          </w:p>
        </w:tc>
      </w:tr>
      <w:tr w:rsidR="00C046B0" w:rsidRPr="00C61C0E" w14:paraId="44730FDC" w14:textId="77777777" w:rsidTr="00563094">
        <w:tc>
          <w:tcPr>
            <w:tcW w:w="9243" w:type="dxa"/>
            <w:gridSpan w:val="8"/>
            <w:tcBorders>
              <w:left w:val="nil"/>
              <w:bottom w:val="single" w:sz="4" w:space="0" w:color="auto"/>
              <w:right w:val="nil"/>
            </w:tcBorders>
          </w:tcPr>
          <w:p w14:paraId="4ECA5D88" w14:textId="77777777" w:rsidR="00C046B0" w:rsidRPr="003725B8" w:rsidRDefault="00C046B0" w:rsidP="00C47672">
            <w:pPr>
              <w:spacing w:after="0" w:line="240" w:lineRule="auto"/>
              <w:jc w:val="both"/>
              <w:outlineLvl w:val="0"/>
              <w:rPr>
                <w:rFonts w:ascii="Times New Roman" w:hAnsi="Times New Roman"/>
                <w:b/>
              </w:rPr>
            </w:pPr>
            <w:r w:rsidRPr="003725B8">
              <w:rPr>
                <w:rFonts w:ascii="Times New Roman" w:hAnsi="Times New Roman"/>
                <w:b/>
              </w:rPr>
              <w:t xml:space="preserve">C. </w:t>
            </w:r>
            <w:r w:rsidR="008577F4">
              <w:rPr>
                <w:rFonts w:ascii="Times New Roman" w:hAnsi="Times New Roman"/>
                <w:b/>
              </w:rPr>
              <w:t>C</w:t>
            </w:r>
            <w:r w:rsidRPr="003725B8">
              <w:rPr>
                <w:rFonts w:ascii="Times New Roman" w:hAnsi="Times New Roman"/>
                <w:b/>
              </w:rPr>
              <w:t>risis</w:t>
            </w:r>
            <w:r w:rsidR="008577F4">
              <w:rPr>
                <w:rFonts w:ascii="Times New Roman" w:hAnsi="Times New Roman"/>
                <w:b/>
              </w:rPr>
              <w:t xml:space="preserve"> period</w:t>
            </w:r>
            <w:r w:rsidR="00C47672">
              <w:rPr>
                <w:rFonts w:ascii="Times New Roman" w:hAnsi="Times New Roman"/>
                <w:b/>
              </w:rPr>
              <w:t xml:space="preserve"> </w:t>
            </w:r>
            <w:r w:rsidR="00C47672" w:rsidRPr="00C47672">
              <w:rPr>
                <w:rFonts w:ascii="Times New Roman" w:hAnsi="Times New Roman"/>
                <w:b/>
              </w:rPr>
              <w:t>(August 2007-December 2009)</w:t>
            </w:r>
          </w:p>
        </w:tc>
      </w:tr>
      <w:tr w:rsidR="00C046B0" w:rsidRPr="00C61C0E" w14:paraId="0D184BDE" w14:textId="77777777" w:rsidTr="00563094">
        <w:tc>
          <w:tcPr>
            <w:tcW w:w="1809" w:type="dxa"/>
            <w:tcBorders>
              <w:left w:val="nil"/>
              <w:bottom w:val="nil"/>
              <w:right w:val="nil"/>
            </w:tcBorders>
          </w:tcPr>
          <w:p w14:paraId="0D344284" w14:textId="77777777" w:rsidR="00C046B0" w:rsidRPr="003D540A" w:rsidRDefault="00C046B0" w:rsidP="00397CA8">
            <w:pPr>
              <w:spacing w:after="0" w:line="240" w:lineRule="auto"/>
              <w:jc w:val="center"/>
              <w:outlineLvl w:val="0"/>
              <w:rPr>
                <w:rFonts w:ascii="Times New Roman" w:hAnsi="Times New Roman"/>
              </w:rPr>
            </w:pPr>
            <w:r w:rsidRPr="003D540A">
              <w:rPr>
                <w:rFonts w:ascii="Times New Roman" w:hAnsi="Times New Roman"/>
              </w:rPr>
              <w:t>Investment</w:t>
            </w:r>
            <w:r w:rsidR="003725B8" w:rsidRPr="003D540A">
              <w:rPr>
                <w:rFonts w:ascii="Times New Roman" w:hAnsi="Times New Roman"/>
              </w:rPr>
              <w:t xml:space="preserve"> grade</w:t>
            </w:r>
          </w:p>
        </w:tc>
        <w:tc>
          <w:tcPr>
            <w:tcW w:w="496" w:type="dxa"/>
            <w:tcBorders>
              <w:left w:val="nil"/>
              <w:bottom w:val="nil"/>
              <w:right w:val="nil"/>
            </w:tcBorders>
          </w:tcPr>
          <w:p w14:paraId="28E88265" w14:textId="77777777" w:rsidR="00C046B0" w:rsidRPr="00846BB2" w:rsidRDefault="00C046B0" w:rsidP="00397CA8">
            <w:pPr>
              <w:spacing w:after="0" w:line="240" w:lineRule="auto"/>
              <w:jc w:val="center"/>
              <w:outlineLvl w:val="0"/>
              <w:rPr>
                <w:rFonts w:ascii="Times New Roman" w:hAnsi="Times New Roman"/>
              </w:rPr>
            </w:pPr>
            <w:r w:rsidRPr="00846BB2">
              <w:rPr>
                <w:rFonts w:ascii="Times New Roman" w:hAnsi="Times New Roman"/>
              </w:rPr>
              <w:t>57</w:t>
            </w:r>
          </w:p>
        </w:tc>
        <w:tc>
          <w:tcPr>
            <w:tcW w:w="1158" w:type="dxa"/>
            <w:tcBorders>
              <w:left w:val="nil"/>
              <w:bottom w:val="nil"/>
              <w:right w:val="nil"/>
            </w:tcBorders>
          </w:tcPr>
          <w:p w14:paraId="7ADF1842" w14:textId="77777777" w:rsidR="00C046B0" w:rsidRPr="00846BB2" w:rsidRDefault="00C046B0" w:rsidP="00397CA8">
            <w:pPr>
              <w:spacing w:after="0" w:line="240" w:lineRule="auto"/>
              <w:jc w:val="center"/>
              <w:outlineLvl w:val="0"/>
              <w:rPr>
                <w:rFonts w:ascii="Times New Roman" w:hAnsi="Times New Roman"/>
              </w:rPr>
            </w:pPr>
            <w:r w:rsidRPr="00846BB2">
              <w:rPr>
                <w:rFonts w:ascii="Times New Roman" w:hAnsi="Times New Roman"/>
              </w:rPr>
              <w:t>92</w:t>
            </w:r>
          </w:p>
        </w:tc>
        <w:tc>
          <w:tcPr>
            <w:tcW w:w="1171" w:type="dxa"/>
            <w:tcBorders>
              <w:left w:val="nil"/>
              <w:bottom w:val="nil"/>
              <w:right w:val="nil"/>
            </w:tcBorders>
          </w:tcPr>
          <w:p w14:paraId="5BB28553" w14:textId="77777777" w:rsidR="00C046B0" w:rsidRPr="00846BB2" w:rsidRDefault="00C046B0" w:rsidP="00397CA8">
            <w:pPr>
              <w:spacing w:after="0" w:line="240" w:lineRule="auto"/>
              <w:jc w:val="center"/>
              <w:outlineLvl w:val="0"/>
              <w:rPr>
                <w:rFonts w:ascii="Times New Roman" w:hAnsi="Times New Roman"/>
              </w:rPr>
            </w:pPr>
            <w:r w:rsidRPr="00846BB2">
              <w:rPr>
                <w:rFonts w:ascii="Times New Roman" w:hAnsi="Times New Roman"/>
              </w:rPr>
              <w:t>35</w:t>
            </w:r>
            <w:r w:rsidR="003D540A">
              <w:rPr>
                <w:rFonts w:ascii="Times New Roman" w:hAnsi="Times New Roman"/>
              </w:rPr>
              <w:t>.</w:t>
            </w:r>
            <w:r w:rsidRPr="00846BB2">
              <w:rPr>
                <w:rFonts w:ascii="Times New Roman" w:hAnsi="Times New Roman"/>
              </w:rPr>
              <w:t>0</w:t>
            </w:r>
            <w:r w:rsidR="003D540A">
              <w:rPr>
                <w:rFonts w:ascii="Times New Roman" w:hAnsi="Times New Roman"/>
              </w:rPr>
              <w:t>%</w:t>
            </w:r>
          </w:p>
        </w:tc>
        <w:tc>
          <w:tcPr>
            <w:tcW w:w="1181" w:type="dxa"/>
            <w:tcBorders>
              <w:left w:val="nil"/>
              <w:bottom w:val="nil"/>
              <w:right w:val="nil"/>
            </w:tcBorders>
          </w:tcPr>
          <w:p w14:paraId="6AB1A9FA" w14:textId="77777777" w:rsidR="00C046B0" w:rsidRPr="00846BB2" w:rsidRDefault="00C046B0" w:rsidP="00397CA8">
            <w:pPr>
              <w:spacing w:after="0" w:line="240" w:lineRule="auto"/>
              <w:jc w:val="center"/>
              <w:outlineLvl w:val="0"/>
              <w:rPr>
                <w:rFonts w:ascii="Times New Roman" w:hAnsi="Times New Roman"/>
              </w:rPr>
            </w:pPr>
            <w:r w:rsidRPr="00846BB2">
              <w:rPr>
                <w:rFonts w:ascii="Times New Roman" w:hAnsi="Times New Roman"/>
              </w:rPr>
              <w:t>29</w:t>
            </w:r>
            <w:r w:rsidR="003D540A">
              <w:rPr>
                <w:rFonts w:ascii="Times New Roman" w:hAnsi="Times New Roman"/>
              </w:rPr>
              <w:t>.</w:t>
            </w:r>
            <w:r w:rsidRPr="00846BB2">
              <w:rPr>
                <w:rFonts w:ascii="Times New Roman" w:hAnsi="Times New Roman"/>
              </w:rPr>
              <w:t>4</w:t>
            </w:r>
            <w:r w:rsidR="003D540A">
              <w:rPr>
                <w:rFonts w:ascii="Times New Roman" w:hAnsi="Times New Roman"/>
              </w:rPr>
              <w:t>%</w:t>
            </w:r>
          </w:p>
        </w:tc>
        <w:tc>
          <w:tcPr>
            <w:tcW w:w="1140" w:type="dxa"/>
            <w:tcBorders>
              <w:left w:val="nil"/>
              <w:bottom w:val="nil"/>
              <w:right w:val="nil"/>
            </w:tcBorders>
          </w:tcPr>
          <w:p w14:paraId="3CD2BA15" w14:textId="77777777" w:rsidR="00C046B0" w:rsidRPr="00846BB2" w:rsidRDefault="00397CA8" w:rsidP="00397CA8">
            <w:pPr>
              <w:spacing w:after="0" w:line="240" w:lineRule="auto"/>
              <w:jc w:val="center"/>
              <w:outlineLvl w:val="0"/>
              <w:rPr>
                <w:rFonts w:ascii="Times New Roman" w:hAnsi="Times New Roman"/>
              </w:rPr>
            </w:pPr>
            <w:r w:rsidRPr="00846BB2">
              <w:rPr>
                <w:rFonts w:ascii="Times New Roman" w:hAnsi="Times New Roman"/>
              </w:rPr>
              <w:t>0.407</w:t>
            </w:r>
          </w:p>
        </w:tc>
        <w:tc>
          <w:tcPr>
            <w:tcW w:w="1151" w:type="dxa"/>
            <w:tcBorders>
              <w:left w:val="nil"/>
              <w:bottom w:val="nil"/>
              <w:right w:val="nil"/>
            </w:tcBorders>
          </w:tcPr>
          <w:p w14:paraId="7B397E6F" w14:textId="77777777" w:rsidR="00C046B0" w:rsidRPr="00846BB2" w:rsidRDefault="00397CA8" w:rsidP="00397CA8">
            <w:pPr>
              <w:spacing w:after="0" w:line="240" w:lineRule="auto"/>
              <w:jc w:val="center"/>
              <w:outlineLvl w:val="0"/>
              <w:rPr>
                <w:rFonts w:ascii="Times New Roman" w:hAnsi="Times New Roman"/>
              </w:rPr>
            </w:pPr>
            <w:r w:rsidRPr="00846BB2">
              <w:rPr>
                <w:rFonts w:ascii="Times New Roman" w:hAnsi="Times New Roman"/>
              </w:rPr>
              <w:t>54,263</w:t>
            </w:r>
          </w:p>
        </w:tc>
        <w:tc>
          <w:tcPr>
            <w:tcW w:w="1137" w:type="dxa"/>
            <w:tcBorders>
              <w:left w:val="nil"/>
              <w:bottom w:val="nil"/>
              <w:right w:val="nil"/>
            </w:tcBorders>
          </w:tcPr>
          <w:p w14:paraId="67B45B1D" w14:textId="77777777" w:rsidR="00C046B0" w:rsidRPr="00846BB2" w:rsidRDefault="00397CA8" w:rsidP="00397CA8">
            <w:pPr>
              <w:spacing w:after="0" w:line="240" w:lineRule="auto"/>
              <w:jc w:val="center"/>
              <w:outlineLvl w:val="0"/>
              <w:rPr>
                <w:rFonts w:ascii="Times New Roman" w:hAnsi="Times New Roman"/>
              </w:rPr>
            </w:pPr>
            <w:r w:rsidRPr="00846BB2">
              <w:rPr>
                <w:rFonts w:ascii="Times New Roman" w:hAnsi="Times New Roman"/>
              </w:rPr>
              <w:t>-0.08</w:t>
            </w:r>
          </w:p>
        </w:tc>
      </w:tr>
      <w:tr w:rsidR="00C046B0" w:rsidRPr="00C61C0E" w14:paraId="1096162C" w14:textId="77777777" w:rsidTr="00563094">
        <w:tc>
          <w:tcPr>
            <w:tcW w:w="1809" w:type="dxa"/>
            <w:tcBorders>
              <w:top w:val="nil"/>
              <w:left w:val="nil"/>
              <w:right w:val="nil"/>
            </w:tcBorders>
          </w:tcPr>
          <w:p w14:paraId="78233F70" w14:textId="77777777" w:rsidR="00C046B0" w:rsidRPr="003D540A" w:rsidRDefault="00C046B0" w:rsidP="00397CA8">
            <w:pPr>
              <w:spacing w:after="0" w:line="240" w:lineRule="auto"/>
              <w:jc w:val="center"/>
              <w:outlineLvl w:val="0"/>
              <w:rPr>
                <w:rFonts w:ascii="Times New Roman" w:hAnsi="Times New Roman"/>
              </w:rPr>
            </w:pPr>
            <w:r w:rsidRPr="003D540A">
              <w:rPr>
                <w:rFonts w:ascii="Times New Roman" w:hAnsi="Times New Roman"/>
              </w:rPr>
              <w:t>Speculative</w:t>
            </w:r>
            <w:r w:rsidR="003725B8" w:rsidRPr="003D540A">
              <w:rPr>
                <w:rFonts w:ascii="Times New Roman" w:hAnsi="Times New Roman"/>
              </w:rPr>
              <w:t xml:space="preserve"> grade</w:t>
            </w:r>
          </w:p>
        </w:tc>
        <w:tc>
          <w:tcPr>
            <w:tcW w:w="496" w:type="dxa"/>
            <w:tcBorders>
              <w:top w:val="nil"/>
              <w:left w:val="nil"/>
              <w:right w:val="nil"/>
            </w:tcBorders>
          </w:tcPr>
          <w:p w14:paraId="7B45A9F0" w14:textId="77777777" w:rsidR="00C046B0" w:rsidRPr="00846BB2" w:rsidRDefault="00C046B0" w:rsidP="00397CA8">
            <w:pPr>
              <w:spacing w:after="0" w:line="240" w:lineRule="auto"/>
              <w:jc w:val="center"/>
              <w:outlineLvl w:val="0"/>
              <w:rPr>
                <w:rFonts w:ascii="Times New Roman" w:hAnsi="Times New Roman"/>
              </w:rPr>
            </w:pPr>
            <w:r w:rsidRPr="00846BB2">
              <w:rPr>
                <w:rFonts w:ascii="Times New Roman" w:hAnsi="Times New Roman"/>
              </w:rPr>
              <w:t>1</w:t>
            </w:r>
            <w:r w:rsidR="00AF43AA" w:rsidRPr="00846BB2">
              <w:rPr>
                <w:rFonts w:ascii="Times New Roman" w:hAnsi="Times New Roman"/>
              </w:rPr>
              <w:t>3</w:t>
            </w:r>
          </w:p>
        </w:tc>
        <w:tc>
          <w:tcPr>
            <w:tcW w:w="1158" w:type="dxa"/>
            <w:tcBorders>
              <w:top w:val="nil"/>
              <w:left w:val="nil"/>
              <w:right w:val="nil"/>
            </w:tcBorders>
          </w:tcPr>
          <w:p w14:paraId="3A955EF0" w14:textId="77777777" w:rsidR="00C046B0" w:rsidRPr="00846BB2" w:rsidRDefault="00C046B0" w:rsidP="00397CA8">
            <w:pPr>
              <w:spacing w:after="0" w:line="240" w:lineRule="auto"/>
              <w:jc w:val="center"/>
              <w:outlineLvl w:val="0"/>
              <w:rPr>
                <w:rFonts w:ascii="Times New Roman" w:hAnsi="Times New Roman"/>
              </w:rPr>
            </w:pPr>
            <w:r w:rsidRPr="00846BB2">
              <w:rPr>
                <w:rFonts w:ascii="Times New Roman" w:hAnsi="Times New Roman"/>
              </w:rPr>
              <w:t>278</w:t>
            </w:r>
          </w:p>
        </w:tc>
        <w:tc>
          <w:tcPr>
            <w:tcW w:w="1171" w:type="dxa"/>
            <w:tcBorders>
              <w:top w:val="nil"/>
              <w:left w:val="nil"/>
              <w:right w:val="nil"/>
            </w:tcBorders>
          </w:tcPr>
          <w:p w14:paraId="0F67F5AE" w14:textId="77777777" w:rsidR="00C046B0" w:rsidRPr="00846BB2" w:rsidRDefault="00C046B0" w:rsidP="00397CA8">
            <w:pPr>
              <w:spacing w:after="0" w:line="240" w:lineRule="auto"/>
              <w:jc w:val="center"/>
              <w:outlineLvl w:val="0"/>
              <w:rPr>
                <w:rFonts w:ascii="Times New Roman" w:hAnsi="Times New Roman"/>
              </w:rPr>
            </w:pPr>
            <w:r w:rsidRPr="00846BB2">
              <w:rPr>
                <w:rFonts w:ascii="Times New Roman" w:hAnsi="Times New Roman"/>
              </w:rPr>
              <w:t>48</w:t>
            </w:r>
            <w:r w:rsidR="003D540A">
              <w:rPr>
                <w:rFonts w:ascii="Times New Roman" w:hAnsi="Times New Roman"/>
              </w:rPr>
              <w:t>.</w:t>
            </w:r>
            <w:r w:rsidRPr="00846BB2">
              <w:rPr>
                <w:rFonts w:ascii="Times New Roman" w:hAnsi="Times New Roman"/>
              </w:rPr>
              <w:t>4</w:t>
            </w:r>
            <w:r w:rsidR="003D540A">
              <w:rPr>
                <w:rFonts w:ascii="Times New Roman" w:hAnsi="Times New Roman"/>
              </w:rPr>
              <w:t>%</w:t>
            </w:r>
          </w:p>
        </w:tc>
        <w:tc>
          <w:tcPr>
            <w:tcW w:w="1181" w:type="dxa"/>
            <w:tcBorders>
              <w:top w:val="nil"/>
              <w:left w:val="nil"/>
              <w:right w:val="nil"/>
            </w:tcBorders>
          </w:tcPr>
          <w:p w14:paraId="2248DB8B" w14:textId="77777777" w:rsidR="00C046B0" w:rsidRPr="00846BB2" w:rsidRDefault="00C046B0" w:rsidP="00397CA8">
            <w:pPr>
              <w:spacing w:after="0" w:line="240" w:lineRule="auto"/>
              <w:jc w:val="center"/>
              <w:outlineLvl w:val="0"/>
              <w:rPr>
                <w:rFonts w:ascii="Times New Roman" w:hAnsi="Times New Roman"/>
              </w:rPr>
            </w:pPr>
            <w:r w:rsidRPr="00846BB2">
              <w:rPr>
                <w:rFonts w:ascii="Times New Roman" w:hAnsi="Times New Roman"/>
              </w:rPr>
              <w:t>38</w:t>
            </w:r>
            <w:r w:rsidR="003D540A">
              <w:rPr>
                <w:rFonts w:ascii="Times New Roman" w:hAnsi="Times New Roman"/>
              </w:rPr>
              <w:t>.</w:t>
            </w:r>
            <w:r w:rsidRPr="00846BB2">
              <w:rPr>
                <w:rFonts w:ascii="Times New Roman" w:hAnsi="Times New Roman"/>
              </w:rPr>
              <w:t>3</w:t>
            </w:r>
            <w:r w:rsidR="003D540A">
              <w:rPr>
                <w:rFonts w:ascii="Times New Roman" w:hAnsi="Times New Roman"/>
              </w:rPr>
              <w:t>%</w:t>
            </w:r>
          </w:p>
        </w:tc>
        <w:tc>
          <w:tcPr>
            <w:tcW w:w="1140" w:type="dxa"/>
            <w:tcBorders>
              <w:top w:val="nil"/>
              <w:left w:val="nil"/>
              <w:right w:val="nil"/>
            </w:tcBorders>
          </w:tcPr>
          <w:p w14:paraId="601B3A56" w14:textId="77777777" w:rsidR="00C046B0" w:rsidRPr="00846BB2" w:rsidRDefault="00397CA8" w:rsidP="00397CA8">
            <w:pPr>
              <w:spacing w:after="0" w:line="240" w:lineRule="auto"/>
              <w:jc w:val="center"/>
              <w:outlineLvl w:val="0"/>
              <w:rPr>
                <w:rFonts w:ascii="Times New Roman" w:hAnsi="Times New Roman"/>
              </w:rPr>
            </w:pPr>
            <w:r w:rsidRPr="00846BB2">
              <w:rPr>
                <w:rFonts w:ascii="Times New Roman" w:hAnsi="Times New Roman"/>
              </w:rPr>
              <w:t>0.552</w:t>
            </w:r>
          </w:p>
        </w:tc>
        <w:tc>
          <w:tcPr>
            <w:tcW w:w="1151" w:type="dxa"/>
            <w:tcBorders>
              <w:top w:val="nil"/>
              <w:left w:val="nil"/>
              <w:right w:val="nil"/>
            </w:tcBorders>
          </w:tcPr>
          <w:p w14:paraId="0F99E317" w14:textId="77777777" w:rsidR="00C046B0" w:rsidRPr="00846BB2" w:rsidRDefault="00397CA8" w:rsidP="00397CA8">
            <w:pPr>
              <w:spacing w:after="0" w:line="240" w:lineRule="auto"/>
              <w:jc w:val="center"/>
              <w:outlineLvl w:val="0"/>
              <w:rPr>
                <w:rFonts w:ascii="Times New Roman" w:hAnsi="Times New Roman"/>
              </w:rPr>
            </w:pPr>
            <w:r w:rsidRPr="00846BB2">
              <w:rPr>
                <w:rFonts w:ascii="Times New Roman" w:hAnsi="Times New Roman"/>
              </w:rPr>
              <w:t>5,520</w:t>
            </w:r>
          </w:p>
        </w:tc>
        <w:tc>
          <w:tcPr>
            <w:tcW w:w="1137" w:type="dxa"/>
            <w:tcBorders>
              <w:top w:val="nil"/>
              <w:left w:val="nil"/>
              <w:right w:val="nil"/>
            </w:tcBorders>
          </w:tcPr>
          <w:p w14:paraId="1DA9A7C6" w14:textId="77777777" w:rsidR="00C046B0" w:rsidRPr="00846BB2" w:rsidRDefault="00397CA8" w:rsidP="00397CA8">
            <w:pPr>
              <w:spacing w:after="0" w:line="240" w:lineRule="auto"/>
              <w:jc w:val="center"/>
              <w:outlineLvl w:val="0"/>
              <w:rPr>
                <w:rFonts w:ascii="Times New Roman" w:hAnsi="Times New Roman"/>
              </w:rPr>
            </w:pPr>
            <w:r w:rsidRPr="00846BB2">
              <w:rPr>
                <w:rFonts w:ascii="Times New Roman" w:hAnsi="Times New Roman"/>
              </w:rPr>
              <w:t>-0.0</w:t>
            </w:r>
            <w:r w:rsidR="00FE1648" w:rsidRPr="00846BB2">
              <w:rPr>
                <w:rFonts w:ascii="Times New Roman" w:hAnsi="Times New Roman"/>
              </w:rPr>
              <w:t>4</w:t>
            </w:r>
          </w:p>
        </w:tc>
      </w:tr>
    </w:tbl>
    <w:p w14:paraId="68DD5526" w14:textId="77777777" w:rsidR="00E41706" w:rsidRDefault="00E41706" w:rsidP="007F751D">
      <w:pPr>
        <w:spacing w:after="240" w:line="360" w:lineRule="auto"/>
        <w:jc w:val="both"/>
        <w:outlineLvl w:val="0"/>
        <w:rPr>
          <w:rFonts w:ascii="Times New Roman" w:hAnsi="Times New Roman"/>
          <w:b/>
          <w:sz w:val="24"/>
          <w:szCs w:val="24"/>
        </w:rPr>
      </w:pPr>
    </w:p>
    <w:p w14:paraId="0E18715E" w14:textId="77777777" w:rsidR="00AE16E1" w:rsidRDefault="00DA42E4" w:rsidP="00C61C0E">
      <w:pPr>
        <w:spacing w:line="240" w:lineRule="auto"/>
        <w:jc w:val="both"/>
        <w:outlineLvl w:val="0"/>
        <w:rPr>
          <w:rFonts w:ascii="Times New Roman" w:hAnsi="Times New Roman"/>
          <w:b/>
          <w:sz w:val="24"/>
          <w:szCs w:val="24"/>
        </w:rPr>
      </w:pPr>
      <w:r>
        <w:rPr>
          <w:rFonts w:ascii="Times New Roman" w:hAnsi="Times New Roman"/>
          <w:b/>
          <w:sz w:val="24"/>
          <w:szCs w:val="24"/>
        </w:rPr>
        <w:t>Exhibit</w:t>
      </w:r>
      <w:r w:rsidR="00B82C1D">
        <w:rPr>
          <w:rFonts w:ascii="Times New Roman" w:hAnsi="Times New Roman"/>
          <w:b/>
          <w:sz w:val="24"/>
          <w:szCs w:val="24"/>
        </w:rPr>
        <w:t xml:space="preserve"> </w:t>
      </w:r>
      <w:r w:rsidR="000B05A3">
        <w:rPr>
          <w:rFonts w:ascii="Times New Roman" w:hAnsi="Times New Roman"/>
          <w:b/>
          <w:sz w:val="24"/>
          <w:szCs w:val="24"/>
        </w:rPr>
        <w:t>4</w:t>
      </w:r>
      <w:r w:rsidR="00AE16E1">
        <w:rPr>
          <w:rFonts w:ascii="Times New Roman" w:hAnsi="Times New Roman"/>
          <w:b/>
          <w:sz w:val="24"/>
          <w:szCs w:val="24"/>
        </w:rPr>
        <w:t>.</w:t>
      </w:r>
      <w:r w:rsidR="00F72101">
        <w:rPr>
          <w:rFonts w:ascii="Times New Roman" w:hAnsi="Times New Roman"/>
          <w:b/>
          <w:sz w:val="24"/>
          <w:szCs w:val="24"/>
        </w:rPr>
        <w:t xml:space="preserve"> Total number of trades executed</w:t>
      </w:r>
    </w:p>
    <w:tbl>
      <w:tblPr>
        <w:tblStyle w:val="TableGrid"/>
        <w:tblW w:w="4187" w:type="pct"/>
        <w:jc w:val="center"/>
        <w:tblLook w:val="04A0" w:firstRow="1" w:lastRow="0" w:firstColumn="1" w:lastColumn="0" w:noHBand="0" w:noVBand="1"/>
      </w:tblPr>
      <w:tblGrid>
        <w:gridCol w:w="1726"/>
        <w:gridCol w:w="1180"/>
        <w:gridCol w:w="1551"/>
        <w:gridCol w:w="1551"/>
        <w:gridCol w:w="1551"/>
      </w:tblGrid>
      <w:tr w:rsidR="00224673" w:rsidRPr="00846BB2" w14:paraId="1C4FFE2B" w14:textId="77777777" w:rsidTr="00827105">
        <w:trPr>
          <w:trHeight w:val="354"/>
          <w:jc w:val="center"/>
        </w:trPr>
        <w:tc>
          <w:tcPr>
            <w:tcW w:w="1141" w:type="pct"/>
            <w:tcBorders>
              <w:left w:val="nil"/>
              <w:bottom w:val="single" w:sz="4" w:space="0" w:color="auto"/>
              <w:right w:val="nil"/>
            </w:tcBorders>
          </w:tcPr>
          <w:p w14:paraId="5AC1DF77" w14:textId="77777777" w:rsidR="00224673" w:rsidRPr="00846BB2" w:rsidRDefault="00224673" w:rsidP="0033236C">
            <w:pPr>
              <w:spacing w:after="120" w:line="240" w:lineRule="auto"/>
              <w:jc w:val="center"/>
              <w:outlineLvl w:val="0"/>
              <w:rPr>
                <w:rFonts w:ascii="Times New Roman" w:hAnsi="Times New Roman"/>
                <w:b/>
              </w:rPr>
            </w:pPr>
            <w:r>
              <w:rPr>
                <w:rFonts w:ascii="Times New Roman" w:hAnsi="Times New Roman"/>
                <w:b/>
              </w:rPr>
              <w:t>Category</w:t>
            </w:r>
          </w:p>
        </w:tc>
        <w:tc>
          <w:tcPr>
            <w:tcW w:w="780" w:type="pct"/>
            <w:tcBorders>
              <w:left w:val="nil"/>
              <w:bottom w:val="single" w:sz="4" w:space="0" w:color="auto"/>
              <w:right w:val="nil"/>
            </w:tcBorders>
          </w:tcPr>
          <w:p w14:paraId="5AA6BA89" w14:textId="77777777" w:rsidR="00224673" w:rsidRPr="00846BB2" w:rsidRDefault="00224673" w:rsidP="0033236C">
            <w:pPr>
              <w:spacing w:after="120" w:line="240" w:lineRule="auto"/>
              <w:jc w:val="center"/>
              <w:outlineLvl w:val="0"/>
              <w:rPr>
                <w:rFonts w:ascii="Times New Roman" w:hAnsi="Times New Roman"/>
                <w:b/>
              </w:rPr>
            </w:pPr>
            <w:r w:rsidRPr="00846BB2">
              <w:rPr>
                <w:rFonts w:ascii="Times New Roman" w:hAnsi="Times New Roman"/>
                <w:b/>
              </w:rPr>
              <w:t>Strategy 1</w:t>
            </w:r>
          </w:p>
        </w:tc>
        <w:tc>
          <w:tcPr>
            <w:tcW w:w="1026" w:type="pct"/>
            <w:tcBorders>
              <w:left w:val="nil"/>
              <w:bottom w:val="single" w:sz="4" w:space="0" w:color="auto"/>
              <w:right w:val="nil"/>
            </w:tcBorders>
          </w:tcPr>
          <w:p w14:paraId="494EFF99" w14:textId="77777777" w:rsidR="00224673" w:rsidRPr="00846BB2" w:rsidRDefault="00224673" w:rsidP="0033236C">
            <w:pPr>
              <w:spacing w:after="120" w:line="240" w:lineRule="auto"/>
              <w:jc w:val="center"/>
              <w:outlineLvl w:val="0"/>
              <w:rPr>
                <w:rFonts w:ascii="Times New Roman" w:hAnsi="Times New Roman"/>
                <w:b/>
              </w:rPr>
            </w:pPr>
            <w:r w:rsidRPr="00846BB2">
              <w:rPr>
                <w:rFonts w:ascii="Times New Roman" w:hAnsi="Times New Roman"/>
                <w:b/>
              </w:rPr>
              <w:t>Strategy 2</w:t>
            </w:r>
          </w:p>
        </w:tc>
        <w:tc>
          <w:tcPr>
            <w:tcW w:w="1026" w:type="pct"/>
            <w:tcBorders>
              <w:left w:val="nil"/>
              <w:bottom w:val="single" w:sz="4" w:space="0" w:color="auto"/>
              <w:right w:val="nil"/>
            </w:tcBorders>
          </w:tcPr>
          <w:p w14:paraId="76B064A6" w14:textId="77777777" w:rsidR="00224673" w:rsidRPr="00846BB2" w:rsidRDefault="00224673" w:rsidP="0033236C">
            <w:pPr>
              <w:spacing w:after="120" w:line="240" w:lineRule="auto"/>
              <w:jc w:val="center"/>
              <w:outlineLvl w:val="0"/>
              <w:rPr>
                <w:rFonts w:ascii="Times New Roman" w:hAnsi="Times New Roman"/>
                <w:b/>
              </w:rPr>
            </w:pPr>
            <w:r w:rsidRPr="00846BB2">
              <w:rPr>
                <w:rFonts w:ascii="Times New Roman" w:hAnsi="Times New Roman"/>
                <w:b/>
              </w:rPr>
              <w:t>Strategy 3</w:t>
            </w:r>
          </w:p>
        </w:tc>
        <w:tc>
          <w:tcPr>
            <w:tcW w:w="1026" w:type="pct"/>
            <w:tcBorders>
              <w:left w:val="nil"/>
              <w:bottom w:val="single" w:sz="4" w:space="0" w:color="auto"/>
              <w:right w:val="nil"/>
            </w:tcBorders>
          </w:tcPr>
          <w:p w14:paraId="68122CDD" w14:textId="77777777" w:rsidR="00224673" w:rsidRPr="00846BB2" w:rsidRDefault="00224673" w:rsidP="0033236C">
            <w:pPr>
              <w:spacing w:after="120" w:line="240" w:lineRule="auto"/>
              <w:jc w:val="center"/>
              <w:outlineLvl w:val="0"/>
              <w:rPr>
                <w:rFonts w:ascii="Times New Roman" w:hAnsi="Times New Roman"/>
                <w:b/>
              </w:rPr>
            </w:pPr>
            <w:r w:rsidRPr="00846BB2">
              <w:rPr>
                <w:rFonts w:ascii="Times New Roman" w:hAnsi="Times New Roman"/>
                <w:b/>
              </w:rPr>
              <w:t>Strategy 4</w:t>
            </w:r>
          </w:p>
        </w:tc>
      </w:tr>
      <w:tr w:rsidR="00224673" w:rsidRPr="00846BB2" w14:paraId="27787412" w14:textId="77777777" w:rsidTr="00827105">
        <w:trPr>
          <w:trHeight w:val="354"/>
          <w:jc w:val="center"/>
        </w:trPr>
        <w:tc>
          <w:tcPr>
            <w:tcW w:w="1141" w:type="pct"/>
            <w:tcBorders>
              <w:top w:val="nil"/>
              <w:left w:val="nil"/>
              <w:bottom w:val="single" w:sz="4" w:space="0" w:color="auto"/>
              <w:right w:val="nil"/>
            </w:tcBorders>
          </w:tcPr>
          <w:p w14:paraId="43D66FF8" w14:textId="77777777" w:rsidR="00224673" w:rsidRPr="00846BB2" w:rsidRDefault="00224673" w:rsidP="0033236C">
            <w:pPr>
              <w:spacing w:after="120" w:line="240" w:lineRule="auto"/>
              <w:jc w:val="center"/>
              <w:outlineLvl w:val="0"/>
              <w:rPr>
                <w:rFonts w:ascii="Times New Roman" w:hAnsi="Times New Roman"/>
              </w:rPr>
            </w:pPr>
            <w:r w:rsidRPr="00846BB2">
              <w:rPr>
                <w:rFonts w:ascii="Times New Roman" w:hAnsi="Times New Roman"/>
              </w:rPr>
              <w:t>Investment</w:t>
            </w:r>
            <w:r>
              <w:rPr>
                <w:rFonts w:ascii="Times New Roman" w:hAnsi="Times New Roman"/>
              </w:rPr>
              <w:t xml:space="preserve"> grade</w:t>
            </w:r>
          </w:p>
        </w:tc>
        <w:tc>
          <w:tcPr>
            <w:tcW w:w="780" w:type="pct"/>
            <w:tcBorders>
              <w:top w:val="nil"/>
              <w:left w:val="nil"/>
              <w:bottom w:val="single" w:sz="4" w:space="0" w:color="auto"/>
              <w:right w:val="nil"/>
            </w:tcBorders>
          </w:tcPr>
          <w:p w14:paraId="1492475A" w14:textId="77777777" w:rsidR="00224673" w:rsidRPr="00846BB2" w:rsidRDefault="00224673" w:rsidP="0033236C">
            <w:pPr>
              <w:spacing w:after="120" w:line="240" w:lineRule="auto"/>
              <w:jc w:val="center"/>
              <w:outlineLvl w:val="0"/>
              <w:rPr>
                <w:rFonts w:ascii="Times New Roman" w:hAnsi="Times New Roman"/>
              </w:rPr>
            </w:pPr>
            <w:r w:rsidRPr="00846BB2">
              <w:rPr>
                <w:rFonts w:ascii="Times New Roman" w:hAnsi="Times New Roman"/>
              </w:rPr>
              <w:t>44,376</w:t>
            </w:r>
          </w:p>
        </w:tc>
        <w:tc>
          <w:tcPr>
            <w:tcW w:w="1026" w:type="pct"/>
            <w:tcBorders>
              <w:top w:val="nil"/>
              <w:left w:val="nil"/>
              <w:bottom w:val="single" w:sz="4" w:space="0" w:color="auto"/>
              <w:right w:val="nil"/>
            </w:tcBorders>
          </w:tcPr>
          <w:p w14:paraId="4AC7FB65" w14:textId="77777777" w:rsidR="00224673" w:rsidRPr="00846BB2" w:rsidRDefault="00224673" w:rsidP="0033236C">
            <w:pPr>
              <w:spacing w:after="120" w:line="240" w:lineRule="auto"/>
              <w:jc w:val="center"/>
              <w:outlineLvl w:val="0"/>
              <w:rPr>
                <w:rFonts w:ascii="Times New Roman" w:hAnsi="Times New Roman"/>
              </w:rPr>
            </w:pPr>
            <w:r w:rsidRPr="00846BB2">
              <w:rPr>
                <w:rFonts w:ascii="Times New Roman" w:hAnsi="Times New Roman"/>
              </w:rPr>
              <w:t>27,151</w:t>
            </w:r>
          </w:p>
        </w:tc>
        <w:tc>
          <w:tcPr>
            <w:tcW w:w="1026" w:type="pct"/>
            <w:tcBorders>
              <w:top w:val="nil"/>
              <w:left w:val="nil"/>
              <w:bottom w:val="single" w:sz="4" w:space="0" w:color="auto"/>
              <w:right w:val="nil"/>
            </w:tcBorders>
          </w:tcPr>
          <w:p w14:paraId="75043844" w14:textId="77777777" w:rsidR="00224673" w:rsidRPr="00846BB2" w:rsidRDefault="00224673" w:rsidP="0033236C">
            <w:pPr>
              <w:spacing w:after="120" w:line="240" w:lineRule="auto"/>
              <w:jc w:val="center"/>
              <w:outlineLvl w:val="0"/>
              <w:rPr>
                <w:rFonts w:ascii="Times New Roman" w:hAnsi="Times New Roman"/>
              </w:rPr>
            </w:pPr>
            <w:r w:rsidRPr="00846BB2">
              <w:rPr>
                <w:rFonts w:ascii="Times New Roman" w:hAnsi="Times New Roman"/>
              </w:rPr>
              <w:t>27,151</w:t>
            </w:r>
          </w:p>
        </w:tc>
        <w:tc>
          <w:tcPr>
            <w:tcW w:w="1026" w:type="pct"/>
            <w:tcBorders>
              <w:top w:val="nil"/>
              <w:left w:val="nil"/>
              <w:bottom w:val="single" w:sz="4" w:space="0" w:color="auto"/>
              <w:right w:val="nil"/>
            </w:tcBorders>
          </w:tcPr>
          <w:p w14:paraId="3DEF7C18" w14:textId="77777777" w:rsidR="00224673" w:rsidRPr="00846BB2" w:rsidRDefault="00224673" w:rsidP="0033236C">
            <w:pPr>
              <w:spacing w:after="120" w:line="240" w:lineRule="auto"/>
              <w:jc w:val="center"/>
              <w:outlineLvl w:val="0"/>
              <w:rPr>
                <w:rFonts w:ascii="Times New Roman" w:hAnsi="Times New Roman"/>
              </w:rPr>
            </w:pPr>
            <w:r w:rsidRPr="00846BB2">
              <w:rPr>
                <w:rFonts w:ascii="Times New Roman" w:hAnsi="Times New Roman"/>
              </w:rPr>
              <w:t>14,984</w:t>
            </w:r>
          </w:p>
        </w:tc>
      </w:tr>
      <w:tr w:rsidR="00224673" w:rsidRPr="00846BB2" w14:paraId="52605E75" w14:textId="77777777" w:rsidTr="00827105">
        <w:trPr>
          <w:trHeight w:val="436"/>
          <w:jc w:val="center"/>
        </w:trPr>
        <w:tc>
          <w:tcPr>
            <w:tcW w:w="1141" w:type="pct"/>
            <w:tcBorders>
              <w:top w:val="nil"/>
              <w:left w:val="nil"/>
              <w:right w:val="nil"/>
            </w:tcBorders>
          </w:tcPr>
          <w:p w14:paraId="530997BA" w14:textId="77777777" w:rsidR="00224673" w:rsidRPr="00846BB2" w:rsidRDefault="00224673" w:rsidP="0033236C">
            <w:pPr>
              <w:spacing w:after="120" w:line="240" w:lineRule="auto"/>
              <w:jc w:val="center"/>
              <w:outlineLvl w:val="0"/>
              <w:rPr>
                <w:rFonts w:ascii="Times New Roman" w:hAnsi="Times New Roman"/>
              </w:rPr>
            </w:pPr>
            <w:r w:rsidRPr="00846BB2">
              <w:rPr>
                <w:rFonts w:ascii="Times New Roman" w:hAnsi="Times New Roman"/>
              </w:rPr>
              <w:t>Speculative</w:t>
            </w:r>
            <w:r>
              <w:rPr>
                <w:rFonts w:ascii="Times New Roman" w:hAnsi="Times New Roman"/>
              </w:rPr>
              <w:t xml:space="preserve"> grade</w:t>
            </w:r>
          </w:p>
        </w:tc>
        <w:tc>
          <w:tcPr>
            <w:tcW w:w="780" w:type="pct"/>
            <w:tcBorders>
              <w:top w:val="nil"/>
              <w:left w:val="nil"/>
              <w:right w:val="nil"/>
            </w:tcBorders>
          </w:tcPr>
          <w:p w14:paraId="320E9576" w14:textId="77777777" w:rsidR="00224673" w:rsidRPr="00846BB2" w:rsidRDefault="00224673" w:rsidP="0033236C">
            <w:pPr>
              <w:spacing w:after="120" w:line="240" w:lineRule="auto"/>
              <w:jc w:val="center"/>
              <w:outlineLvl w:val="0"/>
              <w:rPr>
                <w:rFonts w:ascii="Times New Roman" w:hAnsi="Times New Roman"/>
              </w:rPr>
            </w:pPr>
            <w:r w:rsidRPr="00846BB2">
              <w:rPr>
                <w:rFonts w:ascii="Times New Roman" w:hAnsi="Times New Roman"/>
              </w:rPr>
              <w:t>8,861</w:t>
            </w:r>
          </w:p>
        </w:tc>
        <w:tc>
          <w:tcPr>
            <w:tcW w:w="1026" w:type="pct"/>
            <w:tcBorders>
              <w:top w:val="nil"/>
              <w:left w:val="nil"/>
              <w:right w:val="nil"/>
            </w:tcBorders>
          </w:tcPr>
          <w:p w14:paraId="74889001" w14:textId="77777777" w:rsidR="00224673" w:rsidRPr="00846BB2" w:rsidRDefault="00224673" w:rsidP="0033236C">
            <w:pPr>
              <w:spacing w:after="120" w:line="240" w:lineRule="auto"/>
              <w:jc w:val="center"/>
              <w:outlineLvl w:val="0"/>
              <w:rPr>
                <w:rFonts w:ascii="Times New Roman" w:hAnsi="Times New Roman"/>
              </w:rPr>
            </w:pPr>
            <w:r w:rsidRPr="00846BB2">
              <w:rPr>
                <w:rFonts w:ascii="Times New Roman" w:hAnsi="Times New Roman"/>
              </w:rPr>
              <w:t>5,506</w:t>
            </w:r>
          </w:p>
        </w:tc>
        <w:tc>
          <w:tcPr>
            <w:tcW w:w="1026" w:type="pct"/>
            <w:tcBorders>
              <w:top w:val="nil"/>
              <w:left w:val="nil"/>
              <w:right w:val="nil"/>
            </w:tcBorders>
          </w:tcPr>
          <w:p w14:paraId="360962C9" w14:textId="77777777" w:rsidR="00224673" w:rsidRPr="00846BB2" w:rsidRDefault="00224673" w:rsidP="0033236C">
            <w:pPr>
              <w:spacing w:after="120" w:line="240" w:lineRule="auto"/>
              <w:jc w:val="center"/>
              <w:outlineLvl w:val="0"/>
              <w:rPr>
                <w:rFonts w:ascii="Times New Roman" w:hAnsi="Times New Roman"/>
              </w:rPr>
            </w:pPr>
            <w:r w:rsidRPr="00846BB2">
              <w:rPr>
                <w:rFonts w:ascii="Times New Roman" w:hAnsi="Times New Roman"/>
              </w:rPr>
              <w:t>5,506</w:t>
            </w:r>
          </w:p>
        </w:tc>
        <w:tc>
          <w:tcPr>
            <w:tcW w:w="1026" w:type="pct"/>
            <w:tcBorders>
              <w:top w:val="nil"/>
              <w:left w:val="nil"/>
              <w:right w:val="nil"/>
            </w:tcBorders>
          </w:tcPr>
          <w:p w14:paraId="211F8C91" w14:textId="77777777" w:rsidR="00224673" w:rsidRPr="00846BB2" w:rsidRDefault="00224673" w:rsidP="0033236C">
            <w:pPr>
              <w:spacing w:after="120" w:line="240" w:lineRule="auto"/>
              <w:jc w:val="center"/>
              <w:outlineLvl w:val="0"/>
              <w:rPr>
                <w:rFonts w:ascii="Times New Roman" w:hAnsi="Times New Roman"/>
              </w:rPr>
            </w:pPr>
            <w:r w:rsidRPr="00846BB2">
              <w:rPr>
                <w:rFonts w:ascii="Times New Roman" w:hAnsi="Times New Roman"/>
              </w:rPr>
              <w:t>2,728</w:t>
            </w:r>
          </w:p>
        </w:tc>
      </w:tr>
    </w:tbl>
    <w:p w14:paraId="561488CB" w14:textId="77777777" w:rsidR="00D7101E" w:rsidRDefault="00D7101E">
      <w:pPr>
        <w:spacing w:after="0" w:line="240" w:lineRule="auto"/>
        <w:rPr>
          <w:rFonts w:ascii="Times New Roman" w:hAnsi="Times New Roman"/>
          <w:b/>
          <w:sz w:val="24"/>
          <w:szCs w:val="24"/>
        </w:rPr>
      </w:pPr>
    </w:p>
    <w:p w14:paraId="6CD0A8DD" w14:textId="77777777" w:rsidR="00B33A10" w:rsidRDefault="00B33A10">
      <w:pPr>
        <w:spacing w:after="0" w:line="240" w:lineRule="auto"/>
        <w:rPr>
          <w:rFonts w:ascii="Times New Roman" w:hAnsi="Times New Roman"/>
          <w:b/>
          <w:sz w:val="24"/>
          <w:szCs w:val="24"/>
        </w:rPr>
      </w:pPr>
      <w:r>
        <w:rPr>
          <w:rFonts w:ascii="Times New Roman" w:hAnsi="Times New Roman"/>
          <w:b/>
          <w:sz w:val="24"/>
          <w:szCs w:val="24"/>
        </w:rPr>
        <w:br w:type="page"/>
      </w:r>
    </w:p>
    <w:p w14:paraId="1BEB0D50" w14:textId="77777777" w:rsidR="00B06D31" w:rsidRDefault="00C45588" w:rsidP="009A7AC4">
      <w:pPr>
        <w:spacing w:after="40" w:line="240" w:lineRule="auto"/>
        <w:ind w:right="-419"/>
        <w:jc w:val="both"/>
        <w:outlineLvl w:val="0"/>
        <w:rPr>
          <w:rFonts w:ascii="Times New Roman" w:hAnsi="Times New Roman"/>
          <w:b/>
          <w:sz w:val="24"/>
          <w:szCs w:val="24"/>
        </w:rPr>
      </w:pPr>
      <w:r>
        <w:rPr>
          <w:rFonts w:ascii="Times New Roman" w:hAnsi="Times New Roman"/>
          <w:b/>
          <w:sz w:val="24"/>
          <w:szCs w:val="24"/>
        </w:rPr>
        <w:lastRenderedPageBreak/>
        <w:t>Exhibit</w:t>
      </w:r>
      <w:r w:rsidR="00B82C1D" w:rsidRPr="00941C40">
        <w:rPr>
          <w:rFonts w:ascii="Times New Roman" w:hAnsi="Times New Roman"/>
          <w:b/>
          <w:sz w:val="24"/>
          <w:szCs w:val="24"/>
        </w:rPr>
        <w:t xml:space="preserve"> </w:t>
      </w:r>
      <w:r>
        <w:rPr>
          <w:rFonts w:ascii="Times New Roman" w:hAnsi="Times New Roman"/>
          <w:b/>
          <w:sz w:val="24"/>
          <w:szCs w:val="24"/>
        </w:rPr>
        <w:t>5</w:t>
      </w:r>
      <w:r w:rsidR="00941C40" w:rsidRPr="00941C40">
        <w:rPr>
          <w:rFonts w:ascii="Times New Roman" w:hAnsi="Times New Roman"/>
          <w:b/>
          <w:sz w:val="24"/>
          <w:szCs w:val="24"/>
        </w:rPr>
        <w:t xml:space="preserve">. </w:t>
      </w:r>
      <w:r w:rsidR="009A7AC4">
        <w:rPr>
          <w:rFonts w:ascii="Times New Roman" w:hAnsi="Times New Roman"/>
          <w:b/>
          <w:sz w:val="24"/>
          <w:szCs w:val="24"/>
        </w:rPr>
        <w:t xml:space="preserve">Summary statistics of the strategies’ returns </w:t>
      </w:r>
    </w:p>
    <w:p w14:paraId="236A869D" w14:textId="77777777" w:rsidR="00941C40" w:rsidRPr="003725B8" w:rsidRDefault="003725B8" w:rsidP="009A7AC4">
      <w:pPr>
        <w:spacing w:after="40" w:line="240" w:lineRule="auto"/>
        <w:ind w:right="-419"/>
        <w:jc w:val="both"/>
        <w:outlineLvl w:val="0"/>
        <w:rPr>
          <w:rFonts w:ascii="Times New Roman" w:hAnsi="Times New Roman"/>
          <w:sz w:val="20"/>
          <w:szCs w:val="20"/>
        </w:rPr>
      </w:pPr>
      <w:r w:rsidRPr="003D540A">
        <w:rPr>
          <w:rFonts w:ascii="Times New Roman" w:hAnsi="Times New Roman"/>
          <w:sz w:val="20"/>
          <w:szCs w:val="20"/>
        </w:rPr>
        <w:t>S</w:t>
      </w:r>
      <w:r w:rsidR="00941C40" w:rsidRPr="003725B8">
        <w:rPr>
          <w:rFonts w:ascii="Times New Roman" w:hAnsi="Times New Roman"/>
          <w:sz w:val="20"/>
          <w:szCs w:val="20"/>
        </w:rPr>
        <w:t xml:space="preserve">ummary statistics for the monthly excess returns (%) of the </w:t>
      </w:r>
      <w:r w:rsidR="00224673">
        <w:rPr>
          <w:rFonts w:ascii="Times New Roman" w:hAnsi="Times New Roman"/>
          <w:sz w:val="20"/>
          <w:szCs w:val="20"/>
        </w:rPr>
        <w:t>4</w:t>
      </w:r>
      <w:r w:rsidR="00941C40" w:rsidRPr="003725B8">
        <w:rPr>
          <w:rFonts w:ascii="Times New Roman" w:hAnsi="Times New Roman"/>
          <w:sz w:val="20"/>
          <w:szCs w:val="20"/>
        </w:rPr>
        <w:t xml:space="preserve"> strategies. </w:t>
      </w:r>
      <w:r w:rsidR="00CE739D" w:rsidRPr="003D540A">
        <w:rPr>
          <w:rFonts w:ascii="Times New Roman" w:hAnsi="Times New Roman"/>
          <w:i/>
          <w:sz w:val="20"/>
          <w:szCs w:val="20"/>
        </w:rPr>
        <w:t>θ</w:t>
      </w:r>
      <w:r w:rsidR="00CE739D" w:rsidRPr="003D540A">
        <w:rPr>
          <w:rFonts w:ascii="Times New Roman" w:hAnsi="Times New Roman"/>
          <w:sz w:val="20"/>
          <w:szCs w:val="20"/>
        </w:rPr>
        <w:t xml:space="preserve"> </w:t>
      </w:r>
      <w:r w:rsidR="00CE739D" w:rsidRPr="003725B8">
        <w:rPr>
          <w:rFonts w:ascii="Times New Roman" w:hAnsi="Times New Roman"/>
          <w:sz w:val="20"/>
          <w:szCs w:val="20"/>
        </w:rPr>
        <w:t xml:space="preserve">is the </w:t>
      </w:r>
      <w:r w:rsidR="00293438" w:rsidRPr="003D540A">
        <w:rPr>
          <w:rFonts w:ascii="Times New Roman" w:hAnsi="Times New Roman"/>
          <w:sz w:val="20"/>
          <w:szCs w:val="20"/>
        </w:rPr>
        <w:t xml:space="preserve">trading </w:t>
      </w:r>
      <w:r w:rsidR="00CE739D" w:rsidRPr="003D540A">
        <w:rPr>
          <w:rFonts w:ascii="Times New Roman" w:hAnsi="Times New Roman"/>
          <w:sz w:val="20"/>
          <w:szCs w:val="20"/>
        </w:rPr>
        <w:t>trig</w:t>
      </w:r>
      <w:r w:rsidR="00941C40" w:rsidRPr="003D540A">
        <w:rPr>
          <w:rFonts w:ascii="Times New Roman" w:hAnsi="Times New Roman"/>
          <w:sz w:val="20"/>
          <w:szCs w:val="20"/>
        </w:rPr>
        <w:t xml:space="preserve">ger which defines the distance between CDS and </w:t>
      </w:r>
      <w:r w:rsidR="00B67C51">
        <w:rPr>
          <w:rFonts w:ascii="Times New Roman" w:hAnsi="Times New Roman"/>
          <w:sz w:val="20"/>
          <w:szCs w:val="20"/>
        </w:rPr>
        <w:t>equity-implied</w:t>
      </w:r>
      <w:r w:rsidR="00941C40" w:rsidRPr="003D540A">
        <w:rPr>
          <w:rFonts w:ascii="Times New Roman" w:hAnsi="Times New Roman"/>
          <w:sz w:val="20"/>
          <w:szCs w:val="20"/>
        </w:rPr>
        <w:t xml:space="preserve"> spread. </w:t>
      </w:r>
      <w:r w:rsidR="00D7101E">
        <w:rPr>
          <w:rFonts w:ascii="Times New Roman" w:hAnsi="Times New Roman"/>
          <w:i/>
          <w:sz w:val="20"/>
          <w:szCs w:val="20"/>
        </w:rPr>
        <w:t>Strategy</w:t>
      </w:r>
      <w:r w:rsidR="00941C40" w:rsidRPr="003D540A">
        <w:rPr>
          <w:rFonts w:ascii="Times New Roman" w:hAnsi="Times New Roman"/>
          <w:sz w:val="20"/>
          <w:szCs w:val="20"/>
        </w:rPr>
        <w:t xml:space="preserve"> defines the strategy</w:t>
      </w:r>
      <w:r w:rsidRPr="003D540A">
        <w:rPr>
          <w:rFonts w:ascii="Times New Roman" w:hAnsi="Times New Roman"/>
          <w:sz w:val="20"/>
          <w:szCs w:val="20"/>
        </w:rPr>
        <w:t xml:space="preserve"> implemented</w:t>
      </w:r>
      <w:r w:rsidR="00FB0D70">
        <w:rPr>
          <w:rFonts w:ascii="Times New Roman" w:hAnsi="Times New Roman"/>
          <w:sz w:val="20"/>
          <w:szCs w:val="20"/>
        </w:rPr>
        <w:t>, which are summarized in Table 1</w:t>
      </w:r>
      <w:r w:rsidRPr="003D540A">
        <w:rPr>
          <w:rFonts w:ascii="Times New Roman" w:hAnsi="Times New Roman"/>
          <w:sz w:val="20"/>
          <w:szCs w:val="20"/>
        </w:rPr>
        <w:t>.</w:t>
      </w:r>
      <w:r w:rsidR="00941C40" w:rsidRPr="003725B8">
        <w:rPr>
          <w:rFonts w:ascii="Times New Roman" w:hAnsi="Times New Roman"/>
          <w:sz w:val="20"/>
          <w:szCs w:val="20"/>
        </w:rPr>
        <w:t xml:space="preserve"> </w:t>
      </w:r>
      <w:r w:rsidR="00941C40" w:rsidRPr="003725B8">
        <w:rPr>
          <w:rFonts w:ascii="Times New Roman" w:hAnsi="Times New Roman"/>
          <w:i/>
          <w:sz w:val="20"/>
          <w:szCs w:val="20"/>
        </w:rPr>
        <w:t>N</w:t>
      </w:r>
      <w:r w:rsidR="00941C40" w:rsidRPr="003725B8">
        <w:rPr>
          <w:rFonts w:ascii="Times New Roman" w:hAnsi="Times New Roman"/>
          <w:sz w:val="20"/>
          <w:szCs w:val="20"/>
        </w:rPr>
        <w:t xml:space="preserve"> is the number of monthly excess returns. </w:t>
      </w:r>
      <w:proofErr w:type="spellStart"/>
      <w:r w:rsidR="00941C40" w:rsidRPr="003725B8">
        <w:rPr>
          <w:rFonts w:ascii="Times New Roman" w:hAnsi="Times New Roman"/>
          <w:i/>
          <w:sz w:val="20"/>
          <w:szCs w:val="20"/>
        </w:rPr>
        <w:t>Corr</w:t>
      </w:r>
      <w:proofErr w:type="spellEnd"/>
      <w:r w:rsidR="00941C40" w:rsidRPr="003725B8">
        <w:rPr>
          <w:rFonts w:ascii="Times New Roman" w:hAnsi="Times New Roman"/>
          <w:sz w:val="20"/>
          <w:szCs w:val="20"/>
        </w:rPr>
        <w:t xml:space="preserve"> is the first-order serial correlation of the monthly returns. </w:t>
      </w:r>
      <w:r w:rsidR="00941C40" w:rsidRPr="003725B8">
        <w:rPr>
          <w:rFonts w:ascii="Times New Roman" w:hAnsi="Times New Roman"/>
          <w:i/>
          <w:sz w:val="20"/>
          <w:szCs w:val="20"/>
        </w:rPr>
        <w:t>Neg</w:t>
      </w:r>
      <w:r w:rsidR="00941C40" w:rsidRPr="003725B8">
        <w:rPr>
          <w:rFonts w:ascii="Times New Roman" w:hAnsi="Times New Roman"/>
          <w:sz w:val="20"/>
          <w:szCs w:val="20"/>
        </w:rPr>
        <w:t xml:space="preserve"> represents the fraction of negative returns. </w:t>
      </w:r>
      <w:r w:rsidR="00941C40" w:rsidRPr="003725B8">
        <w:rPr>
          <w:rFonts w:ascii="Times New Roman" w:hAnsi="Times New Roman"/>
          <w:i/>
          <w:sz w:val="20"/>
          <w:szCs w:val="20"/>
        </w:rPr>
        <w:t>Sharpe</w:t>
      </w:r>
      <w:r w:rsidR="00941C40" w:rsidRPr="003725B8">
        <w:rPr>
          <w:rFonts w:ascii="Times New Roman" w:hAnsi="Times New Roman"/>
          <w:sz w:val="20"/>
          <w:szCs w:val="20"/>
        </w:rPr>
        <w:t xml:space="preserve"> </w:t>
      </w:r>
      <w:r w:rsidR="00823B43">
        <w:rPr>
          <w:rFonts w:ascii="Times New Roman" w:hAnsi="Times New Roman"/>
          <w:sz w:val="20"/>
          <w:szCs w:val="20"/>
        </w:rPr>
        <w:t xml:space="preserve">and </w:t>
      </w:r>
      <w:proofErr w:type="spellStart"/>
      <w:r w:rsidR="00823B43" w:rsidRPr="00823B43">
        <w:rPr>
          <w:rFonts w:ascii="Times New Roman" w:hAnsi="Times New Roman"/>
          <w:i/>
          <w:sz w:val="20"/>
          <w:szCs w:val="20"/>
        </w:rPr>
        <w:t>MSharpe</w:t>
      </w:r>
      <w:proofErr w:type="spellEnd"/>
      <w:r w:rsidR="00823B43">
        <w:rPr>
          <w:rFonts w:ascii="Times New Roman" w:hAnsi="Times New Roman"/>
          <w:sz w:val="20"/>
          <w:szCs w:val="20"/>
        </w:rPr>
        <w:t xml:space="preserve"> are</w:t>
      </w:r>
      <w:r w:rsidR="00823B43" w:rsidRPr="003725B8">
        <w:rPr>
          <w:rFonts w:ascii="Times New Roman" w:hAnsi="Times New Roman"/>
          <w:sz w:val="20"/>
          <w:szCs w:val="20"/>
        </w:rPr>
        <w:t xml:space="preserve"> the annualised Sharpe ratio </w:t>
      </w:r>
      <w:r w:rsidR="0053605F">
        <w:rPr>
          <w:rFonts w:ascii="Times New Roman" w:hAnsi="Times New Roman"/>
          <w:sz w:val="20"/>
          <w:szCs w:val="20"/>
        </w:rPr>
        <w:t>and modified Sharpe ratio</w:t>
      </w:r>
      <w:r w:rsidR="00FF4962">
        <w:rPr>
          <w:rFonts w:ascii="Times New Roman" w:hAnsi="Times New Roman"/>
          <w:sz w:val="20"/>
          <w:szCs w:val="20"/>
        </w:rPr>
        <w:t xml:space="preserve"> (adjusted for autocorrelation if significant)</w:t>
      </w:r>
      <w:r w:rsidR="0053605F">
        <w:rPr>
          <w:rFonts w:ascii="Times New Roman" w:hAnsi="Times New Roman"/>
          <w:sz w:val="20"/>
          <w:szCs w:val="20"/>
        </w:rPr>
        <w:t xml:space="preserve"> </w:t>
      </w:r>
      <w:r w:rsidR="0053605F" w:rsidRPr="003725B8">
        <w:rPr>
          <w:rFonts w:ascii="Times New Roman" w:hAnsi="Times New Roman"/>
          <w:sz w:val="20"/>
          <w:szCs w:val="20"/>
        </w:rPr>
        <w:t>of the strategy</w:t>
      </w:r>
      <w:r w:rsidR="0053605F">
        <w:rPr>
          <w:rFonts w:ascii="Times New Roman" w:hAnsi="Times New Roman"/>
          <w:sz w:val="20"/>
          <w:szCs w:val="20"/>
        </w:rPr>
        <w:t>, respectively</w:t>
      </w:r>
      <w:r w:rsidR="0053605F" w:rsidRPr="003725B8">
        <w:rPr>
          <w:rFonts w:ascii="Times New Roman" w:hAnsi="Times New Roman"/>
          <w:sz w:val="20"/>
          <w:szCs w:val="20"/>
        </w:rPr>
        <w:t xml:space="preserve">. </w:t>
      </w:r>
      <w:r w:rsidR="0053605F">
        <w:rPr>
          <w:rFonts w:ascii="Times New Roman" w:hAnsi="Times New Roman"/>
          <w:sz w:val="20"/>
          <w:szCs w:val="20"/>
        </w:rPr>
        <w:t xml:space="preserve">* indicates significance at 5% level of the autocorrelation coefficient. </w:t>
      </w:r>
    </w:p>
    <w:tbl>
      <w:tblPr>
        <w:tblStyle w:val="TableGrid"/>
        <w:tblW w:w="10467" w:type="dxa"/>
        <w:jc w:val="center"/>
        <w:tblLook w:val="04A0" w:firstRow="1" w:lastRow="0" w:firstColumn="1" w:lastColumn="0" w:noHBand="0" w:noVBand="1"/>
      </w:tblPr>
      <w:tblGrid>
        <w:gridCol w:w="585"/>
        <w:gridCol w:w="970"/>
        <w:gridCol w:w="649"/>
        <w:gridCol w:w="727"/>
        <w:gridCol w:w="893"/>
        <w:gridCol w:w="688"/>
        <w:gridCol w:w="688"/>
        <w:gridCol w:w="656"/>
        <w:gridCol w:w="694"/>
        <w:gridCol w:w="688"/>
        <w:gridCol w:w="688"/>
        <w:gridCol w:w="656"/>
        <w:gridCol w:w="849"/>
        <w:gridCol w:w="1036"/>
      </w:tblGrid>
      <w:tr w:rsidR="00B06D31" w:rsidRPr="00F25D19" w14:paraId="47152CF3" w14:textId="77777777" w:rsidTr="00224673">
        <w:trPr>
          <w:trHeight w:val="157"/>
          <w:jc w:val="center"/>
        </w:trPr>
        <w:tc>
          <w:tcPr>
            <w:tcW w:w="585" w:type="dxa"/>
            <w:tcBorders>
              <w:left w:val="nil"/>
              <w:bottom w:val="single" w:sz="4" w:space="0" w:color="auto"/>
              <w:right w:val="nil"/>
            </w:tcBorders>
          </w:tcPr>
          <w:p w14:paraId="48BAF2A0" w14:textId="77777777" w:rsidR="006F7DE2" w:rsidRPr="00D7101E" w:rsidRDefault="006F7DE2" w:rsidP="00A3023B">
            <w:pPr>
              <w:spacing w:after="0" w:line="240" w:lineRule="auto"/>
              <w:jc w:val="both"/>
              <w:outlineLvl w:val="0"/>
              <w:rPr>
                <w:rFonts w:ascii="Times New Roman" w:hAnsi="Times New Roman"/>
                <w:b/>
                <w:sz w:val="18"/>
                <w:szCs w:val="18"/>
              </w:rPr>
            </w:pPr>
            <w:r w:rsidRPr="00D7101E">
              <w:rPr>
                <w:rFonts w:ascii="Times New Roman" w:hAnsi="Times New Roman"/>
                <w:b/>
                <w:sz w:val="18"/>
                <w:szCs w:val="18"/>
              </w:rPr>
              <w:t>θ</w:t>
            </w:r>
          </w:p>
        </w:tc>
        <w:tc>
          <w:tcPr>
            <w:tcW w:w="970" w:type="dxa"/>
            <w:tcBorders>
              <w:left w:val="nil"/>
              <w:bottom w:val="single" w:sz="4" w:space="0" w:color="auto"/>
              <w:right w:val="nil"/>
            </w:tcBorders>
          </w:tcPr>
          <w:p w14:paraId="46FAC9CD" w14:textId="77777777" w:rsidR="006F7DE2" w:rsidRPr="00D7101E" w:rsidRDefault="00D7101E" w:rsidP="00A3023B">
            <w:pPr>
              <w:spacing w:after="0" w:line="240" w:lineRule="auto"/>
              <w:jc w:val="both"/>
              <w:outlineLvl w:val="0"/>
              <w:rPr>
                <w:rFonts w:ascii="Times New Roman" w:hAnsi="Times New Roman"/>
                <w:b/>
                <w:sz w:val="18"/>
                <w:szCs w:val="18"/>
              </w:rPr>
            </w:pPr>
            <w:r w:rsidRPr="00D7101E">
              <w:rPr>
                <w:rFonts w:ascii="Times New Roman" w:hAnsi="Times New Roman"/>
                <w:b/>
                <w:sz w:val="18"/>
                <w:szCs w:val="18"/>
              </w:rPr>
              <w:t>Strategy</w:t>
            </w:r>
          </w:p>
        </w:tc>
        <w:tc>
          <w:tcPr>
            <w:tcW w:w="649" w:type="dxa"/>
            <w:tcBorders>
              <w:left w:val="nil"/>
              <w:bottom w:val="single" w:sz="4" w:space="0" w:color="auto"/>
              <w:right w:val="nil"/>
            </w:tcBorders>
          </w:tcPr>
          <w:p w14:paraId="1E1CA9F9" w14:textId="77777777" w:rsidR="006F7DE2" w:rsidRPr="00D7101E" w:rsidRDefault="00520EE9" w:rsidP="00A3023B">
            <w:pPr>
              <w:spacing w:after="0" w:line="240" w:lineRule="auto"/>
              <w:jc w:val="both"/>
              <w:outlineLvl w:val="0"/>
              <w:rPr>
                <w:rFonts w:ascii="Times New Roman" w:hAnsi="Times New Roman"/>
                <w:b/>
                <w:sz w:val="18"/>
                <w:szCs w:val="18"/>
              </w:rPr>
            </w:pPr>
            <w:r w:rsidRPr="00D7101E">
              <w:rPr>
                <w:rFonts w:ascii="Times New Roman" w:hAnsi="Times New Roman"/>
                <w:b/>
                <w:sz w:val="18"/>
                <w:szCs w:val="18"/>
              </w:rPr>
              <w:t>N</w:t>
            </w:r>
          </w:p>
        </w:tc>
        <w:tc>
          <w:tcPr>
            <w:tcW w:w="727" w:type="dxa"/>
            <w:tcBorders>
              <w:left w:val="nil"/>
              <w:bottom w:val="single" w:sz="4" w:space="0" w:color="auto"/>
              <w:right w:val="nil"/>
            </w:tcBorders>
          </w:tcPr>
          <w:p w14:paraId="4CB16988" w14:textId="77777777" w:rsidR="006F7DE2" w:rsidRPr="00D7101E" w:rsidRDefault="00520EE9" w:rsidP="00A3023B">
            <w:pPr>
              <w:spacing w:after="0" w:line="240" w:lineRule="auto"/>
              <w:jc w:val="both"/>
              <w:outlineLvl w:val="0"/>
              <w:rPr>
                <w:rFonts w:ascii="Times New Roman" w:hAnsi="Times New Roman"/>
                <w:b/>
                <w:sz w:val="18"/>
                <w:szCs w:val="18"/>
              </w:rPr>
            </w:pPr>
            <w:r w:rsidRPr="00D7101E">
              <w:rPr>
                <w:rFonts w:ascii="Times New Roman" w:hAnsi="Times New Roman"/>
                <w:b/>
                <w:sz w:val="18"/>
                <w:szCs w:val="18"/>
              </w:rPr>
              <w:t>Mean</w:t>
            </w:r>
          </w:p>
        </w:tc>
        <w:tc>
          <w:tcPr>
            <w:tcW w:w="893" w:type="dxa"/>
            <w:tcBorders>
              <w:left w:val="nil"/>
              <w:bottom w:val="single" w:sz="4" w:space="0" w:color="auto"/>
              <w:right w:val="nil"/>
            </w:tcBorders>
          </w:tcPr>
          <w:p w14:paraId="4D2A6976" w14:textId="77777777" w:rsidR="006F7DE2" w:rsidRPr="00D7101E" w:rsidRDefault="00520EE9" w:rsidP="00A3023B">
            <w:pPr>
              <w:spacing w:after="0" w:line="240" w:lineRule="auto"/>
              <w:jc w:val="both"/>
              <w:outlineLvl w:val="0"/>
              <w:rPr>
                <w:rFonts w:ascii="Times New Roman" w:hAnsi="Times New Roman"/>
                <w:b/>
                <w:sz w:val="18"/>
                <w:szCs w:val="18"/>
              </w:rPr>
            </w:pPr>
            <w:r w:rsidRPr="00D7101E">
              <w:rPr>
                <w:rFonts w:ascii="Times New Roman" w:hAnsi="Times New Roman"/>
                <w:b/>
                <w:sz w:val="18"/>
                <w:szCs w:val="18"/>
              </w:rPr>
              <w:t>Median</w:t>
            </w:r>
          </w:p>
        </w:tc>
        <w:tc>
          <w:tcPr>
            <w:tcW w:w="688" w:type="dxa"/>
            <w:tcBorders>
              <w:left w:val="nil"/>
              <w:bottom w:val="single" w:sz="4" w:space="0" w:color="auto"/>
              <w:right w:val="nil"/>
            </w:tcBorders>
          </w:tcPr>
          <w:p w14:paraId="6F1CB2A6" w14:textId="77777777" w:rsidR="006F7DE2" w:rsidRPr="00D7101E" w:rsidRDefault="00520EE9" w:rsidP="00A3023B">
            <w:pPr>
              <w:spacing w:after="0" w:line="240" w:lineRule="auto"/>
              <w:jc w:val="both"/>
              <w:outlineLvl w:val="0"/>
              <w:rPr>
                <w:rFonts w:ascii="Times New Roman" w:hAnsi="Times New Roman"/>
                <w:b/>
                <w:sz w:val="18"/>
                <w:szCs w:val="18"/>
              </w:rPr>
            </w:pPr>
            <w:r w:rsidRPr="00D7101E">
              <w:rPr>
                <w:rFonts w:ascii="Times New Roman" w:hAnsi="Times New Roman"/>
                <w:b/>
                <w:sz w:val="18"/>
                <w:szCs w:val="18"/>
              </w:rPr>
              <w:t>Min</w:t>
            </w:r>
          </w:p>
        </w:tc>
        <w:tc>
          <w:tcPr>
            <w:tcW w:w="688" w:type="dxa"/>
            <w:tcBorders>
              <w:left w:val="nil"/>
              <w:bottom w:val="single" w:sz="4" w:space="0" w:color="auto"/>
              <w:right w:val="nil"/>
            </w:tcBorders>
          </w:tcPr>
          <w:p w14:paraId="3AFE81E4" w14:textId="77777777" w:rsidR="006F7DE2" w:rsidRPr="00D7101E" w:rsidRDefault="00520EE9" w:rsidP="00A3023B">
            <w:pPr>
              <w:spacing w:after="0" w:line="240" w:lineRule="auto"/>
              <w:jc w:val="both"/>
              <w:outlineLvl w:val="0"/>
              <w:rPr>
                <w:rFonts w:ascii="Times New Roman" w:hAnsi="Times New Roman"/>
                <w:b/>
                <w:sz w:val="18"/>
                <w:szCs w:val="18"/>
              </w:rPr>
            </w:pPr>
            <w:r w:rsidRPr="00D7101E">
              <w:rPr>
                <w:rFonts w:ascii="Times New Roman" w:hAnsi="Times New Roman"/>
                <w:b/>
                <w:sz w:val="18"/>
                <w:szCs w:val="18"/>
              </w:rPr>
              <w:t>Max</w:t>
            </w:r>
          </w:p>
        </w:tc>
        <w:tc>
          <w:tcPr>
            <w:tcW w:w="656" w:type="dxa"/>
            <w:tcBorders>
              <w:left w:val="nil"/>
              <w:bottom w:val="single" w:sz="4" w:space="0" w:color="auto"/>
              <w:right w:val="nil"/>
            </w:tcBorders>
          </w:tcPr>
          <w:p w14:paraId="50C9DDC5" w14:textId="77777777" w:rsidR="006F7DE2" w:rsidRPr="00D7101E" w:rsidRDefault="00520EE9" w:rsidP="00A3023B">
            <w:pPr>
              <w:spacing w:after="0" w:line="240" w:lineRule="auto"/>
              <w:jc w:val="both"/>
              <w:outlineLvl w:val="0"/>
              <w:rPr>
                <w:rFonts w:ascii="Times New Roman" w:hAnsi="Times New Roman"/>
                <w:b/>
                <w:sz w:val="18"/>
                <w:szCs w:val="18"/>
              </w:rPr>
            </w:pPr>
            <w:proofErr w:type="spellStart"/>
            <w:r w:rsidRPr="00D7101E">
              <w:rPr>
                <w:rFonts w:ascii="Times New Roman" w:hAnsi="Times New Roman"/>
                <w:b/>
                <w:sz w:val="18"/>
                <w:szCs w:val="18"/>
              </w:rPr>
              <w:t>Std</w:t>
            </w:r>
            <w:proofErr w:type="spellEnd"/>
          </w:p>
        </w:tc>
        <w:tc>
          <w:tcPr>
            <w:tcW w:w="694" w:type="dxa"/>
            <w:tcBorders>
              <w:left w:val="nil"/>
              <w:bottom w:val="single" w:sz="4" w:space="0" w:color="auto"/>
              <w:right w:val="nil"/>
            </w:tcBorders>
          </w:tcPr>
          <w:p w14:paraId="6B4DB584" w14:textId="77777777" w:rsidR="006F7DE2" w:rsidRPr="00D7101E" w:rsidRDefault="00520EE9" w:rsidP="00A3023B">
            <w:pPr>
              <w:spacing w:after="0" w:line="240" w:lineRule="auto"/>
              <w:jc w:val="both"/>
              <w:outlineLvl w:val="0"/>
              <w:rPr>
                <w:rFonts w:ascii="Times New Roman" w:hAnsi="Times New Roman"/>
                <w:b/>
                <w:sz w:val="18"/>
                <w:szCs w:val="18"/>
              </w:rPr>
            </w:pPr>
            <w:r w:rsidRPr="00D7101E">
              <w:rPr>
                <w:rFonts w:ascii="Times New Roman" w:hAnsi="Times New Roman"/>
                <w:b/>
                <w:sz w:val="18"/>
                <w:szCs w:val="18"/>
              </w:rPr>
              <w:t>Skew</w:t>
            </w:r>
          </w:p>
        </w:tc>
        <w:tc>
          <w:tcPr>
            <w:tcW w:w="688" w:type="dxa"/>
            <w:tcBorders>
              <w:left w:val="nil"/>
              <w:bottom w:val="single" w:sz="4" w:space="0" w:color="auto"/>
              <w:right w:val="nil"/>
            </w:tcBorders>
          </w:tcPr>
          <w:p w14:paraId="1F3978D3" w14:textId="77777777" w:rsidR="006F7DE2" w:rsidRPr="00D7101E" w:rsidRDefault="00520EE9" w:rsidP="00A3023B">
            <w:pPr>
              <w:spacing w:after="0" w:line="240" w:lineRule="auto"/>
              <w:jc w:val="both"/>
              <w:outlineLvl w:val="0"/>
              <w:rPr>
                <w:rFonts w:ascii="Times New Roman" w:hAnsi="Times New Roman"/>
                <w:b/>
                <w:sz w:val="18"/>
                <w:szCs w:val="18"/>
              </w:rPr>
            </w:pPr>
            <w:r w:rsidRPr="00D7101E">
              <w:rPr>
                <w:rFonts w:ascii="Times New Roman" w:hAnsi="Times New Roman"/>
                <w:b/>
                <w:sz w:val="18"/>
                <w:szCs w:val="18"/>
              </w:rPr>
              <w:t>Kurt</w:t>
            </w:r>
          </w:p>
        </w:tc>
        <w:tc>
          <w:tcPr>
            <w:tcW w:w="688" w:type="dxa"/>
            <w:tcBorders>
              <w:left w:val="nil"/>
              <w:bottom w:val="single" w:sz="4" w:space="0" w:color="auto"/>
              <w:right w:val="nil"/>
            </w:tcBorders>
          </w:tcPr>
          <w:p w14:paraId="7ADCF178" w14:textId="77777777" w:rsidR="006F7DE2" w:rsidRPr="00D7101E" w:rsidRDefault="00520EE9" w:rsidP="00A3023B">
            <w:pPr>
              <w:spacing w:after="0" w:line="240" w:lineRule="auto"/>
              <w:jc w:val="both"/>
              <w:outlineLvl w:val="0"/>
              <w:rPr>
                <w:rFonts w:ascii="Times New Roman" w:hAnsi="Times New Roman"/>
                <w:b/>
                <w:sz w:val="18"/>
                <w:szCs w:val="18"/>
              </w:rPr>
            </w:pPr>
            <w:proofErr w:type="spellStart"/>
            <w:r w:rsidRPr="00D7101E">
              <w:rPr>
                <w:rFonts w:ascii="Times New Roman" w:hAnsi="Times New Roman"/>
                <w:b/>
                <w:sz w:val="18"/>
                <w:szCs w:val="18"/>
              </w:rPr>
              <w:t>Corr</w:t>
            </w:r>
            <w:proofErr w:type="spellEnd"/>
          </w:p>
        </w:tc>
        <w:tc>
          <w:tcPr>
            <w:tcW w:w="656" w:type="dxa"/>
            <w:tcBorders>
              <w:left w:val="nil"/>
              <w:bottom w:val="single" w:sz="4" w:space="0" w:color="auto"/>
              <w:right w:val="nil"/>
            </w:tcBorders>
          </w:tcPr>
          <w:p w14:paraId="092878FD" w14:textId="77777777" w:rsidR="006F7DE2" w:rsidRPr="00D7101E" w:rsidRDefault="00520EE9" w:rsidP="00A3023B">
            <w:pPr>
              <w:spacing w:after="0" w:line="240" w:lineRule="auto"/>
              <w:jc w:val="both"/>
              <w:outlineLvl w:val="0"/>
              <w:rPr>
                <w:rFonts w:ascii="Times New Roman" w:hAnsi="Times New Roman"/>
                <w:b/>
                <w:sz w:val="18"/>
                <w:szCs w:val="18"/>
              </w:rPr>
            </w:pPr>
            <w:r w:rsidRPr="00D7101E">
              <w:rPr>
                <w:rFonts w:ascii="Times New Roman" w:hAnsi="Times New Roman"/>
                <w:b/>
                <w:sz w:val="18"/>
                <w:szCs w:val="18"/>
              </w:rPr>
              <w:t>Neg</w:t>
            </w:r>
          </w:p>
        </w:tc>
        <w:tc>
          <w:tcPr>
            <w:tcW w:w="849" w:type="dxa"/>
            <w:tcBorders>
              <w:left w:val="nil"/>
              <w:bottom w:val="single" w:sz="4" w:space="0" w:color="auto"/>
              <w:right w:val="nil"/>
            </w:tcBorders>
          </w:tcPr>
          <w:p w14:paraId="70B64711" w14:textId="77777777" w:rsidR="006F7DE2" w:rsidRPr="00D7101E" w:rsidRDefault="00520EE9" w:rsidP="00A3023B">
            <w:pPr>
              <w:spacing w:after="0" w:line="240" w:lineRule="auto"/>
              <w:jc w:val="both"/>
              <w:outlineLvl w:val="0"/>
              <w:rPr>
                <w:rFonts w:ascii="Times New Roman" w:hAnsi="Times New Roman"/>
                <w:b/>
                <w:sz w:val="18"/>
                <w:szCs w:val="18"/>
              </w:rPr>
            </w:pPr>
            <w:r w:rsidRPr="00D7101E">
              <w:rPr>
                <w:rFonts w:ascii="Times New Roman" w:hAnsi="Times New Roman"/>
                <w:b/>
                <w:sz w:val="18"/>
                <w:szCs w:val="18"/>
              </w:rPr>
              <w:t>Sharpe</w:t>
            </w:r>
          </w:p>
        </w:tc>
        <w:tc>
          <w:tcPr>
            <w:tcW w:w="1036" w:type="dxa"/>
            <w:tcBorders>
              <w:left w:val="nil"/>
              <w:bottom w:val="single" w:sz="4" w:space="0" w:color="auto"/>
              <w:right w:val="nil"/>
            </w:tcBorders>
          </w:tcPr>
          <w:p w14:paraId="1BD14A1E" w14:textId="77777777" w:rsidR="006F7DE2" w:rsidRPr="00D7101E" w:rsidRDefault="00520EE9" w:rsidP="00A3023B">
            <w:pPr>
              <w:spacing w:after="0" w:line="240" w:lineRule="auto"/>
              <w:jc w:val="both"/>
              <w:outlineLvl w:val="0"/>
              <w:rPr>
                <w:rFonts w:ascii="Times New Roman" w:hAnsi="Times New Roman"/>
                <w:b/>
                <w:sz w:val="18"/>
                <w:szCs w:val="18"/>
              </w:rPr>
            </w:pPr>
            <w:proofErr w:type="spellStart"/>
            <w:r w:rsidRPr="00D7101E">
              <w:rPr>
                <w:rFonts w:ascii="Times New Roman" w:hAnsi="Times New Roman"/>
                <w:b/>
                <w:sz w:val="18"/>
                <w:szCs w:val="18"/>
              </w:rPr>
              <w:t>MSharpe</w:t>
            </w:r>
            <w:proofErr w:type="spellEnd"/>
          </w:p>
        </w:tc>
      </w:tr>
      <w:tr w:rsidR="006F7DE2" w:rsidRPr="00F25D19" w14:paraId="366863FC" w14:textId="77777777" w:rsidTr="00224673">
        <w:trPr>
          <w:trHeight w:val="157"/>
          <w:jc w:val="center"/>
        </w:trPr>
        <w:tc>
          <w:tcPr>
            <w:tcW w:w="9431" w:type="dxa"/>
            <w:gridSpan w:val="13"/>
            <w:tcBorders>
              <w:left w:val="nil"/>
              <w:bottom w:val="single" w:sz="4" w:space="0" w:color="auto"/>
              <w:right w:val="nil"/>
            </w:tcBorders>
          </w:tcPr>
          <w:p w14:paraId="126A4E22" w14:textId="77777777" w:rsidR="006F7DE2" w:rsidRPr="00C45588" w:rsidRDefault="00C45588" w:rsidP="00C45588">
            <w:pPr>
              <w:pStyle w:val="ListParagraph"/>
              <w:numPr>
                <w:ilvl w:val="0"/>
                <w:numId w:val="17"/>
              </w:numPr>
              <w:spacing w:after="0" w:line="240" w:lineRule="auto"/>
              <w:jc w:val="both"/>
              <w:outlineLvl w:val="0"/>
              <w:rPr>
                <w:rFonts w:ascii="Times New Roman" w:hAnsi="Times New Roman"/>
                <w:b/>
                <w:sz w:val="18"/>
                <w:szCs w:val="18"/>
              </w:rPr>
            </w:pPr>
            <w:r w:rsidRPr="00C45588">
              <w:rPr>
                <w:rFonts w:ascii="Times New Roman" w:hAnsi="Times New Roman"/>
                <w:b/>
                <w:sz w:val="18"/>
                <w:szCs w:val="18"/>
              </w:rPr>
              <w:t>Pre-crisis period (Jan 05 – July 07)</w:t>
            </w:r>
          </w:p>
        </w:tc>
        <w:tc>
          <w:tcPr>
            <w:tcW w:w="1036" w:type="dxa"/>
            <w:tcBorders>
              <w:left w:val="nil"/>
              <w:bottom w:val="single" w:sz="4" w:space="0" w:color="auto"/>
              <w:right w:val="nil"/>
            </w:tcBorders>
          </w:tcPr>
          <w:p w14:paraId="13441864" w14:textId="77777777" w:rsidR="006F7DE2" w:rsidRPr="00F25D19" w:rsidRDefault="006F7DE2" w:rsidP="00A3023B">
            <w:pPr>
              <w:spacing w:after="0" w:line="240" w:lineRule="auto"/>
              <w:jc w:val="both"/>
              <w:outlineLvl w:val="0"/>
              <w:rPr>
                <w:rFonts w:ascii="Times New Roman" w:hAnsi="Times New Roman"/>
                <w:b/>
                <w:sz w:val="18"/>
                <w:szCs w:val="18"/>
              </w:rPr>
            </w:pPr>
          </w:p>
        </w:tc>
      </w:tr>
      <w:tr w:rsidR="006F7DE2" w:rsidRPr="00F25D19" w14:paraId="05E63849" w14:textId="77777777" w:rsidTr="00224673">
        <w:trPr>
          <w:trHeight w:val="157"/>
          <w:jc w:val="center"/>
        </w:trPr>
        <w:tc>
          <w:tcPr>
            <w:tcW w:w="9431" w:type="dxa"/>
            <w:gridSpan w:val="13"/>
            <w:tcBorders>
              <w:left w:val="nil"/>
              <w:bottom w:val="single" w:sz="4" w:space="0" w:color="auto"/>
              <w:right w:val="nil"/>
            </w:tcBorders>
          </w:tcPr>
          <w:p w14:paraId="5DD0821A" w14:textId="77777777" w:rsidR="006F7DE2" w:rsidRPr="00F25D19" w:rsidRDefault="00C45588" w:rsidP="00A3023B">
            <w:pPr>
              <w:spacing w:after="0" w:line="240" w:lineRule="auto"/>
              <w:jc w:val="both"/>
              <w:outlineLvl w:val="0"/>
              <w:rPr>
                <w:rFonts w:ascii="Times New Roman" w:hAnsi="Times New Roman"/>
                <w:i/>
                <w:sz w:val="18"/>
                <w:szCs w:val="18"/>
              </w:rPr>
            </w:pPr>
            <w:r>
              <w:rPr>
                <w:rFonts w:ascii="Times New Roman" w:hAnsi="Times New Roman"/>
                <w:i/>
                <w:sz w:val="18"/>
                <w:szCs w:val="18"/>
              </w:rPr>
              <w:t>Investment Grade</w:t>
            </w:r>
          </w:p>
        </w:tc>
        <w:tc>
          <w:tcPr>
            <w:tcW w:w="1036" w:type="dxa"/>
            <w:tcBorders>
              <w:left w:val="nil"/>
              <w:bottom w:val="single" w:sz="4" w:space="0" w:color="auto"/>
              <w:right w:val="nil"/>
            </w:tcBorders>
          </w:tcPr>
          <w:p w14:paraId="231C0B32" w14:textId="77777777" w:rsidR="006F7DE2" w:rsidRPr="00F25D19" w:rsidRDefault="006F7DE2" w:rsidP="00A3023B">
            <w:pPr>
              <w:spacing w:after="0" w:line="240" w:lineRule="auto"/>
              <w:jc w:val="both"/>
              <w:outlineLvl w:val="0"/>
              <w:rPr>
                <w:rFonts w:ascii="Times New Roman" w:hAnsi="Times New Roman"/>
                <w:i/>
                <w:sz w:val="18"/>
                <w:szCs w:val="18"/>
              </w:rPr>
            </w:pPr>
          </w:p>
        </w:tc>
      </w:tr>
      <w:tr w:rsidR="00C45588" w:rsidRPr="00F25D19" w14:paraId="26481150" w14:textId="77777777" w:rsidTr="00224673">
        <w:trPr>
          <w:trHeight w:val="189"/>
          <w:jc w:val="center"/>
        </w:trPr>
        <w:tc>
          <w:tcPr>
            <w:tcW w:w="585" w:type="dxa"/>
            <w:tcBorders>
              <w:left w:val="nil"/>
              <w:bottom w:val="nil"/>
              <w:right w:val="nil"/>
            </w:tcBorders>
          </w:tcPr>
          <w:p w14:paraId="6C0A080E" w14:textId="77777777" w:rsidR="00C45588" w:rsidRPr="00F25D19" w:rsidRDefault="00C45588" w:rsidP="00A3023B">
            <w:pPr>
              <w:spacing w:after="0" w:line="240" w:lineRule="auto"/>
              <w:jc w:val="both"/>
              <w:outlineLvl w:val="0"/>
              <w:rPr>
                <w:rFonts w:ascii="Times New Roman" w:hAnsi="Times New Roman"/>
                <w:sz w:val="18"/>
                <w:szCs w:val="18"/>
              </w:rPr>
            </w:pPr>
            <w:r w:rsidRPr="00F25D19">
              <w:rPr>
                <w:rFonts w:ascii="Times New Roman" w:hAnsi="Times New Roman"/>
                <w:sz w:val="18"/>
                <w:szCs w:val="18"/>
              </w:rPr>
              <w:t>0.5</w:t>
            </w:r>
          </w:p>
        </w:tc>
        <w:tc>
          <w:tcPr>
            <w:tcW w:w="970" w:type="dxa"/>
            <w:tcBorders>
              <w:left w:val="nil"/>
              <w:bottom w:val="nil"/>
              <w:right w:val="nil"/>
            </w:tcBorders>
          </w:tcPr>
          <w:p w14:paraId="57E4027C" w14:textId="77777777" w:rsidR="00C45588" w:rsidRPr="00F25D19" w:rsidRDefault="00C45588" w:rsidP="00DD653F">
            <w:pPr>
              <w:spacing w:after="0" w:line="240" w:lineRule="auto"/>
              <w:outlineLvl w:val="0"/>
              <w:rPr>
                <w:rFonts w:ascii="Times New Roman" w:hAnsi="Times New Roman"/>
                <w:sz w:val="18"/>
                <w:szCs w:val="18"/>
              </w:rPr>
            </w:pPr>
            <w:r w:rsidRPr="00F25D19">
              <w:rPr>
                <w:rFonts w:ascii="Times New Roman" w:hAnsi="Times New Roman"/>
                <w:sz w:val="18"/>
                <w:szCs w:val="18"/>
              </w:rPr>
              <w:t>S</w:t>
            </w:r>
            <w:r>
              <w:rPr>
                <w:rFonts w:ascii="Times New Roman" w:hAnsi="Times New Roman"/>
                <w:sz w:val="18"/>
                <w:szCs w:val="18"/>
              </w:rPr>
              <w:t xml:space="preserve">trategy </w:t>
            </w:r>
            <w:r w:rsidRPr="00F25D19">
              <w:rPr>
                <w:rFonts w:ascii="Times New Roman" w:hAnsi="Times New Roman"/>
                <w:sz w:val="18"/>
                <w:szCs w:val="18"/>
              </w:rPr>
              <w:t>1</w:t>
            </w:r>
          </w:p>
        </w:tc>
        <w:tc>
          <w:tcPr>
            <w:tcW w:w="649" w:type="dxa"/>
            <w:tcBorders>
              <w:left w:val="nil"/>
              <w:bottom w:val="nil"/>
              <w:right w:val="nil"/>
            </w:tcBorders>
            <w:vAlign w:val="center"/>
          </w:tcPr>
          <w:p w14:paraId="6140438F"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31</w:t>
            </w:r>
          </w:p>
        </w:tc>
        <w:tc>
          <w:tcPr>
            <w:tcW w:w="727" w:type="dxa"/>
            <w:tcBorders>
              <w:left w:val="nil"/>
              <w:bottom w:val="nil"/>
              <w:right w:val="nil"/>
            </w:tcBorders>
            <w:vAlign w:val="center"/>
          </w:tcPr>
          <w:p w14:paraId="796CB018"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-0.23</w:t>
            </w:r>
          </w:p>
        </w:tc>
        <w:tc>
          <w:tcPr>
            <w:tcW w:w="893" w:type="dxa"/>
            <w:tcBorders>
              <w:left w:val="nil"/>
              <w:bottom w:val="nil"/>
              <w:right w:val="nil"/>
            </w:tcBorders>
            <w:vAlign w:val="center"/>
          </w:tcPr>
          <w:p w14:paraId="59AC7F2E"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-0.19</w:t>
            </w:r>
          </w:p>
        </w:tc>
        <w:tc>
          <w:tcPr>
            <w:tcW w:w="688" w:type="dxa"/>
            <w:tcBorders>
              <w:left w:val="nil"/>
              <w:bottom w:val="nil"/>
              <w:right w:val="nil"/>
            </w:tcBorders>
            <w:vAlign w:val="center"/>
          </w:tcPr>
          <w:p w14:paraId="4997E84B"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-1.23</w:t>
            </w:r>
          </w:p>
        </w:tc>
        <w:tc>
          <w:tcPr>
            <w:tcW w:w="688" w:type="dxa"/>
            <w:tcBorders>
              <w:left w:val="nil"/>
              <w:bottom w:val="nil"/>
              <w:right w:val="nil"/>
            </w:tcBorders>
            <w:vAlign w:val="center"/>
          </w:tcPr>
          <w:p w14:paraId="63B76441"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0.11</w:t>
            </w:r>
          </w:p>
        </w:tc>
        <w:tc>
          <w:tcPr>
            <w:tcW w:w="656" w:type="dxa"/>
            <w:tcBorders>
              <w:left w:val="nil"/>
              <w:bottom w:val="nil"/>
              <w:right w:val="nil"/>
            </w:tcBorders>
            <w:vAlign w:val="center"/>
          </w:tcPr>
          <w:p w14:paraId="0D8DF7BE"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0.23</w:t>
            </w:r>
          </w:p>
        </w:tc>
        <w:tc>
          <w:tcPr>
            <w:tcW w:w="694" w:type="dxa"/>
            <w:tcBorders>
              <w:left w:val="nil"/>
              <w:bottom w:val="nil"/>
              <w:right w:val="nil"/>
            </w:tcBorders>
            <w:vAlign w:val="center"/>
          </w:tcPr>
          <w:p w14:paraId="1A65FD9B"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-2.63</w:t>
            </w:r>
          </w:p>
        </w:tc>
        <w:tc>
          <w:tcPr>
            <w:tcW w:w="688" w:type="dxa"/>
            <w:tcBorders>
              <w:left w:val="nil"/>
              <w:bottom w:val="nil"/>
              <w:right w:val="nil"/>
            </w:tcBorders>
            <w:vAlign w:val="center"/>
          </w:tcPr>
          <w:p w14:paraId="55BEE505"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11.27</w:t>
            </w:r>
          </w:p>
        </w:tc>
        <w:tc>
          <w:tcPr>
            <w:tcW w:w="688" w:type="dxa"/>
            <w:tcBorders>
              <w:left w:val="nil"/>
              <w:bottom w:val="nil"/>
              <w:right w:val="nil"/>
            </w:tcBorders>
            <w:vAlign w:val="center"/>
          </w:tcPr>
          <w:p w14:paraId="1764D61F"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0.</w:t>
            </w:r>
            <w:r>
              <w:rPr>
                <w:rFonts w:ascii="Times New Roman" w:hAnsi="Times New Roman"/>
                <w:color w:val="000000"/>
                <w:sz w:val="18"/>
                <w:szCs w:val="18"/>
              </w:rPr>
              <w:t>18</w:t>
            </w:r>
          </w:p>
        </w:tc>
        <w:tc>
          <w:tcPr>
            <w:tcW w:w="656" w:type="dxa"/>
            <w:tcBorders>
              <w:left w:val="nil"/>
              <w:bottom w:val="nil"/>
              <w:right w:val="nil"/>
            </w:tcBorders>
            <w:vAlign w:val="center"/>
          </w:tcPr>
          <w:p w14:paraId="12772CEB"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0.9</w:t>
            </w:r>
            <w:r>
              <w:rPr>
                <w:rFonts w:ascii="Times New Roman" w:hAnsi="Times New Roman"/>
                <w:color w:val="000000"/>
                <w:sz w:val="18"/>
                <w:szCs w:val="18"/>
              </w:rPr>
              <w:t>0</w:t>
            </w:r>
          </w:p>
        </w:tc>
        <w:tc>
          <w:tcPr>
            <w:tcW w:w="849" w:type="dxa"/>
            <w:tcBorders>
              <w:left w:val="nil"/>
              <w:bottom w:val="nil"/>
              <w:right w:val="nil"/>
            </w:tcBorders>
            <w:vAlign w:val="center"/>
          </w:tcPr>
          <w:p w14:paraId="0102FC0E"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-3.51</w:t>
            </w:r>
          </w:p>
        </w:tc>
        <w:tc>
          <w:tcPr>
            <w:tcW w:w="1036" w:type="dxa"/>
            <w:tcBorders>
              <w:left w:val="nil"/>
              <w:bottom w:val="nil"/>
              <w:right w:val="nil"/>
            </w:tcBorders>
          </w:tcPr>
          <w:p w14:paraId="6A8C5FE7" w14:textId="77777777" w:rsidR="00C45588" w:rsidRPr="00A422D4" w:rsidRDefault="00C45588" w:rsidP="00DD653F">
            <w:pPr>
              <w:spacing w:after="0"/>
              <w:jc w:val="center"/>
              <w:rPr>
                <w:rFonts w:ascii="Times New Roman" w:hAnsi="Times New Roman"/>
                <w:color w:val="000000"/>
                <w:sz w:val="18"/>
                <w:szCs w:val="18"/>
              </w:rPr>
            </w:pPr>
            <w:r>
              <w:rPr>
                <w:rFonts w:ascii="Times New Roman" w:hAnsi="Times New Roman"/>
                <w:color w:val="000000"/>
                <w:sz w:val="18"/>
                <w:szCs w:val="18"/>
              </w:rPr>
              <w:t>-0.00002</w:t>
            </w:r>
          </w:p>
        </w:tc>
      </w:tr>
      <w:tr w:rsidR="00C45588" w:rsidRPr="00F25D19" w14:paraId="7E1C6072" w14:textId="77777777" w:rsidTr="00224673">
        <w:trPr>
          <w:trHeight w:val="178"/>
          <w:jc w:val="center"/>
        </w:trPr>
        <w:tc>
          <w:tcPr>
            <w:tcW w:w="585" w:type="dxa"/>
            <w:tcBorders>
              <w:top w:val="nil"/>
              <w:left w:val="nil"/>
              <w:bottom w:val="nil"/>
              <w:right w:val="nil"/>
            </w:tcBorders>
          </w:tcPr>
          <w:p w14:paraId="35CCFAB0" w14:textId="77777777" w:rsidR="00C45588" w:rsidRPr="00F25D19" w:rsidRDefault="00C45588" w:rsidP="00A3023B">
            <w:pPr>
              <w:spacing w:after="0" w:line="240" w:lineRule="auto"/>
              <w:jc w:val="both"/>
              <w:outlineLvl w:val="0"/>
              <w:rPr>
                <w:rFonts w:ascii="Times New Roman" w:hAnsi="Times New Roman"/>
                <w:sz w:val="18"/>
                <w:szCs w:val="18"/>
              </w:rPr>
            </w:pPr>
          </w:p>
        </w:tc>
        <w:tc>
          <w:tcPr>
            <w:tcW w:w="970" w:type="dxa"/>
            <w:tcBorders>
              <w:top w:val="nil"/>
              <w:left w:val="nil"/>
              <w:bottom w:val="nil"/>
              <w:right w:val="nil"/>
            </w:tcBorders>
          </w:tcPr>
          <w:p w14:paraId="13B9F680" w14:textId="77777777" w:rsidR="00C45588" w:rsidRPr="00F25D19" w:rsidRDefault="00C45588" w:rsidP="00DD653F">
            <w:pPr>
              <w:spacing w:after="0" w:line="240" w:lineRule="auto"/>
              <w:outlineLvl w:val="0"/>
              <w:rPr>
                <w:rFonts w:ascii="Times New Roman" w:hAnsi="Times New Roman"/>
                <w:sz w:val="18"/>
                <w:szCs w:val="18"/>
              </w:rPr>
            </w:pPr>
            <w:r w:rsidRPr="00F25D19">
              <w:rPr>
                <w:rFonts w:ascii="Times New Roman" w:hAnsi="Times New Roman"/>
                <w:sz w:val="18"/>
                <w:szCs w:val="18"/>
              </w:rPr>
              <w:t>S</w:t>
            </w:r>
            <w:r>
              <w:rPr>
                <w:rFonts w:ascii="Times New Roman" w:hAnsi="Times New Roman"/>
                <w:sz w:val="18"/>
                <w:szCs w:val="18"/>
              </w:rPr>
              <w:t xml:space="preserve">trategy </w:t>
            </w:r>
            <w:r w:rsidRPr="00F25D19">
              <w:rPr>
                <w:rFonts w:ascii="Times New Roman" w:hAnsi="Times New Roman"/>
                <w:sz w:val="18"/>
                <w:szCs w:val="18"/>
              </w:rPr>
              <w:t>2</w:t>
            </w:r>
          </w:p>
        </w:tc>
        <w:tc>
          <w:tcPr>
            <w:tcW w:w="649" w:type="dxa"/>
            <w:tcBorders>
              <w:top w:val="nil"/>
              <w:left w:val="nil"/>
              <w:bottom w:val="nil"/>
              <w:right w:val="nil"/>
            </w:tcBorders>
            <w:vAlign w:val="center"/>
          </w:tcPr>
          <w:p w14:paraId="603247B1"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31</w:t>
            </w:r>
          </w:p>
        </w:tc>
        <w:tc>
          <w:tcPr>
            <w:tcW w:w="727" w:type="dxa"/>
            <w:tcBorders>
              <w:top w:val="nil"/>
              <w:left w:val="nil"/>
              <w:bottom w:val="nil"/>
              <w:right w:val="nil"/>
            </w:tcBorders>
            <w:vAlign w:val="center"/>
          </w:tcPr>
          <w:p w14:paraId="03F53E2D"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-0.23</w:t>
            </w:r>
          </w:p>
        </w:tc>
        <w:tc>
          <w:tcPr>
            <w:tcW w:w="893" w:type="dxa"/>
            <w:tcBorders>
              <w:top w:val="nil"/>
              <w:left w:val="nil"/>
              <w:bottom w:val="nil"/>
              <w:right w:val="nil"/>
            </w:tcBorders>
            <w:vAlign w:val="center"/>
          </w:tcPr>
          <w:p w14:paraId="725EF4E6"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-0.2</w:t>
            </w:r>
            <w:r>
              <w:rPr>
                <w:rFonts w:ascii="Times New Roman" w:hAnsi="Times New Roman"/>
                <w:color w:val="000000"/>
                <w:sz w:val="18"/>
                <w:szCs w:val="18"/>
              </w:rPr>
              <w:t>0</w:t>
            </w:r>
          </w:p>
        </w:tc>
        <w:tc>
          <w:tcPr>
            <w:tcW w:w="688" w:type="dxa"/>
            <w:tcBorders>
              <w:top w:val="nil"/>
              <w:left w:val="nil"/>
              <w:bottom w:val="nil"/>
              <w:right w:val="nil"/>
            </w:tcBorders>
            <w:vAlign w:val="center"/>
          </w:tcPr>
          <w:p w14:paraId="3FE6105E"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-1.2</w:t>
            </w:r>
            <w:r>
              <w:rPr>
                <w:rFonts w:ascii="Times New Roman" w:hAnsi="Times New Roman"/>
                <w:color w:val="000000"/>
                <w:sz w:val="18"/>
                <w:szCs w:val="18"/>
              </w:rPr>
              <w:t>0</w:t>
            </w:r>
          </w:p>
        </w:tc>
        <w:tc>
          <w:tcPr>
            <w:tcW w:w="688" w:type="dxa"/>
            <w:tcBorders>
              <w:top w:val="nil"/>
              <w:left w:val="nil"/>
              <w:bottom w:val="nil"/>
              <w:right w:val="nil"/>
            </w:tcBorders>
            <w:vAlign w:val="center"/>
          </w:tcPr>
          <w:p w14:paraId="780EC6E1"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0.13</w:t>
            </w:r>
          </w:p>
        </w:tc>
        <w:tc>
          <w:tcPr>
            <w:tcW w:w="656" w:type="dxa"/>
            <w:tcBorders>
              <w:top w:val="nil"/>
              <w:left w:val="nil"/>
              <w:bottom w:val="nil"/>
              <w:right w:val="nil"/>
            </w:tcBorders>
            <w:vAlign w:val="center"/>
          </w:tcPr>
          <w:p w14:paraId="69F092AF"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0.23</w:t>
            </w:r>
          </w:p>
        </w:tc>
        <w:tc>
          <w:tcPr>
            <w:tcW w:w="694" w:type="dxa"/>
            <w:tcBorders>
              <w:top w:val="nil"/>
              <w:left w:val="nil"/>
              <w:bottom w:val="nil"/>
              <w:right w:val="nil"/>
            </w:tcBorders>
            <w:vAlign w:val="center"/>
          </w:tcPr>
          <w:p w14:paraId="4D38219C"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-2.42</w:t>
            </w:r>
          </w:p>
        </w:tc>
        <w:tc>
          <w:tcPr>
            <w:tcW w:w="688" w:type="dxa"/>
            <w:tcBorders>
              <w:top w:val="nil"/>
              <w:left w:val="nil"/>
              <w:bottom w:val="nil"/>
              <w:right w:val="nil"/>
            </w:tcBorders>
            <w:vAlign w:val="center"/>
          </w:tcPr>
          <w:p w14:paraId="7D6E35EF"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9.76</w:t>
            </w:r>
          </w:p>
        </w:tc>
        <w:tc>
          <w:tcPr>
            <w:tcW w:w="688" w:type="dxa"/>
            <w:tcBorders>
              <w:top w:val="nil"/>
              <w:left w:val="nil"/>
              <w:bottom w:val="nil"/>
              <w:right w:val="nil"/>
            </w:tcBorders>
            <w:vAlign w:val="center"/>
          </w:tcPr>
          <w:p w14:paraId="081810FB"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0.</w:t>
            </w:r>
            <w:r>
              <w:rPr>
                <w:rFonts w:ascii="Times New Roman" w:hAnsi="Times New Roman"/>
                <w:color w:val="000000"/>
                <w:sz w:val="18"/>
                <w:szCs w:val="18"/>
              </w:rPr>
              <w:t>18</w:t>
            </w:r>
          </w:p>
        </w:tc>
        <w:tc>
          <w:tcPr>
            <w:tcW w:w="656" w:type="dxa"/>
            <w:tcBorders>
              <w:top w:val="nil"/>
              <w:left w:val="nil"/>
              <w:bottom w:val="nil"/>
              <w:right w:val="nil"/>
            </w:tcBorders>
            <w:vAlign w:val="center"/>
          </w:tcPr>
          <w:p w14:paraId="1E502A1A"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0.87</w:t>
            </w:r>
          </w:p>
        </w:tc>
        <w:tc>
          <w:tcPr>
            <w:tcW w:w="849" w:type="dxa"/>
            <w:tcBorders>
              <w:top w:val="nil"/>
              <w:left w:val="nil"/>
              <w:bottom w:val="nil"/>
              <w:right w:val="nil"/>
            </w:tcBorders>
            <w:vAlign w:val="center"/>
          </w:tcPr>
          <w:p w14:paraId="046BF4C6"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-3.45</w:t>
            </w:r>
          </w:p>
        </w:tc>
        <w:tc>
          <w:tcPr>
            <w:tcW w:w="1036" w:type="dxa"/>
            <w:tcBorders>
              <w:top w:val="nil"/>
              <w:left w:val="nil"/>
              <w:bottom w:val="nil"/>
              <w:right w:val="nil"/>
            </w:tcBorders>
          </w:tcPr>
          <w:p w14:paraId="3C9A14CA" w14:textId="77777777" w:rsidR="00C45588" w:rsidRPr="00A422D4" w:rsidRDefault="00C45588" w:rsidP="00DD653F">
            <w:pPr>
              <w:spacing w:after="0"/>
              <w:jc w:val="center"/>
              <w:rPr>
                <w:rFonts w:ascii="Times New Roman" w:hAnsi="Times New Roman"/>
                <w:color w:val="000000"/>
                <w:sz w:val="18"/>
                <w:szCs w:val="18"/>
              </w:rPr>
            </w:pPr>
            <w:r>
              <w:rPr>
                <w:rFonts w:ascii="Times New Roman" w:hAnsi="Times New Roman"/>
                <w:color w:val="000000"/>
                <w:sz w:val="18"/>
                <w:szCs w:val="18"/>
              </w:rPr>
              <w:t>-0.00002</w:t>
            </w:r>
          </w:p>
        </w:tc>
      </w:tr>
      <w:tr w:rsidR="00C45588" w:rsidRPr="00F25D19" w14:paraId="53957BFA" w14:textId="77777777" w:rsidTr="00224673">
        <w:trPr>
          <w:trHeight w:val="189"/>
          <w:jc w:val="center"/>
        </w:trPr>
        <w:tc>
          <w:tcPr>
            <w:tcW w:w="585" w:type="dxa"/>
            <w:tcBorders>
              <w:top w:val="nil"/>
              <w:left w:val="nil"/>
              <w:bottom w:val="nil"/>
              <w:right w:val="nil"/>
            </w:tcBorders>
          </w:tcPr>
          <w:p w14:paraId="21ACF82B" w14:textId="77777777" w:rsidR="00C45588" w:rsidRPr="00F25D19" w:rsidRDefault="00C45588" w:rsidP="00A3023B">
            <w:pPr>
              <w:spacing w:after="0" w:line="240" w:lineRule="auto"/>
              <w:jc w:val="both"/>
              <w:outlineLvl w:val="0"/>
              <w:rPr>
                <w:rFonts w:ascii="Times New Roman" w:hAnsi="Times New Roman"/>
                <w:sz w:val="18"/>
                <w:szCs w:val="18"/>
              </w:rPr>
            </w:pPr>
          </w:p>
        </w:tc>
        <w:tc>
          <w:tcPr>
            <w:tcW w:w="970" w:type="dxa"/>
            <w:tcBorders>
              <w:top w:val="nil"/>
              <w:left w:val="nil"/>
              <w:bottom w:val="nil"/>
              <w:right w:val="nil"/>
            </w:tcBorders>
          </w:tcPr>
          <w:p w14:paraId="03B93BC1" w14:textId="77777777" w:rsidR="00C45588" w:rsidRPr="00F25D19" w:rsidRDefault="00C45588" w:rsidP="00DD653F">
            <w:pPr>
              <w:spacing w:after="0" w:line="240" w:lineRule="auto"/>
              <w:outlineLvl w:val="0"/>
              <w:rPr>
                <w:rFonts w:ascii="Times New Roman" w:hAnsi="Times New Roman"/>
                <w:sz w:val="18"/>
                <w:szCs w:val="18"/>
              </w:rPr>
            </w:pPr>
            <w:r w:rsidRPr="00F25D19">
              <w:rPr>
                <w:rFonts w:ascii="Times New Roman" w:hAnsi="Times New Roman"/>
                <w:sz w:val="18"/>
                <w:szCs w:val="18"/>
              </w:rPr>
              <w:t>S</w:t>
            </w:r>
            <w:r>
              <w:rPr>
                <w:rFonts w:ascii="Times New Roman" w:hAnsi="Times New Roman"/>
                <w:sz w:val="18"/>
                <w:szCs w:val="18"/>
              </w:rPr>
              <w:t>trategy</w:t>
            </w:r>
            <w:r w:rsidRPr="00F25D19">
              <w:rPr>
                <w:rFonts w:ascii="Times New Roman" w:hAnsi="Times New Roman"/>
                <w:sz w:val="18"/>
                <w:szCs w:val="18"/>
              </w:rPr>
              <w:t xml:space="preserve"> 3</w:t>
            </w:r>
          </w:p>
        </w:tc>
        <w:tc>
          <w:tcPr>
            <w:tcW w:w="649" w:type="dxa"/>
            <w:tcBorders>
              <w:top w:val="nil"/>
              <w:left w:val="nil"/>
              <w:bottom w:val="nil"/>
              <w:right w:val="nil"/>
            </w:tcBorders>
            <w:vAlign w:val="center"/>
          </w:tcPr>
          <w:p w14:paraId="7435FC14"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31</w:t>
            </w:r>
          </w:p>
        </w:tc>
        <w:tc>
          <w:tcPr>
            <w:tcW w:w="727" w:type="dxa"/>
            <w:tcBorders>
              <w:top w:val="nil"/>
              <w:left w:val="nil"/>
              <w:bottom w:val="nil"/>
              <w:right w:val="nil"/>
            </w:tcBorders>
            <w:vAlign w:val="center"/>
          </w:tcPr>
          <w:p w14:paraId="56148878"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-0.94</w:t>
            </w:r>
          </w:p>
        </w:tc>
        <w:tc>
          <w:tcPr>
            <w:tcW w:w="893" w:type="dxa"/>
            <w:tcBorders>
              <w:top w:val="nil"/>
              <w:left w:val="nil"/>
              <w:bottom w:val="nil"/>
              <w:right w:val="nil"/>
            </w:tcBorders>
            <w:vAlign w:val="center"/>
          </w:tcPr>
          <w:p w14:paraId="6CC45183"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-1.09</w:t>
            </w:r>
          </w:p>
        </w:tc>
        <w:tc>
          <w:tcPr>
            <w:tcW w:w="688" w:type="dxa"/>
            <w:tcBorders>
              <w:top w:val="nil"/>
              <w:left w:val="nil"/>
              <w:bottom w:val="nil"/>
              <w:right w:val="nil"/>
            </w:tcBorders>
            <w:vAlign w:val="center"/>
          </w:tcPr>
          <w:p w14:paraId="4277FA56"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-4.26</w:t>
            </w:r>
          </w:p>
        </w:tc>
        <w:tc>
          <w:tcPr>
            <w:tcW w:w="688" w:type="dxa"/>
            <w:tcBorders>
              <w:top w:val="nil"/>
              <w:left w:val="nil"/>
              <w:bottom w:val="nil"/>
              <w:right w:val="nil"/>
            </w:tcBorders>
            <w:vAlign w:val="center"/>
          </w:tcPr>
          <w:p w14:paraId="0FCB96E1"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2.87</w:t>
            </w:r>
          </w:p>
        </w:tc>
        <w:tc>
          <w:tcPr>
            <w:tcW w:w="656" w:type="dxa"/>
            <w:tcBorders>
              <w:top w:val="nil"/>
              <w:left w:val="nil"/>
              <w:bottom w:val="nil"/>
              <w:right w:val="nil"/>
            </w:tcBorders>
            <w:vAlign w:val="center"/>
          </w:tcPr>
          <w:p w14:paraId="1067DCDB"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1.73</w:t>
            </w:r>
          </w:p>
        </w:tc>
        <w:tc>
          <w:tcPr>
            <w:tcW w:w="694" w:type="dxa"/>
            <w:tcBorders>
              <w:top w:val="nil"/>
              <w:left w:val="nil"/>
              <w:bottom w:val="nil"/>
              <w:right w:val="nil"/>
            </w:tcBorders>
            <w:vAlign w:val="center"/>
          </w:tcPr>
          <w:p w14:paraId="7B9069FD"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0.43</w:t>
            </w:r>
          </w:p>
        </w:tc>
        <w:tc>
          <w:tcPr>
            <w:tcW w:w="688" w:type="dxa"/>
            <w:tcBorders>
              <w:top w:val="nil"/>
              <w:left w:val="nil"/>
              <w:bottom w:val="nil"/>
              <w:right w:val="nil"/>
            </w:tcBorders>
            <w:vAlign w:val="center"/>
          </w:tcPr>
          <w:p w14:paraId="6E3F0418"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0.3</w:t>
            </w:r>
            <w:r>
              <w:rPr>
                <w:rFonts w:ascii="Times New Roman" w:hAnsi="Times New Roman"/>
                <w:color w:val="000000"/>
                <w:sz w:val="18"/>
                <w:szCs w:val="18"/>
              </w:rPr>
              <w:t>0</w:t>
            </w:r>
          </w:p>
        </w:tc>
        <w:tc>
          <w:tcPr>
            <w:tcW w:w="688" w:type="dxa"/>
            <w:tcBorders>
              <w:top w:val="nil"/>
              <w:left w:val="nil"/>
              <w:bottom w:val="nil"/>
              <w:right w:val="nil"/>
            </w:tcBorders>
            <w:vAlign w:val="center"/>
          </w:tcPr>
          <w:p w14:paraId="028D1039"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-0.</w:t>
            </w:r>
            <w:r>
              <w:rPr>
                <w:rFonts w:ascii="Times New Roman" w:hAnsi="Times New Roman"/>
                <w:color w:val="000000"/>
                <w:sz w:val="18"/>
                <w:szCs w:val="18"/>
              </w:rPr>
              <w:t>31</w:t>
            </w:r>
          </w:p>
        </w:tc>
        <w:tc>
          <w:tcPr>
            <w:tcW w:w="656" w:type="dxa"/>
            <w:tcBorders>
              <w:top w:val="nil"/>
              <w:left w:val="nil"/>
              <w:bottom w:val="nil"/>
              <w:right w:val="nil"/>
            </w:tcBorders>
            <w:vAlign w:val="center"/>
          </w:tcPr>
          <w:p w14:paraId="78B405CA"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0.81</w:t>
            </w:r>
          </w:p>
        </w:tc>
        <w:tc>
          <w:tcPr>
            <w:tcW w:w="849" w:type="dxa"/>
            <w:tcBorders>
              <w:top w:val="nil"/>
              <w:left w:val="nil"/>
              <w:bottom w:val="nil"/>
              <w:right w:val="nil"/>
            </w:tcBorders>
            <w:vAlign w:val="center"/>
          </w:tcPr>
          <w:p w14:paraId="2D4F013C"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-1.89</w:t>
            </w:r>
          </w:p>
        </w:tc>
        <w:tc>
          <w:tcPr>
            <w:tcW w:w="1036" w:type="dxa"/>
            <w:tcBorders>
              <w:top w:val="nil"/>
              <w:left w:val="nil"/>
              <w:bottom w:val="nil"/>
              <w:right w:val="nil"/>
            </w:tcBorders>
          </w:tcPr>
          <w:p w14:paraId="4AEF2619" w14:textId="77777777" w:rsidR="00C45588" w:rsidRPr="00A422D4" w:rsidRDefault="00C45588" w:rsidP="00DD653F">
            <w:pPr>
              <w:spacing w:after="0"/>
              <w:jc w:val="center"/>
              <w:rPr>
                <w:rFonts w:ascii="Times New Roman" w:hAnsi="Times New Roman"/>
                <w:color w:val="000000"/>
                <w:sz w:val="18"/>
                <w:szCs w:val="18"/>
              </w:rPr>
            </w:pPr>
            <w:r>
              <w:rPr>
                <w:rFonts w:ascii="Times New Roman" w:hAnsi="Times New Roman"/>
                <w:color w:val="000000"/>
                <w:sz w:val="18"/>
                <w:szCs w:val="18"/>
              </w:rPr>
              <w:t>-0.00057</w:t>
            </w:r>
          </w:p>
        </w:tc>
      </w:tr>
      <w:tr w:rsidR="00C45588" w:rsidRPr="00F25D19" w14:paraId="2E49E348" w14:textId="77777777" w:rsidTr="00224673">
        <w:trPr>
          <w:trHeight w:val="178"/>
          <w:jc w:val="center"/>
        </w:trPr>
        <w:tc>
          <w:tcPr>
            <w:tcW w:w="585" w:type="dxa"/>
            <w:tcBorders>
              <w:top w:val="nil"/>
              <w:left w:val="nil"/>
              <w:bottom w:val="nil"/>
              <w:right w:val="nil"/>
            </w:tcBorders>
          </w:tcPr>
          <w:p w14:paraId="28C1F911" w14:textId="77777777" w:rsidR="00C45588" w:rsidRPr="00F25D19" w:rsidRDefault="00C45588" w:rsidP="00A3023B">
            <w:pPr>
              <w:spacing w:after="0" w:line="240" w:lineRule="auto"/>
              <w:jc w:val="both"/>
              <w:outlineLvl w:val="0"/>
              <w:rPr>
                <w:rFonts w:ascii="Times New Roman" w:hAnsi="Times New Roman"/>
                <w:sz w:val="18"/>
                <w:szCs w:val="18"/>
              </w:rPr>
            </w:pPr>
          </w:p>
        </w:tc>
        <w:tc>
          <w:tcPr>
            <w:tcW w:w="970" w:type="dxa"/>
            <w:tcBorders>
              <w:top w:val="nil"/>
              <w:left w:val="nil"/>
              <w:bottom w:val="nil"/>
              <w:right w:val="nil"/>
            </w:tcBorders>
          </w:tcPr>
          <w:p w14:paraId="347CD373" w14:textId="77777777" w:rsidR="00C45588" w:rsidRPr="00F25D19" w:rsidRDefault="00C45588" w:rsidP="00DD653F">
            <w:pPr>
              <w:spacing w:after="0" w:line="240" w:lineRule="auto"/>
              <w:outlineLvl w:val="0"/>
              <w:rPr>
                <w:rFonts w:ascii="Times New Roman" w:hAnsi="Times New Roman"/>
                <w:sz w:val="18"/>
                <w:szCs w:val="18"/>
              </w:rPr>
            </w:pPr>
            <w:r w:rsidRPr="00F25D19">
              <w:rPr>
                <w:rFonts w:ascii="Times New Roman" w:hAnsi="Times New Roman"/>
                <w:sz w:val="18"/>
                <w:szCs w:val="18"/>
              </w:rPr>
              <w:t>S</w:t>
            </w:r>
            <w:r>
              <w:rPr>
                <w:rFonts w:ascii="Times New Roman" w:hAnsi="Times New Roman"/>
                <w:sz w:val="18"/>
                <w:szCs w:val="18"/>
              </w:rPr>
              <w:t>trategy</w:t>
            </w:r>
            <w:r w:rsidRPr="00F25D19">
              <w:rPr>
                <w:rFonts w:ascii="Times New Roman" w:hAnsi="Times New Roman"/>
                <w:sz w:val="18"/>
                <w:szCs w:val="18"/>
              </w:rPr>
              <w:t xml:space="preserve"> 4</w:t>
            </w:r>
          </w:p>
        </w:tc>
        <w:tc>
          <w:tcPr>
            <w:tcW w:w="649" w:type="dxa"/>
            <w:tcBorders>
              <w:top w:val="nil"/>
              <w:left w:val="nil"/>
              <w:bottom w:val="nil"/>
              <w:right w:val="nil"/>
            </w:tcBorders>
            <w:vAlign w:val="center"/>
          </w:tcPr>
          <w:p w14:paraId="33C8A730"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31</w:t>
            </w:r>
          </w:p>
        </w:tc>
        <w:tc>
          <w:tcPr>
            <w:tcW w:w="727" w:type="dxa"/>
            <w:tcBorders>
              <w:top w:val="nil"/>
              <w:left w:val="nil"/>
              <w:bottom w:val="nil"/>
              <w:right w:val="nil"/>
            </w:tcBorders>
            <w:vAlign w:val="center"/>
          </w:tcPr>
          <w:p w14:paraId="33C2B00F"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-0.76</w:t>
            </w:r>
          </w:p>
        </w:tc>
        <w:tc>
          <w:tcPr>
            <w:tcW w:w="893" w:type="dxa"/>
            <w:tcBorders>
              <w:top w:val="nil"/>
              <w:left w:val="nil"/>
              <w:bottom w:val="nil"/>
              <w:right w:val="nil"/>
            </w:tcBorders>
            <w:vAlign w:val="center"/>
          </w:tcPr>
          <w:p w14:paraId="4EE8FE33"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-0.84</w:t>
            </w:r>
          </w:p>
        </w:tc>
        <w:tc>
          <w:tcPr>
            <w:tcW w:w="688" w:type="dxa"/>
            <w:tcBorders>
              <w:top w:val="nil"/>
              <w:left w:val="nil"/>
              <w:bottom w:val="nil"/>
              <w:right w:val="nil"/>
            </w:tcBorders>
            <w:vAlign w:val="center"/>
          </w:tcPr>
          <w:p w14:paraId="5B6CC0B2"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-3.65</w:t>
            </w:r>
          </w:p>
        </w:tc>
        <w:tc>
          <w:tcPr>
            <w:tcW w:w="688" w:type="dxa"/>
            <w:tcBorders>
              <w:top w:val="nil"/>
              <w:left w:val="nil"/>
              <w:bottom w:val="nil"/>
              <w:right w:val="nil"/>
            </w:tcBorders>
            <w:vAlign w:val="center"/>
          </w:tcPr>
          <w:p w14:paraId="76294227"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3.18</w:t>
            </w:r>
          </w:p>
        </w:tc>
        <w:tc>
          <w:tcPr>
            <w:tcW w:w="656" w:type="dxa"/>
            <w:tcBorders>
              <w:top w:val="nil"/>
              <w:left w:val="nil"/>
              <w:bottom w:val="nil"/>
              <w:right w:val="nil"/>
            </w:tcBorders>
            <w:vAlign w:val="center"/>
          </w:tcPr>
          <w:p w14:paraId="27DBDC0A"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1.61</w:t>
            </w:r>
          </w:p>
        </w:tc>
        <w:tc>
          <w:tcPr>
            <w:tcW w:w="694" w:type="dxa"/>
            <w:tcBorders>
              <w:top w:val="nil"/>
              <w:left w:val="nil"/>
              <w:bottom w:val="nil"/>
              <w:right w:val="nil"/>
            </w:tcBorders>
            <w:vAlign w:val="center"/>
          </w:tcPr>
          <w:p w14:paraId="38952780"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0.46</w:t>
            </w:r>
          </w:p>
        </w:tc>
        <w:tc>
          <w:tcPr>
            <w:tcW w:w="688" w:type="dxa"/>
            <w:tcBorders>
              <w:top w:val="nil"/>
              <w:left w:val="nil"/>
              <w:bottom w:val="nil"/>
              <w:right w:val="nil"/>
            </w:tcBorders>
            <w:vAlign w:val="center"/>
          </w:tcPr>
          <w:p w14:paraId="4D19385C"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0.59</w:t>
            </w:r>
          </w:p>
        </w:tc>
        <w:tc>
          <w:tcPr>
            <w:tcW w:w="688" w:type="dxa"/>
            <w:tcBorders>
              <w:top w:val="nil"/>
              <w:left w:val="nil"/>
              <w:bottom w:val="nil"/>
              <w:right w:val="nil"/>
            </w:tcBorders>
            <w:vAlign w:val="center"/>
          </w:tcPr>
          <w:p w14:paraId="5B93F99C"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-0.2</w:t>
            </w:r>
            <w:r>
              <w:rPr>
                <w:rFonts w:ascii="Times New Roman" w:hAnsi="Times New Roman"/>
                <w:color w:val="000000"/>
                <w:sz w:val="18"/>
                <w:szCs w:val="18"/>
              </w:rPr>
              <w:t>0</w:t>
            </w:r>
          </w:p>
        </w:tc>
        <w:tc>
          <w:tcPr>
            <w:tcW w:w="656" w:type="dxa"/>
            <w:tcBorders>
              <w:top w:val="nil"/>
              <w:left w:val="nil"/>
              <w:bottom w:val="nil"/>
              <w:right w:val="nil"/>
            </w:tcBorders>
            <w:vAlign w:val="center"/>
          </w:tcPr>
          <w:p w14:paraId="56DBCDDB"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0.77</w:t>
            </w:r>
          </w:p>
        </w:tc>
        <w:tc>
          <w:tcPr>
            <w:tcW w:w="849" w:type="dxa"/>
            <w:tcBorders>
              <w:top w:val="nil"/>
              <w:left w:val="nil"/>
              <w:bottom w:val="nil"/>
              <w:right w:val="nil"/>
            </w:tcBorders>
            <w:vAlign w:val="center"/>
          </w:tcPr>
          <w:p w14:paraId="497531E2"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-1.63</w:t>
            </w:r>
          </w:p>
        </w:tc>
        <w:tc>
          <w:tcPr>
            <w:tcW w:w="1036" w:type="dxa"/>
            <w:tcBorders>
              <w:top w:val="nil"/>
              <w:left w:val="nil"/>
              <w:bottom w:val="nil"/>
              <w:right w:val="nil"/>
            </w:tcBorders>
          </w:tcPr>
          <w:p w14:paraId="30079773" w14:textId="77777777" w:rsidR="00C45588" w:rsidRPr="00A422D4" w:rsidRDefault="00C45588" w:rsidP="00DD653F">
            <w:pPr>
              <w:spacing w:after="0"/>
              <w:jc w:val="center"/>
              <w:rPr>
                <w:rFonts w:ascii="Times New Roman" w:hAnsi="Times New Roman"/>
                <w:color w:val="000000"/>
                <w:sz w:val="18"/>
                <w:szCs w:val="18"/>
              </w:rPr>
            </w:pPr>
            <w:r>
              <w:rPr>
                <w:rFonts w:ascii="Times New Roman" w:hAnsi="Times New Roman"/>
                <w:color w:val="000000"/>
                <w:sz w:val="18"/>
                <w:szCs w:val="18"/>
              </w:rPr>
              <w:t>-0.00042</w:t>
            </w:r>
          </w:p>
        </w:tc>
      </w:tr>
      <w:tr w:rsidR="00C45588" w:rsidRPr="00F25D19" w14:paraId="0443A816" w14:textId="77777777" w:rsidTr="00224673">
        <w:trPr>
          <w:trHeight w:val="178"/>
          <w:jc w:val="center"/>
        </w:trPr>
        <w:tc>
          <w:tcPr>
            <w:tcW w:w="585" w:type="dxa"/>
            <w:tcBorders>
              <w:top w:val="nil"/>
              <w:left w:val="nil"/>
              <w:bottom w:val="nil"/>
              <w:right w:val="nil"/>
            </w:tcBorders>
          </w:tcPr>
          <w:p w14:paraId="63A10617" w14:textId="77777777" w:rsidR="00C45588" w:rsidRPr="00F25D19" w:rsidRDefault="00C45588" w:rsidP="00A3023B">
            <w:pPr>
              <w:spacing w:after="0" w:line="240" w:lineRule="auto"/>
              <w:jc w:val="both"/>
              <w:outlineLvl w:val="0"/>
              <w:rPr>
                <w:rFonts w:ascii="Times New Roman" w:hAnsi="Times New Roman"/>
                <w:sz w:val="18"/>
                <w:szCs w:val="18"/>
              </w:rPr>
            </w:pPr>
            <w:r w:rsidRPr="00F25D19">
              <w:rPr>
                <w:rFonts w:ascii="Times New Roman" w:hAnsi="Times New Roman"/>
                <w:sz w:val="18"/>
                <w:szCs w:val="18"/>
              </w:rPr>
              <w:t>2</w:t>
            </w:r>
          </w:p>
        </w:tc>
        <w:tc>
          <w:tcPr>
            <w:tcW w:w="970" w:type="dxa"/>
            <w:tcBorders>
              <w:top w:val="nil"/>
              <w:left w:val="nil"/>
              <w:bottom w:val="nil"/>
              <w:right w:val="nil"/>
            </w:tcBorders>
          </w:tcPr>
          <w:p w14:paraId="33737E64" w14:textId="77777777" w:rsidR="00C45588" w:rsidRPr="00F25D19" w:rsidRDefault="00C45588" w:rsidP="00DD653F">
            <w:pPr>
              <w:spacing w:after="0" w:line="240" w:lineRule="auto"/>
              <w:outlineLvl w:val="0"/>
              <w:rPr>
                <w:rFonts w:ascii="Times New Roman" w:hAnsi="Times New Roman"/>
                <w:sz w:val="18"/>
                <w:szCs w:val="18"/>
              </w:rPr>
            </w:pPr>
            <w:r w:rsidRPr="00F25D19">
              <w:rPr>
                <w:rFonts w:ascii="Times New Roman" w:hAnsi="Times New Roman"/>
                <w:sz w:val="18"/>
                <w:szCs w:val="18"/>
              </w:rPr>
              <w:t>S</w:t>
            </w:r>
            <w:r>
              <w:rPr>
                <w:rFonts w:ascii="Times New Roman" w:hAnsi="Times New Roman"/>
                <w:sz w:val="18"/>
                <w:szCs w:val="18"/>
              </w:rPr>
              <w:t>trategy</w:t>
            </w:r>
            <w:r w:rsidRPr="00F25D19">
              <w:rPr>
                <w:rFonts w:ascii="Times New Roman" w:hAnsi="Times New Roman"/>
                <w:sz w:val="18"/>
                <w:szCs w:val="18"/>
              </w:rPr>
              <w:t xml:space="preserve"> 1</w:t>
            </w:r>
          </w:p>
        </w:tc>
        <w:tc>
          <w:tcPr>
            <w:tcW w:w="649" w:type="dxa"/>
            <w:tcBorders>
              <w:top w:val="nil"/>
              <w:left w:val="nil"/>
              <w:bottom w:val="nil"/>
              <w:right w:val="nil"/>
            </w:tcBorders>
            <w:vAlign w:val="center"/>
          </w:tcPr>
          <w:p w14:paraId="70C49A97"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31</w:t>
            </w:r>
          </w:p>
        </w:tc>
        <w:tc>
          <w:tcPr>
            <w:tcW w:w="727" w:type="dxa"/>
            <w:tcBorders>
              <w:top w:val="nil"/>
              <w:left w:val="nil"/>
              <w:bottom w:val="nil"/>
              <w:right w:val="nil"/>
            </w:tcBorders>
            <w:vAlign w:val="center"/>
          </w:tcPr>
          <w:p w14:paraId="416B9202"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-0.23</w:t>
            </w:r>
          </w:p>
        </w:tc>
        <w:tc>
          <w:tcPr>
            <w:tcW w:w="893" w:type="dxa"/>
            <w:tcBorders>
              <w:top w:val="nil"/>
              <w:left w:val="nil"/>
              <w:bottom w:val="nil"/>
              <w:right w:val="nil"/>
            </w:tcBorders>
            <w:vAlign w:val="center"/>
          </w:tcPr>
          <w:p w14:paraId="56CD3A01"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-0.21</w:t>
            </w:r>
          </w:p>
        </w:tc>
        <w:tc>
          <w:tcPr>
            <w:tcW w:w="688" w:type="dxa"/>
            <w:tcBorders>
              <w:top w:val="nil"/>
              <w:left w:val="nil"/>
              <w:bottom w:val="nil"/>
              <w:right w:val="nil"/>
            </w:tcBorders>
            <w:vAlign w:val="center"/>
          </w:tcPr>
          <w:p w14:paraId="1A372C0E"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-1.33</w:t>
            </w:r>
          </w:p>
        </w:tc>
        <w:tc>
          <w:tcPr>
            <w:tcW w:w="688" w:type="dxa"/>
            <w:tcBorders>
              <w:top w:val="nil"/>
              <w:left w:val="nil"/>
              <w:bottom w:val="nil"/>
              <w:right w:val="nil"/>
            </w:tcBorders>
            <w:vAlign w:val="center"/>
          </w:tcPr>
          <w:p w14:paraId="51A1D9F2"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0.13</w:t>
            </w:r>
          </w:p>
        </w:tc>
        <w:tc>
          <w:tcPr>
            <w:tcW w:w="656" w:type="dxa"/>
            <w:tcBorders>
              <w:top w:val="nil"/>
              <w:left w:val="nil"/>
              <w:bottom w:val="nil"/>
              <w:right w:val="nil"/>
            </w:tcBorders>
            <w:vAlign w:val="center"/>
          </w:tcPr>
          <w:p w14:paraId="4932EFFB"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0.25</w:t>
            </w:r>
          </w:p>
        </w:tc>
        <w:tc>
          <w:tcPr>
            <w:tcW w:w="694" w:type="dxa"/>
            <w:tcBorders>
              <w:top w:val="nil"/>
              <w:left w:val="nil"/>
              <w:bottom w:val="nil"/>
              <w:right w:val="nil"/>
            </w:tcBorders>
            <w:vAlign w:val="center"/>
          </w:tcPr>
          <w:p w14:paraId="422D4C92"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-2.62</w:t>
            </w:r>
          </w:p>
        </w:tc>
        <w:tc>
          <w:tcPr>
            <w:tcW w:w="688" w:type="dxa"/>
            <w:tcBorders>
              <w:top w:val="nil"/>
              <w:left w:val="nil"/>
              <w:bottom w:val="nil"/>
              <w:right w:val="nil"/>
            </w:tcBorders>
            <w:vAlign w:val="center"/>
          </w:tcPr>
          <w:p w14:paraId="5EDF5574"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11.22</w:t>
            </w:r>
          </w:p>
        </w:tc>
        <w:tc>
          <w:tcPr>
            <w:tcW w:w="688" w:type="dxa"/>
            <w:tcBorders>
              <w:top w:val="nil"/>
              <w:left w:val="nil"/>
              <w:bottom w:val="nil"/>
              <w:right w:val="nil"/>
            </w:tcBorders>
            <w:vAlign w:val="center"/>
          </w:tcPr>
          <w:p w14:paraId="38DE29DE"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0.</w:t>
            </w:r>
            <w:r>
              <w:rPr>
                <w:rFonts w:ascii="Times New Roman" w:hAnsi="Times New Roman"/>
                <w:color w:val="000000"/>
                <w:sz w:val="18"/>
                <w:szCs w:val="18"/>
              </w:rPr>
              <w:t>12</w:t>
            </w:r>
          </w:p>
        </w:tc>
        <w:tc>
          <w:tcPr>
            <w:tcW w:w="656" w:type="dxa"/>
            <w:tcBorders>
              <w:top w:val="nil"/>
              <w:left w:val="nil"/>
              <w:bottom w:val="nil"/>
              <w:right w:val="nil"/>
            </w:tcBorders>
            <w:vAlign w:val="center"/>
          </w:tcPr>
          <w:p w14:paraId="3DF9049D"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0.9</w:t>
            </w:r>
            <w:r>
              <w:rPr>
                <w:rFonts w:ascii="Times New Roman" w:hAnsi="Times New Roman"/>
                <w:color w:val="000000"/>
                <w:sz w:val="18"/>
                <w:szCs w:val="18"/>
              </w:rPr>
              <w:t>0</w:t>
            </w:r>
          </w:p>
        </w:tc>
        <w:tc>
          <w:tcPr>
            <w:tcW w:w="849" w:type="dxa"/>
            <w:tcBorders>
              <w:top w:val="nil"/>
              <w:left w:val="nil"/>
              <w:bottom w:val="nil"/>
              <w:right w:val="nil"/>
            </w:tcBorders>
            <w:vAlign w:val="center"/>
          </w:tcPr>
          <w:p w14:paraId="1532C225"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-3.11</w:t>
            </w:r>
          </w:p>
        </w:tc>
        <w:tc>
          <w:tcPr>
            <w:tcW w:w="1036" w:type="dxa"/>
            <w:tcBorders>
              <w:top w:val="nil"/>
              <w:left w:val="nil"/>
              <w:bottom w:val="nil"/>
              <w:right w:val="nil"/>
            </w:tcBorders>
          </w:tcPr>
          <w:p w14:paraId="574EC761" w14:textId="77777777" w:rsidR="00C45588" w:rsidRPr="00A422D4" w:rsidRDefault="00C45588" w:rsidP="00DD653F">
            <w:pPr>
              <w:spacing w:after="0"/>
              <w:jc w:val="center"/>
              <w:rPr>
                <w:rFonts w:ascii="Times New Roman" w:hAnsi="Times New Roman"/>
                <w:color w:val="000000"/>
                <w:sz w:val="18"/>
                <w:szCs w:val="18"/>
              </w:rPr>
            </w:pPr>
            <w:r>
              <w:rPr>
                <w:rFonts w:ascii="Times New Roman" w:hAnsi="Times New Roman"/>
                <w:color w:val="000000"/>
                <w:sz w:val="18"/>
                <w:szCs w:val="18"/>
              </w:rPr>
              <w:t>-0.00002</w:t>
            </w:r>
          </w:p>
        </w:tc>
      </w:tr>
      <w:tr w:rsidR="00C45588" w:rsidRPr="00F25D19" w14:paraId="25DD0344" w14:textId="77777777" w:rsidTr="00224673">
        <w:trPr>
          <w:trHeight w:val="189"/>
          <w:jc w:val="center"/>
        </w:trPr>
        <w:tc>
          <w:tcPr>
            <w:tcW w:w="585" w:type="dxa"/>
            <w:tcBorders>
              <w:top w:val="nil"/>
              <w:left w:val="nil"/>
              <w:bottom w:val="nil"/>
              <w:right w:val="nil"/>
            </w:tcBorders>
          </w:tcPr>
          <w:p w14:paraId="32941149" w14:textId="77777777" w:rsidR="00C45588" w:rsidRPr="00F25D19" w:rsidRDefault="00C45588" w:rsidP="00A3023B">
            <w:pPr>
              <w:spacing w:after="0" w:line="240" w:lineRule="auto"/>
              <w:jc w:val="both"/>
              <w:outlineLvl w:val="0"/>
              <w:rPr>
                <w:rFonts w:ascii="Times New Roman" w:hAnsi="Times New Roman"/>
                <w:sz w:val="18"/>
                <w:szCs w:val="18"/>
              </w:rPr>
            </w:pPr>
          </w:p>
        </w:tc>
        <w:tc>
          <w:tcPr>
            <w:tcW w:w="970" w:type="dxa"/>
            <w:tcBorders>
              <w:top w:val="nil"/>
              <w:left w:val="nil"/>
              <w:bottom w:val="nil"/>
              <w:right w:val="nil"/>
            </w:tcBorders>
          </w:tcPr>
          <w:p w14:paraId="7567E752" w14:textId="77777777" w:rsidR="00C45588" w:rsidRPr="00F25D19" w:rsidRDefault="00C45588" w:rsidP="00DD653F">
            <w:pPr>
              <w:spacing w:after="0" w:line="240" w:lineRule="auto"/>
              <w:outlineLvl w:val="0"/>
              <w:rPr>
                <w:rFonts w:ascii="Times New Roman" w:hAnsi="Times New Roman"/>
                <w:sz w:val="18"/>
                <w:szCs w:val="18"/>
              </w:rPr>
            </w:pPr>
            <w:r w:rsidRPr="00F25D19">
              <w:rPr>
                <w:rFonts w:ascii="Times New Roman" w:hAnsi="Times New Roman"/>
                <w:sz w:val="18"/>
                <w:szCs w:val="18"/>
              </w:rPr>
              <w:t>S</w:t>
            </w:r>
            <w:r>
              <w:rPr>
                <w:rFonts w:ascii="Times New Roman" w:hAnsi="Times New Roman"/>
                <w:sz w:val="18"/>
                <w:szCs w:val="18"/>
              </w:rPr>
              <w:t>trategy</w:t>
            </w:r>
            <w:r w:rsidRPr="00F25D19">
              <w:rPr>
                <w:rFonts w:ascii="Times New Roman" w:hAnsi="Times New Roman"/>
                <w:sz w:val="18"/>
                <w:szCs w:val="18"/>
              </w:rPr>
              <w:t xml:space="preserve"> 2</w:t>
            </w:r>
          </w:p>
        </w:tc>
        <w:tc>
          <w:tcPr>
            <w:tcW w:w="649" w:type="dxa"/>
            <w:tcBorders>
              <w:top w:val="nil"/>
              <w:left w:val="nil"/>
              <w:bottom w:val="nil"/>
              <w:right w:val="nil"/>
            </w:tcBorders>
            <w:vAlign w:val="center"/>
          </w:tcPr>
          <w:p w14:paraId="2E2231C5"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31</w:t>
            </w:r>
          </w:p>
        </w:tc>
        <w:tc>
          <w:tcPr>
            <w:tcW w:w="727" w:type="dxa"/>
            <w:tcBorders>
              <w:top w:val="nil"/>
              <w:left w:val="nil"/>
              <w:bottom w:val="nil"/>
              <w:right w:val="nil"/>
            </w:tcBorders>
            <w:vAlign w:val="center"/>
          </w:tcPr>
          <w:p w14:paraId="70DC2B81"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-0.2</w:t>
            </w:r>
            <w:r>
              <w:rPr>
                <w:rFonts w:ascii="Times New Roman" w:hAnsi="Times New Roman"/>
                <w:color w:val="000000"/>
                <w:sz w:val="18"/>
                <w:szCs w:val="18"/>
              </w:rPr>
              <w:t>3</w:t>
            </w:r>
          </w:p>
        </w:tc>
        <w:tc>
          <w:tcPr>
            <w:tcW w:w="893" w:type="dxa"/>
            <w:tcBorders>
              <w:top w:val="nil"/>
              <w:left w:val="nil"/>
              <w:bottom w:val="nil"/>
              <w:right w:val="nil"/>
            </w:tcBorders>
            <w:vAlign w:val="center"/>
          </w:tcPr>
          <w:p w14:paraId="497DE501"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-0.19</w:t>
            </w:r>
          </w:p>
        </w:tc>
        <w:tc>
          <w:tcPr>
            <w:tcW w:w="688" w:type="dxa"/>
            <w:tcBorders>
              <w:top w:val="nil"/>
              <w:left w:val="nil"/>
              <w:bottom w:val="nil"/>
              <w:right w:val="nil"/>
            </w:tcBorders>
            <w:vAlign w:val="center"/>
          </w:tcPr>
          <w:p w14:paraId="7DC73BFD"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-1.3</w:t>
            </w:r>
            <w:r>
              <w:rPr>
                <w:rFonts w:ascii="Times New Roman" w:hAnsi="Times New Roman"/>
                <w:color w:val="000000"/>
                <w:sz w:val="18"/>
                <w:szCs w:val="18"/>
              </w:rPr>
              <w:t>0</w:t>
            </w:r>
          </w:p>
        </w:tc>
        <w:tc>
          <w:tcPr>
            <w:tcW w:w="688" w:type="dxa"/>
            <w:tcBorders>
              <w:top w:val="nil"/>
              <w:left w:val="nil"/>
              <w:bottom w:val="nil"/>
              <w:right w:val="nil"/>
            </w:tcBorders>
            <w:vAlign w:val="center"/>
          </w:tcPr>
          <w:p w14:paraId="5F5556F0"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0.16</w:t>
            </w:r>
          </w:p>
        </w:tc>
        <w:tc>
          <w:tcPr>
            <w:tcW w:w="656" w:type="dxa"/>
            <w:tcBorders>
              <w:top w:val="nil"/>
              <w:left w:val="nil"/>
              <w:bottom w:val="nil"/>
              <w:right w:val="nil"/>
            </w:tcBorders>
            <w:vAlign w:val="center"/>
          </w:tcPr>
          <w:p w14:paraId="67F5231B"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0.26</w:t>
            </w:r>
          </w:p>
        </w:tc>
        <w:tc>
          <w:tcPr>
            <w:tcW w:w="694" w:type="dxa"/>
            <w:tcBorders>
              <w:top w:val="nil"/>
              <w:left w:val="nil"/>
              <w:bottom w:val="nil"/>
              <w:right w:val="nil"/>
            </w:tcBorders>
            <w:vAlign w:val="center"/>
          </w:tcPr>
          <w:p w14:paraId="4250AE8E"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-2.5</w:t>
            </w:r>
            <w:r>
              <w:rPr>
                <w:rFonts w:ascii="Times New Roman" w:hAnsi="Times New Roman"/>
                <w:color w:val="000000"/>
                <w:sz w:val="18"/>
                <w:szCs w:val="18"/>
              </w:rPr>
              <w:t>0</w:t>
            </w:r>
          </w:p>
        </w:tc>
        <w:tc>
          <w:tcPr>
            <w:tcW w:w="688" w:type="dxa"/>
            <w:tcBorders>
              <w:top w:val="nil"/>
              <w:left w:val="nil"/>
              <w:bottom w:val="nil"/>
              <w:right w:val="nil"/>
            </w:tcBorders>
            <w:vAlign w:val="center"/>
          </w:tcPr>
          <w:p w14:paraId="2C455F12" w14:textId="77777777" w:rsidR="00C45588" w:rsidRPr="00A422D4" w:rsidRDefault="00C45588" w:rsidP="00DD653F">
            <w:pPr>
              <w:spacing w:after="0"/>
              <w:jc w:val="both"/>
              <w:rPr>
                <w:rFonts w:ascii="Times New Roman" w:hAnsi="Times New Roman"/>
                <w:color w:val="000000"/>
                <w:sz w:val="18"/>
                <w:szCs w:val="18"/>
              </w:rPr>
            </w:pPr>
            <w:r>
              <w:rPr>
                <w:rFonts w:ascii="Times New Roman" w:hAnsi="Times New Roman"/>
                <w:color w:val="000000"/>
                <w:sz w:val="18"/>
                <w:szCs w:val="18"/>
              </w:rPr>
              <w:t>10</w:t>
            </w:r>
            <w:r w:rsidRPr="00A422D4">
              <w:rPr>
                <w:rFonts w:ascii="Times New Roman" w:hAnsi="Times New Roman"/>
                <w:color w:val="000000"/>
                <w:sz w:val="18"/>
                <w:szCs w:val="18"/>
              </w:rPr>
              <w:t>.</w:t>
            </w:r>
            <w:r>
              <w:rPr>
                <w:rFonts w:ascii="Times New Roman" w:hAnsi="Times New Roman"/>
                <w:color w:val="000000"/>
                <w:sz w:val="18"/>
                <w:szCs w:val="18"/>
              </w:rPr>
              <w:t>08</w:t>
            </w:r>
          </w:p>
        </w:tc>
        <w:tc>
          <w:tcPr>
            <w:tcW w:w="688" w:type="dxa"/>
            <w:tcBorders>
              <w:top w:val="nil"/>
              <w:left w:val="nil"/>
              <w:bottom w:val="nil"/>
              <w:right w:val="nil"/>
            </w:tcBorders>
            <w:vAlign w:val="center"/>
          </w:tcPr>
          <w:p w14:paraId="7C5CF513"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0.</w:t>
            </w:r>
            <w:r>
              <w:rPr>
                <w:rFonts w:ascii="Times New Roman" w:hAnsi="Times New Roman"/>
                <w:color w:val="000000"/>
                <w:sz w:val="18"/>
                <w:szCs w:val="18"/>
              </w:rPr>
              <w:t>15</w:t>
            </w:r>
          </w:p>
        </w:tc>
        <w:tc>
          <w:tcPr>
            <w:tcW w:w="656" w:type="dxa"/>
            <w:tcBorders>
              <w:top w:val="nil"/>
              <w:left w:val="nil"/>
              <w:bottom w:val="nil"/>
              <w:right w:val="nil"/>
            </w:tcBorders>
            <w:vAlign w:val="center"/>
          </w:tcPr>
          <w:p w14:paraId="1532DB4E"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0.</w:t>
            </w:r>
            <w:r>
              <w:rPr>
                <w:rFonts w:ascii="Times New Roman" w:hAnsi="Times New Roman"/>
                <w:color w:val="000000"/>
                <w:sz w:val="18"/>
                <w:szCs w:val="18"/>
              </w:rPr>
              <w:t>90</w:t>
            </w:r>
          </w:p>
        </w:tc>
        <w:tc>
          <w:tcPr>
            <w:tcW w:w="849" w:type="dxa"/>
            <w:tcBorders>
              <w:top w:val="nil"/>
              <w:left w:val="nil"/>
              <w:bottom w:val="nil"/>
              <w:right w:val="nil"/>
            </w:tcBorders>
            <w:vAlign w:val="center"/>
          </w:tcPr>
          <w:p w14:paraId="5B140D7C"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-3.0</w:t>
            </w:r>
            <w:r>
              <w:rPr>
                <w:rFonts w:ascii="Times New Roman" w:hAnsi="Times New Roman"/>
                <w:color w:val="000000"/>
                <w:sz w:val="18"/>
                <w:szCs w:val="18"/>
              </w:rPr>
              <w:t>9</w:t>
            </w:r>
          </w:p>
        </w:tc>
        <w:tc>
          <w:tcPr>
            <w:tcW w:w="1036" w:type="dxa"/>
            <w:tcBorders>
              <w:top w:val="nil"/>
              <w:left w:val="nil"/>
              <w:bottom w:val="nil"/>
              <w:right w:val="nil"/>
            </w:tcBorders>
          </w:tcPr>
          <w:p w14:paraId="2B563932" w14:textId="77777777" w:rsidR="00C45588" w:rsidRPr="00A422D4" w:rsidRDefault="00C45588" w:rsidP="00DD653F">
            <w:pPr>
              <w:spacing w:after="0"/>
              <w:jc w:val="center"/>
              <w:rPr>
                <w:rFonts w:ascii="Times New Roman" w:hAnsi="Times New Roman"/>
                <w:color w:val="000000"/>
                <w:sz w:val="18"/>
                <w:szCs w:val="18"/>
              </w:rPr>
            </w:pPr>
            <w:r>
              <w:rPr>
                <w:rFonts w:ascii="Times New Roman" w:hAnsi="Times New Roman"/>
                <w:color w:val="000000"/>
                <w:sz w:val="18"/>
                <w:szCs w:val="18"/>
              </w:rPr>
              <w:t>-0.00002</w:t>
            </w:r>
          </w:p>
        </w:tc>
      </w:tr>
      <w:tr w:rsidR="00C45588" w:rsidRPr="00F25D19" w14:paraId="7589CA3D" w14:textId="77777777" w:rsidTr="00224673">
        <w:trPr>
          <w:trHeight w:val="178"/>
          <w:jc w:val="center"/>
        </w:trPr>
        <w:tc>
          <w:tcPr>
            <w:tcW w:w="585" w:type="dxa"/>
            <w:tcBorders>
              <w:top w:val="nil"/>
              <w:left w:val="nil"/>
              <w:bottom w:val="nil"/>
              <w:right w:val="nil"/>
            </w:tcBorders>
          </w:tcPr>
          <w:p w14:paraId="2AD301D9" w14:textId="77777777" w:rsidR="00C45588" w:rsidRPr="00F25D19" w:rsidRDefault="00C45588" w:rsidP="00A3023B">
            <w:pPr>
              <w:spacing w:after="0" w:line="240" w:lineRule="auto"/>
              <w:jc w:val="both"/>
              <w:outlineLvl w:val="0"/>
              <w:rPr>
                <w:rFonts w:ascii="Times New Roman" w:hAnsi="Times New Roman"/>
                <w:sz w:val="18"/>
                <w:szCs w:val="18"/>
              </w:rPr>
            </w:pPr>
          </w:p>
        </w:tc>
        <w:tc>
          <w:tcPr>
            <w:tcW w:w="970" w:type="dxa"/>
            <w:tcBorders>
              <w:top w:val="nil"/>
              <w:left w:val="nil"/>
              <w:bottom w:val="nil"/>
              <w:right w:val="nil"/>
            </w:tcBorders>
          </w:tcPr>
          <w:p w14:paraId="7BFAB9DF" w14:textId="77777777" w:rsidR="00C45588" w:rsidRPr="00F25D19" w:rsidRDefault="00C45588" w:rsidP="00DD653F">
            <w:pPr>
              <w:spacing w:after="0" w:line="240" w:lineRule="auto"/>
              <w:outlineLvl w:val="0"/>
              <w:rPr>
                <w:rFonts w:ascii="Times New Roman" w:hAnsi="Times New Roman"/>
                <w:sz w:val="18"/>
                <w:szCs w:val="18"/>
              </w:rPr>
            </w:pPr>
            <w:r w:rsidRPr="00F25D19">
              <w:rPr>
                <w:rFonts w:ascii="Times New Roman" w:hAnsi="Times New Roman"/>
                <w:sz w:val="18"/>
                <w:szCs w:val="18"/>
              </w:rPr>
              <w:t>S</w:t>
            </w:r>
            <w:r>
              <w:rPr>
                <w:rFonts w:ascii="Times New Roman" w:hAnsi="Times New Roman"/>
                <w:sz w:val="18"/>
                <w:szCs w:val="18"/>
              </w:rPr>
              <w:t>trategy</w:t>
            </w:r>
            <w:r w:rsidRPr="00F25D19">
              <w:rPr>
                <w:rFonts w:ascii="Times New Roman" w:hAnsi="Times New Roman"/>
                <w:sz w:val="18"/>
                <w:szCs w:val="18"/>
              </w:rPr>
              <w:t xml:space="preserve"> 3</w:t>
            </w:r>
          </w:p>
        </w:tc>
        <w:tc>
          <w:tcPr>
            <w:tcW w:w="649" w:type="dxa"/>
            <w:tcBorders>
              <w:top w:val="nil"/>
              <w:left w:val="nil"/>
              <w:bottom w:val="nil"/>
              <w:right w:val="nil"/>
            </w:tcBorders>
            <w:vAlign w:val="center"/>
          </w:tcPr>
          <w:p w14:paraId="5CB98A42"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31</w:t>
            </w:r>
          </w:p>
        </w:tc>
        <w:tc>
          <w:tcPr>
            <w:tcW w:w="727" w:type="dxa"/>
            <w:tcBorders>
              <w:top w:val="nil"/>
              <w:left w:val="nil"/>
              <w:bottom w:val="nil"/>
              <w:right w:val="nil"/>
            </w:tcBorders>
            <w:vAlign w:val="center"/>
          </w:tcPr>
          <w:p w14:paraId="54F9F5B2"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-1.08</w:t>
            </w:r>
          </w:p>
        </w:tc>
        <w:tc>
          <w:tcPr>
            <w:tcW w:w="893" w:type="dxa"/>
            <w:tcBorders>
              <w:top w:val="nil"/>
              <w:left w:val="nil"/>
              <w:bottom w:val="nil"/>
              <w:right w:val="nil"/>
            </w:tcBorders>
            <w:vAlign w:val="center"/>
          </w:tcPr>
          <w:p w14:paraId="145380D6"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-1.15</w:t>
            </w:r>
          </w:p>
        </w:tc>
        <w:tc>
          <w:tcPr>
            <w:tcW w:w="688" w:type="dxa"/>
            <w:tcBorders>
              <w:top w:val="nil"/>
              <w:left w:val="nil"/>
              <w:bottom w:val="nil"/>
              <w:right w:val="nil"/>
            </w:tcBorders>
            <w:vAlign w:val="center"/>
          </w:tcPr>
          <w:p w14:paraId="62825D0B"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-4.89</w:t>
            </w:r>
          </w:p>
        </w:tc>
        <w:tc>
          <w:tcPr>
            <w:tcW w:w="688" w:type="dxa"/>
            <w:tcBorders>
              <w:top w:val="nil"/>
              <w:left w:val="nil"/>
              <w:bottom w:val="nil"/>
              <w:right w:val="nil"/>
            </w:tcBorders>
            <w:vAlign w:val="center"/>
          </w:tcPr>
          <w:p w14:paraId="3E385DE4"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3.45</w:t>
            </w:r>
          </w:p>
        </w:tc>
        <w:tc>
          <w:tcPr>
            <w:tcW w:w="656" w:type="dxa"/>
            <w:tcBorders>
              <w:top w:val="nil"/>
              <w:left w:val="nil"/>
              <w:bottom w:val="nil"/>
              <w:right w:val="nil"/>
            </w:tcBorders>
            <w:vAlign w:val="center"/>
          </w:tcPr>
          <w:p w14:paraId="1376C714"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1.94</w:t>
            </w:r>
          </w:p>
        </w:tc>
        <w:tc>
          <w:tcPr>
            <w:tcW w:w="694" w:type="dxa"/>
            <w:tcBorders>
              <w:top w:val="nil"/>
              <w:left w:val="nil"/>
              <w:bottom w:val="nil"/>
              <w:right w:val="nil"/>
            </w:tcBorders>
            <w:vAlign w:val="center"/>
          </w:tcPr>
          <w:p w14:paraId="4EBFF62C"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0.52</w:t>
            </w:r>
          </w:p>
        </w:tc>
        <w:tc>
          <w:tcPr>
            <w:tcW w:w="688" w:type="dxa"/>
            <w:tcBorders>
              <w:top w:val="nil"/>
              <w:left w:val="nil"/>
              <w:bottom w:val="nil"/>
              <w:right w:val="nil"/>
            </w:tcBorders>
            <w:vAlign w:val="center"/>
          </w:tcPr>
          <w:p w14:paraId="3553E0C2"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0.48</w:t>
            </w:r>
          </w:p>
        </w:tc>
        <w:tc>
          <w:tcPr>
            <w:tcW w:w="688" w:type="dxa"/>
            <w:tcBorders>
              <w:top w:val="nil"/>
              <w:left w:val="nil"/>
              <w:bottom w:val="nil"/>
              <w:right w:val="nil"/>
            </w:tcBorders>
            <w:vAlign w:val="center"/>
          </w:tcPr>
          <w:p w14:paraId="6DE24618"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-0.2</w:t>
            </w:r>
            <w:r>
              <w:rPr>
                <w:rFonts w:ascii="Times New Roman" w:hAnsi="Times New Roman"/>
                <w:color w:val="000000"/>
                <w:sz w:val="18"/>
                <w:szCs w:val="18"/>
              </w:rPr>
              <w:t>8</w:t>
            </w:r>
          </w:p>
        </w:tc>
        <w:tc>
          <w:tcPr>
            <w:tcW w:w="656" w:type="dxa"/>
            <w:tcBorders>
              <w:top w:val="nil"/>
              <w:left w:val="nil"/>
              <w:bottom w:val="nil"/>
              <w:right w:val="nil"/>
            </w:tcBorders>
            <w:vAlign w:val="center"/>
          </w:tcPr>
          <w:p w14:paraId="1CA7FBD6"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0.77</w:t>
            </w:r>
          </w:p>
        </w:tc>
        <w:tc>
          <w:tcPr>
            <w:tcW w:w="849" w:type="dxa"/>
            <w:tcBorders>
              <w:top w:val="nil"/>
              <w:left w:val="nil"/>
              <w:bottom w:val="nil"/>
              <w:right w:val="nil"/>
            </w:tcBorders>
            <w:vAlign w:val="center"/>
          </w:tcPr>
          <w:p w14:paraId="7374F09E"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-1.93</w:t>
            </w:r>
          </w:p>
        </w:tc>
        <w:tc>
          <w:tcPr>
            <w:tcW w:w="1036" w:type="dxa"/>
            <w:tcBorders>
              <w:top w:val="nil"/>
              <w:left w:val="nil"/>
              <w:bottom w:val="nil"/>
              <w:right w:val="nil"/>
            </w:tcBorders>
          </w:tcPr>
          <w:p w14:paraId="683FE039" w14:textId="77777777" w:rsidR="00C45588" w:rsidRPr="00A422D4" w:rsidRDefault="00C45588" w:rsidP="00DD653F">
            <w:pPr>
              <w:spacing w:after="0"/>
              <w:jc w:val="center"/>
              <w:rPr>
                <w:rFonts w:ascii="Times New Roman" w:hAnsi="Times New Roman"/>
                <w:color w:val="000000"/>
                <w:sz w:val="18"/>
                <w:szCs w:val="18"/>
              </w:rPr>
            </w:pPr>
            <w:r>
              <w:rPr>
                <w:rFonts w:ascii="Times New Roman" w:hAnsi="Times New Roman"/>
                <w:color w:val="000000"/>
                <w:sz w:val="18"/>
                <w:szCs w:val="18"/>
              </w:rPr>
              <w:t>-0.00073</w:t>
            </w:r>
          </w:p>
        </w:tc>
      </w:tr>
      <w:tr w:rsidR="00C45588" w:rsidRPr="00F25D19" w14:paraId="5BA693AB" w14:textId="77777777" w:rsidTr="00224673">
        <w:trPr>
          <w:trHeight w:val="189"/>
          <w:jc w:val="center"/>
        </w:trPr>
        <w:tc>
          <w:tcPr>
            <w:tcW w:w="585" w:type="dxa"/>
            <w:tcBorders>
              <w:top w:val="nil"/>
              <w:left w:val="nil"/>
              <w:bottom w:val="nil"/>
              <w:right w:val="nil"/>
            </w:tcBorders>
          </w:tcPr>
          <w:p w14:paraId="422076B4" w14:textId="77777777" w:rsidR="00C45588" w:rsidRPr="00F25D19" w:rsidRDefault="00C45588" w:rsidP="00A3023B">
            <w:pPr>
              <w:spacing w:after="0" w:line="240" w:lineRule="auto"/>
              <w:jc w:val="both"/>
              <w:outlineLvl w:val="0"/>
              <w:rPr>
                <w:rFonts w:ascii="Times New Roman" w:hAnsi="Times New Roman"/>
                <w:sz w:val="18"/>
                <w:szCs w:val="18"/>
              </w:rPr>
            </w:pPr>
          </w:p>
        </w:tc>
        <w:tc>
          <w:tcPr>
            <w:tcW w:w="970" w:type="dxa"/>
            <w:tcBorders>
              <w:top w:val="nil"/>
              <w:left w:val="nil"/>
              <w:bottom w:val="nil"/>
              <w:right w:val="nil"/>
            </w:tcBorders>
          </w:tcPr>
          <w:p w14:paraId="7276AAA2" w14:textId="77777777" w:rsidR="00C45588" w:rsidRPr="00F25D19" w:rsidRDefault="00C45588" w:rsidP="00DD653F">
            <w:pPr>
              <w:spacing w:after="0" w:line="240" w:lineRule="auto"/>
              <w:outlineLvl w:val="0"/>
              <w:rPr>
                <w:rFonts w:ascii="Times New Roman" w:hAnsi="Times New Roman"/>
                <w:sz w:val="18"/>
                <w:szCs w:val="18"/>
              </w:rPr>
            </w:pPr>
            <w:r w:rsidRPr="00F25D19">
              <w:rPr>
                <w:rFonts w:ascii="Times New Roman" w:hAnsi="Times New Roman"/>
                <w:sz w:val="18"/>
                <w:szCs w:val="18"/>
              </w:rPr>
              <w:t>S</w:t>
            </w:r>
            <w:r>
              <w:rPr>
                <w:rFonts w:ascii="Times New Roman" w:hAnsi="Times New Roman"/>
                <w:sz w:val="18"/>
                <w:szCs w:val="18"/>
              </w:rPr>
              <w:t>trategy</w:t>
            </w:r>
            <w:r w:rsidRPr="00F25D19">
              <w:rPr>
                <w:rFonts w:ascii="Times New Roman" w:hAnsi="Times New Roman"/>
                <w:sz w:val="18"/>
                <w:szCs w:val="18"/>
              </w:rPr>
              <w:t xml:space="preserve"> 4</w:t>
            </w:r>
          </w:p>
        </w:tc>
        <w:tc>
          <w:tcPr>
            <w:tcW w:w="649" w:type="dxa"/>
            <w:tcBorders>
              <w:top w:val="nil"/>
              <w:left w:val="nil"/>
              <w:bottom w:val="nil"/>
              <w:right w:val="nil"/>
            </w:tcBorders>
            <w:vAlign w:val="center"/>
          </w:tcPr>
          <w:p w14:paraId="4D7D017C"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31</w:t>
            </w:r>
          </w:p>
        </w:tc>
        <w:tc>
          <w:tcPr>
            <w:tcW w:w="727" w:type="dxa"/>
            <w:tcBorders>
              <w:top w:val="nil"/>
              <w:left w:val="nil"/>
              <w:bottom w:val="nil"/>
              <w:right w:val="nil"/>
            </w:tcBorders>
            <w:vAlign w:val="center"/>
          </w:tcPr>
          <w:p w14:paraId="4FAEDCF8"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-0.63</w:t>
            </w:r>
          </w:p>
        </w:tc>
        <w:tc>
          <w:tcPr>
            <w:tcW w:w="893" w:type="dxa"/>
            <w:tcBorders>
              <w:top w:val="nil"/>
              <w:left w:val="nil"/>
              <w:bottom w:val="nil"/>
              <w:right w:val="nil"/>
            </w:tcBorders>
            <w:vAlign w:val="center"/>
          </w:tcPr>
          <w:p w14:paraId="025FF7A8"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-0.63</w:t>
            </w:r>
          </w:p>
        </w:tc>
        <w:tc>
          <w:tcPr>
            <w:tcW w:w="688" w:type="dxa"/>
            <w:tcBorders>
              <w:top w:val="nil"/>
              <w:left w:val="nil"/>
              <w:bottom w:val="nil"/>
              <w:right w:val="nil"/>
            </w:tcBorders>
            <w:vAlign w:val="center"/>
          </w:tcPr>
          <w:p w14:paraId="36AC882D"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-4.1</w:t>
            </w:r>
            <w:r>
              <w:rPr>
                <w:rFonts w:ascii="Times New Roman" w:hAnsi="Times New Roman"/>
                <w:color w:val="000000"/>
                <w:sz w:val="18"/>
                <w:szCs w:val="18"/>
              </w:rPr>
              <w:t>0</w:t>
            </w:r>
          </w:p>
        </w:tc>
        <w:tc>
          <w:tcPr>
            <w:tcW w:w="688" w:type="dxa"/>
            <w:tcBorders>
              <w:top w:val="nil"/>
              <w:left w:val="nil"/>
              <w:bottom w:val="nil"/>
              <w:right w:val="nil"/>
            </w:tcBorders>
            <w:vAlign w:val="center"/>
          </w:tcPr>
          <w:p w14:paraId="13F0FD45"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3.06</w:t>
            </w:r>
          </w:p>
        </w:tc>
        <w:tc>
          <w:tcPr>
            <w:tcW w:w="656" w:type="dxa"/>
            <w:tcBorders>
              <w:top w:val="nil"/>
              <w:left w:val="nil"/>
              <w:bottom w:val="nil"/>
              <w:right w:val="nil"/>
            </w:tcBorders>
            <w:vAlign w:val="center"/>
          </w:tcPr>
          <w:p w14:paraId="1F30FF29"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1.85</w:t>
            </w:r>
          </w:p>
        </w:tc>
        <w:tc>
          <w:tcPr>
            <w:tcW w:w="694" w:type="dxa"/>
            <w:tcBorders>
              <w:top w:val="nil"/>
              <w:left w:val="nil"/>
              <w:bottom w:val="nil"/>
              <w:right w:val="nil"/>
            </w:tcBorders>
            <w:vAlign w:val="center"/>
          </w:tcPr>
          <w:p w14:paraId="35B97920"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0.18</w:t>
            </w:r>
          </w:p>
        </w:tc>
        <w:tc>
          <w:tcPr>
            <w:tcW w:w="688" w:type="dxa"/>
            <w:tcBorders>
              <w:top w:val="nil"/>
              <w:left w:val="nil"/>
              <w:bottom w:val="nil"/>
              <w:right w:val="nil"/>
            </w:tcBorders>
            <w:vAlign w:val="center"/>
          </w:tcPr>
          <w:p w14:paraId="27688111"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-0.69</w:t>
            </w:r>
          </w:p>
        </w:tc>
        <w:tc>
          <w:tcPr>
            <w:tcW w:w="688" w:type="dxa"/>
            <w:tcBorders>
              <w:top w:val="nil"/>
              <w:left w:val="nil"/>
              <w:bottom w:val="nil"/>
              <w:right w:val="nil"/>
            </w:tcBorders>
            <w:vAlign w:val="center"/>
          </w:tcPr>
          <w:p w14:paraId="6F2C24BE"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-0.15</w:t>
            </w:r>
          </w:p>
        </w:tc>
        <w:tc>
          <w:tcPr>
            <w:tcW w:w="656" w:type="dxa"/>
            <w:tcBorders>
              <w:top w:val="nil"/>
              <w:left w:val="nil"/>
              <w:bottom w:val="nil"/>
              <w:right w:val="nil"/>
            </w:tcBorders>
            <w:vAlign w:val="center"/>
          </w:tcPr>
          <w:p w14:paraId="0B8A7660"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0.68</w:t>
            </w:r>
          </w:p>
        </w:tc>
        <w:tc>
          <w:tcPr>
            <w:tcW w:w="849" w:type="dxa"/>
            <w:tcBorders>
              <w:top w:val="nil"/>
              <w:left w:val="nil"/>
              <w:bottom w:val="nil"/>
              <w:right w:val="nil"/>
            </w:tcBorders>
            <w:vAlign w:val="center"/>
          </w:tcPr>
          <w:p w14:paraId="59EC0356" w14:textId="77777777" w:rsidR="00C45588" w:rsidRPr="00A422D4" w:rsidRDefault="00C45588" w:rsidP="00DD653F">
            <w:pPr>
              <w:spacing w:after="0"/>
              <w:jc w:val="both"/>
              <w:rPr>
                <w:rFonts w:ascii="Times New Roman" w:hAnsi="Times New Roman"/>
                <w:color w:val="000000"/>
                <w:sz w:val="18"/>
                <w:szCs w:val="18"/>
              </w:rPr>
            </w:pPr>
            <w:r w:rsidRPr="00A422D4">
              <w:rPr>
                <w:rFonts w:ascii="Times New Roman" w:hAnsi="Times New Roman"/>
                <w:color w:val="000000"/>
                <w:sz w:val="18"/>
                <w:szCs w:val="18"/>
              </w:rPr>
              <w:t>-1.18</w:t>
            </w:r>
          </w:p>
        </w:tc>
        <w:tc>
          <w:tcPr>
            <w:tcW w:w="1036" w:type="dxa"/>
            <w:tcBorders>
              <w:top w:val="nil"/>
              <w:left w:val="nil"/>
              <w:bottom w:val="nil"/>
              <w:right w:val="nil"/>
            </w:tcBorders>
          </w:tcPr>
          <w:p w14:paraId="4E48D880" w14:textId="77777777" w:rsidR="00C45588" w:rsidRPr="00A422D4" w:rsidRDefault="00C45588" w:rsidP="00DD653F">
            <w:pPr>
              <w:spacing w:after="0"/>
              <w:jc w:val="center"/>
              <w:rPr>
                <w:rFonts w:ascii="Times New Roman" w:hAnsi="Times New Roman"/>
                <w:color w:val="000000"/>
                <w:sz w:val="18"/>
                <w:szCs w:val="18"/>
              </w:rPr>
            </w:pPr>
            <w:r>
              <w:rPr>
                <w:rFonts w:ascii="Times New Roman" w:hAnsi="Times New Roman"/>
                <w:color w:val="000000"/>
                <w:sz w:val="18"/>
                <w:szCs w:val="18"/>
              </w:rPr>
              <w:t>-0.00041</w:t>
            </w:r>
          </w:p>
        </w:tc>
      </w:tr>
      <w:tr w:rsidR="006F7DE2" w:rsidRPr="00F25D19" w14:paraId="634F899C" w14:textId="77777777" w:rsidTr="00224673">
        <w:trPr>
          <w:trHeight w:val="157"/>
          <w:jc w:val="center"/>
        </w:trPr>
        <w:tc>
          <w:tcPr>
            <w:tcW w:w="9431" w:type="dxa"/>
            <w:gridSpan w:val="13"/>
            <w:tcBorders>
              <w:left w:val="nil"/>
              <w:bottom w:val="single" w:sz="4" w:space="0" w:color="auto"/>
              <w:right w:val="nil"/>
            </w:tcBorders>
          </w:tcPr>
          <w:p w14:paraId="207BF9EA" w14:textId="77777777" w:rsidR="006F7DE2" w:rsidRPr="00F25D19" w:rsidRDefault="00C45588" w:rsidP="00A3023B">
            <w:pPr>
              <w:spacing w:after="0" w:line="240" w:lineRule="auto"/>
              <w:jc w:val="both"/>
              <w:outlineLvl w:val="0"/>
              <w:rPr>
                <w:rFonts w:ascii="Times New Roman" w:hAnsi="Times New Roman"/>
                <w:i/>
                <w:sz w:val="18"/>
                <w:szCs w:val="18"/>
              </w:rPr>
            </w:pPr>
            <w:r>
              <w:rPr>
                <w:rFonts w:ascii="Times New Roman" w:hAnsi="Times New Roman"/>
                <w:i/>
                <w:sz w:val="18"/>
                <w:szCs w:val="18"/>
              </w:rPr>
              <w:t>Speculative Grade</w:t>
            </w:r>
          </w:p>
        </w:tc>
        <w:tc>
          <w:tcPr>
            <w:tcW w:w="1036" w:type="dxa"/>
            <w:tcBorders>
              <w:left w:val="nil"/>
              <w:bottom w:val="single" w:sz="4" w:space="0" w:color="auto"/>
              <w:right w:val="nil"/>
            </w:tcBorders>
          </w:tcPr>
          <w:p w14:paraId="4F2F43F9" w14:textId="77777777" w:rsidR="006F7DE2" w:rsidRPr="00F25D19" w:rsidRDefault="006F7DE2" w:rsidP="00823B43">
            <w:pPr>
              <w:spacing w:after="0" w:line="240" w:lineRule="auto"/>
              <w:jc w:val="center"/>
              <w:outlineLvl w:val="0"/>
              <w:rPr>
                <w:rFonts w:ascii="Times New Roman" w:hAnsi="Times New Roman"/>
                <w:i/>
                <w:sz w:val="18"/>
                <w:szCs w:val="18"/>
              </w:rPr>
            </w:pPr>
          </w:p>
        </w:tc>
      </w:tr>
      <w:tr w:rsidR="00C45588" w:rsidRPr="00F25D19" w14:paraId="1361F12E" w14:textId="77777777" w:rsidTr="00224673">
        <w:trPr>
          <w:trHeight w:val="189"/>
          <w:jc w:val="center"/>
        </w:trPr>
        <w:tc>
          <w:tcPr>
            <w:tcW w:w="585" w:type="dxa"/>
            <w:tcBorders>
              <w:left w:val="nil"/>
              <w:bottom w:val="nil"/>
              <w:right w:val="nil"/>
            </w:tcBorders>
          </w:tcPr>
          <w:p w14:paraId="7D5F23EC" w14:textId="77777777" w:rsidR="00C45588" w:rsidRPr="00F25D19" w:rsidRDefault="00C45588" w:rsidP="00A3023B">
            <w:pPr>
              <w:spacing w:after="0" w:line="240" w:lineRule="auto"/>
              <w:jc w:val="both"/>
              <w:outlineLvl w:val="0"/>
              <w:rPr>
                <w:rFonts w:ascii="Times New Roman" w:hAnsi="Times New Roman"/>
                <w:sz w:val="18"/>
                <w:szCs w:val="18"/>
              </w:rPr>
            </w:pPr>
            <w:r w:rsidRPr="00F25D19">
              <w:rPr>
                <w:rFonts w:ascii="Times New Roman" w:hAnsi="Times New Roman"/>
                <w:sz w:val="18"/>
                <w:szCs w:val="18"/>
              </w:rPr>
              <w:t>0.5</w:t>
            </w:r>
          </w:p>
        </w:tc>
        <w:tc>
          <w:tcPr>
            <w:tcW w:w="970" w:type="dxa"/>
            <w:tcBorders>
              <w:left w:val="nil"/>
              <w:bottom w:val="nil"/>
              <w:right w:val="nil"/>
            </w:tcBorders>
          </w:tcPr>
          <w:p w14:paraId="45F21769" w14:textId="77777777" w:rsidR="00C45588" w:rsidRPr="00F25D19" w:rsidRDefault="00C45588" w:rsidP="00DD653F">
            <w:pPr>
              <w:spacing w:after="0" w:line="240" w:lineRule="auto"/>
              <w:outlineLvl w:val="0"/>
              <w:rPr>
                <w:rFonts w:ascii="Times New Roman" w:hAnsi="Times New Roman"/>
                <w:sz w:val="18"/>
                <w:szCs w:val="18"/>
              </w:rPr>
            </w:pPr>
            <w:r w:rsidRPr="00F25D19">
              <w:rPr>
                <w:rFonts w:ascii="Times New Roman" w:hAnsi="Times New Roman"/>
                <w:sz w:val="18"/>
                <w:szCs w:val="18"/>
              </w:rPr>
              <w:t>S</w:t>
            </w:r>
            <w:r>
              <w:rPr>
                <w:rFonts w:ascii="Times New Roman" w:hAnsi="Times New Roman"/>
                <w:sz w:val="18"/>
                <w:szCs w:val="18"/>
              </w:rPr>
              <w:t xml:space="preserve">trategy </w:t>
            </w:r>
            <w:r w:rsidRPr="00F25D19">
              <w:rPr>
                <w:rFonts w:ascii="Times New Roman" w:hAnsi="Times New Roman"/>
                <w:sz w:val="18"/>
                <w:szCs w:val="18"/>
              </w:rPr>
              <w:t>1</w:t>
            </w:r>
          </w:p>
        </w:tc>
        <w:tc>
          <w:tcPr>
            <w:tcW w:w="649" w:type="dxa"/>
            <w:tcBorders>
              <w:left w:val="nil"/>
              <w:bottom w:val="nil"/>
              <w:right w:val="nil"/>
            </w:tcBorders>
            <w:vAlign w:val="center"/>
          </w:tcPr>
          <w:p w14:paraId="7378E897"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31</w:t>
            </w:r>
          </w:p>
        </w:tc>
        <w:tc>
          <w:tcPr>
            <w:tcW w:w="727" w:type="dxa"/>
            <w:tcBorders>
              <w:left w:val="nil"/>
              <w:bottom w:val="nil"/>
              <w:right w:val="nil"/>
            </w:tcBorders>
            <w:vAlign w:val="center"/>
          </w:tcPr>
          <w:p w14:paraId="007FD3B5"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-0.32</w:t>
            </w:r>
          </w:p>
        </w:tc>
        <w:tc>
          <w:tcPr>
            <w:tcW w:w="893" w:type="dxa"/>
            <w:tcBorders>
              <w:left w:val="nil"/>
              <w:bottom w:val="nil"/>
              <w:right w:val="nil"/>
            </w:tcBorders>
            <w:vAlign w:val="center"/>
          </w:tcPr>
          <w:p w14:paraId="42E97B21"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-0.04</w:t>
            </w:r>
          </w:p>
        </w:tc>
        <w:tc>
          <w:tcPr>
            <w:tcW w:w="688" w:type="dxa"/>
            <w:tcBorders>
              <w:left w:val="nil"/>
              <w:bottom w:val="nil"/>
              <w:right w:val="nil"/>
            </w:tcBorders>
            <w:vAlign w:val="center"/>
          </w:tcPr>
          <w:p w14:paraId="1225798F"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-5.47</w:t>
            </w:r>
          </w:p>
        </w:tc>
        <w:tc>
          <w:tcPr>
            <w:tcW w:w="688" w:type="dxa"/>
            <w:tcBorders>
              <w:left w:val="nil"/>
              <w:bottom w:val="nil"/>
              <w:right w:val="nil"/>
            </w:tcBorders>
            <w:vAlign w:val="center"/>
          </w:tcPr>
          <w:p w14:paraId="42B5165A"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0.78</w:t>
            </w:r>
          </w:p>
        </w:tc>
        <w:tc>
          <w:tcPr>
            <w:tcW w:w="656" w:type="dxa"/>
            <w:tcBorders>
              <w:left w:val="nil"/>
              <w:bottom w:val="nil"/>
              <w:right w:val="nil"/>
            </w:tcBorders>
            <w:vAlign w:val="center"/>
          </w:tcPr>
          <w:p w14:paraId="38274566"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1.13</w:t>
            </w:r>
          </w:p>
        </w:tc>
        <w:tc>
          <w:tcPr>
            <w:tcW w:w="694" w:type="dxa"/>
            <w:tcBorders>
              <w:left w:val="nil"/>
              <w:bottom w:val="nil"/>
              <w:right w:val="nil"/>
            </w:tcBorders>
            <w:vAlign w:val="center"/>
          </w:tcPr>
          <w:p w14:paraId="559E3790"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-3.29</w:t>
            </w:r>
          </w:p>
        </w:tc>
        <w:tc>
          <w:tcPr>
            <w:tcW w:w="688" w:type="dxa"/>
            <w:tcBorders>
              <w:left w:val="nil"/>
              <w:bottom w:val="nil"/>
              <w:right w:val="nil"/>
            </w:tcBorders>
            <w:vAlign w:val="center"/>
          </w:tcPr>
          <w:p w14:paraId="31C68387"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14.2</w:t>
            </w:r>
            <w:r>
              <w:rPr>
                <w:rFonts w:ascii="Times New Roman" w:hAnsi="Times New Roman"/>
                <w:color w:val="000000"/>
                <w:sz w:val="18"/>
                <w:szCs w:val="18"/>
              </w:rPr>
              <w:t>0</w:t>
            </w:r>
          </w:p>
        </w:tc>
        <w:tc>
          <w:tcPr>
            <w:tcW w:w="688" w:type="dxa"/>
            <w:tcBorders>
              <w:left w:val="nil"/>
              <w:bottom w:val="nil"/>
              <w:right w:val="nil"/>
            </w:tcBorders>
            <w:vAlign w:val="center"/>
          </w:tcPr>
          <w:p w14:paraId="27B0A152"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0.</w:t>
            </w:r>
            <w:r>
              <w:rPr>
                <w:rFonts w:ascii="Times New Roman" w:hAnsi="Times New Roman"/>
                <w:color w:val="000000"/>
                <w:sz w:val="18"/>
                <w:szCs w:val="18"/>
              </w:rPr>
              <w:t>38*</w:t>
            </w:r>
          </w:p>
        </w:tc>
        <w:tc>
          <w:tcPr>
            <w:tcW w:w="656" w:type="dxa"/>
            <w:tcBorders>
              <w:left w:val="nil"/>
              <w:bottom w:val="nil"/>
              <w:right w:val="nil"/>
            </w:tcBorders>
            <w:vAlign w:val="center"/>
          </w:tcPr>
          <w:p w14:paraId="3E298102"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0.55</w:t>
            </w:r>
          </w:p>
        </w:tc>
        <w:tc>
          <w:tcPr>
            <w:tcW w:w="849" w:type="dxa"/>
            <w:tcBorders>
              <w:left w:val="nil"/>
              <w:bottom w:val="nil"/>
              <w:right w:val="nil"/>
            </w:tcBorders>
            <w:vAlign w:val="center"/>
          </w:tcPr>
          <w:p w14:paraId="594708BC"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-0.</w:t>
            </w:r>
            <w:r>
              <w:rPr>
                <w:rFonts w:ascii="Times New Roman" w:hAnsi="Times New Roman"/>
                <w:color w:val="000000"/>
                <w:sz w:val="18"/>
                <w:szCs w:val="18"/>
              </w:rPr>
              <w:t>6</w:t>
            </w:r>
            <w:r w:rsidRPr="00AD5611">
              <w:rPr>
                <w:rFonts w:ascii="Times New Roman" w:hAnsi="Times New Roman"/>
                <w:color w:val="000000"/>
                <w:sz w:val="18"/>
                <w:szCs w:val="18"/>
              </w:rPr>
              <w:t>9</w:t>
            </w:r>
          </w:p>
        </w:tc>
        <w:tc>
          <w:tcPr>
            <w:tcW w:w="1036" w:type="dxa"/>
            <w:tcBorders>
              <w:left w:val="nil"/>
              <w:bottom w:val="nil"/>
              <w:right w:val="nil"/>
            </w:tcBorders>
          </w:tcPr>
          <w:p w14:paraId="1526FA6D" w14:textId="77777777" w:rsidR="00C45588" w:rsidRPr="00AD5611" w:rsidRDefault="00C45588" w:rsidP="00DD653F">
            <w:pPr>
              <w:spacing w:after="0"/>
              <w:jc w:val="center"/>
              <w:rPr>
                <w:rFonts w:ascii="Times New Roman" w:hAnsi="Times New Roman"/>
                <w:color w:val="000000"/>
                <w:sz w:val="18"/>
                <w:szCs w:val="18"/>
              </w:rPr>
            </w:pPr>
            <w:r>
              <w:rPr>
                <w:rFonts w:ascii="Times New Roman" w:hAnsi="Times New Roman"/>
                <w:color w:val="000000"/>
                <w:sz w:val="18"/>
                <w:szCs w:val="18"/>
              </w:rPr>
              <w:t>-0.00009</w:t>
            </w:r>
          </w:p>
        </w:tc>
      </w:tr>
      <w:tr w:rsidR="00C45588" w:rsidRPr="00F25D19" w14:paraId="65031BF2" w14:textId="77777777" w:rsidTr="00224673">
        <w:trPr>
          <w:trHeight w:val="178"/>
          <w:jc w:val="center"/>
        </w:trPr>
        <w:tc>
          <w:tcPr>
            <w:tcW w:w="585" w:type="dxa"/>
            <w:tcBorders>
              <w:top w:val="nil"/>
              <w:left w:val="nil"/>
              <w:bottom w:val="nil"/>
              <w:right w:val="nil"/>
            </w:tcBorders>
          </w:tcPr>
          <w:p w14:paraId="2F6E336D" w14:textId="77777777" w:rsidR="00C45588" w:rsidRPr="00F25D19" w:rsidRDefault="00C45588" w:rsidP="00A3023B">
            <w:pPr>
              <w:spacing w:after="0" w:line="240" w:lineRule="auto"/>
              <w:jc w:val="both"/>
              <w:outlineLvl w:val="0"/>
              <w:rPr>
                <w:rFonts w:ascii="Times New Roman" w:hAnsi="Times New Roman"/>
                <w:sz w:val="18"/>
                <w:szCs w:val="18"/>
              </w:rPr>
            </w:pPr>
          </w:p>
        </w:tc>
        <w:tc>
          <w:tcPr>
            <w:tcW w:w="970" w:type="dxa"/>
            <w:tcBorders>
              <w:top w:val="nil"/>
              <w:left w:val="nil"/>
              <w:bottom w:val="nil"/>
              <w:right w:val="nil"/>
            </w:tcBorders>
          </w:tcPr>
          <w:p w14:paraId="31B79B8A" w14:textId="77777777" w:rsidR="00C45588" w:rsidRPr="00F25D19" w:rsidRDefault="00C45588" w:rsidP="00DD653F">
            <w:pPr>
              <w:spacing w:after="0" w:line="240" w:lineRule="auto"/>
              <w:outlineLvl w:val="0"/>
              <w:rPr>
                <w:rFonts w:ascii="Times New Roman" w:hAnsi="Times New Roman"/>
                <w:sz w:val="18"/>
                <w:szCs w:val="18"/>
              </w:rPr>
            </w:pPr>
            <w:r w:rsidRPr="00F25D19">
              <w:rPr>
                <w:rFonts w:ascii="Times New Roman" w:hAnsi="Times New Roman"/>
                <w:sz w:val="18"/>
                <w:szCs w:val="18"/>
              </w:rPr>
              <w:t>S</w:t>
            </w:r>
            <w:r>
              <w:rPr>
                <w:rFonts w:ascii="Times New Roman" w:hAnsi="Times New Roman"/>
                <w:sz w:val="18"/>
                <w:szCs w:val="18"/>
              </w:rPr>
              <w:t xml:space="preserve">trategy </w:t>
            </w:r>
            <w:r w:rsidRPr="00F25D19">
              <w:rPr>
                <w:rFonts w:ascii="Times New Roman" w:hAnsi="Times New Roman"/>
                <w:sz w:val="18"/>
                <w:szCs w:val="18"/>
              </w:rPr>
              <w:t>2</w:t>
            </w:r>
          </w:p>
        </w:tc>
        <w:tc>
          <w:tcPr>
            <w:tcW w:w="649" w:type="dxa"/>
            <w:tcBorders>
              <w:top w:val="nil"/>
              <w:left w:val="nil"/>
              <w:bottom w:val="nil"/>
              <w:right w:val="nil"/>
            </w:tcBorders>
            <w:vAlign w:val="center"/>
          </w:tcPr>
          <w:p w14:paraId="6BD6C6C9"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31</w:t>
            </w:r>
          </w:p>
        </w:tc>
        <w:tc>
          <w:tcPr>
            <w:tcW w:w="727" w:type="dxa"/>
            <w:tcBorders>
              <w:top w:val="nil"/>
              <w:left w:val="nil"/>
              <w:bottom w:val="nil"/>
              <w:right w:val="nil"/>
            </w:tcBorders>
            <w:vAlign w:val="center"/>
          </w:tcPr>
          <w:p w14:paraId="2994FC11"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-0.37</w:t>
            </w:r>
          </w:p>
        </w:tc>
        <w:tc>
          <w:tcPr>
            <w:tcW w:w="893" w:type="dxa"/>
            <w:tcBorders>
              <w:top w:val="nil"/>
              <w:left w:val="nil"/>
              <w:bottom w:val="nil"/>
              <w:right w:val="nil"/>
            </w:tcBorders>
            <w:vAlign w:val="center"/>
          </w:tcPr>
          <w:p w14:paraId="5396D325"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-0.08</w:t>
            </w:r>
          </w:p>
        </w:tc>
        <w:tc>
          <w:tcPr>
            <w:tcW w:w="688" w:type="dxa"/>
            <w:tcBorders>
              <w:top w:val="nil"/>
              <w:left w:val="nil"/>
              <w:bottom w:val="nil"/>
              <w:right w:val="nil"/>
            </w:tcBorders>
            <w:vAlign w:val="center"/>
          </w:tcPr>
          <w:p w14:paraId="5C2F0A68"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-5.05</w:t>
            </w:r>
          </w:p>
        </w:tc>
        <w:tc>
          <w:tcPr>
            <w:tcW w:w="688" w:type="dxa"/>
            <w:tcBorders>
              <w:top w:val="nil"/>
              <w:left w:val="nil"/>
              <w:bottom w:val="nil"/>
              <w:right w:val="nil"/>
            </w:tcBorders>
            <w:vAlign w:val="center"/>
          </w:tcPr>
          <w:p w14:paraId="13AF1B10"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0.86</w:t>
            </w:r>
          </w:p>
        </w:tc>
        <w:tc>
          <w:tcPr>
            <w:tcW w:w="656" w:type="dxa"/>
            <w:tcBorders>
              <w:top w:val="nil"/>
              <w:left w:val="nil"/>
              <w:bottom w:val="nil"/>
              <w:right w:val="nil"/>
            </w:tcBorders>
            <w:vAlign w:val="center"/>
          </w:tcPr>
          <w:p w14:paraId="3FAE0224"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1.06</w:t>
            </w:r>
          </w:p>
        </w:tc>
        <w:tc>
          <w:tcPr>
            <w:tcW w:w="694" w:type="dxa"/>
            <w:tcBorders>
              <w:top w:val="nil"/>
              <w:left w:val="nil"/>
              <w:bottom w:val="nil"/>
              <w:right w:val="nil"/>
            </w:tcBorders>
            <w:vAlign w:val="center"/>
          </w:tcPr>
          <w:p w14:paraId="1194E3F1"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-3.07</w:t>
            </w:r>
          </w:p>
        </w:tc>
        <w:tc>
          <w:tcPr>
            <w:tcW w:w="688" w:type="dxa"/>
            <w:tcBorders>
              <w:top w:val="nil"/>
              <w:left w:val="nil"/>
              <w:bottom w:val="nil"/>
              <w:right w:val="nil"/>
            </w:tcBorders>
            <w:vAlign w:val="center"/>
          </w:tcPr>
          <w:p w14:paraId="17F94542"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12.63</w:t>
            </w:r>
          </w:p>
        </w:tc>
        <w:tc>
          <w:tcPr>
            <w:tcW w:w="688" w:type="dxa"/>
            <w:tcBorders>
              <w:top w:val="nil"/>
              <w:left w:val="nil"/>
              <w:bottom w:val="nil"/>
              <w:right w:val="nil"/>
            </w:tcBorders>
            <w:vAlign w:val="center"/>
          </w:tcPr>
          <w:p w14:paraId="50E2AB00"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0.4</w:t>
            </w:r>
            <w:r>
              <w:rPr>
                <w:rFonts w:ascii="Times New Roman" w:hAnsi="Times New Roman"/>
                <w:color w:val="000000"/>
                <w:sz w:val="18"/>
                <w:szCs w:val="18"/>
              </w:rPr>
              <w:t>2*</w:t>
            </w:r>
          </w:p>
        </w:tc>
        <w:tc>
          <w:tcPr>
            <w:tcW w:w="656" w:type="dxa"/>
            <w:tcBorders>
              <w:top w:val="nil"/>
              <w:left w:val="nil"/>
              <w:bottom w:val="nil"/>
              <w:right w:val="nil"/>
            </w:tcBorders>
            <w:vAlign w:val="center"/>
          </w:tcPr>
          <w:p w14:paraId="22C6F76B"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0.61</w:t>
            </w:r>
          </w:p>
        </w:tc>
        <w:tc>
          <w:tcPr>
            <w:tcW w:w="849" w:type="dxa"/>
            <w:tcBorders>
              <w:top w:val="nil"/>
              <w:left w:val="nil"/>
              <w:bottom w:val="nil"/>
              <w:right w:val="nil"/>
            </w:tcBorders>
            <w:vAlign w:val="center"/>
          </w:tcPr>
          <w:p w14:paraId="460E843C" w14:textId="77777777" w:rsidR="00C45588" w:rsidRPr="00AD5611" w:rsidRDefault="00C45588" w:rsidP="00DD653F">
            <w:pPr>
              <w:spacing w:after="0"/>
              <w:jc w:val="both"/>
              <w:rPr>
                <w:rFonts w:ascii="Times New Roman" w:hAnsi="Times New Roman"/>
                <w:color w:val="000000"/>
                <w:sz w:val="18"/>
                <w:szCs w:val="18"/>
              </w:rPr>
            </w:pPr>
            <w:r>
              <w:rPr>
                <w:rFonts w:ascii="Times New Roman" w:hAnsi="Times New Roman"/>
                <w:color w:val="000000"/>
                <w:sz w:val="18"/>
                <w:szCs w:val="18"/>
              </w:rPr>
              <w:t>-0</w:t>
            </w:r>
            <w:r w:rsidRPr="00AD5611">
              <w:rPr>
                <w:rFonts w:ascii="Times New Roman" w:hAnsi="Times New Roman"/>
                <w:color w:val="000000"/>
                <w:sz w:val="18"/>
                <w:szCs w:val="18"/>
              </w:rPr>
              <w:t>.</w:t>
            </w:r>
            <w:r>
              <w:rPr>
                <w:rFonts w:ascii="Times New Roman" w:hAnsi="Times New Roman"/>
                <w:color w:val="000000"/>
                <w:sz w:val="18"/>
                <w:szCs w:val="18"/>
              </w:rPr>
              <w:t>82</w:t>
            </w:r>
          </w:p>
        </w:tc>
        <w:tc>
          <w:tcPr>
            <w:tcW w:w="1036" w:type="dxa"/>
            <w:tcBorders>
              <w:top w:val="nil"/>
              <w:left w:val="nil"/>
              <w:bottom w:val="nil"/>
              <w:right w:val="nil"/>
            </w:tcBorders>
          </w:tcPr>
          <w:p w14:paraId="35F3CCC3" w14:textId="77777777" w:rsidR="00C45588" w:rsidRPr="00AD5611" w:rsidRDefault="00C45588" w:rsidP="00DD653F">
            <w:pPr>
              <w:spacing w:after="0"/>
              <w:jc w:val="center"/>
              <w:rPr>
                <w:rFonts w:ascii="Times New Roman" w:hAnsi="Times New Roman"/>
                <w:color w:val="000000"/>
                <w:sz w:val="18"/>
                <w:szCs w:val="18"/>
              </w:rPr>
            </w:pPr>
            <w:r>
              <w:rPr>
                <w:rFonts w:ascii="Times New Roman" w:hAnsi="Times New Roman"/>
                <w:color w:val="000000"/>
                <w:sz w:val="18"/>
                <w:szCs w:val="18"/>
              </w:rPr>
              <w:t>-0.00009</w:t>
            </w:r>
          </w:p>
        </w:tc>
      </w:tr>
      <w:tr w:rsidR="00C45588" w:rsidRPr="00F25D19" w14:paraId="0D690334" w14:textId="77777777" w:rsidTr="00224673">
        <w:trPr>
          <w:trHeight w:val="189"/>
          <w:jc w:val="center"/>
        </w:trPr>
        <w:tc>
          <w:tcPr>
            <w:tcW w:w="585" w:type="dxa"/>
            <w:tcBorders>
              <w:top w:val="nil"/>
              <w:left w:val="nil"/>
              <w:bottom w:val="nil"/>
              <w:right w:val="nil"/>
            </w:tcBorders>
          </w:tcPr>
          <w:p w14:paraId="4353FB37" w14:textId="77777777" w:rsidR="00C45588" w:rsidRPr="00F25D19" w:rsidRDefault="00C45588" w:rsidP="00A3023B">
            <w:pPr>
              <w:spacing w:after="0" w:line="240" w:lineRule="auto"/>
              <w:jc w:val="both"/>
              <w:outlineLvl w:val="0"/>
              <w:rPr>
                <w:rFonts w:ascii="Times New Roman" w:hAnsi="Times New Roman"/>
                <w:sz w:val="18"/>
                <w:szCs w:val="18"/>
              </w:rPr>
            </w:pPr>
          </w:p>
        </w:tc>
        <w:tc>
          <w:tcPr>
            <w:tcW w:w="970" w:type="dxa"/>
            <w:tcBorders>
              <w:top w:val="nil"/>
              <w:left w:val="nil"/>
              <w:bottom w:val="nil"/>
              <w:right w:val="nil"/>
            </w:tcBorders>
          </w:tcPr>
          <w:p w14:paraId="07D940D4" w14:textId="77777777" w:rsidR="00C45588" w:rsidRPr="00F25D19" w:rsidRDefault="00C45588" w:rsidP="00DD653F">
            <w:pPr>
              <w:spacing w:after="0" w:line="240" w:lineRule="auto"/>
              <w:outlineLvl w:val="0"/>
              <w:rPr>
                <w:rFonts w:ascii="Times New Roman" w:hAnsi="Times New Roman"/>
                <w:sz w:val="18"/>
                <w:szCs w:val="18"/>
              </w:rPr>
            </w:pPr>
            <w:r w:rsidRPr="00F25D19">
              <w:rPr>
                <w:rFonts w:ascii="Times New Roman" w:hAnsi="Times New Roman"/>
                <w:sz w:val="18"/>
                <w:szCs w:val="18"/>
              </w:rPr>
              <w:t>S</w:t>
            </w:r>
            <w:r>
              <w:rPr>
                <w:rFonts w:ascii="Times New Roman" w:hAnsi="Times New Roman"/>
                <w:sz w:val="18"/>
                <w:szCs w:val="18"/>
              </w:rPr>
              <w:t>trategy</w:t>
            </w:r>
            <w:r w:rsidRPr="00F25D19">
              <w:rPr>
                <w:rFonts w:ascii="Times New Roman" w:hAnsi="Times New Roman"/>
                <w:sz w:val="18"/>
                <w:szCs w:val="18"/>
              </w:rPr>
              <w:t xml:space="preserve"> 3</w:t>
            </w:r>
          </w:p>
        </w:tc>
        <w:tc>
          <w:tcPr>
            <w:tcW w:w="649" w:type="dxa"/>
            <w:tcBorders>
              <w:top w:val="nil"/>
              <w:left w:val="nil"/>
              <w:bottom w:val="nil"/>
              <w:right w:val="nil"/>
            </w:tcBorders>
            <w:vAlign w:val="center"/>
          </w:tcPr>
          <w:p w14:paraId="3498C24F"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31</w:t>
            </w:r>
          </w:p>
        </w:tc>
        <w:tc>
          <w:tcPr>
            <w:tcW w:w="727" w:type="dxa"/>
            <w:tcBorders>
              <w:top w:val="nil"/>
              <w:left w:val="nil"/>
              <w:bottom w:val="nil"/>
              <w:right w:val="nil"/>
            </w:tcBorders>
            <w:vAlign w:val="center"/>
          </w:tcPr>
          <w:p w14:paraId="63631A80"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-0.68</w:t>
            </w:r>
          </w:p>
        </w:tc>
        <w:tc>
          <w:tcPr>
            <w:tcW w:w="893" w:type="dxa"/>
            <w:tcBorders>
              <w:top w:val="nil"/>
              <w:left w:val="nil"/>
              <w:bottom w:val="nil"/>
              <w:right w:val="nil"/>
            </w:tcBorders>
            <w:vAlign w:val="center"/>
          </w:tcPr>
          <w:p w14:paraId="6BFC9D7A"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-1.16</w:t>
            </w:r>
          </w:p>
        </w:tc>
        <w:tc>
          <w:tcPr>
            <w:tcW w:w="688" w:type="dxa"/>
            <w:tcBorders>
              <w:top w:val="nil"/>
              <w:left w:val="nil"/>
              <w:bottom w:val="nil"/>
              <w:right w:val="nil"/>
            </w:tcBorders>
            <w:vAlign w:val="center"/>
          </w:tcPr>
          <w:p w14:paraId="5532509F"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-5.26</w:t>
            </w:r>
          </w:p>
        </w:tc>
        <w:tc>
          <w:tcPr>
            <w:tcW w:w="688" w:type="dxa"/>
            <w:tcBorders>
              <w:top w:val="nil"/>
              <w:left w:val="nil"/>
              <w:bottom w:val="nil"/>
              <w:right w:val="nil"/>
            </w:tcBorders>
            <w:vAlign w:val="center"/>
          </w:tcPr>
          <w:p w14:paraId="064BD4FB"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5.99</w:t>
            </w:r>
          </w:p>
        </w:tc>
        <w:tc>
          <w:tcPr>
            <w:tcW w:w="656" w:type="dxa"/>
            <w:tcBorders>
              <w:top w:val="nil"/>
              <w:left w:val="nil"/>
              <w:bottom w:val="nil"/>
              <w:right w:val="nil"/>
            </w:tcBorders>
            <w:vAlign w:val="center"/>
          </w:tcPr>
          <w:p w14:paraId="26366645"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2.26</w:t>
            </w:r>
          </w:p>
        </w:tc>
        <w:tc>
          <w:tcPr>
            <w:tcW w:w="694" w:type="dxa"/>
            <w:tcBorders>
              <w:top w:val="nil"/>
              <w:left w:val="nil"/>
              <w:bottom w:val="nil"/>
              <w:right w:val="nil"/>
            </w:tcBorders>
            <w:vAlign w:val="center"/>
          </w:tcPr>
          <w:p w14:paraId="0FFE2AAE"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0.94</w:t>
            </w:r>
          </w:p>
        </w:tc>
        <w:tc>
          <w:tcPr>
            <w:tcW w:w="688" w:type="dxa"/>
            <w:tcBorders>
              <w:top w:val="nil"/>
              <w:left w:val="nil"/>
              <w:bottom w:val="nil"/>
              <w:right w:val="nil"/>
            </w:tcBorders>
            <w:vAlign w:val="center"/>
          </w:tcPr>
          <w:p w14:paraId="24B7FEE0"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1.71</w:t>
            </w:r>
          </w:p>
        </w:tc>
        <w:tc>
          <w:tcPr>
            <w:tcW w:w="688" w:type="dxa"/>
            <w:tcBorders>
              <w:top w:val="nil"/>
              <w:left w:val="nil"/>
              <w:bottom w:val="nil"/>
              <w:right w:val="nil"/>
            </w:tcBorders>
            <w:vAlign w:val="center"/>
          </w:tcPr>
          <w:p w14:paraId="41B98A8D"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-0.3</w:t>
            </w:r>
            <w:r>
              <w:rPr>
                <w:rFonts w:ascii="Times New Roman" w:hAnsi="Times New Roman"/>
                <w:color w:val="000000"/>
                <w:sz w:val="18"/>
                <w:szCs w:val="18"/>
              </w:rPr>
              <w:t>9*</w:t>
            </w:r>
          </w:p>
        </w:tc>
        <w:tc>
          <w:tcPr>
            <w:tcW w:w="656" w:type="dxa"/>
            <w:tcBorders>
              <w:top w:val="nil"/>
              <w:left w:val="nil"/>
              <w:bottom w:val="nil"/>
              <w:right w:val="nil"/>
            </w:tcBorders>
            <w:vAlign w:val="center"/>
          </w:tcPr>
          <w:p w14:paraId="06051F63"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0.74</w:t>
            </w:r>
          </w:p>
        </w:tc>
        <w:tc>
          <w:tcPr>
            <w:tcW w:w="849" w:type="dxa"/>
            <w:tcBorders>
              <w:top w:val="nil"/>
              <w:left w:val="nil"/>
              <w:bottom w:val="nil"/>
              <w:right w:val="nil"/>
            </w:tcBorders>
            <w:vAlign w:val="center"/>
          </w:tcPr>
          <w:p w14:paraId="0D91DC7B"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-1.</w:t>
            </w:r>
            <w:r>
              <w:rPr>
                <w:rFonts w:ascii="Times New Roman" w:hAnsi="Times New Roman"/>
                <w:color w:val="000000"/>
                <w:sz w:val="18"/>
                <w:szCs w:val="18"/>
              </w:rPr>
              <w:t>52</w:t>
            </w:r>
          </w:p>
        </w:tc>
        <w:tc>
          <w:tcPr>
            <w:tcW w:w="1036" w:type="dxa"/>
            <w:tcBorders>
              <w:top w:val="nil"/>
              <w:left w:val="nil"/>
              <w:bottom w:val="nil"/>
              <w:right w:val="nil"/>
            </w:tcBorders>
          </w:tcPr>
          <w:p w14:paraId="2FC4010C" w14:textId="77777777" w:rsidR="00C45588" w:rsidRPr="00AD5611" w:rsidRDefault="00C45588" w:rsidP="00DD653F">
            <w:pPr>
              <w:spacing w:after="0"/>
              <w:jc w:val="center"/>
              <w:rPr>
                <w:rFonts w:ascii="Times New Roman" w:hAnsi="Times New Roman"/>
                <w:color w:val="000000"/>
                <w:sz w:val="18"/>
                <w:szCs w:val="18"/>
              </w:rPr>
            </w:pPr>
            <w:r>
              <w:rPr>
                <w:rFonts w:ascii="Times New Roman" w:hAnsi="Times New Roman"/>
                <w:color w:val="000000"/>
                <w:sz w:val="18"/>
                <w:szCs w:val="18"/>
              </w:rPr>
              <w:t>-0.00077</w:t>
            </w:r>
          </w:p>
        </w:tc>
      </w:tr>
      <w:tr w:rsidR="00C45588" w:rsidRPr="00F25D19" w14:paraId="5E477CAF" w14:textId="77777777" w:rsidTr="00224673">
        <w:trPr>
          <w:trHeight w:val="178"/>
          <w:jc w:val="center"/>
        </w:trPr>
        <w:tc>
          <w:tcPr>
            <w:tcW w:w="585" w:type="dxa"/>
            <w:tcBorders>
              <w:top w:val="nil"/>
              <w:left w:val="nil"/>
              <w:bottom w:val="nil"/>
              <w:right w:val="nil"/>
            </w:tcBorders>
          </w:tcPr>
          <w:p w14:paraId="10AC8D34" w14:textId="77777777" w:rsidR="00C45588" w:rsidRPr="00F25D19" w:rsidRDefault="00C45588" w:rsidP="00A3023B">
            <w:pPr>
              <w:spacing w:after="0" w:line="240" w:lineRule="auto"/>
              <w:jc w:val="both"/>
              <w:outlineLvl w:val="0"/>
              <w:rPr>
                <w:rFonts w:ascii="Times New Roman" w:hAnsi="Times New Roman"/>
                <w:sz w:val="18"/>
                <w:szCs w:val="18"/>
              </w:rPr>
            </w:pPr>
          </w:p>
        </w:tc>
        <w:tc>
          <w:tcPr>
            <w:tcW w:w="970" w:type="dxa"/>
            <w:tcBorders>
              <w:top w:val="nil"/>
              <w:left w:val="nil"/>
              <w:bottom w:val="nil"/>
              <w:right w:val="nil"/>
            </w:tcBorders>
          </w:tcPr>
          <w:p w14:paraId="46B1B6EB" w14:textId="77777777" w:rsidR="00C45588" w:rsidRPr="00F25D19" w:rsidRDefault="00C45588" w:rsidP="00DD653F">
            <w:pPr>
              <w:spacing w:after="0" w:line="240" w:lineRule="auto"/>
              <w:outlineLvl w:val="0"/>
              <w:rPr>
                <w:rFonts w:ascii="Times New Roman" w:hAnsi="Times New Roman"/>
                <w:sz w:val="18"/>
                <w:szCs w:val="18"/>
              </w:rPr>
            </w:pPr>
            <w:r w:rsidRPr="00F25D19">
              <w:rPr>
                <w:rFonts w:ascii="Times New Roman" w:hAnsi="Times New Roman"/>
                <w:sz w:val="18"/>
                <w:szCs w:val="18"/>
              </w:rPr>
              <w:t>S</w:t>
            </w:r>
            <w:r>
              <w:rPr>
                <w:rFonts w:ascii="Times New Roman" w:hAnsi="Times New Roman"/>
                <w:sz w:val="18"/>
                <w:szCs w:val="18"/>
              </w:rPr>
              <w:t>trategy</w:t>
            </w:r>
            <w:r w:rsidRPr="00F25D19">
              <w:rPr>
                <w:rFonts w:ascii="Times New Roman" w:hAnsi="Times New Roman"/>
                <w:sz w:val="18"/>
                <w:szCs w:val="18"/>
              </w:rPr>
              <w:t xml:space="preserve"> 4</w:t>
            </w:r>
          </w:p>
        </w:tc>
        <w:tc>
          <w:tcPr>
            <w:tcW w:w="649" w:type="dxa"/>
            <w:tcBorders>
              <w:top w:val="nil"/>
              <w:left w:val="nil"/>
              <w:bottom w:val="nil"/>
              <w:right w:val="nil"/>
            </w:tcBorders>
            <w:vAlign w:val="center"/>
          </w:tcPr>
          <w:p w14:paraId="2AC32399"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31</w:t>
            </w:r>
          </w:p>
        </w:tc>
        <w:tc>
          <w:tcPr>
            <w:tcW w:w="727" w:type="dxa"/>
            <w:tcBorders>
              <w:top w:val="nil"/>
              <w:left w:val="nil"/>
              <w:bottom w:val="nil"/>
              <w:right w:val="nil"/>
            </w:tcBorders>
            <w:vAlign w:val="center"/>
          </w:tcPr>
          <w:p w14:paraId="1B397056"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-0.32</w:t>
            </w:r>
          </w:p>
        </w:tc>
        <w:tc>
          <w:tcPr>
            <w:tcW w:w="893" w:type="dxa"/>
            <w:tcBorders>
              <w:top w:val="nil"/>
              <w:left w:val="nil"/>
              <w:bottom w:val="nil"/>
              <w:right w:val="nil"/>
            </w:tcBorders>
            <w:vAlign w:val="center"/>
          </w:tcPr>
          <w:p w14:paraId="05975F39"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-0.22</w:t>
            </w:r>
          </w:p>
        </w:tc>
        <w:tc>
          <w:tcPr>
            <w:tcW w:w="688" w:type="dxa"/>
            <w:tcBorders>
              <w:top w:val="nil"/>
              <w:left w:val="nil"/>
              <w:bottom w:val="nil"/>
              <w:right w:val="nil"/>
            </w:tcBorders>
            <w:vAlign w:val="center"/>
          </w:tcPr>
          <w:p w14:paraId="1B2CC83B"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-4.13</w:t>
            </w:r>
          </w:p>
        </w:tc>
        <w:tc>
          <w:tcPr>
            <w:tcW w:w="688" w:type="dxa"/>
            <w:tcBorders>
              <w:top w:val="nil"/>
              <w:left w:val="nil"/>
              <w:bottom w:val="nil"/>
              <w:right w:val="nil"/>
            </w:tcBorders>
            <w:vAlign w:val="center"/>
          </w:tcPr>
          <w:p w14:paraId="200A2D97"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2.37</w:t>
            </w:r>
          </w:p>
        </w:tc>
        <w:tc>
          <w:tcPr>
            <w:tcW w:w="656" w:type="dxa"/>
            <w:tcBorders>
              <w:top w:val="nil"/>
              <w:left w:val="nil"/>
              <w:bottom w:val="nil"/>
              <w:right w:val="nil"/>
            </w:tcBorders>
            <w:vAlign w:val="center"/>
          </w:tcPr>
          <w:p w14:paraId="4183CF80"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1.56</w:t>
            </w:r>
          </w:p>
        </w:tc>
        <w:tc>
          <w:tcPr>
            <w:tcW w:w="694" w:type="dxa"/>
            <w:tcBorders>
              <w:top w:val="nil"/>
              <w:left w:val="nil"/>
              <w:bottom w:val="nil"/>
              <w:right w:val="nil"/>
            </w:tcBorders>
            <w:vAlign w:val="center"/>
          </w:tcPr>
          <w:p w14:paraId="78BC2C93"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-0.44</w:t>
            </w:r>
          </w:p>
        </w:tc>
        <w:tc>
          <w:tcPr>
            <w:tcW w:w="688" w:type="dxa"/>
            <w:tcBorders>
              <w:top w:val="nil"/>
              <w:left w:val="nil"/>
              <w:bottom w:val="nil"/>
              <w:right w:val="nil"/>
            </w:tcBorders>
            <w:vAlign w:val="center"/>
          </w:tcPr>
          <w:p w14:paraId="660703C1"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0.21</w:t>
            </w:r>
          </w:p>
        </w:tc>
        <w:tc>
          <w:tcPr>
            <w:tcW w:w="688" w:type="dxa"/>
            <w:tcBorders>
              <w:top w:val="nil"/>
              <w:left w:val="nil"/>
              <w:bottom w:val="nil"/>
              <w:right w:val="nil"/>
            </w:tcBorders>
            <w:vAlign w:val="center"/>
          </w:tcPr>
          <w:p w14:paraId="3627E2CC"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-0.15</w:t>
            </w:r>
          </w:p>
        </w:tc>
        <w:tc>
          <w:tcPr>
            <w:tcW w:w="656" w:type="dxa"/>
            <w:tcBorders>
              <w:top w:val="nil"/>
              <w:left w:val="nil"/>
              <w:bottom w:val="nil"/>
              <w:right w:val="nil"/>
            </w:tcBorders>
            <w:vAlign w:val="center"/>
          </w:tcPr>
          <w:p w14:paraId="3334843A"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0.61</w:t>
            </w:r>
          </w:p>
        </w:tc>
        <w:tc>
          <w:tcPr>
            <w:tcW w:w="849" w:type="dxa"/>
            <w:tcBorders>
              <w:top w:val="nil"/>
              <w:left w:val="nil"/>
              <w:bottom w:val="nil"/>
              <w:right w:val="nil"/>
            </w:tcBorders>
            <w:vAlign w:val="center"/>
          </w:tcPr>
          <w:p w14:paraId="00C16FEE"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-0.7</w:t>
            </w:r>
            <w:r>
              <w:rPr>
                <w:rFonts w:ascii="Times New Roman" w:hAnsi="Times New Roman"/>
                <w:color w:val="000000"/>
                <w:sz w:val="18"/>
                <w:szCs w:val="18"/>
              </w:rPr>
              <w:t>0</w:t>
            </w:r>
          </w:p>
        </w:tc>
        <w:tc>
          <w:tcPr>
            <w:tcW w:w="1036" w:type="dxa"/>
            <w:tcBorders>
              <w:top w:val="nil"/>
              <w:left w:val="nil"/>
              <w:bottom w:val="nil"/>
              <w:right w:val="nil"/>
            </w:tcBorders>
          </w:tcPr>
          <w:p w14:paraId="17EF9C2F" w14:textId="77777777" w:rsidR="00C45588" w:rsidRPr="00AD5611" w:rsidRDefault="00C45588" w:rsidP="00DD653F">
            <w:pPr>
              <w:spacing w:after="0"/>
              <w:jc w:val="center"/>
              <w:rPr>
                <w:rFonts w:ascii="Times New Roman" w:hAnsi="Times New Roman"/>
                <w:color w:val="000000"/>
                <w:sz w:val="18"/>
                <w:szCs w:val="18"/>
              </w:rPr>
            </w:pPr>
            <w:r>
              <w:rPr>
                <w:rFonts w:ascii="Times New Roman" w:hAnsi="Times New Roman"/>
                <w:color w:val="000000"/>
                <w:sz w:val="18"/>
                <w:szCs w:val="18"/>
              </w:rPr>
              <w:t>-0.00017</w:t>
            </w:r>
          </w:p>
        </w:tc>
      </w:tr>
      <w:tr w:rsidR="00C45588" w:rsidRPr="00F25D19" w14:paraId="6DC3BE99" w14:textId="77777777" w:rsidTr="00224673">
        <w:trPr>
          <w:trHeight w:val="178"/>
          <w:jc w:val="center"/>
        </w:trPr>
        <w:tc>
          <w:tcPr>
            <w:tcW w:w="585" w:type="dxa"/>
            <w:tcBorders>
              <w:top w:val="nil"/>
              <w:left w:val="nil"/>
              <w:bottom w:val="nil"/>
              <w:right w:val="nil"/>
            </w:tcBorders>
          </w:tcPr>
          <w:p w14:paraId="77872119" w14:textId="77777777" w:rsidR="00C45588" w:rsidRPr="00F25D19" w:rsidRDefault="00C45588" w:rsidP="00A3023B">
            <w:pPr>
              <w:spacing w:after="0" w:line="240" w:lineRule="auto"/>
              <w:jc w:val="both"/>
              <w:outlineLvl w:val="0"/>
              <w:rPr>
                <w:rFonts w:ascii="Times New Roman" w:hAnsi="Times New Roman"/>
                <w:sz w:val="18"/>
                <w:szCs w:val="18"/>
              </w:rPr>
            </w:pPr>
            <w:r w:rsidRPr="00F25D19">
              <w:rPr>
                <w:rFonts w:ascii="Times New Roman" w:hAnsi="Times New Roman"/>
                <w:sz w:val="18"/>
                <w:szCs w:val="18"/>
              </w:rPr>
              <w:t>2</w:t>
            </w:r>
          </w:p>
        </w:tc>
        <w:tc>
          <w:tcPr>
            <w:tcW w:w="970" w:type="dxa"/>
            <w:tcBorders>
              <w:top w:val="nil"/>
              <w:left w:val="nil"/>
              <w:bottom w:val="nil"/>
              <w:right w:val="nil"/>
            </w:tcBorders>
          </w:tcPr>
          <w:p w14:paraId="160DA43C" w14:textId="77777777" w:rsidR="00C45588" w:rsidRPr="00F25D19" w:rsidRDefault="00C45588" w:rsidP="00DD653F">
            <w:pPr>
              <w:spacing w:after="0" w:line="240" w:lineRule="auto"/>
              <w:outlineLvl w:val="0"/>
              <w:rPr>
                <w:rFonts w:ascii="Times New Roman" w:hAnsi="Times New Roman"/>
                <w:sz w:val="18"/>
                <w:szCs w:val="18"/>
              </w:rPr>
            </w:pPr>
            <w:r w:rsidRPr="00F25D19">
              <w:rPr>
                <w:rFonts w:ascii="Times New Roman" w:hAnsi="Times New Roman"/>
                <w:sz w:val="18"/>
                <w:szCs w:val="18"/>
              </w:rPr>
              <w:t>S</w:t>
            </w:r>
            <w:r>
              <w:rPr>
                <w:rFonts w:ascii="Times New Roman" w:hAnsi="Times New Roman"/>
                <w:sz w:val="18"/>
                <w:szCs w:val="18"/>
              </w:rPr>
              <w:t>trategy</w:t>
            </w:r>
            <w:r w:rsidRPr="00F25D19">
              <w:rPr>
                <w:rFonts w:ascii="Times New Roman" w:hAnsi="Times New Roman"/>
                <w:sz w:val="18"/>
                <w:szCs w:val="18"/>
              </w:rPr>
              <w:t xml:space="preserve"> 1</w:t>
            </w:r>
          </w:p>
        </w:tc>
        <w:tc>
          <w:tcPr>
            <w:tcW w:w="649" w:type="dxa"/>
            <w:tcBorders>
              <w:top w:val="nil"/>
              <w:left w:val="nil"/>
              <w:bottom w:val="nil"/>
              <w:right w:val="nil"/>
            </w:tcBorders>
            <w:vAlign w:val="center"/>
          </w:tcPr>
          <w:p w14:paraId="246257DB"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31</w:t>
            </w:r>
          </w:p>
        </w:tc>
        <w:tc>
          <w:tcPr>
            <w:tcW w:w="727" w:type="dxa"/>
            <w:tcBorders>
              <w:top w:val="nil"/>
              <w:left w:val="nil"/>
              <w:bottom w:val="nil"/>
              <w:right w:val="nil"/>
            </w:tcBorders>
            <w:vAlign w:val="center"/>
          </w:tcPr>
          <w:p w14:paraId="6BD14007"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-0.26</w:t>
            </w:r>
          </w:p>
        </w:tc>
        <w:tc>
          <w:tcPr>
            <w:tcW w:w="893" w:type="dxa"/>
            <w:tcBorders>
              <w:top w:val="nil"/>
              <w:left w:val="nil"/>
              <w:bottom w:val="nil"/>
              <w:right w:val="nil"/>
            </w:tcBorders>
            <w:vAlign w:val="center"/>
          </w:tcPr>
          <w:p w14:paraId="559233B8"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0</w:t>
            </w:r>
            <w:r>
              <w:rPr>
                <w:rFonts w:ascii="Times New Roman" w:hAnsi="Times New Roman"/>
                <w:color w:val="000000"/>
                <w:sz w:val="18"/>
                <w:szCs w:val="18"/>
              </w:rPr>
              <w:t>.00</w:t>
            </w:r>
          </w:p>
        </w:tc>
        <w:tc>
          <w:tcPr>
            <w:tcW w:w="688" w:type="dxa"/>
            <w:tcBorders>
              <w:top w:val="nil"/>
              <w:left w:val="nil"/>
              <w:bottom w:val="nil"/>
              <w:right w:val="nil"/>
            </w:tcBorders>
            <w:vAlign w:val="center"/>
          </w:tcPr>
          <w:p w14:paraId="64D6F854"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-5.04</w:t>
            </w:r>
          </w:p>
        </w:tc>
        <w:tc>
          <w:tcPr>
            <w:tcW w:w="688" w:type="dxa"/>
            <w:tcBorders>
              <w:top w:val="nil"/>
              <w:left w:val="nil"/>
              <w:bottom w:val="nil"/>
              <w:right w:val="nil"/>
            </w:tcBorders>
            <w:vAlign w:val="center"/>
          </w:tcPr>
          <w:p w14:paraId="26018A3B"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0.93</w:t>
            </w:r>
          </w:p>
        </w:tc>
        <w:tc>
          <w:tcPr>
            <w:tcW w:w="656" w:type="dxa"/>
            <w:tcBorders>
              <w:top w:val="nil"/>
              <w:left w:val="nil"/>
              <w:bottom w:val="nil"/>
              <w:right w:val="nil"/>
            </w:tcBorders>
            <w:vAlign w:val="center"/>
          </w:tcPr>
          <w:p w14:paraId="2420B980"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1.1</w:t>
            </w:r>
            <w:r>
              <w:rPr>
                <w:rFonts w:ascii="Times New Roman" w:hAnsi="Times New Roman"/>
                <w:color w:val="000000"/>
                <w:sz w:val="18"/>
                <w:szCs w:val="18"/>
              </w:rPr>
              <w:t>0</w:t>
            </w:r>
          </w:p>
        </w:tc>
        <w:tc>
          <w:tcPr>
            <w:tcW w:w="694" w:type="dxa"/>
            <w:tcBorders>
              <w:top w:val="nil"/>
              <w:left w:val="nil"/>
              <w:bottom w:val="nil"/>
              <w:right w:val="nil"/>
            </w:tcBorders>
            <w:vAlign w:val="center"/>
          </w:tcPr>
          <w:p w14:paraId="16792298"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-2.84</w:t>
            </w:r>
          </w:p>
        </w:tc>
        <w:tc>
          <w:tcPr>
            <w:tcW w:w="688" w:type="dxa"/>
            <w:tcBorders>
              <w:top w:val="nil"/>
              <w:left w:val="nil"/>
              <w:bottom w:val="nil"/>
              <w:right w:val="nil"/>
            </w:tcBorders>
            <w:vAlign w:val="center"/>
          </w:tcPr>
          <w:p w14:paraId="4030D272"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11.4</w:t>
            </w:r>
            <w:r>
              <w:rPr>
                <w:rFonts w:ascii="Times New Roman" w:hAnsi="Times New Roman"/>
                <w:color w:val="000000"/>
                <w:sz w:val="18"/>
                <w:szCs w:val="18"/>
              </w:rPr>
              <w:t>0</w:t>
            </w:r>
          </w:p>
        </w:tc>
        <w:tc>
          <w:tcPr>
            <w:tcW w:w="688" w:type="dxa"/>
            <w:tcBorders>
              <w:top w:val="nil"/>
              <w:left w:val="nil"/>
              <w:bottom w:val="nil"/>
              <w:right w:val="nil"/>
            </w:tcBorders>
            <w:vAlign w:val="center"/>
          </w:tcPr>
          <w:p w14:paraId="2C064638"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0.3</w:t>
            </w:r>
            <w:r>
              <w:rPr>
                <w:rFonts w:ascii="Times New Roman" w:hAnsi="Times New Roman"/>
                <w:color w:val="000000"/>
                <w:sz w:val="18"/>
                <w:szCs w:val="18"/>
              </w:rPr>
              <w:t>5*</w:t>
            </w:r>
          </w:p>
        </w:tc>
        <w:tc>
          <w:tcPr>
            <w:tcW w:w="656" w:type="dxa"/>
            <w:tcBorders>
              <w:top w:val="nil"/>
              <w:left w:val="nil"/>
              <w:bottom w:val="nil"/>
              <w:right w:val="nil"/>
            </w:tcBorders>
            <w:vAlign w:val="center"/>
          </w:tcPr>
          <w:p w14:paraId="07C08DEA"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0.48</w:t>
            </w:r>
          </w:p>
        </w:tc>
        <w:tc>
          <w:tcPr>
            <w:tcW w:w="849" w:type="dxa"/>
            <w:tcBorders>
              <w:top w:val="nil"/>
              <w:left w:val="nil"/>
              <w:bottom w:val="nil"/>
              <w:right w:val="nil"/>
            </w:tcBorders>
            <w:vAlign w:val="center"/>
          </w:tcPr>
          <w:p w14:paraId="01110CFF"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-0.</w:t>
            </w:r>
            <w:r>
              <w:rPr>
                <w:rFonts w:ascii="Times New Roman" w:hAnsi="Times New Roman"/>
                <w:color w:val="000000"/>
                <w:sz w:val="18"/>
                <w:szCs w:val="18"/>
              </w:rPr>
              <w:t>5</w:t>
            </w:r>
            <w:r w:rsidRPr="00AD5611">
              <w:rPr>
                <w:rFonts w:ascii="Times New Roman" w:hAnsi="Times New Roman"/>
                <w:color w:val="000000"/>
                <w:sz w:val="18"/>
                <w:szCs w:val="18"/>
              </w:rPr>
              <w:t>8</w:t>
            </w:r>
          </w:p>
        </w:tc>
        <w:tc>
          <w:tcPr>
            <w:tcW w:w="1036" w:type="dxa"/>
            <w:tcBorders>
              <w:top w:val="nil"/>
              <w:left w:val="nil"/>
              <w:bottom w:val="nil"/>
              <w:right w:val="nil"/>
            </w:tcBorders>
          </w:tcPr>
          <w:p w14:paraId="062C54F4" w14:textId="77777777" w:rsidR="00C45588" w:rsidRPr="00AD5611" w:rsidRDefault="00C45588" w:rsidP="00DD653F">
            <w:pPr>
              <w:spacing w:after="0"/>
              <w:jc w:val="center"/>
              <w:rPr>
                <w:rFonts w:ascii="Times New Roman" w:hAnsi="Times New Roman"/>
                <w:color w:val="000000"/>
                <w:sz w:val="18"/>
                <w:szCs w:val="18"/>
              </w:rPr>
            </w:pPr>
            <w:r>
              <w:rPr>
                <w:rFonts w:ascii="Times New Roman" w:hAnsi="Times New Roman"/>
                <w:color w:val="000000"/>
                <w:sz w:val="18"/>
                <w:szCs w:val="18"/>
              </w:rPr>
              <w:t>-0.00007</w:t>
            </w:r>
          </w:p>
        </w:tc>
      </w:tr>
      <w:tr w:rsidR="00C45588" w:rsidRPr="00F25D19" w14:paraId="735E1A0A" w14:textId="77777777" w:rsidTr="00224673">
        <w:trPr>
          <w:trHeight w:val="189"/>
          <w:jc w:val="center"/>
        </w:trPr>
        <w:tc>
          <w:tcPr>
            <w:tcW w:w="585" w:type="dxa"/>
            <w:tcBorders>
              <w:top w:val="nil"/>
              <w:left w:val="nil"/>
              <w:bottom w:val="nil"/>
              <w:right w:val="nil"/>
            </w:tcBorders>
          </w:tcPr>
          <w:p w14:paraId="0973F47F" w14:textId="77777777" w:rsidR="00C45588" w:rsidRPr="00F25D19" w:rsidRDefault="00C45588" w:rsidP="00A3023B">
            <w:pPr>
              <w:spacing w:after="0" w:line="240" w:lineRule="auto"/>
              <w:jc w:val="both"/>
              <w:outlineLvl w:val="0"/>
              <w:rPr>
                <w:rFonts w:ascii="Times New Roman" w:hAnsi="Times New Roman"/>
                <w:sz w:val="18"/>
                <w:szCs w:val="18"/>
              </w:rPr>
            </w:pPr>
          </w:p>
        </w:tc>
        <w:tc>
          <w:tcPr>
            <w:tcW w:w="970" w:type="dxa"/>
            <w:tcBorders>
              <w:top w:val="nil"/>
              <w:left w:val="nil"/>
              <w:bottom w:val="nil"/>
              <w:right w:val="nil"/>
            </w:tcBorders>
          </w:tcPr>
          <w:p w14:paraId="40775892" w14:textId="77777777" w:rsidR="00C45588" w:rsidRPr="00F25D19" w:rsidRDefault="00C45588" w:rsidP="00DD653F">
            <w:pPr>
              <w:spacing w:after="0" w:line="240" w:lineRule="auto"/>
              <w:outlineLvl w:val="0"/>
              <w:rPr>
                <w:rFonts w:ascii="Times New Roman" w:hAnsi="Times New Roman"/>
                <w:sz w:val="18"/>
                <w:szCs w:val="18"/>
              </w:rPr>
            </w:pPr>
            <w:r w:rsidRPr="00F25D19">
              <w:rPr>
                <w:rFonts w:ascii="Times New Roman" w:hAnsi="Times New Roman"/>
                <w:sz w:val="18"/>
                <w:szCs w:val="18"/>
              </w:rPr>
              <w:t>S</w:t>
            </w:r>
            <w:r>
              <w:rPr>
                <w:rFonts w:ascii="Times New Roman" w:hAnsi="Times New Roman"/>
                <w:sz w:val="18"/>
                <w:szCs w:val="18"/>
              </w:rPr>
              <w:t>trategy</w:t>
            </w:r>
            <w:r w:rsidRPr="00F25D19">
              <w:rPr>
                <w:rFonts w:ascii="Times New Roman" w:hAnsi="Times New Roman"/>
                <w:sz w:val="18"/>
                <w:szCs w:val="18"/>
              </w:rPr>
              <w:t xml:space="preserve"> 2</w:t>
            </w:r>
          </w:p>
        </w:tc>
        <w:tc>
          <w:tcPr>
            <w:tcW w:w="649" w:type="dxa"/>
            <w:tcBorders>
              <w:top w:val="nil"/>
              <w:left w:val="nil"/>
              <w:bottom w:val="nil"/>
              <w:right w:val="nil"/>
            </w:tcBorders>
            <w:vAlign w:val="center"/>
          </w:tcPr>
          <w:p w14:paraId="3D8DA7DD"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31</w:t>
            </w:r>
          </w:p>
        </w:tc>
        <w:tc>
          <w:tcPr>
            <w:tcW w:w="727" w:type="dxa"/>
            <w:tcBorders>
              <w:top w:val="nil"/>
              <w:left w:val="nil"/>
              <w:bottom w:val="nil"/>
              <w:right w:val="nil"/>
            </w:tcBorders>
            <w:vAlign w:val="center"/>
          </w:tcPr>
          <w:p w14:paraId="7E6DA66B"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-0.29</w:t>
            </w:r>
          </w:p>
        </w:tc>
        <w:tc>
          <w:tcPr>
            <w:tcW w:w="893" w:type="dxa"/>
            <w:tcBorders>
              <w:top w:val="nil"/>
              <w:left w:val="nil"/>
              <w:bottom w:val="nil"/>
              <w:right w:val="nil"/>
            </w:tcBorders>
            <w:vAlign w:val="center"/>
          </w:tcPr>
          <w:p w14:paraId="4F964E9B"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-0.07</w:t>
            </w:r>
          </w:p>
        </w:tc>
        <w:tc>
          <w:tcPr>
            <w:tcW w:w="688" w:type="dxa"/>
            <w:tcBorders>
              <w:top w:val="nil"/>
              <w:left w:val="nil"/>
              <w:bottom w:val="nil"/>
              <w:right w:val="nil"/>
            </w:tcBorders>
            <w:vAlign w:val="center"/>
          </w:tcPr>
          <w:p w14:paraId="54527456"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-4.27</w:t>
            </w:r>
          </w:p>
        </w:tc>
        <w:tc>
          <w:tcPr>
            <w:tcW w:w="688" w:type="dxa"/>
            <w:tcBorders>
              <w:top w:val="nil"/>
              <w:left w:val="nil"/>
              <w:bottom w:val="nil"/>
              <w:right w:val="nil"/>
            </w:tcBorders>
            <w:vAlign w:val="center"/>
          </w:tcPr>
          <w:p w14:paraId="7A45F3E3"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0.9</w:t>
            </w:r>
            <w:r>
              <w:rPr>
                <w:rFonts w:ascii="Times New Roman" w:hAnsi="Times New Roman"/>
                <w:color w:val="000000"/>
                <w:sz w:val="18"/>
                <w:szCs w:val="18"/>
              </w:rPr>
              <w:t>0</w:t>
            </w:r>
          </w:p>
        </w:tc>
        <w:tc>
          <w:tcPr>
            <w:tcW w:w="656" w:type="dxa"/>
            <w:tcBorders>
              <w:top w:val="nil"/>
              <w:left w:val="nil"/>
              <w:bottom w:val="nil"/>
              <w:right w:val="nil"/>
            </w:tcBorders>
            <w:vAlign w:val="center"/>
          </w:tcPr>
          <w:p w14:paraId="68AA33D6"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0.99</w:t>
            </w:r>
          </w:p>
        </w:tc>
        <w:tc>
          <w:tcPr>
            <w:tcW w:w="694" w:type="dxa"/>
            <w:tcBorders>
              <w:top w:val="nil"/>
              <w:left w:val="nil"/>
              <w:bottom w:val="nil"/>
              <w:right w:val="nil"/>
            </w:tcBorders>
            <w:vAlign w:val="center"/>
          </w:tcPr>
          <w:p w14:paraId="649399FE"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-2.26</w:t>
            </w:r>
          </w:p>
        </w:tc>
        <w:tc>
          <w:tcPr>
            <w:tcW w:w="688" w:type="dxa"/>
            <w:tcBorders>
              <w:top w:val="nil"/>
              <w:left w:val="nil"/>
              <w:bottom w:val="nil"/>
              <w:right w:val="nil"/>
            </w:tcBorders>
            <w:vAlign w:val="center"/>
          </w:tcPr>
          <w:p w14:paraId="0D878BC7"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7.93</w:t>
            </w:r>
          </w:p>
        </w:tc>
        <w:tc>
          <w:tcPr>
            <w:tcW w:w="688" w:type="dxa"/>
            <w:tcBorders>
              <w:top w:val="nil"/>
              <w:left w:val="nil"/>
              <w:bottom w:val="nil"/>
              <w:right w:val="nil"/>
            </w:tcBorders>
            <w:vAlign w:val="center"/>
          </w:tcPr>
          <w:p w14:paraId="240A175A"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0.</w:t>
            </w:r>
            <w:r>
              <w:rPr>
                <w:rFonts w:ascii="Times New Roman" w:hAnsi="Times New Roman"/>
                <w:color w:val="000000"/>
                <w:sz w:val="18"/>
                <w:szCs w:val="18"/>
              </w:rPr>
              <w:t>40*</w:t>
            </w:r>
          </w:p>
        </w:tc>
        <w:tc>
          <w:tcPr>
            <w:tcW w:w="656" w:type="dxa"/>
            <w:tcBorders>
              <w:top w:val="nil"/>
              <w:left w:val="nil"/>
              <w:bottom w:val="nil"/>
              <w:right w:val="nil"/>
            </w:tcBorders>
            <w:vAlign w:val="center"/>
          </w:tcPr>
          <w:p w14:paraId="322EAB2B"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0.52</w:t>
            </w:r>
          </w:p>
        </w:tc>
        <w:tc>
          <w:tcPr>
            <w:tcW w:w="849" w:type="dxa"/>
            <w:tcBorders>
              <w:top w:val="nil"/>
              <w:left w:val="nil"/>
              <w:bottom w:val="nil"/>
              <w:right w:val="nil"/>
            </w:tcBorders>
            <w:vAlign w:val="center"/>
          </w:tcPr>
          <w:p w14:paraId="4369516F"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w:t>
            </w:r>
            <w:r>
              <w:rPr>
                <w:rFonts w:ascii="Times New Roman" w:hAnsi="Times New Roman"/>
                <w:color w:val="000000"/>
                <w:sz w:val="18"/>
                <w:szCs w:val="18"/>
              </w:rPr>
              <w:t>0.69</w:t>
            </w:r>
          </w:p>
        </w:tc>
        <w:tc>
          <w:tcPr>
            <w:tcW w:w="1036" w:type="dxa"/>
            <w:tcBorders>
              <w:top w:val="nil"/>
              <w:left w:val="nil"/>
              <w:bottom w:val="nil"/>
              <w:right w:val="nil"/>
            </w:tcBorders>
          </w:tcPr>
          <w:p w14:paraId="3A65EDBC" w14:textId="77777777" w:rsidR="00C45588" w:rsidRPr="00AD5611" w:rsidRDefault="00C45588" w:rsidP="00DD653F">
            <w:pPr>
              <w:spacing w:after="0"/>
              <w:jc w:val="center"/>
              <w:rPr>
                <w:rFonts w:ascii="Times New Roman" w:hAnsi="Times New Roman"/>
                <w:color w:val="000000"/>
                <w:sz w:val="18"/>
                <w:szCs w:val="18"/>
              </w:rPr>
            </w:pPr>
            <w:r>
              <w:rPr>
                <w:rFonts w:ascii="Times New Roman" w:hAnsi="Times New Roman"/>
                <w:color w:val="000000"/>
                <w:sz w:val="18"/>
                <w:szCs w:val="18"/>
              </w:rPr>
              <w:t>-0.00007</w:t>
            </w:r>
          </w:p>
        </w:tc>
      </w:tr>
      <w:tr w:rsidR="00C45588" w:rsidRPr="00F25D19" w14:paraId="2732AE0A" w14:textId="77777777" w:rsidTr="00224673">
        <w:trPr>
          <w:trHeight w:val="178"/>
          <w:jc w:val="center"/>
        </w:trPr>
        <w:tc>
          <w:tcPr>
            <w:tcW w:w="585" w:type="dxa"/>
            <w:tcBorders>
              <w:top w:val="nil"/>
              <w:left w:val="nil"/>
              <w:bottom w:val="nil"/>
              <w:right w:val="nil"/>
            </w:tcBorders>
          </w:tcPr>
          <w:p w14:paraId="7C19DC2D" w14:textId="77777777" w:rsidR="00C45588" w:rsidRPr="00F25D19" w:rsidRDefault="00C45588" w:rsidP="00A3023B">
            <w:pPr>
              <w:spacing w:after="0" w:line="240" w:lineRule="auto"/>
              <w:jc w:val="both"/>
              <w:outlineLvl w:val="0"/>
              <w:rPr>
                <w:rFonts w:ascii="Times New Roman" w:hAnsi="Times New Roman"/>
                <w:sz w:val="18"/>
                <w:szCs w:val="18"/>
              </w:rPr>
            </w:pPr>
          </w:p>
        </w:tc>
        <w:tc>
          <w:tcPr>
            <w:tcW w:w="970" w:type="dxa"/>
            <w:tcBorders>
              <w:top w:val="nil"/>
              <w:left w:val="nil"/>
              <w:bottom w:val="nil"/>
              <w:right w:val="nil"/>
            </w:tcBorders>
          </w:tcPr>
          <w:p w14:paraId="0720B5F1" w14:textId="77777777" w:rsidR="00C45588" w:rsidRPr="00F25D19" w:rsidRDefault="00C45588" w:rsidP="00DD653F">
            <w:pPr>
              <w:spacing w:after="0" w:line="240" w:lineRule="auto"/>
              <w:outlineLvl w:val="0"/>
              <w:rPr>
                <w:rFonts w:ascii="Times New Roman" w:hAnsi="Times New Roman"/>
                <w:sz w:val="18"/>
                <w:szCs w:val="18"/>
              </w:rPr>
            </w:pPr>
            <w:r w:rsidRPr="00F25D19">
              <w:rPr>
                <w:rFonts w:ascii="Times New Roman" w:hAnsi="Times New Roman"/>
                <w:sz w:val="18"/>
                <w:szCs w:val="18"/>
              </w:rPr>
              <w:t>S</w:t>
            </w:r>
            <w:r>
              <w:rPr>
                <w:rFonts w:ascii="Times New Roman" w:hAnsi="Times New Roman"/>
                <w:sz w:val="18"/>
                <w:szCs w:val="18"/>
              </w:rPr>
              <w:t>trategy</w:t>
            </w:r>
            <w:r w:rsidRPr="00F25D19">
              <w:rPr>
                <w:rFonts w:ascii="Times New Roman" w:hAnsi="Times New Roman"/>
                <w:sz w:val="18"/>
                <w:szCs w:val="18"/>
              </w:rPr>
              <w:t xml:space="preserve"> 3</w:t>
            </w:r>
          </w:p>
        </w:tc>
        <w:tc>
          <w:tcPr>
            <w:tcW w:w="649" w:type="dxa"/>
            <w:tcBorders>
              <w:top w:val="nil"/>
              <w:left w:val="nil"/>
              <w:bottom w:val="nil"/>
              <w:right w:val="nil"/>
            </w:tcBorders>
            <w:vAlign w:val="center"/>
          </w:tcPr>
          <w:p w14:paraId="0CF0A151"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31</w:t>
            </w:r>
          </w:p>
        </w:tc>
        <w:tc>
          <w:tcPr>
            <w:tcW w:w="727" w:type="dxa"/>
            <w:tcBorders>
              <w:top w:val="nil"/>
              <w:left w:val="nil"/>
              <w:bottom w:val="nil"/>
              <w:right w:val="nil"/>
            </w:tcBorders>
            <w:vAlign w:val="center"/>
          </w:tcPr>
          <w:p w14:paraId="06694DD6"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-0.8</w:t>
            </w:r>
            <w:r>
              <w:rPr>
                <w:rFonts w:ascii="Times New Roman" w:hAnsi="Times New Roman"/>
                <w:color w:val="000000"/>
                <w:sz w:val="18"/>
                <w:szCs w:val="18"/>
              </w:rPr>
              <w:t>0</w:t>
            </w:r>
          </w:p>
        </w:tc>
        <w:tc>
          <w:tcPr>
            <w:tcW w:w="893" w:type="dxa"/>
            <w:tcBorders>
              <w:top w:val="nil"/>
              <w:left w:val="nil"/>
              <w:bottom w:val="nil"/>
              <w:right w:val="nil"/>
            </w:tcBorders>
            <w:vAlign w:val="center"/>
          </w:tcPr>
          <w:p w14:paraId="10DBC112"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-1.27</w:t>
            </w:r>
          </w:p>
        </w:tc>
        <w:tc>
          <w:tcPr>
            <w:tcW w:w="688" w:type="dxa"/>
            <w:tcBorders>
              <w:top w:val="nil"/>
              <w:left w:val="nil"/>
              <w:bottom w:val="nil"/>
              <w:right w:val="nil"/>
            </w:tcBorders>
            <w:vAlign w:val="center"/>
          </w:tcPr>
          <w:p w14:paraId="598A771A"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-5.14</w:t>
            </w:r>
          </w:p>
        </w:tc>
        <w:tc>
          <w:tcPr>
            <w:tcW w:w="688" w:type="dxa"/>
            <w:tcBorders>
              <w:top w:val="nil"/>
              <w:left w:val="nil"/>
              <w:bottom w:val="nil"/>
              <w:right w:val="nil"/>
            </w:tcBorders>
            <w:vAlign w:val="center"/>
          </w:tcPr>
          <w:p w14:paraId="3007F6B0"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5.86</w:t>
            </w:r>
          </w:p>
        </w:tc>
        <w:tc>
          <w:tcPr>
            <w:tcW w:w="656" w:type="dxa"/>
            <w:tcBorders>
              <w:top w:val="nil"/>
              <w:left w:val="nil"/>
              <w:bottom w:val="nil"/>
              <w:right w:val="nil"/>
            </w:tcBorders>
            <w:vAlign w:val="center"/>
          </w:tcPr>
          <w:p w14:paraId="3C8F9A66"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2.31</w:t>
            </w:r>
          </w:p>
        </w:tc>
        <w:tc>
          <w:tcPr>
            <w:tcW w:w="694" w:type="dxa"/>
            <w:tcBorders>
              <w:top w:val="nil"/>
              <w:left w:val="nil"/>
              <w:bottom w:val="nil"/>
              <w:right w:val="nil"/>
            </w:tcBorders>
            <w:vAlign w:val="center"/>
          </w:tcPr>
          <w:p w14:paraId="6C231A70"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0.99</w:t>
            </w:r>
          </w:p>
        </w:tc>
        <w:tc>
          <w:tcPr>
            <w:tcW w:w="688" w:type="dxa"/>
            <w:tcBorders>
              <w:top w:val="nil"/>
              <w:left w:val="nil"/>
              <w:bottom w:val="nil"/>
              <w:right w:val="nil"/>
            </w:tcBorders>
            <w:vAlign w:val="center"/>
          </w:tcPr>
          <w:p w14:paraId="19BA1D4C"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1.57</w:t>
            </w:r>
          </w:p>
        </w:tc>
        <w:tc>
          <w:tcPr>
            <w:tcW w:w="688" w:type="dxa"/>
            <w:tcBorders>
              <w:top w:val="nil"/>
              <w:left w:val="nil"/>
              <w:bottom w:val="nil"/>
              <w:right w:val="nil"/>
            </w:tcBorders>
            <w:vAlign w:val="center"/>
          </w:tcPr>
          <w:p w14:paraId="1402A196"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-0.</w:t>
            </w:r>
            <w:r>
              <w:rPr>
                <w:rFonts w:ascii="Times New Roman" w:hAnsi="Times New Roman"/>
                <w:color w:val="000000"/>
                <w:sz w:val="18"/>
                <w:szCs w:val="18"/>
              </w:rPr>
              <w:t>39*</w:t>
            </w:r>
          </w:p>
        </w:tc>
        <w:tc>
          <w:tcPr>
            <w:tcW w:w="656" w:type="dxa"/>
            <w:tcBorders>
              <w:top w:val="nil"/>
              <w:left w:val="nil"/>
              <w:bottom w:val="nil"/>
              <w:right w:val="nil"/>
            </w:tcBorders>
            <w:vAlign w:val="center"/>
          </w:tcPr>
          <w:p w14:paraId="43FDBB14"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0.68</w:t>
            </w:r>
          </w:p>
        </w:tc>
        <w:tc>
          <w:tcPr>
            <w:tcW w:w="849" w:type="dxa"/>
            <w:tcBorders>
              <w:top w:val="nil"/>
              <w:left w:val="nil"/>
              <w:bottom w:val="nil"/>
              <w:right w:val="nil"/>
            </w:tcBorders>
            <w:vAlign w:val="center"/>
          </w:tcPr>
          <w:p w14:paraId="77FEC1F5"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-1.</w:t>
            </w:r>
            <w:r>
              <w:rPr>
                <w:rFonts w:ascii="Times New Roman" w:hAnsi="Times New Roman"/>
                <w:color w:val="000000"/>
                <w:sz w:val="18"/>
                <w:szCs w:val="18"/>
              </w:rPr>
              <w:t>76</w:t>
            </w:r>
          </w:p>
        </w:tc>
        <w:tc>
          <w:tcPr>
            <w:tcW w:w="1036" w:type="dxa"/>
            <w:tcBorders>
              <w:top w:val="nil"/>
              <w:left w:val="nil"/>
              <w:bottom w:val="nil"/>
              <w:right w:val="nil"/>
            </w:tcBorders>
          </w:tcPr>
          <w:p w14:paraId="0363D017" w14:textId="77777777" w:rsidR="00C45588" w:rsidRPr="00AD5611" w:rsidRDefault="00C45588" w:rsidP="00DD653F">
            <w:pPr>
              <w:spacing w:after="0"/>
              <w:jc w:val="center"/>
              <w:rPr>
                <w:rFonts w:ascii="Times New Roman" w:hAnsi="Times New Roman"/>
                <w:color w:val="000000"/>
                <w:sz w:val="18"/>
                <w:szCs w:val="18"/>
              </w:rPr>
            </w:pPr>
            <w:r>
              <w:rPr>
                <w:rFonts w:ascii="Times New Roman" w:hAnsi="Times New Roman"/>
                <w:color w:val="000000"/>
                <w:sz w:val="18"/>
                <w:szCs w:val="18"/>
              </w:rPr>
              <w:t>-0.00093</w:t>
            </w:r>
          </w:p>
        </w:tc>
      </w:tr>
      <w:tr w:rsidR="00C45588" w:rsidRPr="00F25D19" w14:paraId="3B09DADF" w14:textId="77777777" w:rsidTr="00224673">
        <w:trPr>
          <w:trHeight w:val="189"/>
          <w:jc w:val="center"/>
        </w:trPr>
        <w:tc>
          <w:tcPr>
            <w:tcW w:w="585" w:type="dxa"/>
            <w:tcBorders>
              <w:top w:val="nil"/>
              <w:left w:val="nil"/>
              <w:bottom w:val="nil"/>
              <w:right w:val="nil"/>
            </w:tcBorders>
          </w:tcPr>
          <w:p w14:paraId="5E4B8B80" w14:textId="77777777" w:rsidR="00C45588" w:rsidRPr="00F25D19" w:rsidRDefault="00C45588" w:rsidP="00A3023B">
            <w:pPr>
              <w:spacing w:after="0" w:line="240" w:lineRule="auto"/>
              <w:jc w:val="both"/>
              <w:outlineLvl w:val="0"/>
              <w:rPr>
                <w:rFonts w:ascii="Times New Roman" w:hAnsi="Times New Roman"/>
                <w:sz w:val="18"/>
                <w:szCs w:val="18"/>
              </w:rPr>
            </w:pPr>
          </w:p>
        </w:tc>
        <w:tc>
          <w:tcPr>
            <w:tcW w:w="970" w:type="dxa"/>
            <w:tcBorders>
              <w:top w:val="nil"/>
              <w:left w:val="nil"/>
              <w:bottom w:val="nil"/>
              <w:right w:val="nil"/>
            </w:tcBorders>
          </w:tcPr>
          <w:p w14:paraId="13338D7C" w14:textId="77777777" w:rsidR="00C45588" w:rsidRPr="00F25D19" w:rsidRDefault="00C45588" w:rsidP="00DD653F">
            <w:pPr>
              <w:spacing w:after="0" w:line="240" w:lineRule="auto"/>
              <w:outlineLvl w:val="0"/>
              <w:rPr>
                <w:rFonts w:ascii="Times New Roman" w:hAnsi="Times New Roman"/>
                <w:sz w:val="18"/>
                <w:szCs w:val="18"/>
              </w:rPr>
            </w:pPr>
            <w:r w:rsidRPr="00F25D19">
              <w:rPr>
                <w:rFonts w:ascii="Times New Roman" w:hAnsi="Times New Roman"/>
                <w:sz w:val="18"/>
                <w:szCs w:val="18"/>
              </w:rPr>
              <w:t>S</w:t>
            </w:r>
            <w:r>
              <w:rPr>
                <w:rFonts w:ascii="Times New Roman" w:hAnsi="Times New Roman"/>
                <w:sz w:val="18"/>
                <w:szCs w:val="18"/>
              </w:rPr>
              <w:t>trategy</w:t>
            </w:r>
            <w:r w:rsidRPr="00F25D19">
              <w:rPr>
                <w:rFonts w:ascii="Times New Roman" w:hAnsi="Times New Roman"/>
                <w:sz w:val="18"/>
                <w:szCs w:val="18"/>
              </w:rPr>
              <w:t xml:space="preserve"> 4</w:t>
            </w:r>
          </w:p>
        </w:tc>
        <w:tc>
          <w:tcPr>
            <w:tcW w:w="649" w:type="dxa"/>
            <w:tcBorders>
              <w:top w:val="nil"/>
              <w:left w:val="nil"/>
              <w:bottom w:val="nil"/>
              <w:right w:val="nil"/>
            </w:tcBorders>
            <w:vAlign w:val="center"/>
          </w:tcPr>
          <w:p w14:paraId="3BC79BAC"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31</w:t>
            </w:r>
          </w:p>
        </w:tc>
        <w:tc>
          <w:tcPr>
            <w:tcW w:w="727" w:type="dxa"/>
            <w:tcBorders>
              <w:top w:val="nil"/>
              <w:left w:val="nil"/>
              <w:bottom w:val="nil"/>
              <w:right w:val="nil"/>
            </w:tcBorders>
            <w:vAlign w:val="center"/>
          </w:tcPr>
          <w:p w14:paraId="73ABF637"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-0.45</w:t>
            </w:r>
          </w:p>
        </w:tc>
        <w:tc>
          <w:tcPr>
            <w:tcW w:w="893" w:type="dxa"/>
            <w:tcBorders>
              <w:top w:val="nil"/>
              <w:left w:val="nil"/>
              <w:bottom w:val="nil"/>
              <w:right w:val="nil"/>
            </w:tcBorders>
            <w:vAlign w:val="center"/>
          </w:tcPr>
          <w:p w14:paraId="271188EE"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-0.61</w:t>
            </w:r>
          </w:p>
        </w:tc>
        <w:tc>
          <w:tcPr>
            <w:tcW w:w="688" w:type="dxa"/>
            <w:tcBorders>
              <w:top w:val="nil"/>
              <w:left w:val="nil"/>
              <w:bottom w:val="nil"/>
              <w:right w:val="nil"/>
            </w:tcBorders>
            <w:vAlign w:val="center"/>
          </w:tcPr>
          <w:p w14:paraId="66BECA21"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-3.19</w:t>
            </w:r>
          </w:p>
        </w:tc>
        <w:tc>
          <w:tcPr>
            <w:tcW w:w="688" w:type="dxa"/>
            <w:tcBorders>
              <w:top w:val="nil"/>
              <w:left w:val="nil"/>
              <w:bottom w:val="nil"/>
              <w:right w:val="nil"/>
            </w:tcBorders>
            <w:vAlign w:val="center"/>
          </w:tcPr>
          <w:p w14:paraId="405D529E"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2.88</w:t>
            </w:r>
          </w:p>
        </w:tc>
        <w:tc>
          <w:tcPr>
            <w:tcW w:w="656" w:type="dxa"/>
            <w:tcBorders>
              <w:top w:val="nil"/>
              <w:left w:val="nil"/>
              <w:bottom w:val="nil"/>
              <w:right w:val="nil"/>
            </w:tcBorders>
            <w:vAlign w:val="center"/>
          </w:tcPr>
          <w:p w14:paraId="57375030"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1.46</w:t>
            </w:r>
          </w:p>
        </w:tc>
        <w:tc>
          <w:tcPr>
            <w:tcW w:w="694" w:type="dxa"/>
            <w:tcBorders>
              <w:top w:val="nil"/>
              <w:left w:val="nil"/>
              <w:bottom w:val="nil"/>
              <w:right w:val="nil"/>
            </w:tcBorders>
            <w:vAlign w:val="center"/>
          </w:tcPr>
          <w:p w14:paraId="000C24A6"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0.22</w:t>
            </w:r>
          </w:p>
        </w:tc>
        <w:tc>
          <w:tcPr>
            <w:tcW w:w="688" w:type="dxa"/>
            <w:tcBorders>
              <w:top w:val="nil"/>
              <w:left w:val="nil"/>
              <w:bottom w:val="nil"/>
              <w:right w:val="nil"/>
            </w:tcBorders>
            <w:vAlign w:val="center"/>
          </w:tcPr>
          <w:p w14:paraId="6CE6944C"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-0.18</w:t>
            </w:r>
          </w:p>
        </w:tc>
        <w:tc>
          <w:tcPr>
            <w:tcW w:w="688" w:type="dxa"/>
            <w:tcBorders>
              <w:top w:val="nil"/>
              <w:left w:val="nil"/>
              <w:bottom w:val="nil"/>
              <w:right w:val="nil"/>
            </w:tcBorders>
            <w:vAlign w:val="center"/>
          </w:tcPr>
          <w:p w14:paraId="64D416F4"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-0.31</w:t>
            </w:r>
          </w:p>
        </w:tc>
        <w:tc>
          <w:tcPr>
            <w:tcW w:w="656" w:type="dxa"/>
            <w:tcBorders>
              <w:top w:val="nil"/>
              <w:left w:val="nil"/>
              <w:bottom w:val="nil"/>
              <w:right w:val="nil"/>
            </w:tcBorders>
            <w:vAlign w:val="center"/>
          </w:tcPr>
          <w:p w14:paraId="3781731F"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0.61</w:t>
            </w:r>
          </w:p>
        </w:tc>
        <w:tc>
          <w:tcPr>
            <w:tcW w:w="849" w:type="dxa"/>
            <w:tcBorders>
              <w:top w:val="nil"/>
              <w:left w:val="nil"/>
              <w:bottom w:val="nil"/>
              <w:right w:val="nil"/>
            </w:tcBorders>
            <w:vAlign w:val="center"/>
          </w:tcPr>
          <w:p w14:paraId="7C2A35FD" w14:textId="77777777" w:rsidR="00C45588" w:rsidRPr="00AD5611" w:rsidRDefault="00C45588" w:rsidP="00DD653F">
            <w:pPr>
              <w:spacing w:after="0"/>
              <w:jc w:val="both"/>
              <w:rPr>
                <w:rFonts w:ascii="Times New Roman" w:hAnsi="Times New Roman"/>
                <w:color w:val="000000"/>
                <w:sz w:val="18"/>
                <w:szCs w:val="18"/>
              </w:rPr>
            </w:pPr>
            <w:r w:rsidRPr="00AD5611">
              <w:rPr>
                <w:rFonts w:ascii="Times New Roman" w:hAnsi="Times New Roman"/>
                <w:color w:val="000000"/>
                <w:sz w:val="18"/>
                <w:szCs w:val="18"/>
              </w:rPr>
              <w:t>-1.06</w:t>
            </w:r>
          </w:p>
        </w:tc>
        <w:tc>
          <w:tcPr>
            <w:tcW w:w="1036" w:type="dxa"/>
            <w:tcBorders>
              <w:top w:val="nil"/>
              <w:left w:val="nil"/>
              <w:bottom w:val="nil"/>
              <w:right w:val="nil"/>
            </w:tcBorders>
          </w:tcPr>
          <w:p w14:paraId="7A6620EB" w14:textId="77777777" w:rsidR="00C45588" w:rsidRPr="00AD5611" w:rsidRDefault="00C45588" w:rsidP="00DD653F">
            <w:pPr>
              <w:spacing w:after="0"/>
              <w:jc w:val="center"/>
              <w:rPr>
                <w:rFonts w:ascii="Times New Roman" w:hAnsi="Times New Roman"/>
                <w:color w:val="000000"/>
                <w:sz w:val="18"/>
                <w:szCs w:val="18"/>
              </w:rPr>
            </w:pPr>
            <w:r>
              <w:rPr>
                <w:rFonts w:ascii="Times New Roman" w:hAnsi="Times New Roman"/>
                <w:color w:val="000000"/>
                <w:sz w:val="18"/>
                <w:szCs w:val="18"/>
              </w:rPr>
              <w:t>-0.00023</w:t>
            </w:r>
          </w:p>
        </w:tc>
      </w:tr>
      <w:tr w:rsidR="00C45588" w:rsidRPr="00F25D19" w14:paraId="3F567C49" w14:textId="77777777" w:rsidTr="00224673">
        <w:trPr>
          <w:trHeight w:val="189"/>
          <w:jc w:val="center"/>
        </w:trPr>
        <w:tc>
          <w:tcPr>
            <w:tcW w:w="9431" w:type="dxa"/>
            <w:gridSpan w:val="13"/>
            <w:tcBorders>
              <w:left w:val="nil"/>
              <w:bottom w:val="single" w:sz="4" w:space="0" w:color="auto"/>
              <w:right w:val="nil"/>
            </w:tcBorders>
          </w:tcPr>
          <w:p w14:paraId="041E6E76" w14:textId="77777777" w:rsidR="00C45588" w:rsidRPr="00C45588" w:rsidRDefault="00C45588" w:rsidP="00C45588">
            <w:pPr>
              <w:pStyle w:val="ListParagraph"/>
              <w:numPr>
                <w:ilvl w:val="0"/>
                <w:numId w:val="17"/>
              </w:numPr>
              <w:spacing w:after="0"/>
              <w:rPr>
                <w:rFonts w:ascii="Times New Roman" w:hAnsi="Times New Roman"/>
                <w:b/>
                <w:sz w:val="18"/>
                <w:szCs w:val="18"/>
              </w:rPr>
            </w:pPr>
            <w:r>
              <w:rPr>
                <w:rFonts w:ascii="Times New Roman" w:hAnsi="Times New Roman"/>
                <w:b/>
                <w:sz w:val="18"/>
                <w:szCs w:val="18"/>
              </w:rPr>
              <w:t>Crisis Period (Aug 07 – Dec 09)</w:t>
            </w:r>
          </w:p>
        </w:tc>
        <w:tc>
          <w:tcPr>
            <w:tcW w:w="1036" w:type="dxa"/>
            <w:tcBorders>
              <w:left w:val="nil"/>
              <w:bottom w:val="single" w:sz="4" w:space="0" w:color="auto"/>
              <w:right w:val="nil"/>
            </w:tcBorders>
          </w:tcPr>
          <w:p w14:paraId="1E80695B" w14:textId="77777777" w:rsidR="00C45588" w:rsidRPr="00F25D19" w:rsidRDefault="00C45588" w:rsidP="00823B43">
            <w:pPr>
              <w:spacing w:after="0"/>
              <w:jc w:val="center"/>
              <w:rPr>
                <w:rFonts w:ascii="Times New Roman" w:hAnsi="Times New Roman"/>
                <w:b/>
                <w:sz w:val="18"/>
                <w:szCs w:val="18"/>
              </w:rPr>
            </w:pPr>
          </w:p>
        </w:tc>
      </w:tr>
      <w:tr w:rsidR="00C45588" w:rsidRPr="00F25D19" w14:paraId="0246CF62" w14:textId="77777777" w:rsidTr="00224673">
        <w:trPr>
          <w:trHeight w:val="178"/>
          <w:jc w:val="center"/>
        </w:trPr>
        <w:tc>
          <w:tcPr>
            <w:tcW w:w="9431" w:type="dxa"/>
            <w:gridSpan w:val="13"/>
            <w:tcBorders>
              <w:left w:val="nil"/>
              <w:bottom w:val="single" w:sz="4" w:space="0" w:color="auto"/>
              <w:right w:val="nil"/>
            </w:tcBorders>
          </w:tcPr>
          <w:p w14:paraId="73EAC725" w14:textId="77777777" w:rsidR="00C45588" w:rsidRPr="00F25D19" w:rsidRDefault="00C45588" w:rsidP="00A3023B">
            <w:pPr>
              <w:spacing w:after="0"/>
              <w:rPr>
                <w:rFonts w:ascii="Times New Roman" w:hAnsi="Times New Roman"/>
                <w:i/>
                <w:sz w:val="18"/>
                <w:szCs w:val="18"/>
              </w:rPr>
            </w:pPr>
            <w:r>
              <w:rPr>
                <w:rFonts w:ascii="Times New Roman" w:hAnsi="Times New Roman"/>
                <w:i/>
                <w:sz w:val="18"/>
                <w:szCs w:val="18"/>
              </w:rPr>
              <w:t>Investment Grade</w:t>
            </w:r>
          </w:p>
        </w:tc>
        <w:tc>
          <w:tcPr>
            <w:tcW w:w="1036" w:type="dxa"/>
            <w:tcBorders>
              <w:left w:val="nil"/>
              <w:bottom w:val="single" w:sz="4" w:space="0" w:color="auto"/>
              <w:right w:val="nil"/>
            </w:tcBorders>
          </w:tcPr>
          <w:p w14:paraId="10E6D35A" w14:textId="77777777" w:rsidR="00C45588" w:rsidRPr="00F25D19" w:rsidRDefault="00C45588" w:rsidP="00823B43">
            <w:pPr>
              <w:spacing w:after="0"/>
              <w:jc w:val="center"/>
              <w:rPr>
                <w:rFonts w:ascii="Times New Roman" w:hAnsi="Times New Roman"/>
                <w:i/>
                <w:sz w:val="18"/>
                <w:szCs w:val="18"/>
              </w:rPr>
            </w:pPr>
          </w:p>
        </w:tc>
      </w:tr>
      <w:tr w:rsidR="00C45588" w:rsidRPr="00F25D19" w14:paraId="41718A0F" w14:textId="77777777" w:rsidTr="00224673">
        <w:trPr>
          <w:trHeight w:val="178"/>
          <w:jc w:val="center"/>
        </w:trPr>
        <w:tc>
          <w:tcPr>
            <w:tcW w:w="585" w:type="dxa"/>
            <w:tcBorders>
              <w:left w:val="nil"/>
              <w:bottom w:val="nil"/>
              <w:right w:val="nil"/>
            </w:tcBorders>
          </w:tcPr>
          <w:p w14:paraId="718E921A" w14:textId="77777777" w:rsidR="00C45588" w:rsidRPr="00F25D19" w:rsidRDefault="00C45588" w:rsidP="00A3023B">
            <w:pPr>
              <w:spacing w:after="0" w:line="240" w:lineRule="auto"/>
              <w:outlineLvl w:val="0"/>
              <w:rPr>
                <w:rFonts w:ascii="Times New Roman" w:hAnsi="Times New Roman"/>
                <w:sz w:val="18"/>
                <w:szCs w:val="18"/>
              </w:rPr>
            </w:pPr>
            <w:r w:rsidRPr="00F25D19">
              <w:rPr>
                <w:rFonts w:ascii="Times New Roman" w:hAnsi="Times New Roman"/>
                <w:sz w:val="18"/>
                <w:szCs w:val="18"/>
              </w:rPr>
              <w:t>0.5</w:t>
            </w:r>
          </w:p>
        </w:tc>
        <w:tc>
          <w:tcPr>
            <w:tcW w:w="970" w:type="dxa"/>
            <w:tcBorders>
              <w:left w:val="nil"/>
              <w:bottom w:val="nil"/>
              <w:right w:val="nil"/>
            </w:tcBorders>
          </w:tcPr>
          <w:p w14:paraId="0587F5CC" w14:textId="77777777" w:rsidR="00C45588" w:rsidRPr="00F25D19" w:rsidRDefault="00C45588" w:rsidP="00DD653F">
            <w:pPr>
              <w:spacing w:after="0" w:line="240" w:lineRule="auto"/>
              <w:outlineLvl w:val="0"/>
              <w:rPr>
                <w:rFonts w:ascii="Times New Roman" w:hAnsi="Times New Roman"/>
                <w:sz w:val="18"/>
                <w:szCs w:val="18"/>
              </w:rPr>
            </w:pPr>
            <w:r w:rsidRPr="00F25D19">
              <w:rPr>
                <w:rFonts w:ascii="Times New Roman" w:hAnsi="Times New Roman"/>
                <w:sz w:val="18"/>
                <w:szCs w:val="18"/>
              </w:rPr>
              <w:t>S</w:t>
            </w:r>
            <w:r>
              <w:rPr>
                <w:rFonts w:ascii="Times New Roman" w:hAnsi="Times New Roman"/>
                <w:sz w:val="18"/>
                <w:szCs w:val="18"/>
              </w:rPr>
              <w:t xml:space="preserve">trategy </w:t>
            </w:r>
            <w:r w:rsidRPr="00F25D19">
              <w:rPr>
                <w:rFonts w:ascii="Times New Roman" w:hAnsi="Times New Roman"/>
                <w:sz w:val="18"/>
                <w:szCs w:val="18"/>
              </w:rPr>
              <w:t>1</w:t>
            </w:r>
          </w:p>
        </w:tc>
        <w:tc>
          <w:tcPr>
            <w:tcW w:w="649" w:type="dxa"/>
            <w:tcBorders>
              <w:left w:val="nil"/>
              <w:bottom w:val="nil"/>
              <w:right w:val="nil"/>
            </w:tcBorders>
            <w:vAlign w:val="center"/>
          </w:tcPr>
          <w:p w14:paraId="4BED5160"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29</w:t>
            </w:r>
          </w:p>
        </w:tc>
        <w:tc>
          <w:tcPr>
            <w:tcW w:w="727" w:type="dxa"/>
            <w:tcBorders>
              <w:left w:val="nil"/>
              <w:bottom w:val="nil"/>
              <w:right w:val="nil"/>
            </w:tcBorders>
            <w:vAlign w:val="center"/>
          </w:tcPr>
          <w:p w14:paraId="6A57A78A"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-0.24</w:t>
            </w:r>
          </w:p>
        </w:tc>
        <w:tc>
          <w:tcPr>
            <w:tcW w:w="893" w:type="dxa"/>
            <w:tcBorders>
              <w:left w:val="nil"/>
              <w:bottom w:val="nil"/>
              <w:right w:val="nil"/>
            </w:tcBorders>
            <w:vAlign w:val="center"/>
          </w:tcPr>
          <w:p w14:paraId="3FC346E7"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-0.12</w:t>
            </w:r>
          </w:p>
        </w:tc>
        <w:tc>
          <w:tcPr>
            <w:tcW w:w="688" w:type="dxa"/>
            <w:tcBorders>
              <w:left w:val="nil"/>
              <w:bottom w:val="nil"/>
              <w:right w:val="nil"/>
            </w:tcBorders>
            <w:vAlign w:val="center"/>
          </w:tcPr>
          <w:p w14:paraId="4183E9BA"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-7.11</w:t>
            </w:r>
          </w:p>
        </w:tc>
        <w:tc>
          <w:tcPr>
            <w:tcW w:w="688" w:type="dxa"/>
            <w:tcBorders>
              <w:left w:val="nil"/>
              <w:bottom w:val="nil"/>
              <w:right w:val="nil"/>
            </w:tcBorders>
            <w:vAlign w:val="center"/>
          </w:tcPr>
          <w:p w14:paraId="7CAA6E4A"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5.88</w:t>
            </w:r>
          </w:p>
        </w:tc>
        <w:tc>
          <w:tcPr>
            <w:tcW w:w="656" w:type="dxa"/>
            <w:tcBorders>
              <w:left w:val="nil"/>
              <w:bottom w:val="nil"/>
              <w:right w:val="nil"/>
            </w:tcBorders>
            <w:vAlign w:val="center"/>
          </w:tcPr>
          <w:p w14:paraId="31561867"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2.2</w:t>
            </w:r>
            <w:r>
              <w:rPr>
                <w:rFonts w:ascii="Times New Roman" w:hAnsi="Times New Roman"/>
                <w:sz w:val="18"/>
                <w:szCs w:val="18"/>
              </w:rPr>
              <w:t>0</w:t>
            </w:r>
          </w:p>
        </w:tc>
        <w:tc>
          <w:tcPr>
            <w:tcW w:w="694" w:type="dxa"/>
            <w:tcBorders>
              <w:left w:val="nil"/>
              <w:bottom w:val="nil"/>
              <w:right w:val="nil"/>
            </w:tcBorders>
            <w:vAlign w:val="center"/>
          </w:tcPr>
          <w:p w14:paraId="4EF2E349"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-0.39</w:t>
            </w:r>
          </w:p>
        </w:tc>
        <w:tc>
          <w:tcPr>
            <w:tcW w:w="688" w:type="dxa"/>
            <w:tcBorders>
              <w:left w:val="nil"/>
              <w:bottom w:val="nil"/>
              <w:right w:val="nil"/>
            </w:tcBorders>
            <w:vAlign w:val="center"/>
          </w:tcPr>
          <w:p w14:paraId="57064661"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4.15</w:t>
            </w:r>
          </w:p>
        </w:tc>
        <w:tc>
          <w:tcPr>
            <w:tcW w:w="688" w:type="dxa"/>
            <w:tcBorders>
              <w:left w:val="nil"/>
              <w:bottom w:val="nil"/>
              <w:right w:val="nil"/>
            </w:tcBorders>
            <w:vAlign w:val="center"/>
          </w:tcPr>
          <w:p w14:paraId="26C6CF6E"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0.23</w:t>
            </w:r>
          </w:p>
        </w:tc>
        <w:tc>
          <w:tcPr>
            <w:tcW w:w="656" w:type="dxa"/>
            <w:tcBorders>
              <w:left w:val="nil"/>
              <w:bottom w:val="nil"/>
              <w:right w:val="nil"/>
            </w:tcBorders>
            <w:vAlign w:val="center"/>
          </w:tcPr>
          <w:p w14:paraId="341080C9"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0.55</w:t>
            </w:r>
          </w:p>
        </w:tc>
        <w:tc>
          <w:tcPr>
            <w:tcW w:w="849" w:type="dxa"/>
            <w:tcBorders>
              <w:left w:val="nil"/>
              <w:bottom w:val="nil"/>
              <w:right w:val="nil"/>
            </w:tcBorders>
            <w:vAlign w:val="center"/>
          </w:tcPr>
          <w:p w14:paraId="78295FFB"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-0.38</w:t>
            </w:r>
          </w:p>
        </w:tc>
        <w:tc>
          <w:tcPr>
            <w:tcW w:w="1036" w:type="dxa"/>
            <w:tcBorders>
              <w:left w:val="nil"/>
              <w:bottom w:val="nil"/>
              <w:right w:val="nil"/>
            </w:tcBorders>
          </w:tcPr>
          <w:p w14:paraId="66540C87" w14:textId="77777777" w:rsidR="00C45588" w:rsidRPr="00A3023B" w:rsidRDefault="00C45588" w:rsidP="00DD653F">
            <w:pPr>
              <w:spacing w:after="0"/>
              <w:jc w:val="center"/>
              <w:rPr>
                <w:rFonts w:ascii="Times New Roman" w:hAnsi="Times New Roman"/>
                <w:sz w:val="18"/>
                <w:szCs w:val="18"/>
              </w:rPr>
            </w:pPr>
            <w:r>
              <w:rPr>
                <w:rFonts w:ascii="Times New Roman" w:hAnsi="Times New Roman"/>
                <w:sz w:val="18"/>
                <w:szCs w:val="18"/>
              </w:rPr>
              <w:t>-0.00018</w:t>
            </w:r>
          </w:p>
        </w:tc>
      </w:tr>
      <w:tr w:rsidR="00C45588" w:rsidRPr="00F25D19" w14:paraId="3FD9C43C" w14:textId="77777777" w:rsidTr="00224673">
        <w:trPr>
          <w:trHeight w:val="189"/>
          <w:jc w:val="center"/>
        </w:trPr>
        <w:tc>
          <w:tcPr>
            <w:tcW w:w="585" w:type="dxa"/>
            <w:tcBorders>
              <w:top w:val="nil"/>
              <w:left w:val="nil"/>
              <w:bottom w:val="nil"/>
              <w:right w:val="nil"/>
            </w:tcBorders>
          </w:tcPr>
          <w:p w14:paraId="3BCA3452" w14:textId="77777777" w:rsidR="00C45588" w:rsidRPr="00F25D19" w:rsidRDefault="00C45588" w:rsidP="00A3023B">
            <w:pPr>
              <w:spacing w:after="0" w:line="240" w:lineRule="auto"/>
              <w:outlineLvl w:val="0"/>
              <w:rPr>
                <w:rFonts w:ascii="Times New Roman" w:hAnsi="Times New Roman"/>
                <w:sz w:val="18"/>
                <w:szCs w:val="18"/>
              </w:rPr>
            </w:pPr>
          </w:p>
        </w:tc>
        <w:tc>
          <w:tcPr>
            <w:tcW w:w="970" w:type="dxa"/>
            <w:tcBorders>
              <w:top w:val="nil"/>
              <w:left w:val="nil"/>
              <w:bottom w:val="nil"/>
              <w:right w:val="nil"/>
            </w:tcBorders>
          </w:tcPr>
          <w:p w14:paraId="57460395" w14:textId="77777777" w:rsidR="00C45588" w:rsidRPr="00F25D19" w:rsidRDefault="00C45588" w:rsidP="00DD653F">
            <w:pPr>
              <w:spacing w:after="0" w:line="240" w:lineRule="auto"/>
              <w:outlineLvl w:val="0"/>
              <w:rPr>
                <w:rFonts w:ascii="Times New Roman" w:hAnsi="Times New Roman"/>
                <w:sz w:val="18"/>
                <w:szCs w:val="18"/>
              </w:rPr>
            </w:pPr>
            <w:r w:rsidRPr="00F25D19">
              <w:rPr>
                <w:rFonts w:ascii="Times New Roman" w:hAnsi="Times New Roman"/>
                <w:sz w:val="18"/>
                <w:szCs w:val="18"/>
              </w:rPr>
              <w:t>S</w:t>
            </w:r>
            <w:r>
              <w:rPr>
                <w:rFonts w:ascii="Times New Roman" w:hAnsi="Times New Roman"/>
                <w:sz w:val="18"/>
                <w:szCs w:val="18"/>
              </w:rPr>
              <w:t xml:space="preserve">trategy </w:t>
            </w:r>
            <w:r w:rsidRPr="00F25D19">
              <w:rPr>
                <w:rFonts w:ascii="Times New Roman" w:hAnsi="Times New Roman"/>
                <w:sz w:val="18"/>
                <w:szCs w:val="18"/>
              </w:rPr>
              <w:t>2</w:t>
            </w:r>
          </w:p>
        </w:tc>
        <w:tc>
          <w:tcPr>
            <w:tcW w:w="649" w:type="dxa"/>
            <w:tcBorders>
              <w:top w:val="nil"/>
              <w:left w:val="nil"/>
              <w:bottom w:val="nil"/>
              <w:right w:val="nil"/>
            </w:tcBorders>
            <w:vAlign w:val="center"/>
          </w:tcPr>
          <w:p w14:paraId="34044425"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29</w:t>
            </w:r>
          </w:p>
        </w:tc>
        <w:tc>
          <w:tcPr>
            <w:tcW w:w="727" w:type="dxa"/>
            <w:tcBorders>
              <w:top w:val="nil"/>
              <w:left w:val="nil"/>
              <w:bottom w:val="nil"/>
              <w:right w:val="nil"/>
            </w:tcBorders>
            <w:vAlign w:val="center"/>
          </w:tcPr>
          <w:p w14:paraId="22B71131"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-0.18</w:t>
            </w:r>
          </w:p>
        </w:tc>
        <w:tc>
          <w:tcPr>
            <w:tcW w:w="893" w:type="dxa"/>
            <w:tcBorders>
              <w:top w:val="nil"/>
              <w:left w:val="nil"/>
              <w:bottom w:val="nil"/>
              <w:right w:val="nil"/>
            </w:tcBorders>
            <w:vAlign w:val="center"/>
          </w:tcPr>
          <w:p w14:paraId="641B3ECB"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-0.27</w:t>
            </w:r>
          </w:p>
        </w:tc>
        <w:tc>
          <w:tcPr>
            <w:tcW w:w="688" w:type="dxa"/>
            <w:tcBorders>
              <w:top w:val="nil"/>
              <w:left w:val="nil"/>
              <w:bottom w:val="nil"/>
              <w:right w:val="nil"/>
            </w:tcBorders>
            <w:vAlign w:val="center"/>
          </w:tcPr>
          <w:p w14:paraId="0444E238"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-6.34</w:t>
            </w:r>
          </w:p>
        </w:tc>
        <w:tc>
          <w:tcPr>
            <w:tcW w:w="688" w:type="dxa"/>
            <w:tcBorders>
              <w:top w:val="nil"/>
              <w:left w:val="nil"/>
              <w:bottom w:val="nil"/>
              <w:right w:val="nil"/>
            </w:tcBorders>
            <w:vAlign w:val="center"/>
          </w:tcPr>
          <w:p w14:paraId="61A7241B"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5.65</w:t>
            </w:r>
          </w:p>
        </w:tc>
        <w:tc>
          <w:tcPr>
            <w:tcW w:w="656" w:type="dxa"/>
            <w:tcBorders>
              <w:top w:val="nil"/>
              <w:left w:val="nil"/>
              <w:bottom w:val="nil"/>
              <w:right w:val="nil"/>
            </w:tcBorders>
            <w:vAlign w:val="center"/>
          </w:tcPr>
          <w:p w14:paraId="64210EA0"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2.16</w:t>
            </w:r>
          </w:p>
        </w:tc>
        <w:tc>
          <w:tcPr>
            <w:tcW w:w="694" w:type="dxa"/>
            <w:tcBorders>
              <w:top w:val="nil"/>
              <w:left w:val="nil"/>
              <w:bottom w:val="nil"/>
              <w:right w:val="nil"/>
            </w:tcBorders>
            <w:vAlign w:val="center"/>
          </w:tcPr>
          <w:p w14:paraId="633B02C3"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-0.07</w:t>
            </w:r>
          </w:p>
        </w:tc>
        <w:tc>
          <w:tcPr>
            <w:tcW w:w="688" w:type="dxa"/>
            <w:tcBorders>
              <w:top w:val="nil"/>
              <w:left w:val="nil"/>
              <w:bottom w:val="nil"/>
              <w:right w:val="nil"/>
            </w:tcBorders>
            <w:vAlign w:val="center"/>
          </w:tcPr>
          <w:p w14:paraId="69E5EF98"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2.87</w:t>
            </w:r>
          </w:p>
        </w:tc>
        <w:tc>
          <w:tcPr>
            <w:tcW w:w="688" w:type="dxa"/>
            <w:tcBorders>
              <w:top w:val="nil"/>
              <w:left w:val="nil"/>
              <w:bottom w:val="nil"/>
              <w:right w:val="nil"/>
            </w:tcBorders>
            <w:vAlign w:val="center"/>
          </w:tcPr>
          <w:p w14:paraId="3525849E"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0.2</w:t>
            </w:r>
            <w:r>
              <w:rPr>
                <w:rFonts w:ascii="Times New Roman" w:hAnsi="Times New Roman"/>
                <w:sz w:val="18"/>
                <w:szCs w:val="18"/>
              </w:rPr>
              <w:t>0</w:t>
            </w:r>
          </w:p>
        </w:tc>
        <w:tc>
          <w:tcPr>
            <w:tcW w:w="656" w:type="dxa"/>
            <w:tcBorders>
              <w:top w:val="nil"/>
              <w:left w:val="nil"/>
              <w:bottom w:val="nil"/>
              <w:right w:val="nil"/>
            </w:tcBorders>
            <w:vAlign w:val="center"/>
          </w:tcPr>
          <w:p w14:paraId="7B5D7889"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0.55</w:t>
            </w:r>
          </w:p>
        </w:tc>
        <w:tc>
          <w:tcPr>
            <w:tcW w:w="849" w:type="dxa"/>
            <w:tcBorders>
              <w:top w:val="nil"/>
              <w:left w:val="nil"/>
              <w:bottom w:val="nil"/>
              <w:right w:val="nil"/>
            </w:tcBorders>
            <w:vAlign w:val="center"/>
          </w:tcPr>
          <w:p w14:paraId="4BE6297D"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-0.29</w:t>
            </w:r>
          </w:p>
        </w:tc>
        <w:tc>
          <w:tcPr>
            <w:tcW w:w="1036" w:type="dxa"/>
            <w:tcBorders>
              <w:top w:val="nil"/>
              <w:left w:val="nil"/>
              <w:bottom w:val="nil"/>
              <w:right w:val="nil"/>
            </w:tcBorders>
          </w:tcPr>
          <w:p w14:paraId="57D274DA" w14:textId="77777777" w:rsidR="00C45588" w:rsidRPr="00A3023B" w:rsidRDefault="00C45588" w:rsidP="00DD653F">
            <w:pPr>
              <w:spacing w:after="0"/>
              <w:jc w:val="center"/>
              <w:rPr>
                <w:rFonts w:ascii="Times New Roman" w:hAnsi="Times New Roman"/>
                <w:sz w:val="18"/>
                <w:szCs w:val="18"/>
              </w:rPr>
            </w:pPr>
            <w:r>
              <w:rPr>
                <w:rFonts w:ascii="Times New Roman" w:hAnsi="Times New Roman"/>
                <w:sz w:val="18"/>
                <w:szCs w:val="18"/>
              </w:rPr>
              <w:t>-0.00014</w:t>
            </w:r>
          </w:p>
        </w:tc>
      </w:tr>
      <w:tr w:rsidR="00C45588" w:rsidRPr="00F25D19" w14:paraId="6CE04CAF" w14:textId="77777777" w:rsidTr="00224673">
        <w:trPr>
          <w:trHeight w:val="178"/>
          <w:jc w:val="center"/>
        </w:trPr>
        <w:tc>
          <w:tcPr>
            <w:tcW w:w="585" w:type="dxa"/>
            <w:tcBorders>
              <w:top w:val="nil"/>
              <w:left w:val="nil"/>
              <w:bottom w:val="nil"/>
              <w:right w:val="nil"/>
            </w:tcBorders>
          </w:tcPr>
          <w:p w14:paraId="204A0100" w14:textId="77777777" w:rsidR="00C45588" w:rsidRPr="00F25D19" w:rsidRDefault="00C45588" w:rsidP="00A3023B">
            <w:pPr>
              <w:spacing w:after="0" w:line="240" w:lineRule="auto"/>
              <w:outlineLvl w:val="0"/>
              <w:rPr>
                <w:rFonts w:ascii="Times New Roman" w:hAnsi="Times New Roman"/>
                <w:sz w:val="18"/>
                <w:szCs w:val="18"/>
              </w:rPr>
            </w:pPr>
          </w:p>
        </w:tc>
        <w:tc>
          <w:tcPr>
            <w:tcW w:w="970" w:type="dxa"/>
            <w:tcBorders>
              <w:top w:val="nil"/>
              <w:left w:val="nil"/>
              <w:bottom w:val="nil"/>
              <w:right w:val="nil"/>
            </w:tcBorders>
          </w:tcPr>
          <w:p w14:paraId="52151040" w14:textId="77777777" w:rsidR="00C45588" w:rsidRPr="00F25D19" w:rsidRDefault="00C45588" w:rsidP="00DD653F">
            <w:pPr>
              <w:spacing w:after="0" w:line="240" w:lineRule="auto"/>
              <w:outlineLvl w:val="0"/>
              <w:rPr>
                <w:rFonts w:ascii="Times New Roman" w:hAnsi="Times New Roman"/>
                <w:sz w:val="18"/>
                <w:szCs w:val="18"/>
              </w:rPr>
            </w:pPr>
            <w:r w:rsidRPr="00F25D19">
              <w:rPr>
                <w:rFonts w:ascii="Times New Roman" w:hAnsi="Times New Roman"/>
                <w:sz w:val="18"/>
                <w:szCs w:val="18"/>
              </w:rPr>
              <w:t>S</w:t>
            </w:r>
            <w:r>
              <w:rPr>
                <w:rFonts w:ascii="Times New Roman" w:hAnsi="Times New Roman"/>
                <w:sz w:val="18"/>
                <w:szCs w:val="18"/>
              </w:rPr>
              <w:t>trategy</w:t>
            </w:r>
            <w:r w:rsidRPr="00F25D19">
              <w:rPr>
                <w:rFonts w:ascii="Times New Roman" w:hAnsi="Times New Roman"/>
                <w:sz w:val="18"/>
                <w:szCs w:val="18"/>
              </w:rPr>
              <w:t xml:space="preserve"> 3</w:t>
            </w:r>
          </w:p>
        </w:tc>
        <w:tc>
          <w:tcPr>
            <w:tcW w:w="649" w:type="dxa"/>
            <w:tcBorders>
              <w:top w:val="nil"/>
              <w:left w:val="nil"/>
              <w:bottom w:val="nil"/>
              <w:right w:val="nil"/>
            </w:tcBorders>
            <w:vAlign w:val="center"/>
          </w:tcPr>
          <w:p w14:paraId="0D1D4A62"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29</w:t>
            </w:r>
          </w:p>
        </w:tc>
        <w:tc>
          <w:tcPr>
            <w:tcW w:w="727" w:type="dxa"/>
            <w:tcBorders>
              <w:top w:val="nil"/>
              <w:left w:val="nil"/>
              <w:bottom w:val="nil"/>
              <w:right w:val="nil"/>
            </w:tcBorders>
            <w:vAlign w:val="center"/>
          </w:tcPr>
          <w:p w14:paraId="37BB50FE"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0.62</w:t>
            </w:r>
          </w:p>
        </w:tc>
        <w:tc>
          <w:tcPr>
            <w:tcW w:w="893" w:type="dxa"/>
            <w:tcBorders>
              <w:top w:val="nil"/>
              <w:left w:val="nil"/>
              <w:bottom w:val="nil"/>
              <w:right w:val="nil"/>
            </w:tcBorders>
            <w:vAlign w:val="center"/>
          </w:tcPr>
          <w:p w14:paraId="281EED60"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0.22</w:t>
            </w:r>
          </w:p>
        </w:tc>
        <w:tc>
          <w:tcPr>
            <w:tcW w:w="688" w:type="dxa"/>
            <w:tcBorders>
              <w:top w:val="nil"/>
              <w:left w:val="nil"/>
              <w:bottom w:val="nil"/>
              <w:right w:val="nil"/>
            </w:tcBorders>
            <w:vAlign w:val="center"/>
          </w:tcPr>
          <w:p w14:paraId="45855231"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-6.46</w:t>
            </w:r>
          </w:p>
        </w:tc>
        <w:tc>
          <w:tcPr>
            <w:tcW w:w="688" w:type="dxa"/>
            <w:tcBorders>
              <w:top w:val="nil"/>
              <w:left w:val="nil"/>
              <w:bottom w:val="nil"/>
              <w:right w:val="nil"/>
            </w:tcBorders>
            <w:vAlign w:val="center"/>
          </w:tcPr>
          <w:p w14:paraId="26AF053C"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6.82</w:t>
            </w:r>
          </w:p>
        </w:tc>
        <w:tc>
          <w:tcPr>
            <w:tcW w:w="656" w:type="dxa"/>
            <w:tcBorders>
              <w:top w:val="nil"/>
              <w:left w:val="nil"/>
              <w:bottom w:val="nil"/>
              <w:right w:val="nil"/>
            </w:tcBorders>
            <w:vAlign w:val="center"/>
          </w:tcPr>
          <w:p w14:paraId="236883B3"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2.6</w:t>
            </w:r>
            <w:r>
              <w:rPr>
                <w:rFonts w:ascii="Times New Roman" w:hAnsi="Times New Roman"/>
                <w:sz w:val="18"/>
                <w:szCs w:val="18"/>
              </w:rPr>
              <w:t>0</w:t>
            </w:r>
          </w:p>
        </w:tc>
        <w:tc>
          <w:tcPr>
            <w:tcW w:w="694" w:type="dxa"/>
            <w:tcBorders>
              <w:top w:val="nil"/>
              <w:left w:val="nil"/>
              <w:bottom w:val="nil"/>
              <w:right w:val="nil"/>
            </w:tcBorders>
            <w:vAlign w:val="center"/>
          </w:tcPr>
          <w:p w14:paraId="7B9126A4"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-0.11</w:t>
            </w:r>
          </w:p>
        </w:tc>
        <w:tc>
          <w:tcPr>
            <w:tcW w:w="688" w:type="dxa"/>
            <w:tcBorders>
              <w:top w:val="nil"/>
              <w:left w:val="nil"/>
              <w:bottom w:val="nil"/>
              <w:right w:val="nil"/>
            </w:tcBorders>
            <w:vAlign w:val="center"/>
          </w:tcPr>
          <w:p w14:paraId="0A845FC3"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1.38</w:t>
            </w:r>
          </w:p>
        </w:tc>
        <w:tc>
          <w:tcPr>
            <w:tcW w:w="688" w:type="dxa"/>
            <w:tcBorders>
              <w:top w:val="nil"/>
              <w:left w:val="nil"/>
              <w:bottom w:val="nil"/>
              <w:right w:val="nil"/>
            </w:tcBorders>
            <w:vAlign w:val="center"/>
          </w:tcPr>
          <w:p w14:paraId="135A6AD3"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-0.03</w:t>
            </w:r>
          </w:p>
        </w:tc>
        <w:tc>
          <w:tcPr>
            <w:tcW w:w="656" w:type="dxa"/>
            <w:tcBorders>
              <w:top w:val="nil"/>
              <w:left w:val="nil"/>
              <w:bottom w:val="nil"/>
              <w:right w:val="nil"/>
            </w:tcBorders>
            <w:vAlign w:val="center"/>
          </w:tcPr>
          <w:p w14:paraId="0EC0CFDC"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0.38</w:t>
            </w:r>
          </w:p>
        </w:tc>
        <w:tc>
          <w:tcPr>
            <w:tcW w:w="849" w:type="dxa"/>
            <w:tcBorders>
              <w:top w:val="nil"/>
              <w:left w:val="nil"/>
              <w:bottom w:val="nil"/>
              <w:right w:val="nil"/>
            </w:tcBorders>
            <w:vAlign w:val="center"/>
          </w:tcPr>
          <w:p w14:paraId="15F2EF09"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0.83</w:t>
            </w:r>
          </w:p>
        </w:tc>
        <w:tc>
          <w:tcPr>
            <w:tcW w:w="1036" w:type="dxa"/>
            <w:tcBorders>
              <w:top w:val="nil"/>
              <w:left w:val="nil"/>
              <w:bottom w:val="nil"/>
              <w:right w:val="nil"/>
            </w:tcBorders>
          </w:tcPr>
          <w:p w14:paraId="23C8E405" w14:textId="77777777" w:rsidR="00C45588" w:rsidRPr="00A3023B" w:rsidRDefault="00C45588" w:rsidP="00DD653F">
            <w:pPr>
              <w:spacing w:after="0"/>
              <w:jc w:val="center"/>
              <w:rPr>
                <w:rFonts w:ascii="Times New Roman" w:hAnsi="Times New Roman"/>
                <w:sz w:val="18"/>
                <w:szCs w:val="18"/>
              </w:rPr>
            </w:pPr>
            <w:r>
              <w:rPr>
                <w:rFonts w:ascii="Times New Roman" w:hAnsi="Times New Roman"/>
                <w:sz w:val="18"/>
                <w:szCs w:val="18"/>
              </w:rPr>
              <w:t>0.83</w:t>
            </w:r>
          </w:p>
        </w:tc>
      </w:tr>
      <w:tr w:rsidR="00C45588" w:rsidRPr="00F25D19" w14:paraId="47673022" w14:textId="77777777" w:rsidTr="00224673">
        <w:trPr>
          <w:trHeight w:val="189"/>
          <w:jc w:val="center"/>
        </w:trPr>
        <w:tc>
          <w:tcPr>
            <w:tcW w:w="585" w:type="dxa"/>
            <w:tcBorders>
              <w:top w:val="nil"/>
              <w:left w:val="nil"/>
              <w:bottom w:val="nil"/>
              <w:right w:val="nil"/>
            </w:tcBorders>
          </w:tcPr>
          <w:p w14:paraId="73EAD09B" w14:textId="77777777" w:rsidR="00C45588" w:rsidRPr="00F25D19" w:rsidRDefault="00C45588" w:rsidP="00A3023B">
            <w:pPr>
              <w:spacing w:after="0" w:line="240" w:lineRule="auto"/>
              <w:outlineLvl w:val="0"/>
              <w:rPr>
                <w:rFonts w:ascii="Times New Roman" w:hAnsi="Times New Roman"/>
                <w:sz w:val="18"/>
                <w:szCs w:val="18"/>
              </w:rPr>
            </w:pPr>
          </w:p>
        </w:tc>
        <w:tc>
          <w:tcPr>
            <w:tcW w:w="970" w:type="dxa"/>
            <w:tcBorders>
              <w:top w:val="nil"/>
              <w:left w:val="nil"/>
              <w:bottom w:val="nil"/>
              <w:right w:val="nil"/>
            </w:tcBorders>
          </w:tcPr>
          <w:p w14:paraId="1251AE0B" w14:textId="77777777" w:rsidR="00C45588" w:rsidRPr="00F25D19" w:rsidRDefault="00C45588" w:rsidP="00DD653F">
            <w:pPr>
              <w:spacing w:after="0" w:line="240" w:lineRule="auto"/>
              <w:outlineLvl w:val="0"/>
              <w:rPr>
                <w:rFonts w:ascii="Times New Roman" w:hAnsi="Times New Roman"/>
                <w:sz w:val="18"/>
                <w:szCs w:val="18"/>
              </w:rPr>
            </w:pPr>
            <w:r w:rsidRPr="00F25D19">
              <w:rPr>
                <w:rFonts w:ascii="Times New Roman" w:hAnsi="Times New Roman"/>
                <w:sz w:val="18"/>
                <w:szCs w:val="18"/>
              </w:rPr>
              <w:t>S</w:t>
            </w:r>
            <w:r>
              <w:rPr>
                <w:rFonts w:ascii="Times New Roman" w:hAnsi="Times New Roman"/>
                <w:sz w:val="18"/>
                <w:szCs w:val="18"/>
              </w:rPr>
              <w:t>trategy</w:t>
            </w:r>
            <w:r w:rsidRPr="00F25D19">
              <w:rPr>
                <w:rFonts w:ascii="Times New Roman" w:hAnsi="Times New Roman"/>
                <w:sz w:val="18"/>
                <w:szCs w:val="18"/>
              </w:rPr>
              <w:t xml:space="preserve"> 4</w:t>
            </w:r>
          </w:p>
        </w:tc>
        <w:tc>
          <w:tcPr>
            <w:tcW w:w="649" w:type="dxa"/>
            <w:tcBorders>
              <w:top w:val="nil"/>
              <w:left w:val="nil"/>
              <w:bottom w:val="nil"/>
              <w:right w:val="nil"/>
            </w:tcBorders>
            <w:vAlign w:val="center"/>
          </w:tcPr>
          <w:p w14:paraId="628E867B"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29</w:t>
            </w:r>
          </w:p>
        </w:tc>
        <w:tc>
          <w:tcPr>
            <w:tcW w:w="727" w:type="dxa"/>
            <w:tcBorders>
              <w:top w:val="nil"/>
              <w:left w:val="nil"/>
              <w:bottom w:val="nil"/>
              <w:right w:val="nil"/>
            </w:tcBorders>
            <w:vAlign w:val="center"/>
          </w:tcPr>
          <w:p w14:paraId="10C9F627"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0.41</w:t>
            </w:r>
          </w:p>
        </w:tc>
        <w:tc>
          <w:tcPr>
            <w:tcW w:w="893" w:type="dxa"/>
            <w:tcBorders>
              <w:top w:val="nil"/>
              <w:left w:val="nil"/>
              <w:bottom w:val="nil"/>
              <w:right w:val="nil"/>
            </w:tcBorders>
            <w:vAlign w:val="center"/>
          </w:tcPr>
          <w:p w14:paraId="2EF4E500"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0.43</w:t>
            </w:r>
          </w:p>
        </w:tc>
        <w:tc>
          <w:tcPr>
            <w:tcW w:w="688" w:type="dxa"/>
            <w:tcBorders>
              <w:top w:val="nil"/>
              <w:left w:val="nil"/>
              <w:bottom w:val="nil"/>
              <w:right w:val="nil"/>
            </w:tcBorders>
            <w:vAlign w:val="center"/>
          </w:tcPr>
          <w:p w14:paraId="0401F8A3"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-4.07</w:t>
            </w:r>
          </w:p>
        </w:tc>
        <w:tc>
          <w:tcPr>
            <w:tcW w:w="688" w:type="dxa"/>
            <w:tcBorders>
              <w:top w:val="nil"/>
              <w:left w:val="nil"/>
              <w:bottom w:val="nil"/>
              <w:right w:val="nil"/>
            </w:tcBorders>
            <w:vAlign w:val="center"/>
          </w:tcPr>
          <w:p w14:paraId="5AAC2B34"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6.19</w:t>
            </w:r>
          </w:p>
        </w:tc>
        <w:tc>
          <w:tcPr>
            <w:tcW w:w="656" w:type="dxa"/>
            <w:tcBorders>
              <w:top w:val="nil"/>
              <w:left w:val="nil"/>
              <w:bottom w:val="nil"/>
              <w:right w:val="nil"/>
            </w:tcBorders>
            <w:vAlign w:val="center"/>
          </w:tcPr>
          <w:p w14:paraId="1A024741"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2.18</w:t>
            </w:r>
          </w:p>
        </w:tc>
        <w:tc>
          <w:tcPr>
            <w:tcW w:w="694" w:type="dxa"/>
            <w:tcBorders>
              <w:top w:val="nil"/>
              <w:left w:val="nil"/>
              <w:bottom w:val="nil"/>
              <w:right w:val="nil"/>
            </w:tcBorders>
            <w:vAlign w:val="center"/>
          </w:tcPr>
          <w:p w14:paraId="64744886"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0.5</w:t>
            </w:r>
            <w:r>
              <w:rPr>
                <w:rFonts w:ascii="Times New Roman" w:hAnsi="Times New Roman"/>
                <w:sz w:val="18"/>
                <w:szCs w:val="18"/>
              </w:rPr>
              <w:t>0</w:t>
            </w:r>
          </w:p>
        </w:tc>
        <w:tc>
          <w:tcPr>
            <w:tcW w:w="688" w:type="dxa"/>
            <w:tcBorders>
              <w:top w:val="nil"/>
              <w:left w:val="nil"/>
              <w:bottom w:val="nil"/>
              <w:right w:val="nil"/>
            </w:tcBorders>
            <w:vAlign w:val="center"/>
          </w:tcPr>
          <w:p w14:paraId="5C0F3A8F"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1.05</w:t>
            </w:r>
          </w:p>
        </w:tc>
        <w:tc>
          <w:tcPr>
            <w:tcW w:w="688" w:type="dxa"/>
            <w:tcBorders>
              <w:top w:val="nil"/>
              <w:left w:val="nil"/>
              <w:bottom w:val="nil"/>
              <w:right w:val="nil"/>
            </w:tcBorders>
            <w:vAlign w:val="center"/>
          </w:tcPr>
          <w:p w14:paraId="4F465FC8"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-0.32</w:t>
            </w:r>
          </w:p>
        </w:tc>
        <w:tc>
          <w:tcPr>
            <w:tcW w:w="656" w:type="dxa"/>
            <w:tcBorders>
              <w:top w:val="nil"/>
              <w:left w:val="nil"/>
              <w:bottom w:val="nil"/>
              <w:right w:val="nil"/>
            </w:tcBorders>
            <w:vAlign w:val="center"/>
          </w:tcPr>
          <w:p w14:paraId="59D561B5"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0.41</w:t>
            </w:r>
          </w:p>
        </w:tc>
        <w:tc>
          <w:tcPr>
            <w:tcW w:w="849" w:type="dxa"/>
            <w:tcBorders>
              <w:top w:val="nil"/>
              <w:left w:val="nil"/>
              <w:bottom w:val="nil"/>
              <w:right w:val="nil"/>
            </w:tcBorders>
            <w:vAlign w:val="center"/>
          </w:tcPr>
          <w:p w14:paraId="6A1245BA"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0.66</w:t>
            </w:r>
          </w:p>
        </w:tc>
        <w:tc>
          <w:tcPr>
            <w:tcW w:w="1036" w:type="dxa"/>
            <w:tcBorders>
              <w:top w:val="nil"/>
              <w:left w:val="nil"/>
              <w:bottom w:val="nil"/>
              <w:right w:val="nil"/>
            </w:tcBorders>
          </w:tcPr>
          <w:p w14:paraId="5A09DCC4" w14:textId="77777777" w:rsidR="00C45588" w:rsidRPr="00A3023B" w:rsidRDefault="00C45588" w:rsidP="00DD653F">
            <w:pPr>
              <w:spacing w:after="0"/>
              <w:jc w:val="center"/>
              <w:rPr>
                <w:rFonts w:ascii="Times New Roman" w:hAnsi="Times New Roman"/>
                <w:sz w:val="18"/>
                <w:szCs w:val="18"/>
              </w:rPr>
            </w:pPr>
            <w:r>
              <w:rPr>
                <w:rFonts w:ascii="Times New Roman" w:hAnsi="Times New Roman"/>
                <w:sz w:val="18"/>
                <w:szCs w:val="18"/>
              </w:rPr>
              <w:t>0.66</w:t>
            </w:r>
          </w:p>
        </w:tc>
      </w:tr>
      <w:tr w:rsidR="00C45588" w:rsidRPr="00F25D19" w14:paraId="487CA404" w14:textId="77777777" w:rsidTr="00224673">
        <w:trPr>
          <w:trHeight w:val="189"/>
          <w:jc w:val="center"/>
        </w:trPr>
        <w:tc>
          <w:tcPr>
            <w:tcW w:w="585" w:type="dxa"/>
            <w:tcBorders>
              <w:top w:val="nil"/>
              <w:left w:val="nil"/>
              <w:bottom w:val="nil"/>
              <w:right w:val="nil"/>
            </w:tcBorders>
          </w:tcPr>
          <w:p w14:paraId="5CAE5587" w14:textId="77777777" w:rsidR="00C45588" w:rsidRPr="00F25D19" w:rsidRDefault="00C45588" w:rsidP="00A3023B">
            <w:pPr>
              <w:spacing w:after="0" w:line="240" w:lineRule="auto"/>
              <w:outlineLvl w:val="0"/>
              <w:rPr>
                <w:rFonts w:ascii="Times New Roman" w:hAnsi="Times New Roman"/>
                <w:sz w:val="18"/>
                <w:szCs w:val="18"/>
              </w:rPr>
            </w:pPr>
            <w:r w:rsidRPr="00F25D19">
              <w:rPr>
                <w:rFonts w:ascii="Times New Roman" w:hAnsi="Times New Roman"/>
                <w:sz w:val="18"/>
                <w:szCs w:val="18"/>
              </w:rPr>
              <w:t>2</w:t>
            </w:r>
          </w:p>
        </w:tc>
        <w:tc>
          <w:tcPr>
            <w:tcW w:w="970" w:type="dxa"/>
            <w:tcBorders>
              <w:top w:val="nil"/>
              <w:left w:val="nil"/>
              <w:bottom w:val="nil"/>
              <w:right w:val="nil"/>
            </w:tcBorders>
          </w:tcPr>
          <w:p w14:paraId="2713F955" w14:textId="77777777" w:rsidR="00C45588" w:rsidRPr="00F25D19" w:rsidRDefault="00C45588" w:rsidP="00DD653F">
            <w:pPr>
              <w:spacing w:after="0" w:line="240" w:lineRule="auto"/>
              <w:outlineLvl w:val="0"/>
              <w:rPr>
                <w:rFonts w:ascii="Times New Roman" w:hAnsi="Times New Roman"/>
                <w:sz w:val="18"/>
                <w:szCs w:val="18"/>
              </w:rPr>
            </w:pPr>
            <w:r w:rsidRPr="00F25D19">
              <w:rPr>
                <w:rFonts w:ascii="Times New Roman" w:hAnsi="Times New Roman"/>
                <w:sz w:val="18"/>
                <w:szCs w:val="18"/>
              </w:rPr>
              <w:t>S</w:t>
            </w:r>
            <w:r>
              <w:rPr>
                <w:rFonts w:ascii="Times New Roman" w:hAnsi="Times New Roman"/>
                <w:sz w:val="18"/>
                <w:szCs w:val="18"/>
              </w:rPr>
              <w:t>trategy</w:t>
            </w:r>
            <w:r w:rsidRPr="00F25D19">
              <w:rPr>
                <w:rFonts w:ascii="Times New Roman" w:hAnsi="Times New Roman"/>
                <w:sz w:val="18"/>
                <w:szCs w:val="18"/>
              </w:rPr>
              <w:t xml:space="preserve"> 1</w:t>
            </w:r>
          </w:p>
        </w:tc>
        <w:tc>
          <w:tcPr>
            <w:tcW w:w="649" w:type="dxa"/>
            <w:tcBorders>
              <w:top w:val="nil"/>
              <w:left w:val="nil"/>
              <w:bottom w:val="nil"/>
              <w:right w:val="nil"/>
            </w:tcBorders>
            <w:vAlign w:val="center"/>
          </w:tcPr>
          <w:p w14:paraId="4450EAD3"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29</w:t>
            </w:r>
          </w:p>
        </w:tc>
        <w:tc>
          <w:tcPr>
            <w:tcW w:w="727" w:type="dxa"/>
            <w:tcBorders>
              <w:top w:val="nil"/>
              <w:left w:val="nil"/>
              <w:bottom w:val="nil"/>
              <w:right w:val="nil"/>
            </w:tcBorders>
            <w:vAlign w:val="center"/>
          </w:tcPr>
          <w:p w14:paraId="6F4D7C49"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-0.17</w:t>
            </w:r>
          </w:p>
        </w:tc>
        <w:tc>
          <w:tcPr>
            <w:tcW w:w="893" w:type="dxa"/>
            <w:tcBorders>
              <w:top w:val="nil"/>
              <w:left w:val="nil"/>
              <w:bottom w:val="nil"/>
              <w:right w:val="nil"/>
            </w:tcBorders>
            <w:vAlign w:val="center"/>
          </w:tcPr>
          <w:p w14:paraId="0AA60258"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-0.25</w:t>
            </w:r>
          </w:p>
        </w:tc>
        <w:tc>
          <w:tcPr>
            <w:tcW w:w="688" w:type="dxa"/>
            <w:tcBorders>
              <w:top w:val="nil"/>
              <w:left w:val="nil"/>
              <w:bottom w:val="nil"/>
              <w:right w:val="nil"/>
            </w:tcBorders>
            <w:vAlign w:val="center"/>
          </w:tcPr>
          <w:p w14:paraId="1DB4AD55"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-5.77</w:t>
            </w:r>
          </w:p>
        </w:tc>
        <w:tc>
          <w:tcPr>
            <w:tcW w:w="688" w:type="dxa"/>
            <w:tcBorders>
              <w:top w:val="nil"/>
              <w:left w:val="nil"/>
              <w:bottom w:val="nil"/>
              <w:right w:val="nil"/>
            </w:tcBorders>
            <w:vAlign w:val="center"/>
          </w:tcPr>
          <w:p w14:paraId="376A54AB"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5.68</w:t>
            </w:r>
          </w:p>
        </w:tc>
        <w:tc>
          <w:tcPr>
            <w:tcW w:w="656" w:type="dxa"/>
            <w:tcBorders>
              <w:top w:val="nil"/>
              <w:left w:val="nil"/>
              <w:bottom w:val="nil"/>
              <w:right w:val="nil"/>
            </w:tcBorders>
            <w:vAlign w:val="center"/>
          </w:tcPr>
          <w:p w14:paraId="053F0635"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2.06</w:t>
            </w:r>
          </w:p>
        </w:tc>
        <w:tc>
          <w:tcPr>
            <w:tcW w:w="694" w:type="dxa"/>
            <w:tcBorders>
              <w:top w:val="nil"/>
              <w:left w:val="nil"/>
              <w:bottom w:val="nil"/>
              <w:right w:val="nil"/>
            </w:tcBorders>
            <w:vAlign w:val="center"/>
          </w:tcPr>
          <w:p w14:paraId="5DDDC9D0"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0.13</w:t>
            </w:r>
          </w:p>
        </w:tc>
        <w:tc>
          <w:tcPr>
            <w:tcW w:w="688" w:type="dxa"/>
            <w:tcBorders>
              <w:top w:val="nil"/>
              <w:left w:val="nil"/>
              <w:bottom w:val="nil"/>
              <w:right w:val="nil"/>
            </w:tcBorders>
            <w:vAlign w:val="center"/>
          </w:tcPr>
          <w:p w14:paraId="209410FF"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2.65</w:t>
            </w:r>
          </w:p>
        </w:tc>
        <w:tc>
          <w:tcPr>
            <w:tcW w:w="688" w:type="dxa"/>
            <w:tcBorders>
              <w:top w:val="nil"/>
              <w:left w:val="nil"/>
              <w:bottom w:val="nil"/>
              <w:right w:val="nil"/>
            </w:tcBorders>
            <w:vAlign w:val="center"/>
          </w:tcPr>
          <w:p w14:paraId="6B5CD7B5"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0.1</w:t>
            </w:r>
            <w:r>
              <w:rPr>
                <w:rFonts w:ascii="Times New Roman" w:hAnsi="Times New Roman"/>
                <w:sz w:val="18"/>
                <w:szCs w:val="18"/>
              </w:rPr>
              <w:t>0</w:t>
            </w:r>
          </w:p>
        </w:tc>
        <w:tc>
          <w:tcPr>
            <w:tcW w:w="656" w:type="dxa"/>
            <w:tcBorders>
              <w:top w:val="nil"/>
              <w:left w:val="nil"/>
              <w:bottom w:val="nil"/>
              <w:right w:val="nil"/>
            </w:tcBorders>
            <w:vAlign w:val="center"/>
          </w:tcPr>
          <w:p w14:paraId="63CC291F"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0.62</w:t>
            </w:r>
          </w:p>
        </w:tc>
        <w:tc>
          <w:tcPr>
            <w:tcW w:w="849" w:type="dxa"/>
            <w:tcBorders>
              <w:top w:val="nil"/>
              <w:left w:val="nil"/>
              <w:bottom w:val="nil"/>
              <w:right w:val="nil"/>
            </w:tcBorders>
            <w:vAlign w:val="center"/>
          </w:tcPr>
          <w:p w14:paraId="2A527988"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-0.28</w:t>
            </w:r>
          </w:p>
        </w:tc>
        <w:tc>
          <w:tcPr>
            <w:tcW w:w="1036" w:type="dxa"/>
            <w:tcBorders>
              <w:top w:val="nil"/>
              <w:left w:val="nil"/>
              <w:bottom w:val="nil"/>
              <w:right w:val="nil"/>
            </w:tcBorders>
          </w:tcPr>
          <w:p w14:paraId="390D2621" w14:textId="77777777" w:rsidR="00C45588" w:rsidRPr="00A3023B" w:rsidRDefault="00C45588" w:rsidP="00DD653F">
            <w:pPr>
              <w:spacing w:after="0"/>
              <w:jc w:val="center"/>
              <w:rPr>
                <w:rFonts w:ascii="Times New Roman" w:hAnsi="Times New Roman"/>
                <w:sz w:val="18"/>
                <w:szCs w:val="18"/>
              </w:rPr>
            </w:pPr>
            <w:r>
              <w:rPr>
                <w:rFonts w:ascii="Times New Roman" w:hAnsi="Times New Roman"/>
                <w:sz w:val="18"/>
                <w:szCs w:val="18"/>
              </w:rPr>
              <w:t>-0.00012</w:t>
            </w:r>
          </w:p>
        </w:tc>
      </w:tr>
      <w:tr w:rsidR="00C45588" w:rsidRPr="00F25D19" w14:paraId="023EFBAA" w14:textId="77777777" w:rsidTr="00224673">
        <w:trPr>
          <w:trHeight w:val="178"/>
          <w:jc w:val="center"/>
        </w:trPr>
        <w:tc>
          <w:tcPr>
            <w:tcW w:w="585" w:type="dxa"/>
            <w:tcBorders>
              <w:top w:val="nil"/>
              <w:left w:val="nil"/>
              <w:bottom w:val="nil"/>
              <w:right w:val="nil"/>
            </w:tcBorders>
          </w:tcPr>
          <w:p w14:paraId="70AD1A19" w14:textId="77777777" w:rsidR="00C45588" w:rsidRPr="00F25D19" w:rsidRDefault="00C45588" w:rsidP="00A3023B">
            <w:pPr>
              <w:spacing w:after="0" w:line="240" w:lineRule="auto"/>
              <w:outlineLvl w:val="0"/>
              <w:rPr>
                <w:rFonts w:ascii="Times New Roman" w:hAnsi="Times New Roman"/>
                <w:sz w:val="18"/>
                <w:szCs w:val="18"/>
              </w:rPr>
            </w:pPr>
          </w:p>
        </w:tc>
        <w:tc>
          <w:tcPr>
            <w:tcW w:w="970" w:type="dxa"/>
            <w:tcBorders>
              <w:top w:val="nil"/>
              <w:left w:val="nil"/>
              <w:bottom w:val="nil"/>
              <w:right w:val="nil"/>
            </w:tcBorders>
          </w:tcPr>
          <w:p w14:paraId="3BCF1975" w14:textId="77777777" w:rsidR="00C45588" w:rsidRPr="00F25D19" w:rsidRDefault="00C45588" w:rsidP="00DD653F">
            <w:pPr>
              <w:spacing w:after="0" w:line="240" w:lineRule="auto"/>
              <w:outlineLvl w:val="0"/>
              <w:rPr>
                <w:rFonts w:ascii="Times New Roman" w:hAnsi="Times New Roman"/>
                <w:sz w:val="18"/>
                <w:szCs w:val="18"/>
              </w:rPr>
            </w:pPr>
            <w:r w:rsidRPr="00F25D19">
              <w:rPr>
                <w:rFonts w:ascii="Times New Roman" w:hAnsi="Times New Roman"/>
                <w:sz w:val="18"/>
                <w:szCs w:val="18"/>
              </w:rPr>
              <w:t>S</w:t>
            </w:r>
            <w:r>
              <w:rPr>
                <w:rFonts w:ascii="Times New Roman" w:hAnsi="Times New Roman"/>
                <w:sz w:val="18"/>
                <w:szCs w:val="18"/>
              </w:rPr>
              <w:t>trategy</w:t>
            </w:r>
            <w:r w:rsidRPr="00F25D19">
              <w:rPr>
                <w:rFonts w:ascii="Times New Roman" w:hAnsi="Times New Roman"/>
                <w:sz w:val="18"/>
                <w:szCs w:val="18"/>
              </w:rPr>
              <w:t xml:space="preserve"> 2</w:t>
            </w:r>
          </w:p>
        </w:tc>
        <w:tc>
          <w:tcPr>
            <w:tcW w:w="649" w:type="dxa"/>
            <w:tcBorders>
              <w:top w:val="nil"/>
              <w:left w:val="nil"/>
              <w:bottom w:val="nil"/>
              <w:right w:val="nil"/>
            </w:tcBorders>
            <w:vAlign w:val="center"/>
          </w:tcPr>
          <w:p w14:paraId="13107865"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29</w:t>
            </w:r>
          </w:p>
        </w:tc>
        <w:tc>
          <w:tcPr>
            <w:tcW w:w="727" w:type="dxa"/>
            <w:tcBorders>
              <w:top w:val="nil"/>
              <w:left w:val="nil"/>
              <w:bottom w:val="nil"/>
              <w:right w:val="nil"/>
            </w:tcBorders>
            <w:vAlign w:val="center"/>
          </w:tcPr>
          <w:p w14:paraId="79E77AD4"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-0.13</w:t>
            </w:r>
          </w:p>
        </w:tc>
        <w:tc>
          <w:tcPr>
            <w:tcW w:w="893" w:type="dxa"/>
            <w:tcBorders>
              <w:top w:val="nil"/>
              <w:left w:val="nil"/>
              <w:bottom w:val="nil"/>
              <w:right w:val="nil"/>
            </w:tcBorders>
            <w:vAlign w:val="center"/>
          </w:tcPr>
          <w:p w14:paraId="40600370"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-0.23</w:t>
            </w:r>
          </w:p>
        </w:tc>
        <w:tc>
          <w:tcPr>
            <w:tcW w:w="688" w:type="dxa"/>
            <w:tcBorders>
              <w:top w:val="nil"/>
              <w:left w:val="nil"/>
              <w:bottom w:val="nil"/>
              <w:right w:val="nil"/>
            </w:tcBorders>
            <w:vAlign w:val="center"/>
          </w:tcPr>
          <w:p w14:paraId="3E70B33C"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-4.86</w:t>
            </w:r>
          </w:p>
        </w:tc>
        <w:tc>
          <w:tcPr>
            <w:tcW w:w="688" w:type="dxa"/>
            <w:tcBorders>
              <w:top w:val="nil"/>
              <w:left w:val="nil"/>
              <w:bottom w:val="nil"/>
              <w:right w:val="nil"/>
            </w:tcBorders>
            <w:vAlign w:val="center"/>
          </w:tcPr>
          <w:p w14:paraId="0498CC95"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5.3</w:t>
            </w:r>
            <w:r>
              <w:rPr>
                <w:rFonts w:ascii="Times New Roman" w:hAnsi="Times New Roman"/>
                <w:sz w:val="18"/>
                <w:szCs w:val="18"/>
              </w:rPr>
              <w:t>0</w:t>
            </w:r>
          </w:p>
        </w:tc>
        <w:tc>
          <w:tcPr>
            <w:tcW w:w="656" w:type="dxa"/>
            <w:tcBorders>
              <w:top w:val="nil"/>
              <w:left w:val="nil"/>
              <w:bottom w:val="nil"/>
              <w:right w:val="nil"/>
            </w:tcBorders>
            <w:vAlign w:val="center"/>
          </w:tcPr>
          <w:p w14:paraId="74ED240D"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1.95</w:t>
            </w:r>
          </w:p>
        </w:tc>
        <w:tc>
          <w:tcPr>
            <w:tcW w:w="694" w:type="dxa"/>
            <w:tcBorders>
              <w:top w:val="nil"/>
              <w:left w:val="nil"/>
              <w:bottom w:val="nil"/>
              <w:right w:val="nil"/>
            </w:tcBorders>
            <w:vAlign w:val="center"/>
          </w:tcPr>
          <w:p w14:paraId="488D0234"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0.28</w:t>
            </w:r>
          </w:p>
        </w:tc>
        <w:tc>
          <w:tcPr>
            <w:tcW w:w="688" w:type="dxa"/>
            <w:tcBorders>
              <w:top w:val="nil"/>
              <w:left w:val="nil"/>
              <w:bottom w:val="nil"/>
              <w:right w:val="nil"/>
            </w:tcBorders>
            <w:vAlign w:val="center"/>
          </w:tcPr>
          <w:p w14:paraId="649A6BEA"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1.93</w:t>
            </w:r>
          </w:p>
        </w:tc>
        <w:tc>
          <w:tcPr>
            <w:tcW w:w="688" w:type="dxa"/>
            <w:tcBorders>
              <w:top w:val="nil"/>
              <w:left w:val="nil"/>
              <w:bottom w:val="nil"/>
              <w:right w:val="nil"/>
            </w:tcBorders>
            <w:vAlign w:val="center"/>
          </w:tcPr>
          <w:p w14:paraId="132AE6D9"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0.13</w:t>
            </w:r>
          </w:p>
        </w:tc>
        <w:tc>
          <w:tcPr>
            <w:tcW w:w="656" w:type="dxa"/>
            <w:tcBorders>
              <w:top w:val="nil"/>
              <w:left w:val="nil"/>
              <w:bottom w:val="nil"/>
              <w:right w:val="nil"/>
            </w:tcBorders>
            <w:vAlign w:val="center"/>
          </w:tcPr>
          <w:p w14:paraId="6FE6C974"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0.55</w:t>
            </w:r>
          </w:p>
        </w:tc>
        <w:tc>
          <w:tcPr>
            <w:tcW w:w="849" w:type="dxa"/>
            <w:tcBorders>
              <w:top w:val="nil"/>
              <w:left w:val="nil"/>
              <w:bottom w:val="nil"/>
              <w:right w:val="nil"/>
            </w:tcBorders>
            <w:vAlign w:val="center"/>
          </w:tcPr>
          <w:p w14:paraId="03CB50F2"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-0.23</w:t>
            </w:r>
          </w:p>
        </w:tc>
        <w:tc>
          <w:tcPr>
            <w:tcW w:w="1036" w:type="dxa"/>
            <w:tcBorders>
              <w:top w:val="nil"/>
              <w:left w:val="nil"/>
              <w:bottom w:val="nil"/>
              <w:right w:val="nil"/>
            </w:tcBorders>
          </w:tcPr>
          <w:p w14:paraId="29ECF350" w14:textId="77777777" w:rsidR="00C45588" w:rsidRPr="00A3023B" w:rsidRDefault="00C45588" w:rsidP="00DD653F">
            <w:pPr>
              <w:spacing w:after="0"/>
              <w:jc w:val="center"/>
              <w:rPr>
                <w:rFonts w:ascii="Times New Roman" w:hAnsi="Times New Roman"/>
                <w:sz w:val="18"/>
                <w:szCs w:val="18"/>
              </w:rPr>
            </w:pPr>
            <w:r>
              <w:rPr>
                <w:rFonts w:ascii="Times New Roman" w:hAnsi="Times New Roman"/>
                <w:sz w:val="18"/>
                <w:szCs w:val="18"/>
              </w:rPr>
              <w:t>-0.00009</w:t>
            </w:r>
          </w:p>
        </w:tc>
      </w:tr>
      <w:tr w:rsidR="00C45588" w:rsidRPr="00F25D19" w14:paraId="4D7C3207" w14:textId="77777777" w:rsidTr="00224673">
        <w:trPr>
          <w:trHeight w:val="189"/>
          <w:jc w:val="center"/>
        </w:trPr>
        <w:tc>
          <w:tcPr>
            <w:tcW w:w="585" w:type="dxa"/>
            <w:tcBorders>
              <w:top w:val="nil"/>
              <w:left w:val="nil"/>
              <w:bottom w:val="nil"/>
              <w:right w:val="nil"/>
            </w:tcBorders>
          </w:tcPr>
          <w:p w14:paraId="454953B1" w14:textId="77777777" w:rsidR="00C45588" w:rsidRPr="00F25D19" w:rsidRDefault="00C45588" w:rsidP="00A3023B">
            <w:pPr>
              <w:spacing w:after="0" w:line="240" w:lineRule="auto"/>
              <w:outlineLvl w:val="0"/>
              <w:rPr>
                <w:rFonts w:ascii="Times New Roman" w:hAnsi="Times New Roman"/>
                <w:sz w:val="18"/>
                <w:szCs w:val="18"/>
              </w:rPr>
            </w:pPr>
          </w:p>
        </w:tc>
        <w:tc>
          <w:tcPr>
            <w:tcW w:w="970" w:type="dxa"/>
            <w:tcBorders>
              <w:top w:val="nil"/>
              <w:left w:val="nil"/>
              <w:bottom w:val="nil"/>
              <w:right w:val="nil"/>
            </w:tcBorders>
          </w:tcPr>
          <w:p w14:paraId="291C8A37" w14:textId="77777777" w:rsidR="00C45588" w:rsidRPr="00F25D19" w:rsidRDefault="00C45588" w:rsidP="00DD653F">
            <w:pPr>
              <w:spacing w:after="0" w:line="240" w:lineRule="auto"/>
              <w:outlineLvl w:val="0"/>
              <w:rPr>
                <w:rFonts w:ascii="Times New Roman" w:hAnsi="Times New Roman"/>
                <w:sz w:val="18"/>
                <w:szCs w:val="18"/>
              </w:rPr>
            </w:pPr>
            <w:r w:rsidRPr="00F25D19">
              <w:rPr>
                <w:rFonts w:ascii="Times New Roman" w:hAnsi="Times New Roman"/>
                <w:sz w:val="18"/>
                <w:szCs w:val="18"/>
              </w:rPr>
              <w:t>S</w:t>
            </w:r>
            <w:r>
              <w:rPr>
                <w:rFonts w:ascii="Times New Roman" w:hAnsi="Times New Roman"/>
                <w:sz w:val="18"/>
                <w:szCs w:val="18"/>
              </w:rPr>
              <w:t>trategy</w:t>
            </w:r>
            <w:r w:rsidRPr="00F25D19">
              <w:rPr>
                <w:rFonts w:ascii="Times New Roman" w:hAnsi="Times New Roman"/>
                <w:sz w:val="18"/>
                <w:szCs w:val="18"/>
              </w:rPr>
              <w:t xml:space="preserve"> 3</w:t>
            </w:r>
          </w:p>
        </w:tc>
        <w:tc>
          <w:tcPr>
            <w:tcW w:w="649" w:type="dxa"/>
            <w:tcBorders>
              <w:top w:val="nil"/>
              <w:left w:val="nil"/>
              <w:bottom w:val="nil"/>
              <w:right w:val="nil"/>
            </w:tcBorders>
            <w:vAlign w:val="center"/>
          </w:tcPr>
          <w:p w14:paraId="46EF3373"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29</w:t>
            </w:r>
          </w:p>
        </w:tc>
        <w:tc>
          <w:tcPr>
            <w:tcW w:w="727" w:type="dxa"/>
            <w:tcBorders>
              <w:top w:val="nil"/>
              <w:left w:val="nil"/>
              <w:bottom w:val="nil"/>
              <w:right w:val="nil"/>
            </w:tcBorders>
            <w:vAlign w:val="center"/>
          </w:tcPr>
          <w:p w14:paraId="6195A9F4"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0.86</w:t>
            </w:r>
          </w:p>
        </w:tc>
        <w:tc>
          <w:tcPr>
            <w:tcW w:w="893" w:type="dxa"/>
            <w:tcBorders>
              <w:top w:val="nil"/>
              <w:left w:val="nil"/>
              <w:bottom w:val="nil"/>
              <w:right w:val="nil"/>
            </w:tcBorders>
            <w:vAlign w:val="center"/>
          </w:tcPr>
          <w:p w14:paraId="45A5D40D"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0.54</w:t>
            </w:r>
          </w:p>
        </w:tc>
        <w:tc>
          <w:tcPr>
            <w:tcW w:w="688" w:type="dxa"/>
            <w:tcBorders>
              <w:top w:val="nil"/>
              <w:left w:val="nil"/>
              <w:bottom w:val="nil"/>
              <w:right w:val="nil"/>
            </w:tcBorders>
            <w:vAlign w:val="center"/>
          </w:tcPr>
          <w:p w14:paraId="05C4CB78"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-2.65</w:t>
            </w:r>
          </w:p>
        </w:tc>
        <w:tc>
          <w:tcPr>
            <w:tcW w:w="688" w:type="dxa"/>
            <w:tcBorders>
              <w:top w:val="nil"/>
              <w:left w:val="nil"/>
              <w:bottom w:val="nil"/>
              <w:right w:val="nil"/>
            </w:tcBorders>
            <w:vAlign w:val="center"/>
          </w:tcPr>
          <w:p w14:paraId="69BE7EC7"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7.75</w:t>
            </w:r>
          </w:p>
        </w:tc>
        <w:tc>
          <w:tcPr>
            <w:tcW w:w="656" w:type="dxa"/>
            <w:tcBorders>
              <w:top w:val="nil"/>
              <w:left w:val="nil"/>
              <w:bottom w:val="nil"/>
              <w:right w:val="nil"/>
            </w:tcBorders>
            <w:vAlign w:val="center"/>
          </w:tcPr>
          <w:p w14:paraId="4C127D5F"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2.39</w:t>
            </w:r>
          </w:p>
        </w:tc>
        <w:tc>
          <w:tcPr>
            <w:tcW w:w="694" w:type="dxa"/>
            <w:tcBorders>
              <w:top w:val="nil"/>
              <w:left w:val="nil"/>
              <w:bottom w:val="nil"/>
              <w:right w:val="nil"/>
            </w:tcBorders>
            <w:vAlign w:val="center"/>
          </w:tcPr>
          <w:p w14:paraId="7C60809F"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1.06</w:t>
            </w:r>
          </w:p>
        </w:tc>
        <w:tc>
          <w:tcPr>
            <w:tcW w:w="688" w:type="dxa"/>
            <w:tcBorders>
              <w:top w:val="nil"/>
              <w:left w:val="nil"/>
              <w:bottom w:val="nil"/>
              <w:right w:val="nil"/>
            </w:tcBorders>
            <w:vAlign w:val="center"/>
          </w:tcPr>
          <w:p w14:paraId="1D334F2C"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1.56</w:t>
            </w:r>
          </w:p>
        </w:tc>
        <w:tc>
          <w:tcPr>
            <w:tcW w:w="688" w:type="dxa"/>
            <w:tcBorders>
              <w:top w:val="nil"/>
              <w:left w:val="nil"/>
              <w:bottom w:val="nil"/>
              <w:right w:val="nil"/>
            </w:tcBorders>
            <w:vAlign w:val="center"/>
          </w:tcPr>
          <w:p w14:paraId="547104C1"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-0.3</w:t>
            </w:r>
            <w:r>
              <w:rPr>
                <w:rFonts w:ascii="Times New Roman" w:hAnsi="Times New Roman"/>
                <w:sz w:val="18"/>
                <w:szCs w:val="18"/>
              </w:rPr>
              <w:t>0</w:t>
            </w:r>
          </w:p>
        </w:tc>
        <w:tc>
          <w:tcPr>
            <w:tcW w:w="656" w:type="dxa"/>
            <w:tcBorders>
              <w:top w:val="nil"/>
              <w:left w:val="nil"/>
              <w:bottom w:val="nil"/>
              <w:right w:val="nil"/>
            </w:tcBorders>
            <w:vAlign w:val="center"/>
          </w:tcPr>
          <w:p w14:paraId="0ED03BAE"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0.38</w:t>
            </w:r>
          </w:p>
        </w:tc>
        <w:tc>
          <w:tcPr>
            <w:tcW w:w="849" w:type="dxa"/>
            <w:tcBorders>
              <w:top w:val="nil"/>
              <w:left w:val="nil"/>
              <w:bottom w:val="nil"/>
              <w:right w:val="nil"/>
            </w:tcBorders>
            <w:vAlign w:val="center"/>
          </w:tcPr>
          <w:p w14:paraId="658E3456"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1.24</w:t>
            </w:r>
          </w:p>
        </w:tc>
        <w:tc>
          <w:tcPr>
            <w:tcW w:w="1036" w:type="dxa"/>
            <w:tcBorders>
              <w:top w:val="nil"/>
              <w:left w:val="nil"/>
              <w:bottom w:val="nil"/>
              <w:right w:val="nil"/>
            </w:tcBorders>
          </w:tcPr>
          <w:p w14:paraId="1B7AB4F1" w14:textId="77777777" w:rsidR="00C45588" w:rsidRPr="00A3023B" w:rsidRDefault="00C45588" w:rsidP="00DD653F">
            <w:pPr>
              <w:spacing w:after="0"/>
              <w:jc w:val="center"/>
              <w:rPr>
                <w:rFonts w:ascii="Times New Roman" w:hAnsi="Times New Roman"/>
                <w:sz w:val="18"/>
                <w:szCs w:val="18"/>
              </w:rPr>
            </w:pPr>
            <w:r>
              <w:rPr>
                <w:rFonts w:ascii="Times New Roman" w:hAnsi="Times New Roman"/>
                <w:sz w:val="18"/>
                <w:szCs w:val="18"/>
              </w:rPr>
              <w:t>1.24</w:t>
            </w:r>
          </w:p>
        </w:tc>
      </w:tr>
      <w:tr w:rsidR="00C45588" w:rsidRPr="00F25D19" w14:paraId="2365DF9B" w14:textId="77777777" w:rsidTr="00224673">
        <w:trPr>
          <w:trHeight w:val="178"/>
          <w:jc w:val="center"/>
        </w:trPr>
        <w:tc>
          <w:tcPr>
            <w:tcW w:w="585" w:type="dxa"/>
            <w:tcBorders>
              <w:top w:val="nil"/>
              <w:left w:val="nil"/>
              <w:bottom w:val="nil"/>
              <w:right w:val="nil"/>
            </w:tcBorders>
          </w:tcPr>
          <w:p w14:paraId="30982464" w14:textId="77777777" w:rsidR="00C45588" w:rsidRPr="00F25D19" w:rsidRDefault="00C45588" w:rsidP="00A3023B">
            <w:pPr>
              <w:spacing w:after="0" w:line="240" w:lineRule="auto"/>
              <w:outlineLvl w:val="0"/>
              <w:rPr>
                <w:rFonts w:ascii="Times New Roman" w:hAnsi="Times New Roman"/>
                <w:sz w:val="18"/>
                <w:szCs w:val="18"/>
              </w:rPr>
            </w:pPr>
          </w:p>
        </w:tc>
        <w:tc>
          <w:tcPr>
            <w:tcW w:w="970" w:type="dxa"/>
            <w:tcBorders>
              <w:top w:val="nil"/>
              <w:left w:val="nil"/>
              <w:bottom w:val="nil"/>
              <w:right w:val="nil"/>
            </w:tcBorders>
          </w:tcPr>
          <w:p w14:paraId="57B8CEBE" w14:textId="77777777" w:rsidR="00C45588" w:rsidRPr="00F25D19" w:rsidRDefault="00C45588" w:rsidP="00DD653F">
            <w:pPr>
              <w:spacing w:after="0" w:line="240" w:lineRule="auto"/>
              <w:outlineLvl w:val="0"/>
              <w:rPr>
                <w:rFonts w:ascii="Times New Roman" w:hAnsi="Times New Roman"/>
                <w:sz w:val="18"/>
                <w:szCs w:val="18"/>
              </w:rPr>
            </w:pPr>
            <w:r w:rsidRPr="00F25D19">
              <w:rPr>
                <w:rFonts w:ascii="Times New Roman" w:hAnsi="Times New Roman"/>
                <w:sz w:val="18"/>
                <w:szCs w:val="18"/>
              </w:rPr>
              <w:t>S</w:t>
            </w:r>
            <w:r>
              <w:rPr>
                <w:rFonts w:ascii="Times New Roman" w:hAnsi="Times New Roman"/>
                <w:sz w:val="18"/>
                <w:szCs w:val="18"/>
              </w:rPr>
              <w:t>trategy</w:t>
            </w:r>
            <w:r w:rsidRPr="00F25D19">
              <w:rPr>
                <w:rFonts w:ascii="Times New Roman" w:hAnsi="Times New Roman"/>
                <w:sz w:val="18"/>
                <w:szCs w:val="18"/>
              </w:rPr>
              <w:t xml:space="preserve"> 4</w:t>
            </w:r>
          </w:p>
        </w:tc>
        <w:tc>
          <w:tcPr>
            <w:tcW w:w="649" w:type="dxa"/>
            <w:tcBorders>
              <w:top w:val="nil"/>
              <w:left w:val="nil"/>
              <w:bottom w:val="nil"/>
              <w:right w:val="nil"/>
            </w:tcBorders>
            <w:vAlign w:val="center"/>
          </w:tcPr>
          <w:p w14:paraId="67E034A0"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29</w:t>
            </w:r>
          </w:p>
        </w:tc>
        <w:tc>
          <w:tcPr>
            <w:tcW w:w="727" w:type="dxa"/>
            <w:tcBorders>
              <w:top w:val="nil"/>
              <w:left w:val="nil"/>
              <w:bottom w:val="nil"/>
              <w:right w:val="nil"/>
            </w:tcBorders>
            <w:vAlign w:val="center"/>
          </w:tcPr>
          <w:p w14:paraId="1F4FC3A8"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0.66</w:t>
            </w:r>
          </w:p>
        </w:tc>
        <w:tc>
          <w:tcPr>
            <w:tcW w:w="893" w:type="dxa"/>
            <w:tcBorders>
              <w:top w:val="nil"/>
              <w:left w:val="nil"/>
              <w:bottom w:val="nil"/>
              <w:right w:val="nil"/>
            </w:tcBorders>
            <w:vAlign w:val="center"/>
          </w:tcPr>
          <w:p w14:paraId="5211BC3A"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0.48</w:t>
            </w:r>
          </w:p>
        </w:tc>
        <w:tc>
          <w:tcPr>
            <w:tcW w:w="688" w:type="dxa"/>
            <w:tcBorders>
              <w:top w:val="nil"/>
              <w:left w:val="nil"/>
              <w:bottom w:val="nil"/>
              <w:right w:val="nil"/>
            </w:tcBorders>
            <w:vAlign w:val="center"/>
          </w:tcPr>
          <w:p w14:paraId="0D6EDFC1"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-3.87</w:t>
            </w:r>
          </w:p>
        </w:tc>
        <w:tc>
          <w:tcPr>
            <w:tcW w:w="688" w:type="dxa"/>
            <w:tcBorders>
              <w:top w:val="nil"/>
              <w:left w:val="nil"/>
              <w:bottom w:val="nil"/>
              <w:right w:val="nil"/>
            </w:tcBorders>
            <w:vAlign w:val="center"/>
          </w:tcPr>
          <w:p w14:paraId="718AAB0E"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6.54</w:t>
            </w:r>
          </w:p>
        </w:tc>
        <w:tc>
          <w:tcPr>
            <w:tcW w:w="656" w:type="dxa"/>
            <w:tcBorders>
              <w:top w:val="nil"/>
              <w:left w:val="nil"/>
              <w:bottom w:val="nil"/>
              <w:right w:val="nil"/>
            </w:tcBorders>
            <w:vAlign w:val="center"/>
          </w:tcPr>
          <w:p w14:paraId="6FD11DE9"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2.35</w:t>
            </w:r>
          </w:p>
        </w:tc>
        <w:tc>
          <w:tcPr>
            <w:tcW w:w="694" w:type="dxa"/>
            <w:tcBorders>
              <w:top w:val="nil"/>
              <w:left w:val="nil"/>
              <w:bottom w:val="nil"/>
              <w:right w:val="nil"/>
            </w:tcBorders>
            <w:vAlign w:val="center"/>
          </w:tcPr>
          <w:p w14:paraId="44756E27"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0.77</w:t>
            </w:r>
          </w:p>
        </w:tc>
        <w:tc>
          <w:tcPr>
            <w:tcW w:w="688" w:type="dxa"/>
            <w:tcBorders>
              <w:top w:val="nil"/>
              <w:left w:val="nil"/>
              <w:bottom w:val="nil"/>
              <w:right w:val="nil"/>
            </w:tcBorders>
            <w:vAlign w:val="center"/>
          </w:tcPr>
          <w:p w14:paraId="680FA768"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1.03</w:t>
            </w:r>
          </w:p>
        </w:tc>
        <w:tc>
          <w:tcPr>
            <w:tcW w:w="688" w:type="dxa"/>
            <w:tcBorders>
              <w:top w:val="nil"/>
              <w:left w:val="nil"/>
              <w:bottom w:val="nil"/>
              <w:right w:val="nil"/>
            </w:tcBorders>
            <w:vAlign w:val="center"/>
          </w:tcPr>
          <w:p w14:paraId="3B96276F"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-0.24</w:t>
            </w:r>
          </w:p>
        </w:tc>
        <w:tc>
          <w:tcPr>
            <w:tcW w:w="656" w:type="dxa"/>
            <w:tcBorders>
              <w:top w:val="nil"/>
              <w:left w:val="nil"/>
              <w:bottom w:val="nil"/>
              <w:right w:val="nil"/>
            </w:tcBorders>
            <w:vAlign w:val="center"/>
          </w:tcPr>
          <w:p w14:paraId="0A73A153"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0.45</w:t>
            </w:r>
          </w:p>
        </w:tc>
        <w:tc>
          <w:tcPr>
            <w:tcW w:w="849" w:type="dxa"/>
            <w:tcBorders>
              <w:top w:val="nil"/>
              <w:left w:val="nil"/>
              <w:bottom w:val="nil"/>
              <w:right w:val="nil"/>
            </w:tcBorders>
            <w:vAlign w:val="center"/>
          </w:tcPr>
          <w:p w14:paraId="11009205" w14:textId="77777777" w:rsidR="00C45588" w:rsidRPr="00A3023B" w:rsidRDefault="00C45588" w:rsidP="00DD653F">
            <w:pPr>
              <w:spacing w:after="0"/>
              <w:jc w:val="both"/>
              <w:rPr>
                <w:rFonts w:ascii="Times New Roman" w:hAnsi="Times New Roman"/>
                <w:sz w:val="18"/>
                <w:szCs w:val="18"/>
              </w:rPr>
            </w:pPr>
            <w:r w:rsidRPr="00A3023B">
              <w:rPr>
                <w:rFonts w:ascii="Times New Roman" w:hAnsi="Times New Roman"/>
                <w:sz w:val="18"/>
                <w:szCs w:val="18"/>
              </w:rPr>
              <w:t>0.97</w:t>
            </w:r>
          </w:p>
        </w:tc>
        <w:tc>
          <w:tcPr>
            <w:tcW w:w="1036" w:type="dxa"/>
            <w:tcBorders>
              <w:top w:val="nil"/>
              <w:left w:val="nil"/>
              <w:bottom w:val="nil"/>
              <w:right w:val="nil"/>
            </w:tcBorders>
          </w:tcPr>
          <w:p w14:paraId="5DEE8B61" w14:textId="77777777" w:rsidR="00C45588" w:rsidRPr="00A3023B" w:rsidRDefault="00C45588" w:rsidP="00DD653F">
            <w:pPr>
              <w:spacing w:after="0"/>
              <w:jc w:val="center"/>
              <w:rPr>
                <w:rFonts w:ascii="Times New Roman" w:hAnsi="Times New Roman"/>
                <w:sz w:val="18"/>
                <w:szCs w:val="18"/>
              </w:rPr>
            </w:pPr>
            <w:r>
              <w:rPr>
                <w:rFonts w:ascii="Times New Roman" w:hAnsi="Times New Roman"/>
                <w:sz w:val="18"/>
                <w:szCs w:val="18"/>
              </w:rPr>
              <w:t>0.97</w:t>
            </w:r>
          </w:p>
        </w:tc>
      </w:tr>
      <w:tr w:rsidR="00C45588" w:rsidRPr="00F25D19" w14:paraId="796FEF4C" w14:textId="77777777" w:rsidTr="00224673">
        <w:trPr>
          <w:trHeight w:val="178"/>
          <w:jc w:val="center"/>
        </w:trPr>
        <w:tc>
          <w:tcPr>
            <w:tcW w:w="9431" w:type="dxa"/>
            <w:gridSpan w:val="13"/>
            <w:tcBorders>
              <w:left w:val="nil"/>
              <w:bottom w:val="single" w:sz="4" w:space="0" w:color="auto"/>
              <w:right w:val="nil"/>
            </w:tcBorders>
          </w:tcPr>
          <w:p w14:paraId="16400F35" w14:textId="77777777" w:rsidR="00C45588" w:rsidRPr="00F25D19" w:rsidRDefault="00C45588" w:rsidP="00A3023B">
            <w:pPr>
              <w:spacing w:after="0"/>
              <w:rPr>
                <w:rFonts w:ascii="Times New Roman" w:hAnsi="Times New Roman"/>
                <w:i/>
                <w:sz w:val="18"/>
                <w:szCs w:val="18"/>
              </w:rPr>
            </w:pPr>
            <w:r>
              <w:rPr>
                <w:rFonts w:ascii="Times New Roman" w:hAnsi="Times New Roman"/>
                <w:i/>
                <w:sz w:val="18"/>
                <w:szCs w:val="18"/>
              </w:rPr>
              <w:t>Speculative Grade</w:t>
            </w:r>
          </w:p>
        </w:tc>
        <w:tc>
          <w:tcPr>
            <w:tcW w:w="1036" w:type="dxa"/>
            <w:tcBorders>
              <w:left w:val="nil"/>
              <w:bottom w:val="single" w:sz="4" w:space="0" w:color="auto"/>
              <w:right w:val="nil"/>
            </w:tcBorders>
          </w:tcPr>
          <w:p w14:paraId="32942C30" w14:textId="77777777" w:rsidR="00C45588" w:rsidRPr="00F25D19" w:rsidRDefault="00C45588" w:rsidP="00823B43">
            <w:pPr>
              <w:spacing w:after="0"/>
              <w:jc w:val="center"/>
              <w:rPr>
                <w:rFonts w:ascii="Times New Roman" w:hAnsi="Times New Roman"/>
                <w:i/>
                <w:sz w:val="18"/>
                <w:szCs w:val="18"/>
              </w:rPr>
            </w:pPr>
          </w:p>
        </w:tc>
      </w:tr>
      <w:tr w:rsidR="00C45588" w:rsidRPr="00F25D19" w14:paraId="0F9109CC" w14:textId="77777777" w:rsidTr="00224673">
        <w:trPr>
          <w:trHeight w:val="178"/>
          <w:jc w:val="center"/>
        </w:trPr>
        <w:tc>
          <w:tcPr>
            <w:tcW w:w="585" w:type="dxa"/>
            <w:tcBorders>
              <w:left w:val="nil"/>
              <w:bottom w:val="nil"/>
              <w:right w:val="nil"/>
            </w:tcBorders>
          </w:tcPr>
          <w:p w14:paraId="563C29D9" w14:textId="77777777" w:rsidR="00C45588" w:rsidRPr="00F25D19" w:rsidRDefault="00C45588" w:rsidP="00A3023B">
            <w:pPr>
              <w:spacing w:after="0" w:line="240" w:lineRule="auto"/>
              <w:outlineLvl w:val="0"/>
              <w:rPr>
                <w:rFonts w:ascii="Times New Roman" w:hAnsi="Times New Roman"/>
                <w:sz w:val="18"/>
                <w:szCs w:val="18"/>
              </w:rPr>
            </w:pPr>
            <w:r w:rsidRPr="00F25D19">
              <w:rPr>
                <w:rFonts w:ascii="Times New Roman" w:hAnsi="Times New Roman"/>
                <w:sz w:val="18"/>
                <w:szCs w:val="18"/>
              </w:rPr>
              <w:t>0.5</w:t>
            </w:r>
          </w:p>
        </w:tc>
        <w:tc>
          <w:tcPr>
            <w:tcW w:w="970" w:type="dxa"/>
            <w:tcBorders>
              <w:left w:val="nil"/>
              <w:bottom w:val="nil"/>
              <w:right w:val="nil"/>
            </w:tcBorders>
          </w:tcPr>
          <w:p w14:paraId="5D1E51C2" w14:textId="77777777" w:rsidR="00C45588" w:rsidRPr="00F25D19" w:rsidRDefault="00C45588" w:rsidP="00DD653F">
            <w:pPr>
              <w:spacing w:after="0" w:line="240" w:lineRule="auto"/>
              <w:outlineLvl w:val="0"/>
              <w:rPr>
                <w:rFonts w:ascii="Times New Roman" w:hAnsi="Times New Roman"/>
                <w:sz w:val="18"/>
                <w:szCs w:val="18"/>
              </w:rPr>
            </w:pPr>
            <w:r w:rsidRPr="00F25D19">
              <w:rPr>
                <w:rFonts w:ascii="Times New Roman" w:hAnsi="Times New Roman"/>
                <w:sz w:val="18"/>
                <w:szCs w:val="18"/>
              </w:rPr>
              <w:t>S</w:t>
            </w:r>
            <w:r>
              <w:rPr>
                <w:rFonts w:ascii="Times New Roman" w:hAnsi="Times New Roman"/>
                <w:sz w:val="18"/>
                <w:szCs w:val="18"/>
              </w:rPr>
              <w:t xml:space="preserve">trategy </w:t>
            </w:r>
            <w:r w:rsidRPr="00F25D19">
              <w:rPr>
                <w:rFonts w:ascii="Times New Roman" w:hAnsi="Times New Roman"/>
                <w:sz w:val="18"/>
                <w:szCs w:val="18"/>
              </w:rPr>
              <w:t>1</w:t>
            </w:r>
          </w:p>
        </w:tc>
        <w:tc>
          <w:tcPr>
            <w:tcW w:w="649" w:type="dxa"/>
            <w:tcBorders>
              <w:left w:val="nil"/>
              <w:bottom w:val="nil"/>
              <w:right w:val="nil"/>
            </w:tcBorders>
            <w:vAlign w:val="center"/>
          </w:tcPr>
          <w:p w14:paraId="6F3356D7"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29</w:t>
            </w:r>
          </w:p>
        </w:tc>
        <w:tc>
          <w:tcPr>
            <w:tcW w:w="727" w:type="dxa"/>
            <w:tcBorders>
              <w:left w:val="nil"/>
              <w:bottom w:val="nil"/>
              <w:right w:val="nil"/>
            </w:tcBorders>
            <w:vAlign w:val="center"/>
          </w:tcPr>
          <w:p w14:paraId="1F976E5E"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-0.38</w:t>
            </w:r>
          </w:p>
        </w:tc>
        <w:tc>
          <w:tcPr>
            <w:tcW w:w="893" w:type="dxa"/>
            <w:tcBorders>
              <w:left w:val="nil"/>
              <w:bottom w:val="nil"/>
              <w:right w:val="nil"/>
            </w:tcBorders>
            <w:vAlign w:val="center"/>
          </w:tcPr>
          <w:p w14:paraId="0F71D428"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-0.2</w:t>
            </w:r>
            <w:r>
              <w:rPr>
                <w:rFonts w:ascii="Times New Roman" w:hAnsi="Times New Roman"/>
                <w:sz w:val="18"/>
                <w:szCs w:val="18"/>
              </w:rPr>
              <w:t>0</w:t>
            </w:r>
          </w:p>
        </w:tc>
        <w:tc>
          <w:tcPr>
            <w:tcW w:w="688" w:type="dxa"/>
            <w:tcBorders>
              <w:left w:val="nil"/>
              <w:bottom w:val="nil"/>
              <w:right w:val="nil"/>
            </w:tcBorders>
            <w:vAlign w:val="center"/>
          </w:tcPr>
          <w:p w14:paraId="1CE4CB5D"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-16.</w:t>
            </w:r>
            <w:r>
              <w:rPr>
                <w:rFonts w:ascii="Times New Roman" w:hAnsi="Times New Roman"/>
                <w:sz w:val="18"/>
                <w:szCs w:val="18"/>
              </w:rPr>
              <w:t>3</w:t>
            </w:r>
          </w:p>
        </w:tc>
        <w:tc>
          <w:tcPr>
            <w:tcW w:w="688" w:type="dxa"/>
            <w:tcBorders>
              <w:left w:val="nil"/>
              <w:bottom w:val="nil"/>
              <w:right w:val="nil"/>
            </w:tcBorders>
            <w:vAlign w:val="center"/>
          </w:tcPr>
          <w:p w14:paraId="105A778B"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11.28</w:t>
            </w:r>
          </w:p>
        </w:tc>
        <w:tc>
          <w:tcPr>
            <w:tcW w:w="656" w:type="dxa"/>
            <w:tcBorders>
              <w:left w:val="nil"/>
              <w:bottom w:val="nil"/>
              <w:right w:val="nil"/>
            </w:tcBorders>
            <w:vAlign w:val="center"/>
          </w:tcPr>
          <w:p w14:paraId="79A8D148"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6.32</w:t>
            </w:r>
          </w:p>
        </w:tc>
        <w:tc>
          <w:tcPr>
            <w:tcW w:w="694" w:type="dxa"/>
            <w:tcBorders>
              <w:left w:val="nil"/>
              <w:bottom w:val="nil"/>
              <w:right w:val="nil"/>
            </w:tcBorders>
            <w:vAlign w:val="center"/>
          </w:tcPr>
          <w:p w14:paraId="5C71A36D"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-0.45</w:t>
            </w:r>
          </w:p>
        </w:tc>
        <w:tc>
          <w:tcPr>
            <w:tcW w:w="688" w:type="dxa"/>
            <w:tcBorders>
              <w:left w:val="nil"/>
              <w:bottom w:val="nil"/>
              <w:right w:val="nil"/>
            </w:tcBorders>
            <w:vAlign w:val="center"/>
          </w:tcPr>
          <w:p w14:paraId="0E977893"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0.24</w:t>
            </w:r>
          </w:p>
        </w:tc>
        <w:tc>
          <w:tcPr>
            <w:tcW w:w="688" w:type="dxa"/>
            <w:tcBorders>
              <w:left w:val="nil"/>
              <w:bottom w:val="nil"/>
              <w:right w:val="nil"/>
            </w:tcBorders>
            <w:vAlign w:val="center"/>
          </w:tcPr>
          <w:p w14:paraId="63F94910"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-0.51</w:t>
            </w:r>
            <w:r>
              <w:rPr>
                <w:rFonts w:ascii="Times New Roman" w:hAnsi="Times New Roman"/>
                <w:sz w:val="18"/>
                <w:szCs w:val="18"/>
              </w:rPr>
              <w:t>*</w:t>
            </w:r>
          </w:p>
        </w:tc>
        <w:tc>
          <w:tcPr>
            <w:tcW w:w="656" w:type="dxa"/>
            <w:tcBorders>
              <w:left w:val="nil"/>
              <w:bottom w:val="nil"/>
              <w:right w:val="nil"/>
            </w:tcBorders>
            <w:vAlign w:val="center"/>
          </w:tcPr>
          <w:p w14:paraId="6D74C459"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0.52</w:t>
            </w:r>
          </w:p>
        </w:tc>
        <w:tc>
          <w:tcPr>
            <w:tcW w:w="849" w:type="dxa"/>
            <w:tcBorders>
              <w:left w:val="nil"/>
              <w:bottom w:val="nil"/>
              <w:right w:val="nil"/>
            </w:tcBorders>
            <w:vAlign w:val="center"/>
          </w:tcPr>
          <w:p w14:paraId="339D8CDC"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-0.</w:t>
            </w:r>
            <w:r>
              <w:rPr>
                <w:rFonts w:ascii="Times New Roman" w:hAnsi="Times New Roman"/>
                <w:sz w:val="18"/>
                <w:szCs w:val="18"/>
              </w:rPr>
              <w:t>35</w:t>
            </w:r>
          </w:p>
        </w:tc>
        <w:tc>
          <w:tcPr>
            <w:tcW w:w="1036" w:type="dxa"/>
            <w:tcBorders>
              <w:left w:val="nil"/>
              <w:bottom w:val="nil"/>
              <w:right w:val="nil"/>
            </w:tcBorders>
          </w:tcPr>
          <w:p w14:paraId="3E319795" w14:textId="77777777" w:rsidR="00C45588" w:rsidRPr="00CC0182" w:rsidRDefault="00C45588" w:rsidP="00DD653F">
            <w:pPr>
              <w:spacing w:after="0"/>
              <w:jc w:val="center"/>
              <w:rPr>
                <w:rFonts w:ascii="Times New Roman" w:hAnsi="Times New Roman"/>
                <w:sz w:val="18"/>
                <w:szCs w:val="18"/>
              </w:rPr>
            </w:pPr>
            <w:r>
              <w:rPr>
                <w:rFonts w:ascii="Times New Roman" w:hAnsi="Times New Roman"/>
                <w:sz w:val="18"/>
                <w:szCs w:val="18"/>
              </w:rPr>
              <w:t>-0.00138</w:t>
            </w:r>
          </w:p>
        </w:tc>
      </w:tr>
      <w:tr w:rsidR="00C45588" w:rsidRPr="00F25D19" w14:paraId="5606DA7C" w14:textId="77777777" w:rsidTr="00224673">
        <w:trPr>
          <w:trHeight w:val="189"/>
          <w:jc w:val="center"/>
        </w:trPr>
        <w:tc>
          <w:tcPr>
            <w:tcW w:w="585" w:type="dxa"/>
            <w:tcBorders>
              <w:top w:val="nil"/>
              <w:left w:val="nil"/>
              <w:bottom w:val="nil"/>
              <w:right w:val="nil"/>
            </w:tcBorders>
          </w:tcPr>
          <w:p w14:paraId="4A318258" w14:textId="77777777" w:rsidR="00C45588" w:rsidRPr="00F25D19" w:rsidRDefault="00C45588" w:rsidP="00A3023B">
            <w:pPr>
              <w:spacing w:after="0" w:line="240" w:lineRule="auto"/>
              <w:outlineLvl w:val="0"/>
              <w:rPr>
                <w:rFonts w:ascii="Times New Roman" w:hAnsi="Times New Roman"/>
                <w:sz w:val="18"/>
                <w:szCs w:val="18"/>
              </w:rPr>
            </w:pPr>
          </w:p>
        </w:tc>
        <w:tc>
          <w:tcPr>
            <w:tcW w:w="970" w:type="dxa"/>
            <w:tcBorders>
              <w:top w:val="nil"/>
              <w:left w:val="nil"/>
              <w:bottom w:val="nil"/>
              <w:right w:val="nil"/>
            </w:tcBorders>
          </w:tcPr>
          <w:p w14:paraId="68623C63" w14:textId="77777777" w:rsidR="00C45588" w:rsidRPr="00F25D19" w:rsidRDefault="00C45588" w:rsidP="00DD653F">
            <w:pPr>
              <w:spacing w:after="0" w:line="240" w:lineRule="auto"/>
              <w:outlineLvl w:val="0"/>
              <w:rPr>
                <w:rFonts w:ascii="Times New Roman" w:hAnsi="Times New Roman"/>
                <w:sz w:val="18"/>
                <w:szCs w:val="18"/>
              </w:rPr>
            </w:pPr>
            <w:r w:rsidRPr="00F25D19">
              <w:rPr>
                <w:rFonts w:ascii="Times New Roman" w:hAnsi="Times New Roman"/>
                <w:sz w:val="18"/>
                <w:szCs w:val="18"/>
              </w:rPr>
              <w:t>S</w:t>
            </w:r>
            <w:r>
              <w:rPr>
                <w:rFonts w:ascii="Times New Roman" w:hAnsi="Times New Roman"/>
                <w:sz w:val="18"/>
                <w:szCs w:val="18"/>
              </w:rPr>
              <w:t xml:space="preserve">trategy </w:t>
            </w:r>
            <w:r w:rsidRPr="00F25D19">
              <w:rPr>
                <w:rFonts w:ascii="Times New Roman" w:hAnsi="Times New Roman"/>
                <w:sz w:val="18"/>
                <w:szCs w:val="18"/>
              </w:rPr>
              <w:t>2</w:t>
            </w:r>
          </w:p>
        </w:tc>
        <w:tc>
          <w:tcPr>
            <w:tcW w:w="649" w:type="dxa"/>
            <w:tcBorders>
              <w:top w:val="nil"/>
              <w:left w:val="nil"/>
              <w:bottom w:val="nil"/>
              <w:right w:val="nil"/>
            </w:tcBorders>
            <w:vAlign w:val="center"/>
          </w:tcPr>
          <w:p w14:paraId="1BB39AAD"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29</w:t>
            </w:r>
          </w:p>
        </w:tc>
        <w:tc>
          <w:tcPr>
            <w:tcW w:w="727" w:type="dxa"/>
            <w:tcBorders>
              <w:top w:val="nil"/>
              <w:left w:val="nil"/>
              <w:bottom w:val="nil"/>
              <w:right w:val="nil"/>
            </w:tcBorders>
            <w:vAlign w:val="center"/>
          </w:tcPr>
          <w:p w14:paraId="5441AA39"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-0.08</w:t>
            </w:r>
          </w:p>
        </w:tc>
        <w:tc>
          <w:tcPr>
            <w:tcW w:w="893" w:type="dxa"/>
            <w:tcBorders>
              <w:top w:val="nil"/>
              <w:left w:val="nil"/>
              <w:bottom w:val="nil"/>
              <w:right w:val="nil"/>
            </w:tcBorders>
            <w:vAlign w:val="center"/>
          </w:tcPr>
          <w:p w14:paraId="762C4291"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-0.25</w:t>
            </w:r>
          </w:p>
        </w:tc>
        <w:tc>
          <w:tcPr>
            <w:tcW w:w="688" w:type="dxa"/>
            <w:tcBorders>
              <w:top w:val="nil"/>
              <w:left w:val="nil"/>
              <w:bottom w:val="nil"/>
              <w:right w:val="nil"/>
            </w:tcBorders>
            <w:vAlign w:val="center"/>
          </w:tcPr>
          <w:p w14:paraId="1B02AA2A" w14:textId="77777777" w:rsidR="00C45588" w:rsidRPr="00CC0182" w:rsidRDefault="00C45588" w:rsidP="00DD653F">
            <w:pPr>
              <w:spacing w:after="0"/>
              <w:jc w:val="both"/>
              <w:rPr>
                <w:rFonts w:ascii="Times New Roman" w:hAnsi="Times New Roman"/>
                <w:sz w:val="18"/>
                <w:szCs w:val="18"/>
              </w:rPr>
            </w:pPr>
            <w:r>
              <w:rPr>
                <w:rFonts w:ascii="Times New Roman" w:hAnsi="Times New Roman"/>
                <w:sz w:val="18"/>
                <w:szCs w:val="18"/>
              </w:rPr>
              <w:t>-20.0</w:t>
            </w:r>
          </w:p>
        </w:tc>
        <w:tc>
          <w:tcPr>
            <w:tcW w:w="688" w:type="dxa"/>
            <w:tcBorders>
              <w:top w:val="nil"/>
              <w:left w:val="nil"/>
              <w:bottom w:val="nil"/>
              <w:right w:val="nil"/>
            </w:tcBorders>
            <w:vAlign w:val="center"/>
          </w:tcPr>
          <w:p w14:paraId="5046DFE7"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15.92</w:t>
            </w:r>
          </w:p>
        </w:tc>
        <w:tc>
          <w:tcPr>
            <w:tcW w:w="656" w:type="dxa"/>
            <w:tcBorders>
              <w:top w:val="nil"/>
              <w:left w:val="nil"/>
              <w:bottom w:val="nil"/>
              <w:right w:val="nil"/>
            </w:tcBorders>
            <w:vAlign w:val="center"/>
          </w:tcPr>
          <w:p w14:paraId="4A08882B"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7.67</w:t>
            </w:r>
          </w:p>
        </w:tc>
        <w:tc>
          <w:tcPr>
            <w:tcW w:w="694" w:type="dxa"/>
            <w:tcBorders>
              <w:top w:val="nil"/>
              <w:left w:val="nil"/>
              <w:bottom w:val="nil"/>
              <w:right w:val="nil"/>
            </w:tcBorders>
            <w:vAlign w:val="center"/>
          </w:tcPr>
          <w:p w14:paraId="445CBF00"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-0.22</w:t>
            </w:r>
          </w:p>
        </w:tc>
        <w:tc>
          <w:tcPr>
            <w:tcW w:w="688" w:type="dxa"/>
            <w:tcBorders>
              <w:top w:val="nil"/>
              <w:left w:val="nil"/>
              <w:bottom w:val="nil"/>
              <w:right w:val="nil"/>
            </w:tcBorders>
            <w:vAlign w:val="center"/>
          </w:tcPr>
          <w:p w14:paraId="351833A0"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0.86</w:t>
            </w:r>
          </w:p>
        </w:tc>
        <w:tc>
          <w:tcPr>
            <w:tcW w:w="688" w:type="dxa"/>
            <w:tcBorders>
              <w:top w:val="nil"/>
              <w:left w:val="nil"/>
              <w:bottom w:val="nil"/>
              <w:right w:val="nil"/>
            </w:tcBorders>
            <w:vAlign w:val="center"/>
          </w:tcPr>
          <w:p w14:paraId="7C8145AE"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-0.45</w:t>
            </w:r>
            <w:r>
              <w:rPr>
                <w:rFonts w:ascii="Times New Roman" w:hAnsi="Times New Roman"/>
                <w:sz w:val="18"/>
                <w:szCs w:val="18"/>
              </w:rPr>
              <w:t>*</w:t>
            </w:r>
          </w:p>
        </w:tc>
        <w:tc>
          <w:tcPr>
            <w:tcW w:w="656" w:type="dxa"/>
            <w:tcBorders>
              <w:top w:val="nil"/>
              <w:left w:val="nil"/>
              <w:bottom w:val="nil"/>
              <w:right w:val="nil"/>
            </w:tcBorders>
            <w:vAlign w:val="center"/>
          </w:tcPr>
          <w:p w14:paraId="065B2C22"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0.52</w:t>
            </w:r>
          </w:p>
        </w:tc>
        <w:tc>
          <w:tcPr>
            <w:tcW w:w="849" w:type="dxa"/>
            <w:tcBorders>
              <w:top w:val="nil"/>
              <w:left w:val="nil"/>
              <w:bottom w:val="nil"/>
              <w:right w:val="nil"/>
            </w:tcBorders>
            <w:vAlign w:val="center"/>
          </w:tcPr>
          <w:p w14:paraId="72B8DB02"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-0.0</w:t>
            </w:r>
            <w:r>
              <w:rPr>
                <w:rFonts w:ascii="Times New Roman" w:hAnsi="Times New Roman"/>
                <w:sz w:val="18"/>
                <w:szCs w:val="18"/>
              </w:rPr>
              <w:t>6</w:t>
            </w:r>
          </w:p>
        </w:tc>
        <w:tc>
          <w:tcPr>
            <w:tcW w:w="1036" w:type="dxa"/>
            <w:tcBorders>
              <w:top w:val="nil"/>
              <w:left w:val="nil"/>
              <w:bottom w:val="nil"/>
              <w:right w:val="nil"/>
            </w:tcBorders>
          </w:tcPr>
          <w:p w14:paraId="38B6C095" w14:textId="77777777" w:rsidR="00C45588" w:rsidRPr="00CC0182" w:rsidRDefault="00C45588" w:rsidP="00DD653F">
            <w:pPr>
              <w:spacing w:after="0"/>
              <w:jc w:val="center"/>
              <w:rPr>
                <w:rFonts w:ascii="Times New Roman" w:hAnsi="Times New Roman"/>
                <w:sz w:val="18"/>
                <w:szCs w:val="18"/>
              </w:rPr>
            </w:pPr>
            <w:r>
              <w:rPr>
                <w:rFonts w:ascii="Times New Roman" w:hAnsi="Times New Roman"/>
                <w:sz w:val="18"/>
                <w:szCs w:val="18"/>
              </w:rPr>
              <w:t>-0.00033</w:t>
            </w:r>
          </w:p>
        </w:tc>
      </w:tr>
      <w:tr w:rsidR="00C45588" w:rsidRPr="00F25D19" w14:paraId="524C5F58" w14:textId="77777777" w:rsidTr="00224673">
        <w:trPr>
          <w:trHeight w:val="178"/>
          <w:jc w:val="center"/>
        </w:trPr>
        <w:tc>
          <w:tcPr>
            <w:tcW w:w="585" w:type="dxa"/>
            <w:tcBorders>
              <w:top w:val="nil"/>
              <w:left w:val="nil"/>
              <w:bottom w:val="nil"/>
              <w:right w:val="nil"/>
            </w:tcBorders>
          </w:tcPr>
          <w:p w14:paraId="5FF8B664" w14:textId="77777777" w:rsidR="00C45588" w:rsidRPr="00F25D19" w:rsidRDefault="00C45588" w:rsidP="00A3023B">
            <w:pPr>
              <w:spacing w:after="0" w:line="240" w:lineRule="auto"/>
              <w:outlineLvl w:val="0"/>
              <w:rPr>
                <w:rFonts w:ascii="Times New Roman" w:hAnsi="Times New Roman"/>
                <w:sz w:val="18"/>
                <w:szCs w:val="18"/>
              </w:rPr>
            </w:pPr>
          </w:p>
        </w:tc>
        <w:tc>
          <w:tcPr>
            <w:tcW w:w="970" w:type="dxa"/>
            <w:tcBorders>
              <w:top w:val="nil"/>
              <w:left w:val="nil"/>
              <w:bottom w:val="nil"/>
              <w:right w:val="nil"/>
            </w:tcBorders>
          </w:tcPr>
          <w:p w14:paraId="6379F105" w14:textId="77777777" w:rsidR="00C45588" w:rsidRPr="00F25D19" w:rsidRDefault="00C45588" w:rsidP="00DD653F">
            <w:pPr>
              <w:spacing w:after="0" w:line="240" w:lineRule="auto"/>
              <w:outlineLvl w:val="0"/>
              <w:rPr>
                <w:rFonts w:ascii="Times New Roman" w:hAnsi="Times New Roman"/>
                <w:sz w:val="18"/>
                <w:szCs w:val="18"/>
              </w:rPr>
            </w:pPr>
            <w:r w:rsidRPr="00F25D19">
              <w:rPr>
                <w:rFonts w:ascii="Times New Roman" w:hAnsi="Times New Roman"/>
                <w:sz w:val="18"/>
                <w:szCs w:val="18"/>
              </w:rPr>
              <w:t>S</w:t>
            </w:r>
            <w:r>
              <w:rPr>
                <w:rFonts w:ascii="Times New Roman" w:hAnsi="Times New Roman"/>
                <w:sz w:val="18"/>
                <w:szCs w:val="18"/>
              </w:rPr>
              <w:t>trategy</w:t>
            </w:r>
            <w:r w:rsidRPr="00F25D19">
              <w:rPr>
                <w:rFonts w:ascii="Times New Roman" w:hAnsi="Times New Roman"/>
                <w:sz w:val="18"/>
                <w:szCs w:val="18"/>
              </w:rPr>
              <w:t xml:space="preserve"> 3</w:t>
            </w:r>
          </w:p>
        </w:tc>
        <w:tc>
          <w:tcPr>
            <w:tcW w:w="649" w:type="dxa"/>
            <w:tcBorders>
              <w:top w:val="nil"/>
              <w:left w:val="nil"/>
              <w:bottom w:val="nil"/>
              <w:right w:val="nil"/>
            </w:tcBorders>
            <w:vAlign w:val="center"/>
          </w:tcPr>
          <w:p w14:paraId="58202CB9"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29</w:t>
            </w:r>
          </w:p>
        </w:tc>
        <w:tc>
          <w:tcPr>
            <w:tcW w:w="727" w:type="dxa"/>
            <w:tcBorders>
              <w:top w:val="nil"/>
              <w:left w:val="nil"/>
              <w:bottom w:val="nil"/>
              <w:right w:val="nil"/>
            </w:tcBorders>
            <w:vAlign w:val="center"/>
          </w:tcPr>
          <w:p w14:paraId="6560A23A"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-0.54</w:t>
            </w:r>
          </w:p>
        </w:tc>
        <w:tc>
          <w:tcPr>
            <w:tcW w:w="893" w:type="dxa"/>
            <w:tcBorders>
              <w:top w:val="nil"/>
              <w:left w:val="nil"/>
              <w:bottom w:val="nil"/>
              <w:right w:val="nil"/>
            </w:tcBorders>
            <w:vAlign w:val="center"/>
          </w:tcPr>
          <w:p w14:paraId="473C6FEC"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1.78</w:t>
            </w:r>
          </w:p>
        </w:tc>
        <w:tc>
          <w:tcPr>
            <w:tcW w:w="688" w:type="dxa"/>
            <w:tcBorders>
              <w:top w:val="nil"/>
              <w:left w:val="nil"/>
              <w:bottom w:val="nil"/>
              <w:right w:val="nil"/>
            </w:tcBorders>
            <w:vAlign w:val="center"/>
          </w:tcPr>
          <w:p w14:paraId="749E9D4D" w14:textId="77777777" w:rsidR="00C45588" w:rsidRPr="00CC0182" w:rsidRDefault="00C45588" w:rsidP="00DD653F">
            <w:pPr>
              <w:spacing w:after="0"/>
              <w:jc w:val="both"/>
              <w:rPr>
                <w:rFonts w:ascii="Times New Roman" w:hAnsi="Times New Roman"/>
                <w:sz w:val="18"/>
                <w:szCs w:val="18"/>
              </w:rPr>
            </w:pPr>
            <w:r>
              <w:rPr>
                <w:rFonts w:ascii="Times New Roman" w:hAnsi="Times New Roman"/>
                <w:sz w:val="18"/>
                <w:szCs w:val="18"/>
              </w:rPr>
              <w:t>-38.5</w:t>
            </w:r>
          </w:p>
        </w:tc>
        <w:tc>
          <w:tcPr>
            <w:tcW w:w="688" w:type="dxa"/>
            <w:tcBorders>
              <w:top w:val="nil"/>
              <w:left w:val="nil"/>
              <w:bottom w:val="nil"/>
              <w:right w:val="nil"/>
            </w:tcBorders>
            <w:vAlign w:val="center"/>
          </w:tcPr>
          <w:p w14:paraId="04059ABF"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11.62</w:t>
            </w:r>
          </w:p>
        </w:tc>
        <w:tc>
          <w:tcPr>
            <w:tcW w:w="656" w:type="dxa"/>
            <w:tcBorders>
              <w:top w:val="nil"/>
              <w:left w:val="nil"/>
              <w:bottom w:val="nil"/>
              <w:right w:val="nil"/>
            </w:tcBorders>
            <w:vAlign w:val="center"/>
          </w:tcPr>
          <w:p w14:paraId="660E49F5"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9.54</w:t>
            </w:r>
          </w:p>
        </w:tc>
        <w:tc>
          <w:tcPr>
            <w:tcW w:w="694" w:type="dxa"/>
            <w:tcBorders>
              <w:top w:val="nil"/>
              <w:left w:val="nil"/>
              <w:bottom w:val="nil"/>
              <w:right w:val="nil"/>
            </w:tcBorders>
            <w:vAlign w:val="center"/>
          </w:tcPr>
          <w:p w14:paraId="4D381B2A"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-2.5</w:t>
            </w:r>
            <w:r>
              <w:rPr>
                <w:rFonts w:ascii="Times New Roman" w:hAnsi="Times New Roman"/>
                <w:sz w:val="18"/>
                <w:szCs w:val="18"/>
              </w:rPr>
              <w:t>0</w:t>
            </w:r>
          </w:p>
        </w:tc>
        <w:tc>
          <w:tcPr>
            <w:tcW w:w="688" w:type="dxa"/>
            <w:tcBorders>
              <w:top w:val="nil"/>
              <w:left w:val="nil"/>
              <w:bottom w:val="nil"/>
              <w:right w:val="nil"/>
            </w:tcBorders>
            <w:vAlign w:val="center"/>
          </w:tcPr>
          <w:p w14:paraId="7C76E7F5"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8.43</w:t>
            </w:r>
          </w:p>
        </w:tc>
        <w:tc>
          <w:tcPr>
            <w:tcW w:w="688" w:type="dxa"/>
            <w:tcBorders>
              <w:top w:val="nil"/>
              <w:left w:val="nil"/>
              <w:bottom w:val="nil"/>
              <w:right w:val="nil"/>
            </w:tcBorders>
            <w:vAlign w:val="center"/>
          </w:tcPr>
          <w:p w14:paraId="78AD89B4"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-0.08</w:t>
            </w:r>
          </w:p>
        </w:tc>
        <w:tc>
          <w:tcPr>
            <w:tcW w:w="656" w:type="dxa"/>
            <w:tcBorders>
              <w:top w:val="nil"/>
              <w:left w:val="nil"/>
              <w:bottom w:val="nil"/>
              <w:right w:val="nil"/>
            </w:tcBorders>
            <w:vAlign w:val="center"/>
          </w:tcPr>
          <w:p w14:paraId="3488A737"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0.34</w:t>
            </w:r>
          </w:p>
        </w:tc>
        <w:tc>
          <w:tcPr>
            <w:tcW w:w="849" w:type="dxa"/>
            <w:tcBorders>
              <w:top w:val="nil"/>
              <w:left w:val="nil"/>
              <w:bottom w:val="nil"/>
              <w:right w:val="nil"/>
            </w:tcBorders>
            <w:vAlign w:val="center"/>
          </w:tcPr>
          <w:p w14:paraId="7983C750"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-0.2</w:t>
            </w:r>
            <w:r>
              <w:rPr>
                <w:rFonts w:ascii="Times New Roman" w:hAnsi="Times New Roman"/>
                <w:sz w:val="18"/>
                <w:szCs w:val="18"/>
              </w:rPr>
              <w:t>0</w:t>
            </w:r>
          </w:p>
        </w:tc>
        <w:tc>
          <w:tcPr>
            <w:tcW w:w="1036" w:type="dxa"/>
            <w:tcBorders>
              <w:top w:val="nil"/>
              <w:left w:val="nil"/>
              <w:bottom w:val="nil"/>
              <w:right w:val="nil"/>
            </w:tcBorders>
          </w:tcPr>
          <w:p w14:paraId="4F823C33" w14:textId="77777777" w:rsidR="00C45588" w:rsidRPr="00CC0182" w:rsidRDefault="00C45588" w:rsidP="00DD653F">
            <w:pPr>
              <w:spacing w:after="0"/>
              <w:jc w:val="center"/>
              <w:rPr>
                <w:rFonts w:ascii="Times New Roman" w:hAnsi="Times New Roman"/>
                <w:sz w:val="18"/>
                <w:szCs w:val="18"/>
              </w:rPr>
            </w:pPr>
            <w:r>
              <w:rPr>
                <w:rFonts w:ascii="Times New Roman" w:hAnsi="Times New Roman"/>
                <w:sz w:val="18"/>
                <w:szCs w:val="18"/>
              </w:rPr>
              <w:t>-0.00180</w:t>
            </w:r>
          </w:p>
        </w:tc>
      </w:tr>
      <w:tr w:rsidR="00C45588" w:rsidRPr="00F25D19" w14:paraId="193D6DCB" w14:textId="77777777" w:rsidTr="00224673">
        <w:trPr>
          <w:trHeight w:val="189"/>
          <w:jc w:val="center"/>
        </w:trPr>
        <w:tc>
          <w:tcPr>
            <w:tcW w:w="585" w:type="dxa"/>
            <w:tcBorders>
              <w:top w:val="nil"/>
              <w:left w:val="nil"/>
              <w:bottom w:val="nil"/>
              <w:right w:val="nil"/>
            </w:tcBorders>
          </w:tcPr>
          <w:p w14:paraId="56F2A59C" w14:textId="77777777" w:rsidR="00C45588" w:rsidRPr="00F25D19" w:rsidRDefault="00C45588" w:rsidP="00A3023B">
            <w:pPr>
              <w:spacing w:after="0" w:line="240" w:lineRule="auto"/>
              <w:outlineLvl w:val="0"/>
              <w:rPr>
                <w:rFonts w:ascii="Times New Roman" w:hAnsi="Times New Roman"/>
                <w:sz w:val="18"/>
                <w:szCs w:val="18"/>
              </w:rPr>
            </w:pPr>
          </w:p>
        </w:tc>
        <w:tc>
          <w:tcPr>
            <w:tcW w:w="970" w:type="dxa"/>
            <w:tcBorders>
              <w:top w:val="nil"/>
              <w:left w:val="nil"/>
              <w:bottom w:val="nil"/>
              <w:right w:val="nil"/>
            </w:tcBorders>
          </w:tcPr>
          <w:p w14:paraId="35C82811" w14:textId="77777777" w:rsidR="00C45588" w:rsidRPr="00F25D19" w:rsidRDefault="00C45588" w:rsidP="00DD653F">
            <w:pPr>
              <w:spacing w:after="0" w:line="240" w:lineRule="auto"/>
              <w:outlineLvl w:val="0"/>
              <w:rPr>
                <w:rFonts w:ascii="Times New Roman" w:hAnsi="Times New Roman"/>
                <w:sz w:val="18"/>
                <w:szCs w:val="18"/>
              </w:rPr>
            </w:pPr>
            <w:r w:rsidRPr="00F25D19">
              <w:rPr>
                <w:rFonts w:ascii="Times New Roman" w:hAnsi="Times New Roman"/>
                <w:sz w:val="18"/>
                <w:szCs w:val="18"/>
              </w:rPr>
              <w:t>S</w:t>
            </w:r>
            <w:r>
              <w:rPr>
                <w:rFonts w:ascii="Times New Roman" w:hAnsi="Times New Roman"/>
                <w:sz w:val="18"/>
                <w:szCs w:val="18"/>
              </w:rPr>
              <w:t>trategy</w:t>
            </w:r>
            <w:r w:rsidRPr="00F25D19">
              <w:rPr>
                <w:rFonts w:ascii="Times New Roman" w:hAnsi="Times New Roman"/>
                <w:sz w:val="18"/>
                <w:szCs w:val="18"/>
              </w:rPr>
              <w:t xml:space="preserve"> 4</w:t>
            </w:r>
          </w:p>
        </w:tc>
        <w:tc>
          <w:tcPr>
            <w:tcW w:w="649" w:type="dxa"/>
            <w:tcBorders>
              <w:top w:val="nil"/>
              <w:left w:val="nil"/>
              <w:bottom w:val="nil"/>
              <w:right w:val="nil"/>
            </w:tcBorders>
            <w:vAlign w:val="center"/>
          </w:tcPr>
          <w:p w14:paraId="5AB5D836"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24</w:t>
            </w:r>
          </w:p>
        </w:tc>
        <w:tc>
          <w:tcPr>
            <w:tcW w:w="727" w:type="dxa"/>
            <w:tcBorders>
              <w:top w:val="nil"/>
              <w:left w:val="nil"/>
              <w:bottom w:val="nil"/>
              <w:right w:val="nil"/>
            </w:tcBorders>
            <w:vAlign w:val="center"/>
          </w:tcPr>
          <w:p w14:paraId="0D3466C3"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1.95</w:t>
            </w:r>
          </w:p>
        </w:tc>
        <w:tc>
          <w:tcPr>
            <w:tcW w:w="893" w:type="dxa"/>
            <w:tcBorders>
              <w:top w:val="nil"/>
              <w:left w:val="nil"/>
              <w:bottom w:val="nil"/>
              <w:right w:val="nil"/>
            </w:tcBorders>
            <w:vAlign w:val="center"/>
          </w:tcPr>
          <w:p w14:paraId="2E5703D5"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0.62</w:t>
            </w:r>
          </w:p>
        </w:tc>
        <w:tc>
          <w:tcPr>
            <w:tcW w:w="688" w:type="dxa"/>
            <w:tcBorders>
              <w:top w:val="nil"/>
              <w:left w:val="nil"/>
              <w:bottom w:val="nil"/>
              <w:right w:val="nil"/>
            </w:tcBorders>
            <w:vAlign w:val="center"/>
          </w:tcPr>
          <w:p w14:paraId="5B3AD6AC" w14:textId="77777777" w:rsidR="00C45588" w:rsidRPr="00CC0182" w:rsidRDefault="00C45588" w:rsidP="00DD653F">
            <w:pPr>
              <w:spacing w:after="0"/>
              <w:jc w:val="both"/>
              <w:rPr>
                <w:rFonts w:ascii="Times New Roman" w:hAnsi="Times New Roman"/>
                <w:sz w:val="18"/>
                <w:szCs w:val="18"/>
              </w:rPr>
            </w:pPr>
            <w:r>
              <w:rPr>
                <w:rFonts w:ascii="Times New Roman" w:hAnsi="Times New Roman"/>
                <w:sz w:val="18"/>
                <w:szCs w:val="18"/>
              </w:rPr>
              <w:t>-27.0</w:t>
            </w:r>
          </w:p>
        </w:tc>
        <w:tc>
          <w:tcPr>
            <w:tcW w:w="688" w:type="dxa"/>
            <w:tcBorders>
              <w:top w:val="nil"/>
              <w:left w:val="nil"/>
              <w:bottom w:val="nil"/>
              <w:right w:val="nil"/>
            </w:tcBorders>
            <w:vAlign w:val="center"/>
          </w:tcPr>
          <w:p w14:paraId="7B4A6B95"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35.41</w:t>
            </w:r>
          </w:p>
        </w:tc>
        <w:tc>
          <w:tcPr>
            <w:tcW w:w="656" w:type="dxa"/>
            <w:tcBorders>
              <w:top w:val="nil"/>
              <w:left w:val="nil"/>
              <w:bottom w:val="nil"/>
              <w:right w:val="nil"/>
            </w:tcBorders>
            <w:vAlign w:val="center"/>
          </w:tcPr>
          <w:p w14:paraId="710E30EE"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10.78</w:t>
            </w:r>
          </w:p>
        </w:tc>
        <w:tc>
          <w:tcPr>
            <w:tcW w:w="694" w:type="dxa"/>
            <w:tcBorders>
              <w:top w:val="nil"/>
              <w:left w:val="nil"/>
              <w:bottom w:val="nil"/>
              <w:right w:val="nil"/>
            </w:tcBorders>
            <w:vAlign w:val="center"/>
          </w:tcPr>
          <w:p w14:paraId="487819C4"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0.64</w:t>
            </w:r>
          </w:p>
        </w:tc>
        <w:tc>
          <w:tcPr>
            <w:tcW w:w="688" w:type="dxa"/>
            <w:tcBorders>
              <w:top w:val="nil"/>
              <w:left w:val="nil"/>
              <w:bottom w:val="nil"/>
              <w:right w:val="nil"/>
            </w:tcBorders>
            <w:vAlign w:val="center"/>
          </w:tcPr>
          <w:p w14:paraId="42813F0F"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4.83</w:t>
            </w:r>
          </w:p>
        </w:tc>
        <w:tc>
          <w:tcPr>
            <w:tcW w:w="688" w:type="dxa"/>
            <w:tcBorders>
              <w:top w:val="nil"/>
              <w:left w:val="nil"/>
              <w:bottom w:val="nil"/>
              <w:right w:val="nil"/>
            </w:tcBorders>
            <w:vAlign w:val="center"/>
          </w:tcPr>
          <w:p w14:paraId="735CE788"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0.09</w:t>
            </w:r>
          </w:p>
        </w:tc>
        <w:tc>
          <w:tcPr>
            <w:tcW w:w="656" w:type="dxa"/>
            <w:tcBorders>
              <w:top w:val="nil"/>
              <w:left w:val="nil"/>
              <w:bottom w:val="nil"/>
              <w:right w:val="nil"/>
            </w:tcBorders>
            <w:vAlign w:val="center"/>
          </w:tcPr>
          <w:p w14:paraId="4E2B3861"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0.33</w:t>
            </w:r>
          </w:p>
        </w:tc>
        <w:tc>
          <w:tcPr>
            <w:tcW w:w="849" w:type="dxa"/>
            <w:tcBorders>
              <w:top w:val="nil"/>
              <w:left w:val="nil"/>
              <w:bottom w:val="nil"/>
              <w:right w:val="nil"/>
            </w:tcBorders>
            <w:vAlign w:val="center"/>
          </w:tcPr>
          <w:p w14:paraId="6B1EB156"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0.63</w:t>
            </w:r>
          </w:p>
        </w:tc>
        <w:tc>
          <w:tcPr>
            <w:tcW w:w="1036" w:type="dxa"/>
            <w:tcBorders>
              <w:top w:val="nil"/>
              <w:left w:val="nil"/>
              <w:bottom w:val="nil"/>
              <w:right w:val="nil"/>
            </w:tcBorders>
          </w:tcPr>
          <w:p w14:paraId="138610C1" w14:textId="77777777" w:rsidR="00C45588" w:rsidRPr="00CC0182" w:rsidRDefault="00C45588" w:rsidP="00DD653F">
            <w:pPr>
              <w:spacing w:after="0"/>
              <w:jc w:val="center"/>
              <w:rPr>
                <w:rFonts w:ascii="Times New Roman" w:hAnsi="Times New Roman"/>
                <w:sz w:val="18"/>
                <w:szCs w:val="18"/>
              </w:rPr>
            </w:pPr>
            <w:r>
              <w:rPr>
                <w:rFonts w:ascii="Times New Roman" w:hAnsi="Times New Roman"/>
                <w:sz w:val="18"/>
                <w:szCs w:val="18"/>
              </w:rPr>
              <w:t>0.63</w:t>
            </w:r>
          </w:p>
        </w:tc>
      </w:tr>
      <w:tr w:rsidR="00C45588" w:rsidRPr="00F25D19" w14:paraId="706BD2D5" w14:textId="77777777" w:rsidTr="00224673">
        <w:trPr>
          <w:trHeight w:val="189"/>
          <w:jc w:val="center"/>
        </w:trPr>
        <w:tc>
          <w:tcPr>
            <w:tcW w:w="585" w:type="dxa"/>
            <w:tcBorders>
              <w:top w:val="nil"/>
              <w:left w:val="nil"/>
              <w:bottom w:val="nil"/>
              <w:right w:val="nil"/>
            </w:tcBorders>
          </w:tcPr>
          <w:p w14:paraId="64A9C8A1" w14:textId="77777777" w:rsidR="00C45588" w:rsidRPr="00F25D19" w:rsidRDefault="00C45588" w:rsidP="00A3023B">
            <w:pPr>
              <w:spacing w:after="0" w:line="240" w:lineRule="auto"/>
              <w:outlineLvl w:val="0"/>
              <w:rPr>
                <w:rFonts w:ascii="Times New Roman" w:hAnsi="Times New Roman"/>
                <w:sz w:val="18"/>
                <w:szCs w:val="18"/>
              </w:rPr>
            </w:pPr>
            <w:r w:rsidRPr="00F25D19">
              <w:rPr>
                <w:rFonts w:ascii="Times New Roman" w:hAnsi="Times New Roman"/>
                <w:sz w:val="18"/>
                <w:szCs w:val="18"/>
              </w:rPr>
              <w:t>2</w:t>
            </w:r>
          </w:p>
        </w:tc>
        <w:tc>
          <w:tcPr>
            <w:tcW w:w="970" w:type="dxa"/>
            <w:tcBorders>
              <w:top w:val="nil"/>
              <w:left w:val="nil"/>
              <w:bottom w:val="nil"/>
              <w:right w:val="nil"/>
            </w:tcBorders>
          </w:tcPr>
          <w:p w14:paraId="6082B80E" w14:textId="77777777" w:rsidR="00C45588" w:rsidRPr="00F25D19" w:rsidRDefault="00C45588" w:rsidP="00DD653F">
            <w:pPr>
              <w:spacing w:after="0" w:line="240" w:lineRule="auto"/>
              <w:outlineLvl w:val="0"/>
              <w:rPr>
                <w:rFonts w:ascii="Times New Roman" w:hAnsi="Times New Roman"/>
                <w:sz w:val="18"/>
                <w:szCs w:val="18"/>
              </w:rPr>
            </w:pPr>
            <w:r w:rsidRPr="00F25D19">
              <w:rPr>
                <w:rFonts w:ascii="Times New Roman" w:hAnsi="Times New Roman"/>
                <w:sz w:val="18"/>
                <w:szCs w:val="18"/>
              </w:rPr>
              <w:t>S</w:t>
            </w:r>
            <w:r>
              <w:rPr>
                <w:rFonts w:ascii="Times New Roman" w:hAnsi="Times New Roman"/>
                <w:sz w:val="18"/>
                <w:szCs w:val="18"/>
              </w:rPr>
              <w:t>trategy</w:t>
            </w:r>
            <w:r w:rsidRPr="00F25D19">
              <w:rPr>
                <w:rFonts w:ascii="Times New Roman" w:hAnsi="Times New Roman"/>
                <w:sz w:val="18"/>
                <w:szCs w:val="18"/>
              </w:rPr>
              <w:t xml:space="preserve"> 1</w:t>
            </w:r>
          </w:p>
        </w:tc>
        <w:tc>
          <w:tcPr>
            <w:tcW w:w="649" w:type="dxa"/>
            <w:tcBorders>
              <w:top w:val="nil"/>
              <w:left w:val="nil"/>
              <w:bottom w:val="nil"/>
              <w:right w:val="nil"/>
            </w:tcBorders>
            <w:vAlign w:val="center"/>
          </w:tcPr>
          <w:p w14:paraId="11DBDCB0"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29</w:t>
            </w:r>
          </w:p>
        </w:tc>
        <w:tc>
          <w:tcPr>
            <w:tcW w:w="727" w:type="dxa"/>
            <w:tcBorders>
              <w:top w:val="nil"/>
              <w:left w:val="nil"/>
              <w:bottom w:val="nil"/>
              <w:right w:val="nil"/>
            </w:tcBorders>
            <w:vAlign w:val="center"/>
          </w:tcPr>
          <w:p w14:paraId="3AADF91F"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-0.08</w:t>
            </w:r>
          </w:p>
        </w:tc>
        <w:tc>
          <w:tcPr>
            <w:tcW w:w="893" w:type="dxa"/>
            <w:tcBorders>
              <w:top w:val="nil"/>
              <w:left w:val="nil"/>
              <w:bottom w:val="nil"/>
              <w:right w:val="nil"/>
            </w:tcBorders>
            <w:vAlign w:val="center"/>
          </w:tcPr>
          <w:p w14:paraId="3F3AE20B"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-0.03</w:t>
            </w:r>
          </w:p>
        </w:tc>
        <w:tc>
          <w:tcPr>
            <w:tcW w:w="688" w:type="dxa"/>
            <w:tcBorders>
              <w:top w:val="nil"/>
              <w:left w:val="nil"/>
              <w:bottom w:val="nil"/>
              <w:right w:val="nil"/>
            </w:tcBorders>
            <w:vAlign w:val="center"/>
          </w:tcPr>
          <w:p w14:paraId="50FE9A49"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-14.5</w:t>
            </w:r>
          </w:p>
        </w:tc>
        <w:tc>
          <w:tcPr>
            <w:tcW w:w="688" w:type="dxa"/>
            <w:tcBorders>
              <w:top w:val="nil"/>
              <w:left w:val="nil"/>
              <w:bottom w:val="nil"/>
              <w:right w:val="nil"/>
            </w:tcBorders>
            <w:vAlign w:val="center"/>
          </w:tcPr>
          <w:p w14:paraId="5271B7A3"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19.5</w:t>
            </w:r>
            <w:r>
              <w:rPr>
                <w:rFonts w:ascii="Times New Roman" w:hAnsi="Times New Roman"/>
                <w:sz w:val="18"/>
                <w:szCs w:val="18"/>
              </w:rPr>
              <w:t>0</w:t>
            </w:r>
          </w:p>
        </w:tc>
        <w:tc>
          <w:tcPr>
            <w:tcW w:w="656" w:type="dxa"/>
            <w:tcBorders>
              <w:top w:val="nil"/>
              <w:left w:val="nil"/>
              <w:bottom w:val="nil"/>
              <w:right w:val="nil"/>
            </w:tcBorders>
            <w:vAlign w:val="center"/>
          </w:tcPr>
          <w:p w14:paraId="6F9ECF3D"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7.86</w:t>
            </w:r>
          </w:p>
        </w:tc>
        <w:tc>
          <w:tcPr>
            <w:tcW w:w="694" w:type="dxa"/>
            <w:tcBorders>
              <w:top w:val="nil"/>
              <w:left w:val="nil"/>
              <w:bottom w:val="nil"/>
              <w:right w:val="nil"/>
            </w:tcBorders>
            <w:vAlign w:val="center"/>
          </w:tcPr>
          <w:p w14:paraId="3A814DFF"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0.57</w:t>
            </w:r>
          </w:p>
        </w:tc>
        <w:tc>
          <w:tcPr>
            <w:tcW w:w="688" w:type="dxa"/>
            <w:tcBorders>
              <w:top w:val="nil"/>
              <w:left w:val="nil"/>
              <w:bottom w:val="nil"/>
              <w:right w:val="nil"/>
            </w:tcBorders>
            <w:vAlign w:val="center"/>
          </w:tcPr>
          <w:p w14:paraId="0D9A0CC7"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0.91</w:t>
            </w:r>
          </w:p>
        </w:tc>
        <w:tc>
          <w:tcPr>
            <w:tcW w:w="688" w:type="dxa"/>
            <w:tcBorders>
              <w:top w:val="nil"/>
              <w:left w:val="nil"/>
              <w:bottom w:val="nil"/>
              <w:right w:val="nil"/>
            </w:tcBorders>
            <w:vAlign w:val="center"/>
          </w:tcPr>
          <w:p w14:paraId="69E8D94D"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-0.22</w:t>
            </w:r>
          </w:p>
        </w:tc>
        <w:tc>
          <w:tcPr>
            <w:tcW w:w="656" w:type="dxa"/>
            <w:tcBorders>
              <w:top w:val="nil"/>
              <w:left w:val="nil"/>
              <w:bottom w:val="nil"/>
              <w:right w:val="nil"/>
            </w:tcBorders>
            <w:vAlign w:val="center"/>
          </w:tcPr>
          <w:p w14:paraId="24E542DB"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0.52</w:t>
            </w:r>
          </w:p>
        </w:tc>
        <w:tc>
          <w:tcPr>
            <w:tcW w:w="849" w:type="dxa"/>
            <w:tcBorders>
              <w:top w:val="nil"/>
              <w:left w:val="nil"/>
              <w:bottom w:val="nil"/>
              <w:right w:val="nil"/>
            </w:tcBorders>
            <w:vAlign w:val="center"/>
          </w:tcPr>
          <w:p w14:paraId="0A4283E9"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-0.03</w:t>
            </w:r>
          </w:p>
        </w:tc>
        <w:tc>
          <w:tcPr>
            <w:tcW w:w="1036" w:type="dxa"/>
            <w:tcBorders>
              <w:top w:val="nil"/>
              <w:left w:val="nil"/>
              <w:bottom w:val="nil"/>
              <w:right w:val="nil"/>
            </w:tcBorders>
          </w:tcPr>
          <w:p w14:paraId="34CB2589" w14:textId="77777777" w:rsidR="00C45588" w:rsidRPr="00CC0182" w:rsidRDefault="00C45588" w:rsidP="00DD653F">
            <w:pPr>
              <w:spacing w:after="0"/>
              <w:jc w:val="center"/>
              <w:rPr>
                <w:rFonts w:ascii="Times New Roman" w:hAnsi="Times New Roman"/>
                <w:sz w:val="18"/>
                <w:szCs w:val="18"/>
              </w:rPr>
            </w:pPr>
            <w:r>
              <w:rPr>
                <w:rFonts w:ascii="Times New Roman" w:hAnsi="Times New Roman"/>
                <w:sz w:val="18"/>
                <w:szCs w:val="18"/>
              </w:rPr>
              <w:t>-0.00021</w:t>
            </w:r>
          </w:p>
        </w:tc>
      </w:tr>
      <w:tr w:rsidR="00C45588" w:rsidRPr="00F25D19" w14:paraId="7808B3DD" w14:textId="77777777" w:rsidTr="00224673">
        <w:trPr>
          <w:trHeight w:val="178"/>
          <w:jc w:val="center"/>
        </w:trPr>
        <w:tc>
          <w:tcPr>
            <w:tcW w:w="585" w:type="dxa"/>
            <w:tcBorders>
              <w:top w:val="nil"/>
              <w:left w:val="nil"/>
              <w:bottom w:val="nil"/>
              <w:right w:val="nil"/>
            </w:tcBorders>
          </w:tcPr>
          <w:p w14:paraId="73841BF4" w14:textId="77777777" w:rsidR="00C45588" w:rsidRPr="00F25D19" w:rsidRDefault="00C45588" w:rsidP="00A3023B">
            <w:pPr>
              <w:spacing w:after="0" w:line="240" w:lineRule="auto"/>
              <w:outlineLvl w:val="0"/>
              <w:rPr>
                <w:rFonts w:ascii="Times New Roman" w:hAnsi="Times New Roman"/>
                <w:sz w:val="18"/>
                <w:szCs w:val="18"/>
              </w:rPr>
            </w:pPr>
          </w:p>
        </w:tc>
        <w:tc>
          <w:tcPr>
            <w:tcW w:w="970" w:type="dxa"/>
            <w:tcBorders>
              <w:top w:val="nil"/>
              <w:left w:val="nil"/>
              <w:bottom w:val="nil"/>
              <w:right w:val="nil"/>
            </w:tcBorders>
          </w:tcPr>
          <w:p w14:paraId="2E31531B" w14:textId="77777777" w:rsidR="00C45588" w:rsidRPr="00F25D19" w:rsidRDefault="00C45588" w:rsidP="00DD653F">
            <w:pPr>
              <w:spacing w:after="0" w:line="240" w:lineRule="auto"/>
              <w:outlineLvl w:val="0"/>
              <w:rPr>
                <w:rFonts w:ascii="Times New Roman" w:hAnsi="Times New Roman"/>
                <w:sz w:val="18"/>
                <w:szCs w:val="18"/>
              </w:rPr>
            </w:pPr>
            <w:r w:rsidRPr="00F25D19">
              <w:rPr>
                <w:rFonts w:ascii="Times New Roman" w:hAnsi="Times New Roman"/>
                <w:sz w:val="18"/>
                <w:szCs w:val="18"/>
              </w:rPr>
              <w:t>S</w:t>
            </w:r>
            <w:r>
              <w:rPr>
                <w:rFonts w:ascii="Times New Roman" w:hAnsi="Times New Roman"/>
                <w:sz w:val="18"/>
                <w:szCs w:val="18"/>
              </w:rPr>
              <w:t>trategy</w:t>
            </w:r>
            <w:r w:rsidRPr="00F25D19">
              <w:rPr>
                <w:rFonts w:ascii="Times New Roman" w:hAnsi="Times New Roman"/>
                <w:sz w:val="18"/>
                <w:szCs w:val="18"/>
              </w:rPr>
              <w:t xml:space="preserve"> 2</w:t>
            </w:r>
          </w:p>
        </w:tc>
        <w:tc>
          <w:tcPr>
            <w:tcW w:w="649" w:type="dxa"/>
            <w:tcBorders>
              <w:top w:val="nil"/>
              <w:left w:val="nil"/>
              <w:bottom w:val="nil"/>
              <w:right w:val="nil"/>
            </w:tcBorders>
            <w:vAlign w:val="center"/>
          </w:tcPr>
          <w:p w14:paraId="354E0934"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29</w:t>
            </w:r>
          </w:p>
        </w:tc>
        <w:tc>
          <w:tcPr>
            <w:tcW w:w="727" w:type="dxa"/>
            <w:tcBorders>
              <w:top w:val="nil"/>
              <w:left w:val="nil"/>
              <w:bottom w:val="nil"/>
              <w:right w:val="nil"/>
            </w:tcBorders>
            <w:vAlign w:val="center"/>
          </w:tcPr>
          <w:p w14:paraId="0DC3D3EE"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0.26</w:t>
            </w:r>
          </w:p>
        </w:tc>
        <w:tc>
          <w:tcPr>
            <w:tcW w:w="893" w:type="dxa"/>
            <w:tcBorders>
              <w:top w:val="nil"/>
              <w:left w:val="nil"/>
              <w:bottom w:val="nil"/>
              <w:right w:val="nil"/>
            </w:tcBorders>
            <w:vAlign w:val="center"/>
          </w:tcPr>
          <w:p w14:paraId="2CA6023E"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-0.16</w:t>
            </w:r>
          </w:p>
        </w:tc>
        <w:tc>
          <w:tcPr>
            <w:tcW w:w="688" w:type="dxa"/>
            <w:tcBorders>
              <w:top w:val="nil"/>
              <w:left w:val="nil"/>
              <w:bottom w:val="nil"/>
              <w:right w:val="nil"/>
            </w:tcBorders>
            <w:vAlign w:val="center"/>
          </w:tcPr>
          <w:p w14:paraId="77B0C183"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-18.8</w:t>
            </w:r>
          </w:p>
        </w:tc>
        <w:tc>
          <w:tcPr>
            <w:tcW w:w="688" w:type="dxa"/>
            <w:tcBorders>
              <w:top w:val="nil"/>
              <w:left w:val="nil"/>
              <w:bottom w:val="nil"/>
              <w:right w:val="nil"/>
            </w:tcBorders>
            <w:vAlign w:val="center"/>
          </w:tcPr>
          <w:p w14:paraId="52FCB93F"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24.85</w:t>
            </w:r>
          </w:p>
        </w:tc>
        <w:tc>
          <w:tcPr>
            <w:tcW w:w="656" w:type="dxa"/>
            <w:tcBorders>
              <w:top w:val="nil"/>
              <w:left w:val="nil"/>
              <w:bottom w:val="nil"/>
              <w:right w:val="nil"/>
            </w:tcBorders>
            <w:vAlign w:val="center"/>
          </w:tcPr>
          <w:p w14:paraId="445B8D10"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9.33</w:t>
            </w:r>
          </w:p>
        </w:tc>
        <w:tc>
          <w:tcPr>
            <w:tcW w:w="694" w:type="dxa"/>
            <w:tcBorders>
              <w:top w:val="nil"/>
              <w:left w:val="nil"/>
              <w:bottom w:val="nil"/>
              <w:right w:val="nil"/>
            </w:tcBorders>
            <w:vAlign w:val="center"/>
          </w:tcPr>
          <w:p w14:paraId="073F7D3A"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0.72</w:t>
            </w:r>
          </w:p>
        </w:tc>
        <w:tc>
          <w:tcPr>
            <w:tcW w:w="688" w:type="dxa"/>
            <w:tcBorders>
              <w:top w:val="nil"/>
              <w:left w:val="nil"/>
              <w:bottom w:val="nil"/>
              <w:right w:val="nil"/>
            </w:tcBorders>
            <w:vAlign w:val="center"/>
          </w:tcPr>
          <w:p w14:paraId="29B3C874"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1.74</w:t>
            </w:r>
          </w:p>
        </w:tc>
        <w:tc>
          <w:tcPr>
            <w:tcW w:w="688" w:type="dxa"/>
            <w:tcBorders>
              <w:top w:val="nil"/>
              <w:left w:val="nil"/>
              <w:bottom w:val="nil"/>
              <w:right w:val="nil"/>
            </w:tcBorders>
            <w:vAlign w:val="center"/>
          </w:tcPr>
          <w:p w14:paraId="711DCE53"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-0.19</w:t>
            </w:r>
          </w:p>
        </w:tc>
        <w:tc>
          <w:tcPr>
            <w:tcW w:w="656" w:type="dxa"/>
            <w:tcBorders>
              <w:top w:val="nil"/>
              <w:left w:val="nil"/>
              <w:bottom w:val="nil"/>
              <w:right w:val="nil"/>
            </w:tcBorders>
            <w:vAlign w:val="center"/>
          </w:tcPr>
          <w:p w14:paraId="1F812B3C"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0.52</w:t>
            </w:r>
          </w:p>
        </w:tc>
        <w:tc>
          <w:tcPr>
            <w:tcW w:w="849" w:type="dxa"/>
            <w:tcBorders>
              <w:top w:val="nil"/>
              <w:left w:val="nil"/>
              <w:bottom w:val="nil"/>
              <w:right w:val="nil"/>
            </w:tcBorders>
            <w:vAlign w:val="center"/>
          </w:tcPr>
          <w:p w14:paraId="3964519F"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0.1</w:t>
            </w:r>
            <w:r>
              <w:rPr>
                <w:rFonts w:ascii="Times New Roman" w:hAnsi="Times New Roman"/>
                <w:sz w:val="18"/>
                <w:szCs w:val="18"/>
              </w:rPr>
              <w:t>0</w:t>
            </w:r>
          </w:p>
        </w:tc>
        <w:tc>
          <w:tcPr>
            <w:tcW w:w="1036" w:type="dxa"/>
            <w:tcBorders>
              <w:top w:val="nil"/>
              <w:left w:val="nil"/>
              <w:bottom w:val="nil"/>
              <w:right w:val="nil"/>
            </w:tcBorders>
          </w:tcPr>
          <w:p w14:paraId="589C1CC6" w14:textId="77777777" w:rsidR="00C45588" w:rsidRPr="00CC0182" w:rsidRDefault="00C45588" w:rsidP="00DD653F">
            <w:pPr>
              <w:spacing w:after="0"/>
              <w:jc w:val="center"/>
              <w:rPr>
                <w:rFonts w:ascii="Times New Roman" w:hAnsi="Times New Roman"/>
                <w:sz w:val="18"/>
                <w:szCs w:val="18"/>
              </w:rPr>
            </w:pPr>
            <w:r>
              <w:rPr>
                <w:rFonts w:ascii="Times New Roman" w:hAnsi="Times New Roman"/>
                <w:sz w:val="18"/>
                <w:szCs w:val="18"/>
              </w:rPr>
              <w:t>0.10</w:t>
            </w:r>
          </w:p>
        </w:tc>
      </w:tr>
      <w:tr w:rsidR="00C45588" w:rsidRPr="00F25D19" w14:paraId="293A8D21" w14:textId="77777777" w:rsidTr="00224673">
        <w:trPr>
          <w:trHeight w:val="189"/>
          <w:jc w:val="center"/>
        </w:trPr>
        <w:tc>
          <w:tcPr>
            <w:tcW w:w="585" w:type="dxa"/>
            <w:tcBorders>
              <w:top w:val="nil"/>
              <w:left w:val="nil"/>
              <w:bottom w:val="nil"/>
              <w:right w:val="nil"/>
            </w:tcBorders>
          </w:tcPr>
          <w:p w14:paraId="00E9209F" w14:textId="77777777" w:rsidR="00C45588" w:rsidRPr="00F25D19" w:rsidRDefault="00C45588" w:rsidP="00A3023B">
            <w:pPr>
              <w:spacing w:after="0" w:line="240" w:lineRule="auto"/>
              <w:outlineLvl w:val="0"/>
              <w:rPr>
                <w:rFonts w:ascii="Times New Roman" w:hAnsi="Times New Roman"/>
                <w:sz w:val="18"/>
                <w:szCs w:val="18"/>
              </w:rPr>
            </w:pPr>
          </w:p>
        </w:tc>
        <w:tc>
          <w:tcPr>
            <w:tcW w:w="970" w:type="dxa"/>
            <w:tcBorders>
              <w:top w:val="nil"/>
              <w:left w:val="nil"/>
              <w:bottom w:val="nil"/>
              <w:right w:val="nil"/>
            </w:tcBorders>
          </w:tcPr>
          <w:p w14:paraId="0A9526A4" w14:textId="77777777" w:rsidR="00C45588" w:rsidRPr="00F25D19" w:rsidRDefault="00C45588" w:rsidP="00DD653F">
            <w:pPr>
              <w:spacing w:after="0" w:line="240" w:lineRule="auto"/>
              <w:outlineLvl w:val="0"/>
              <w:rPr>
                <w:rFonts w:ascii="Times New Roman" w:hAnsi="Times New Roman"/>
                <w:sz w:val="18"/>
                <w:szCs w:val="18"/>
              </w:rPr>
            </w:pPr>
            <w:r w:rsidRPr="00F25D19">
              <w:rPr>
                <w:rFonts w:ascii="Times New Roman" w:hAnsi="Times New Roman"/>
                <w:sz w:val="18"/>
                <w:szCs w:val="18"/>
              </w:rPr>
              <w:t>S</w:t>
            </w:r>
            <w:r>
              <w:rPr>
                <w:rFonts w:ascii="Times New Roman" w:hAnsi="Times New Roman"/>
                <w:sz w:val="18"/>
                <w:szCs w:val="18"/>
              </w:rPr>
              <w:t>trategy</w:t>
            </w:r>
            <w:r w:rsidRPr="00F25D19">
              <w:rPr>
                <w:rFonts w:ascii="Times New Roman" w:hAnsi="Times New Roman"/>
                <w:sz w:val="18"/>
                <w:szCs w:val="18"/>
              </w:rPr>
              <w:t xml:space="preserve"> 3</w:t>
            </w:r>
          </w:p>
        </w:tc>
        <w:tc>
          <w:tcPr>
            <w:tcW w:w="649" w:type="dxa"/>
            <w:tcBorders>
              <w:top w:val="nil"/>
              <w:left w:val="nil"/>
              <w:bottom w:val="nil"/>
              <w:right w:val="nil"/>
            </w:tcBorders>
            <w:vAlign w:val="center"/>
          </w:tcPr>
          <w:p w14:paraId="16F821DF"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29</w:t>
            </w:r>
          </w:p>
        </w:tc>
        <w:tc>
          <w:tcPr>
            <w:tcW w:w="727" w:type="dxa"/>
            <w:tcBorders>
              <w:top w:val="nil"/>
              <w:left w:val="nil"/>
              <w:bottom w:val="nil"/>
              <w:right w:val="nil"/>
            </w:tcBorders>
            <w:vAlign w:val="center"/>
          </w:tcPr>
          <w:p w14:paraId="48382125"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-0.66</w:t>
            </w:r>
          </w:p>
        </w:tc>
        <w:tc>
          <w:tcPr>
            <w:tcW w:w="893" w:type="dxa"/>
            <w:tcBorders>
              <w:top w:val="nil"/>
              <w:left w:val="nil"/>
              <w:bottom w:val="nil"/>
              <w:right w:val="nil"/>
            </w:tcBorders>
            <w:vAlign w:val="center"/>
          </w:tcPr>
          <w:p w14:paraId="2C5C6252"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1.53</w:t>
            </w:r>
          </w:p>
        </w:tc>
        <w:tc>
          <w:tcPr>
            <w:tcW w:w="688" w:type="dxa"/>
            <w:tcBorders>
              <w:top w:val="nil"/>
              <w:left w:val="nil"/>
              <w:bottom w:val="nil"/>
              <w:right w:val="nil"/>
            </w:tcBorders>
            <w:vAlign w:val="center"/>
          </w:tcPr>
          <w:p w14:paraId="6F34A5B9" w14:textId="77777777" w:rsidR="00C45588" w:rsidRPr="00CC0182" w:rsidRDefault="00C45588" w:rsidP="00DD653F">
            <w:pPr>
              <w:spacing w:after="0"/>
              <w:jc w:val="both"/>
              <w:rPr>
                <w:rFonts w:ascii="Times New Roman" w:hAnsi="Times New Roman"/>
                <w:sz w:val="18"/>
                <w:szCs w:val="18"/>
              </w:rPr>
            </w:pPr>
            <w:r>
              <w:rPr>
                <w:rFonts w:ascii="Times New Roman" w:hAnsi="Times New Roman"/>
                <w:sz w:val="18"/>
                <w:szCs w:val="18"/>
              </w:rPr>
              <w:t>-51.3</w:t>
            </w:r>
          </w:p>
        </w:tc>
        <w:tc>
          <w:tcPr>
            <w:tcW w:w="688" w:type="dxa"/>
            <w:tcBorders>
              <w:top w:val="nil"/>
              <w:left w:val="nil"/>
              <w:bottom w:val="nil"/>
              <w:right w:val="nil"/>
            </w:tcBorders>
            <w:vAlign w:val="center"/>
          </w:tcPr>
          <w:p w14:paraId="51C6A46A"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23.62</w:t>
            </w:r>
          </w:p>
        </w:tc>
        <w:tc>
          <w:tcPr>
            <w:tcW w:w="656" w:type="dxa"/>
            <w:tcBorders>
              <w:top w:val="nil"/>
              <w:left w:val="nil"/>
              <w:bottom w:val="nil"/>
              <w:right w:val="nil"/>
            </w:tcBorders>
            <w:vAlign w:val="center"/>
          </w:tcPr>
          <w:p w14:paraId="4C9E5A3D"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13.22</w:t>
            </w:r>
          </w:p>
        </w:tc>
        <w:tc>
          <w:tcPr>
            <w:tcW w:w="694" w:type="dxa"/>
            <w:tcBorders>
              <w:top w:val="nil"/>
              <w:left w:val="nil"/>
              <w:bottom w:val="nil"/>
              <w:right w:val="nil"/>
            </w:tcBorders>
            <w:vAlign w:val="center"/>
          </w:tcPr>
          <w:p w14:paraId="71F8A6EE"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-2.17</w:t>
            </w:r>
          </w:p>
        </w:tc>
        <w:tc>
          <w:tcPr>
            <w:tcW w:w="688" w:type="dxa"/>
            <w:tcBorders>
              <w:top w:val="nil"/>
              <w:left w:val="nil"/>
              <w:bottom w:val="nil"/>
              <w:right w:val="nil"/>
            </w:tcBorders>
            <w:vAlign w:val="center"/>
          </w:tcPr>
          <w:p w14:paraId="6B28F151"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7.46</w:t>
            </w:r>
          </w:p>
        </w:tc>
        <w:tc>
          <w:tcPr>
            <w:tcW w:w="688" w:type="dxa"/>
            <w:tcBorders>
              <w:top w:val="nil"/>
              <w:left w:val="nil"/>
              <w:bottom w:val="nil"/>
              <w:right w:val="nil"/>
            </w:tcBorders>
            <w:vAlign w:val="center"/>
          </w:tcPr>
          <w:p w14:paraId="1CBEB02E"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-0.03</w:t>
            </w:r>
          </w:p>
        </w:tc>
        <w:tc>
          <w:tcPr>
            <w:tcW w:w="656" w:type="dxa"/>
            <w:tcBorders>
              <w:top w:val="nil"/>
              <w:left w:val="nil"/>
              <w:bottom w:val="nil"/>
              <w:right w:val="nil"/>
            </w:tcBorders>
            <w:vAlign w:val="center"/>
          </w:tcPr>
          <w:p w14:paraId="5A79A302"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0.31</w:t>
            </w:r>
          </w:p>
        </w:tc>
        <w:tc>
          <w:tcPr>
            <w:tcW w:w="849" w:type="dxa"/>
            <w:tcBorders>
              <w:top w:val="nil"/>
              <w:left w:val="nil"/>
              <w:bottom w:val="nil"/>
              <w:right w:val="nil"/>
            </w:tcBorders>
            <w:vAlign w:val="center"/>
          </w:tcPr>
          <w:p w14:paraId="076F7CD1"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-0.17</w:t>
            </w:r>
          </w:p>
        </w:tc>
        <w:tc>
          <w:tcPr>
            <w:tcW w:w="1036" w:type="dxa"/>
            <w:tcBorders>
              <w:top w:val="nil"/>
              <w:left w:val="nil"/>
              <w:bottom w:val="nil"/>
              <w:right w:val="nil"/>
            </w:tcBorders>
          </w:tcPr>
          <w:p w14:paraId="5B13FF6B" w14:textId="77777777" w:rsidR="00C45588" w:rsidRPr="00CC0182" w:rsidRDefault="00C45588" w:rsidP="00DD653F">
            <w:pPr>
              <w:spacing w:after="0"/>
              <w:jc w:val="center"/>
              <w:rPr>
                <w:rFonts w:ascii="Times New Roman" w:hAnsi="Times New Roman"/>
                <w:sz w:val="18"/>
                <w:szCs w:val="18"/>
              </w:rPr>
            </w:pPr>
            <w:r>
              <w:rPr>
                <w:rFonts w:ascii="Times New Roman" w:hAnsi="Times New Roman"/>
                <w:sz w:val="18"/>
                <w:szCs w:val="18"/>
              </w:rPr>
              <w:t>-0.00300</w:t>
            </w:r>
          </w:p>
        </w:tc>
      </w:tr>
      <w:tr w:rsidR="00C45588" w:rsidRPr="00F25D19" w14:paraId="2AA05D7D" w14:textId="77777777" w:rsidTr="00224673">
        <w:trPr>
          <w:trHeight w:val="178"/>
          <w:jc w:val="center"/>
        </w:trPr>
        <w:tc>
          <w:tcPr>
            <w:tcW w:w="585" w:type="dxa"/>
            <w:tcBorders>
              <w:top w:val="nil"/>
              <w:left w:val="nil"/>
              <w:bottom w:val="single" w:sz="4" w:space="0" w:color="auto"/>
              <w:right w:val="nil"/>
            </w:tcBorders>
          </w:tcPr>
          <w:p w14:paraId="4644FBFC" w14:textId="77777777" w:rsidR="00C45588" w:rsidRPr="00F25D19" w:rsidRDefault="00C45588" w:rsidP="00A3023B">
            <w:pPr>
              <w:spacing w:after="0" w:line="240" w:lineRule="auto"/>
              <w:outlineLvl w:val="0"/>
              <w:rPr>
                <w:rFonts w:ascii="Times New Roman" w:hAnsi="Times New Roman"/>
                <w:sz w:val="18"/>
                <w:szCs w:val="18"/>
              </w:rPr>
            </w:pPr>
          </w:p>
        </w:tc>
        <w:tc>
          <w:tcPr>
            <w:tcW w:w="970" w:type="dxa"/>
            <w:tcBorders>
              <w:top w:val="nil"/>
              <w:left w:val="nil"/>
              <w:bottom w:val="single" w:sz="4" w:space="0" w:color="auto"/>
              <w:right w:val="nil"/>
            </w:tcBorders>
          </w:tcPr>
          <w:p w14:paraId="5F83D9F2" w14:textId="77777777" w:rsidR="00C45588" w:rsidRPr="00F25D19" w:rsidRDefault="00C45588" w:rsidP="00DD653F">
            <w:pPr>
              <w:spacing w:after="0" w:line="240" w:lineRule="auto"/>
              <w:outlineLvl w:val="0"/>
              <w:rPr>
                <w:rFonts w:ascii="Times New Roman" w:hAnsi="Times New Roman"/>
                <w:sz w:val="18"/>
                <w:szCs w:val="18"/>
              </w:rPr>
            </w:pPr>
            <w:r w:rsidRPr="00F25D19">
              <w:rPr>
                <w:rFonts w:ascii="Times New Roman" w:hAnsi="Times New Roman"/>
                <w:sz w:val="18"/>
                <w:szCs w:val="18"/>
              </w:rPr>
              <w:t>S</w:t>
            </w:r>
            <w:r>
              <w:rPr>
                <w:rFonts w:ascii="Times New Roman" w:hAnsi="Times New Roman"/>
                <w:sz w:val="18"/>
                <w:szCs w:val="18"/>
              </w:rPr>
              <w:t>trategy</w:t>
            </w:r>
            <w:r w:rsidRPr="00F25D19">
              <w:rPr>
                <w:rFonts w:ascii="Times New Roman" w:hAnsi="Times New Roman"/>
                <w:sz w:val="18"/>
                <w:szCs w:val="18"/>
              </w:rPr>
              <w:t xml:space="preserve"> 4</w:t>
            </w:r>
          </w:p>
        </w:tc>
        <w:tc>
          <w:tcPr>
            <w:tcW w:w="649" w:type="dxa"/>
            <w:tcBorders>
              <w:top w:val="nil"/>
              <w:left w:val="nil"/>
              <w:bottom w:val="single" w:sz="4" w:space="0" w:color="auto"/>
              <w:right w:val="nil"/>
            </w:tcBorders>
            <w:vAlign w:val="center"/>
          </w:tcPr>
          <w:p w14:paraId="604D0C3A"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24</w:t>
            </w:r>
          </w:p>
        </w:tc>
        <w:tc>
          <w:tcPr>
            <w:tcW w:w="727" w:type="dxa"/>
            <w:tcBorders>
              <w:top w:val="nil"/>
              <w:left w:val="nil"/>
              <w:bottom w:val="single" w:sz="4" w:space="0" w:color="auto"/>
              <w:right w:val="nil"/>
            </w:tcBorders>
            <w:vAlign w:val="center"/>
          </w:tcPr>
          <w:p w14:paraId="06DAFBD1"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3.62</w:t>
            </w:r>
          </w:p>
        </w:tc>
        <w:tc>
          <w:tcPr>
            <w:tcW w:w="893" w:type="dxa"/>
            <w:tcBorders>
              <w:top w:val="nil"/>
              <w:left w:val="nil"/>
              <w:bottom w:val="single" w:sz="4" w:space="0" w:color="auto"/>
              <w:right w:val="nil"/>
            </w:tcBorders>
            <w:vAlign w:val="center"/>
          </w:tcPr>
          <w:p w14:paraId="19FB463D"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0</w:t>
            </w:r>
            <w:r>
              <w:rPr>
                <w:rFonts w:ascii="Times New Roman" w:hAnsi="Times New Roman"/>
                <w:sz w:val="18"/>
                <w:szCs w:val="18"/>
              </w:rPr>
              <w:t>.00</w:t>
            </w:r>
          </w:p>
        </w:tc>
        <w:tc>
          <w:tcPr>
            <w:tcW w:w="688" w:type="dxa"/>
            <w:tcBorders>
              <w:top w:val="nil"/>
              <w:left w:val="nil"/>
              <w:bottom w:val="single" w:sz="4" w:space="0" w:color="auto"/>
              <w:right w:val="nil"/>
            </w:tcBorders>
            <w:vAlign w:val="center"/>
          </w:tcPr>
          <w:p w14:paraId="57C2464F" w14:textId="77777777" w:rsidR="00C45588" w:rsidRPr="00CC0182" w:rsidRDefault="00C45588" w:rsidP="00DD653F">
            <w:pPr>
              <w:spacing w:after="0"/>
              <w:jc w:val="both"/>
              <w:rPr>
                <w:rFonts w:ascii="Times New Roman" w:hAnsi="Times New Roman"/>
                <w:sz w:val="18"/>
                <w:szCs w:val="18"/>
              </w:rPr>
            </w:pPr>
            <w:r>
              <w:rPr>
                <w:rFonts w:ascii="Times New Roman" w:hAnsi="Times New Roman"/>
                <w:sz w:val="18"/>
                <w:szCs w:val="18"/>
              </w:rPr>
              <w:t>-17.0</w:t>
            </w:r>
          </w:p>
        </w:tc>
        <w:tc>
          <w:tcPr>
            <w:tcW w:w="688" w:type="dxa"/>
            <w:tcBorders>
              <w:top w:val="nil"/>
              <w:left w:val="nil"/>
              <w:bottom w:val="single" w:sz="4" w:space="0" w:color="auto"/>
              <w:right w:val="nil"/>
            </w:tcBorders>
            <w:vAlign w:val="center"/>
          </w:tcPr>
          <w:p w14:paraId="53102EB9"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53.08</w:t>
            </w:r>
          </w:p>
        </w:tc>
        <w:tc>
          <w:tcPr>
            <w:tcW w:w="656" w:type="dxa"/>
            <w:tcBorders>
              <w:top w:val="nil"/>
              <w:left w:val="nil"/>
              <w:bottom w:val="single" w:sz="4" w:space="0" w:color="auto"/>
              <w:right w:val="nil"/>
            </w:tcBorders>
            <w:vAlign w:val="center"/>
          </w:tcPr>
          <w:p w14:paraId="2EDD49DF"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12.45</w:t>
            </w:r>
          </w:p>
        </w:tc>
        <w:tc>
          <w:tcPr>
            <w:tcW w:w="694" w:type="dxa"/>
            <w:tcBorders>
              <w:top w:val="nil"/>
              <w:left w:val="nil"/>
              <w:bottom w:val="single" w:sz="4" w:space="0" w:color="auto"/>
              <w:right w:val="nil"/>
            </w:tcBorders>
            <w:vAlign w:val="center"/>
          </w:tcPr>
          <w:p w14:paraId="7A67C19B"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2.6</w:t>
            </w:r>
            <w:r>
              <w:rPr>
                <w:rFonts w:ascii="Times New Roman" w:hAnsi="Times New Roman"/>
                <w:sz w:val="18"/>
                <w:szCs w:val="18"/>
              </w:rPr>
              <w:t>0</w:t>
            </w:r>
          </w:p>
        </w:tc>
        <w:tc>
          <w:tcPr>
            <w:tcW w:w="688" w:type="dxa"/>
            <w:tcBorders>
              <w:top w:val="nil"/>
              <w:left w:val="nil"/>
              <w:bottom w:val="single" w:sz="4" w:space="0" w:color="auto"/>
              <w:right w:val="nil"/>
            </w:tcBorders>
            <w:vAlign w:val="center"/>
          </w:tcPr>
          <w:p w14:paraId="797B5017"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8.8</w:t>
            </w:r>
            <w:r>
              <w:rPr>
                <w:rFonts w:ascii="Times New Roman" w:hAnsi="Times New Roman"/>
                <w:sz w:val="18"/>
                <w:szCs w:val="18"/>
              </w:rPr>
              <w:t>0</w:t>
            </w:r>
          </w:p>
        </w:tc>
        <w:tc>
          <w:tcPr>
            <w:tcW w:w="688" w:type="dxa"/>
            <w:tcBorders>
              <w:top w:val="nil"/>
              <w:left w:val="nil"/>
              <w:bottom w:val="single" w:sz="4" w:space="0" w:color="auto"/>
              <w:right w:val="nil"/>
            </w:tcBorders>
            <w:vAlign w:val="center"/>
          </w:tcPr>
          <w:p w14:paraId="0ABC7B12"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0.28</w:t>
            </w:r>
          </w:p>
        </w:tc>
        <w:tc>
          <w:tcPr>
            <w:tcW w:w="656" w:type="dxa"/>
            <w:tcBorders>
              <w:top w:val="nil"/>
              <w:left w:val="nil"/>
              <w:bottom w:val="single" w:sz="4" w:space="0" w:color="auto"/>
              <w:right w:val="nil"/>
            </w:tcBorders>
            <w:vAlign w:val="center"/>
          </w:tcPr>
          <w:p w14:paraId="7BCA06A0"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0.42</w:t>
            </w:r>
          </w:p>
        </w:tc>
        <w:tc>
          <w:tcPr>
            <w:tcW w:w="849" w:type="dxa"/>
            <w:tcBorders>
              <w:top w:val="nil"/>
              <w:left w:val="nil"/>
              <w:bottom w:val="single" w:sz="4" w:space="0" w:color="auto"/>
              <w:right w:val="nil"/>
            </w:tcBorders>
            <w:vAlign w:val="center"/>
          </w:tcPr>
          <w:p w14:paraId="106D24F5" w14:textId="77777777" w:rsidR="00C45588" w:rsidRPr="00CC0182" w:rsidRDefault="00C45588" w:rsidP="00DD653F">
            <w:pPr>
              <w:spacing w:after="0"/>
              <w:jc w:val="both"/>
              <w:rPr>
                <w:rFonts w:ascii="Times New Roman" w:hAnsi="Times New Roman"/>
                <w:sz w:val="18"/>
                <w:szCs w:val="18"/>
              </w:rPr>
            </w:pPr>
            <w:r w:rsidRPr="00CC0182">
              <w:rPr>
                <w:rFonts w:ascii="Times New Roman" w:hAnsi="Times New Roman"/>
                <w:sz w:val="18"/>
                <w:szCs w:val="18"/>
              </w:rPr>
              <w:t>1.01</w:t>
            </w:r>
          </w:p>
        </w:tc>
        <w:tc>
          <w:tcPr>
            <w:tcW w:w="1036" w:type="dxa"/>
            <w:tcBorders>
              <w:top w:val="nil"/>
              <w:left w:val="nil"/>
              <w:bottom w:val="single" w:sz="4" w:space="0" w:color="auto"/>
              <w:right w:val="nil"/>
            </w:tcBorders>
          </w:tcPr>
          <w:p w14:paraId="462F9628" w14:textId="77777777" w:rsidR="00C45588" w:rsidRPr="00CC0182" w:rsidRDefault="00C45588" w:rsidP="00DD653F">
            <w:pPr>
              <w:spacing w:after="0"/>
              <w:jc w:val="center"/>
              <w:rPr>
                <w:rFonts w:ascii="Times New Roman" w:hAnsi="Times New Roman"/>
                <w:sz w:val="18"/>
                <w:szCs w:val="18"/>
              </w:rPr>
            </w:pPr>
            <w:r>
              <w:rPr>
                <w:rFonts w:ascii="Times New Roman" w:hAnsi="Times New Roman"/>
                <w:sz w:val="18"/>
                <w:szCs w:val="18"/>
              </w:rPr>
              <w:t>1.01</w:t>
            </w:r>
          </w:p>
        </w:tc>
      </w:tr>
    </w:tbl>
    <w:p w14:paraId="652F5FE5" w14:textId="77777777" w:rsidR="00224673" w:rsidRDefault="00224673" w:rsidP="008C148B">
      <w:pPr>
        <w:spacing w:before="40" w:after="40" w:line="240" w:lineRule="auto"/>
        <w:jc w:val="both"/>
        <w:outlineLvl w:val="0"/>
        <w:rPr>
          <w:rFonts w:ascii="Times New Roman" w:hAnsi="Times New Roman"/>
          <w:b/>
          <w:sz w:val="24"/>
          <w:szCs w:val="24"/>
        </w:rPr>
      </w:pPr>
    </w:p>
    <w:p w14:paraId="657ECC13" w14:textId="77777777" w:rsidR="00224673" w:rsidRDefault="00224673" w:rsidP="008C148B">
      <w:pPr>
        <w:spacing w:before="40" w:after="40" w:line="240" w:lineRule="auto"/>
        <w:jc w:val="both"/>
        <w:outlineLvl w:val="0"/>
        <w:rPr>
          <w:rFonts w:ascii="Times New Roman" w:hAnsi="Times New Roman"/>
          <w:b/>
          <w:sz w:val="24"/>
          <w:szCs w:val="24"/>
        </w:rPr>
      </w:pPr>
    </w:p>
    <w:p w14:paraId="4C67E6B8" w14:textId="77777777" w:rsidR="00224673" w:rsidRDefault="00224673" w:rsidP="008C148B">
      <w:pPr>
        <w:spacing w:before="40" w:after="40" w:line="240" w:lineRule="auto"/>
        <w:jc w:val="both"/>
        <w:outlineLvl w:val="0"/>
        <w:rPr>
          <w:rFonts w:ascii="Times New Roman" w:hAnsi="Times New Roman"/>
          <w:b/>
          <w:sz w:val="24"/>
          <w:szCs w:val="24"/>
        </w:rPr>
      </w:pPr>
    </w:p>
    <w:p w14:paraId="490AF750" w14:textId="77777777" w:rsidR="00D7101E" w:rsidRDefault="00D7101E">
      <w:pPr>
        <w:spacing w:after="0" w:line="240" w:lineRule="auto"/>
        <w:rPr>
          <w:rFonts w:ascii="Times New Roman" w:hAnsi="Times New Roman"/>
          <w:b/>
          <w:sz w:val="24"/>
          <w:szCs w:val="24"/>
        </w:rPr>
      </w:pPr>
      <w:r>
        <w:rPr>
          <w:rFonts w:ascii="Times New Roman" w:hAnsi="Times New Roman"/>
          <w:b/>
          <w:sz w:val="24"/>
          <w:szCs w:val="24"/>
        </w:rPr>
        <w:br w:type="page"/>
      </w:r>
    </w:p>
    <w:p w14:paraId="44BE8311" w14:textId="77777777" w:rsidR="006B1F82" w:rsidRPr="00A61274" w:rsidRDefault="006B1F82" w:rsidP="006B1F82">
      <w:pPr>
        <w:tabs>
          <w:tab w:val="left" w:pos="3284"/>
        </w:tabs>
        <w:rPr>
          <w:rFonts w:ascii="Times New Roman" w:hAnsi="Times New Roman"/>
          <w:sz w:val="24"/>
          <w:szCs w:val="24"/>
        </w:rPr>
      </w:pPr>
      <w:r>
        <w:rPr>
          <w:rFonts w:ascii="Times New Roman" w:hAnsi="Times New Roman"/>
          <w:b/>
          <w:sz w:val="24"/>
          <w:szCs w:val="24"/>
        </w:rPr>
        <w:lastRenderedPageBreak/>
        <w:t>Exhibit 6</w:t>
      </w:r>
      <w:r w:rsidRPr="00A16D8A">
        <w:rPr>
          <w:rFonts w:ascii="Times New Roman" w:hAnsi="Times New Roman"/>
          <w:b/>
          <w:sz w:val="24"/>
          <w:szCs w:val="24"/>
        </w:rPr>
        <w:t xml:space="preserve">. </w:t>
      </w:r>
      <w:r>
        <w:rPr>
          <w:rFonts w:ascii="Times New Roman" w:hAnsi="Times New Roman"/>
          <w:b/>
          <w:sz w:val="24"/>
          <w:szCs w:val="24"/>
        </w:rPr>
        <w:t>The m</w:t>
      </w:r>
      <w:r w:rsidRPr="00A16D8A">
        <w:rPr>
          <w:rFonts w:ascii="Times New Roman" w:hAnsi="Times New Roman"/>
          <w:b/>
          <w:sz w:val="24"/>
          <w:szCs w:val="24"/>
        </w:rPr>
        <w:t xml:space="preserve">onthly excess returns </w:t>
      </w:r>
      <w:r>
        <w:rPr>
          <w:rFonts w:ascii="Times New Roman" w:hAnsi="Times New Roman"/>
          <w:b/>
          <w:sz w:val="24"/>
          <w:szCs w:val="24"/>
        </w:rPr>
        <w:t>of</w:t>
      </w:r>
      <w:r w:rsidRPr="00A16D8A">
        <w:rPr>
          <w:rFonts w:ascii="Times New Roman" w:hAnsi="Times New Roman"/>
          <w:b/>
          <w:sz w:val="24"/>
          <w:szCs w:val="24"/>
        </w:rPr>
        <w:t xml:space="preserve"> the </w:t>
      </w:r>
      <w:r>
        <w:rPr>
          <w:rFonts w:ascii="Times New Roman" w:hAnsi="Times New Roman"/>
          <w:b/>
          <w:sz w:val="24"/>
          <w:szCs w:val="24"/>
        </w:rPr>
        <w:t>4</w:t>
      </w:r>
      <w:r w:rsidRPr="00A16D8A">
        <w:rPr>
          <w:rFonts w:ascii="Times New Roman" w:hAnsi="Times New Roman"/>
          <w:b/>
          <w:sz w:val="24"/>
          <w:szCs w:val="24"/>
        </w:rPr>
        <w:t xml:space="preserve"> strategies</w:t>
      </w:r>
    </w:p>
    <w:p w14:paraId="5BB6F632" w14:textId="77777777" w:rsidR="006B1F82" w:rsidRPr="0033236C" w:rsidRDefault="006B1F82" w:rsidP="006B1F82">
      <w:pPr>
        <w:rPr>
          <w:rFonts w:ascii="Times New Roman" w:hAnsi="Times New Roman"/>
        </w:rPr>
      </w:pPr>
      <w:r w:rsidRPr="003706D7">
        <w:rPr>
          <w:rFonts w:ascii="Times New Roman" w:hAnsi="Times New Roman"/>
          <w:noProof/>
          <w:lang w:eastAsia="en-GB"/>
        </w:rPr>
        <w:drawing>
          <wp:inline distT="0" distB="0" distL="0" distR="0" wp14:anchorId="6D87559A" wp14:editId="7BEBE4E3">
            <wp:extent cx="2595600" cy="1648800"/>
            <wp:effectExtent l="0" t="0" r="0" b="889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3706D7">
        <w:rPr>
          <w:rFonts w:ascii="Times New Roman" w:hAnsi="Times New Roman"/>
          <w:noProof/>
          <w:lang w:eastAsia="en-GB"/>
        </w:rPr>
        <w:drawing>
          <wp:inline distT="0" distB="0" distL="0" distR="0" wp14:anchorId="23B8C0B1" wp14:editId="01C51342">
            <wp:extent cx="2592000" cy="1648800"/>
            <wp:effectExtent l="0" t="0" r="0" b="889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E10CC0">
        <w:rPr>
          <w:rFonts w:ascii="Times New Roman" w:hAnsi="Times New Roman"/>
        </w:rPr>
        <w:t xml:space="preserve"> </w:t>
      </w:r>
      <w:r>
        <w:rPr>
          <w:rFonts w:ascii="Times New Roman" w:hAnsi="Times New Roman"/>
          <w:sz w:val="24"/>
          <w:szCs w:val="24"/>
        </w:rPr>
        <w:tab/>
      </w:r>
    </w:p>
    <w:p w14:paraId="150FBFE6" w14:textId="77777777" w:rsidR="006B1F82" w:rsidRDefault="006B1F82" w:rsidP="006B1F82">
      <w:pPr>
        <w:spacing w:line="240" w:lineRule="auto"/>
        <w:jc w:val="both"/>
        <w:outlineLvl w:val="0"/>
        <w:rPr>
          <w:rFonts w:ascii="Times New Roman" w:hAnsi="Times New Roman"/>
          <w:b/>
          <w:sz w:val="24"/>
          <w:szCs w:val="24"/>
        </w:rPr>
      </w:pPr>
      <w:r>
        <w:rPr>
          <w:noProof/>
          <w:lang w:eastAsia="en-GB"/>
        </w:rPr>
        <w:drawing>
          <wp:inline distT="0" distB="0" distL="0" distR="0" wp14:anchorId="00806D00" wp14:editId="59E237F2">
            <wp:extent cx="2595600" cy="1656000"/>
            <wp:effectExtent l="0" t="0" r="0" b="190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lang w:eastAsia="en-GB"/>
        </w:rPr>
        <w:drawing>
          <wp:inline distT="0" distB="0" distL="0" distR="0" wp14:anchorId="5689306C" wp14:editId="68139372">
            <wp:extent cx="2592000" cy="1656000"/>
            <wp:effectExtent l="0" t="0" r="0" b="190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84184F8" w14:textId="77777777" w:rsidR="006B1F82" w:rsidRDefault="006B1F82" w:rsidP="00DE2CDE">
      <w:pPr>
        <w:spacing w:line="240" w:lineRule="auto"/>
        <w:jc w:val="both"/>
        <w:outlineLvl w:val="0"/>
        <w:rPr>
          <w:rFonts w:ascii="Times New Roman" w:hAnsi="Times New Roman"/>
          <w:b/>
          <w:sz w:val="24"/>
          <w:szCs w:val="24"/>
        </w:rPr>
      </w:pPr>
    </w:p>
    <w:p w14:paraId="2496CA3B" w14:textId="77777777" w:rsidR="00295191" w:rsidRDefault="00295191" w:rsidP="00295191">
      <w:pPr>
        <w:tabs>
          <w:tab w:val="left" w:pos="3284"/>
        </w:tabs>
        <w:spacing w:line="240" w:lineRule="auto"/>
        <w:jc w:val="both"/>
        <w:rPr>
          <w:rFonts w:ascii="Times New Roman" w:hAnsi="Times New Roman"/>
          <w:sz w:val="20"/>
          <w:szCs w:val="20"/>
        </w:rPr>
      </w:pPr>
      <w:r>
        <w:rPr>
          <w:rFonts w:ascii="Times New Roman" w:hAnsi="Times New Roman"/>
          <w:b/>
          <w:sz w:val="24"/>
          <w:szCs w:val="24"/>
        </w:rPr>
        <w:t>Exhibit 7</w:t>
      </w:r>
      <w:r w:rsidRPr="00A16D8A">
        <w:rPr>
          <w:rFonts w:ascii="Times New Roman" w:hAnsi="Times New Roman"/>
          <w:b/>
          <w:sz w:val="24"/>
          <w:szCs w:val="24"/>
        </w:rPr>
        <w:t xml:space="preserve">. </w:t>
      </w:r>
      <w:r>
        <w:rPr>
          <w:rFonts w:ascii="Times New Roman" w:hAnsi="Times New Roman"/>
          <w:b/>
          <w:sz w:val="24"/>
          <w:szCs w:val="24"/>
        </w:rPr>
        <w:t>The</w:t>
      </w:r>
      <w:r w:rsidRPr="00A16D8A">
        <w:rPr>
          <w:rFonts w:ascii="Times New Roman" w:hAnsi="Times New Roman"/>
          <w:b/>
          <w:sz w:val="24"/>
          <w:szCs w:val="24"/>
        </w:rPr>
        <w:t xml:space="preserve"> </w:t>
      </w:r>
      <w:r>
        <w:rPr>
          <w:rFonts w:ascii="Times New Roman" w:hAnsi="Times New Roman"/>
          <w:b/>
          <w:sz w:val="24"/>
          <w:szCs w:val="24"/>
        </w:rPr>
        <w:t xml:space="preserve">monthly cumulative </w:t>
      </w:r>
      <w:r w:rsidRPr="00A16D8A">
        <w:rPr>
          <w:rFonts w:ascii="Times New Roman" w:hAnsi="Times New Roman"/>
          <w:b/>
          <w:sz w:val="24"/>
          <w:szCs w:val="24"/>
        </w:rPr>
        <w:t xml:space="preserve">excess returns </w:t>
      </w:r>
      <w:r>
        <w:rPr>
          <w:rFonts w:ascii="Times New Roman" w:hAnsi="Times New Roman"/>
          <w:b/>
          <w:sz w:val="24"/>
          <w:szCs w:val="24"/>
        </w:rPr>
        <w:t>of</w:t>
      </w:r>
      <w:r w:rsidRPr="00A16D8A">
        <w:rPr>
          <w:rFonts w:ascii="Times New Roman" w:hAnsi="Times New Roman"/>
          <w:b/>
          <w:sz w:val="24"/>
          <w:szCs w:val="24"/>
        </w:rPr>
        <w:t xml:space="preserve"> the </w:t>
      </w:r>
      <w:r>
        <w:rPr>
          <w:rFonts w:ascii="Times New Roman" w:hAnsi="Times New Roman"/>
          <w:b/>
          <w:sz w:val="24"/>
          <w:szCs w:val="24"/>
        </w:rPr>
        <w:t>4 strategies</w:t>
      </w:r>
    </w:p>
    <w:p w14:paraId="47D8EC62" w14:textId="77777777" w:rsidR="00295191" w:rsidRDefault="00295191" w:rsidP="00295191">
      <w:pPr>
        <w:rPr>
          <w:rFonts w:ascii="Times New Roman" w:hAnsi="Times New Roman"/>
          <w:sz w:val="20"/>
          <w:szCs w:val="20"/>
        </w:rPr>
      </w:pPr>
      <w:r>
        <w:rPr>
          <w:noProof/>
          <w:lang w:eastAsia="en-GB"/>
        </w:rPr>
        <w:drawing>
          <wp:inline distT="0" distB="0" distL="0" distR="0" wp14:anchorId="520C720D" wp14:editId="42803D4E">
            <wp:extent cx="5274000" cy="2469600"/>
            <wp:effectExtent l="0" t="0" r="3175" b="698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7F15938" w14:textId="77777777" w:rsidR="00063311" w:rsidRDefault="00063311">
      <w:pPr>
        <w:spacing w:after="0" w:line="240" w:lineRule="auto"/>
        <w:rPr>
          <w:rFonts w:ascii="Times New Roman" w:hAnsi="Times New Roman"/>
          <w:b/>
          <w:sz w:val="24"/>
          <w:szCs w:val="24"/>
        </w:rPr>
      </w:pPr>
      <w:r>
        <w:rPr>
          <w:rFonts w:ascii="Times New Roman" w:hAnsi="Times New Roman"/>
          <w:b/>
          <w:sz w:val="24"/>
          <w:szCs w:val="24"/>
        </w:rPr>
        <w:br w:type="page"/>
      </w:r>
    </w:p>
    <w:p w14:paraId="30F8AF95" w14:textId="77777777" w:rsidR="00DE2CDE" w:rsidRDefault="006B1F82" w:rsidP="00DE2CDE">
      <w:pPr>
        <w:spacing w:line="240" w:lineRule="auto"/>
        <w:jc w:val="both"/>
        <w:outlineLvl w:val="0"/>
        <w:rPr>
          <w:rFonts w:ascii="Times New Roman" w:hAnsi="Times New Roman"/>
          <w:b/>
          <w:sz w:val="24"/>
          <w:szCs w:val="24"/>
        </w:rPr>
      </w:pPr>
      <w:r>
        <w:rPr>
          <w:rFonts w:ascii="Times New Roman" w:hAnsi="Times New Roman"/>
          <w:b/>
          <w:sz w:val="24"/>
          <w:szCs w:val="24"/>
        </w:rPr>
        <w:lastRenderedPageBreak/>
        <w:t>Exhibit</w:t>
      </w:r>
      <w:r w:rsidR="00DE2CDE">
        <w:rPr>
          <w:rFonts w:ascii="Times New Roman" w:hAnsi="Times New Roman"/>
          <w:b/>
          <w:sz w:val="24"/>
          <w:szCs w:val="24"/>
        </w:rPr>
        <w:t xml:space="preserve"> </w:t>
      </w:r>
      <w:r w:rsidR="00295191">
        <w:rPr>
          <w:rFonts w:ascii="Times New Roman" w:hAnsi="Times New Roman"/>
          <w:b/>
          <w:sz w:val="24"/>
          <w:szCs w:val="24"/>
        </w:rPr>
        <w:t>8</w:t>
      </w:r>
      <w:r w:rsidR="00DE2CDE">
        <w:rPr>
          <w:rFonts w:ascii="Times New Roman" w:hAnsi="Times New Roman"/>
          <w:b/>
          <w:sz w:val="24"/>
          <w:szCs w:val="24"/>
        </w:rPr>
        <w:t xml:space="preserve">. </w:t>
      </w:r>
      <w:r w:rsidR="00DA78D8">
        <w:rPr>
          <w:rFonts w:ascii="Times New Roman" w:hAnsi="Times New Roman"/>
          <w:b/>
          <w:sz w:val="24"/>
          <w:szCs w:val="24"/>
        </w:rPr>
        <w:t xml:space="preserve">The </w:t>
      </w:r>
      <w:r w:rsidR="00FB0D70">
        <w:rPr>
          <w:rFonts w:ascii="Times New Roman" w:hAnsi="Times New Roman"/>
          <w:b/>
          <w:sz w:val="24"/>
          <w:szCs w:val="24"/>
        </w:rPr>
        <w:t xml:space="preserve">monthly </w:t>
      </w:r>
      <w:r w:rsidR="00DE2CDE">
        <w:rPr>
          <w:rFonts w:ascii="Times New Roman" w:hAnsi="Times New Roman"/>
          <w:b/>
          <w:sz w:val="24"/>
          <w:szCs w:val="24"/>
        </w:rPr>
        <w:t xml:space="preserve">Value-at-Risk </w:t>
      </w:r>
      <w:r w:rsidR="00DA78D8">
        <w:rPr>
          <w:rFonts w:ascii="Times New Roman" w:hAnsi="Times New Roman"/>
          <w:b/>
          <w:sz w:val="24"/>
          <w:szCs w:val="24"/>
        </w:rPr>
        <w:t xml:space="preserve">estimates </w:t>
      </w:r>
      <w:r w:rsidR="00DE2CDE">
        <w:rPr>
          <w:rFonts w:ascii="Times New Roman" w:hAnsi="Times New Roman"/>
          <w:b/>
          <w:sz w:val="24"/>
          <w:szCs w:val="24"/>
        </w:rPr>
        <w:t xml:space="preserve">of the </w:t>
      </w:r>
      <w:r w:rsidR="00FB0D70">
        <w:rPr>
          <w:rFonts w:ascii="Times New Roman" w:hAnsi="Times New Roman"/>
          <w:b/>
          <w:sz w:val="24"/>
          <w:szCs w:val="24"/>
        </w:rPr>
        <w:t xml:space="preserve">returns obtained by the </w:t>
      </w:r>
      <w:r w:rsidR="00DE2CDE">
        <w:rPr>
          <w:rFonts w:ascii="Times New Roman" w:hAnsi="Times New Roman"/>
          <w:b/>
          <w:sz w:val="24"/>
          <w:szCs w:val="24"/>
        </w:rPr>
        <w:t>strategies</w:t>
      </w:r>
    </w:p>
    <w:tbl>
      <w:tblPr>
        <w:tblStyle w:val="TableGrid"/>
        <w:tblW w:w="5000" w:type="pct"/>
        <w:jc w:val="center"/>
        <w:tblLook w:val="04A0" w:firstRow="1" w:lastRow="0" w:firstColumn="1" w:lastColumn="0" w:noHBand="0" w:noVBand="1"/>
      </w:tblPr>
      <w:tblGrid>
        <w:gridCol w:w="1272"/>
        <w:gridCol w:w="1230"/>
        <w:gridCol w:w="1231"/>
        <w:gridCol w:w="1417"/>
        <w:gridCol w:w="1231"/>
        <w:gridCol w:w="1231"/>
        <w:gridCol w:w="1415"/>
      </w:tblGrid>
      <w:tr w:rsidR="009D3973" w:rsidRPr="009D3973" w14:paraId="53FB39EB" w14:textId="77777777" w:rsidTr="00FF0ED8">
        <w:trPr>
          <w:trHeight w:val="20"/>
          <w:jc w:val="center"/>
        </w:trPr>
        <w:tc>
          <w:tcPr>
            <w:tcW w:w="704" w:type="pct"/>
            <w:vMerge w:val="restart"/>
            <w:tcBorders>
              <w:left w:val="nil"/>
              <w:right w:val="nil"/>
            </w:tcBorders>
          </w:tcPr>
          <w:p w14:paraId="4F74B2BB" w14:textId="77777777" w:rsidR="009D3973" w:rsidRPr="00D7101E" w:rsidRDefault="009D3973" w:rsidP="006519AC">
            <w:pPr>
              <w:spacing w:after="0" w:line="240" w:lineRule="auto"/>
              <w:jc w:val="center"/>
              <w:outlineLvl w:val="0"/>
              <w:rPr>
                <w:rFonts w:ascii="Times New Roman" w:hAnsi="Times New Roman"/>
                <w:b/>
              </w:rPr>
            </w:pPr>
          </w:p>
        </w:tc>
        <w:tc>
          <w:tcPr>
            <w:tcW w:w="2148" w:type="pct"/>
            <w:gridSpan w:val="3"/>
            <w:tcBorders>
              <w:left w:val="nil"/>
              <w:bottom w:val="nil"/>
              <w:right w:val="single" w:sz="4" w:space="0" w:color="auto"/>
            </w:tcBorders>
          </w:tcPr>
          <w:p w14:paraId="4AF99456" w14:textId="77777777" w:rsidR="009D3973" w:rsidRPr="00D7101E" w:rsidRDefault="009D3973" w:rsidP="006519AC">
            <w:pPr>
              <w:spacing w:after="0" w:line="240" w:lineRule="auto"/>
              <w:jc w:val="center"/>
              <w:outlineLvl w:val="0"/>
              <w:rPr>
                <w:rFonts w:ascii="Times New Roman" w:hAnsi="Times New Roman"/>
                <w:b/>
              </w:rPr>
            </w:pPr>
            <w:r w:rsidRPr="00D7101E">
              <w:rPr>
                <w:rFonts w:ascii="Times New Roman" w:hAnsi="Times New Roman"/>
                <w:b/>
              </w:rPr>
              <w:t>Pre-crisis</w:t>
            </w:r>
            <w:r w:rsidR="004E1851" w:rsidRPr="00D7101E">
              <w:rPr>
                <w:rFonts w:ascii="Times New Roman" w:hAnsi="Times New Roman"/>
                <w:b/>
              </w:rPr>
              <w:t xml:space="preserve"> period</w:t>
            </w:r>
          </w:p>
        </w:tc>
        <w:tc>
          <w:tcPr>
            <w:tcW w:w="2148" w:type="pct"/>
            <w:gridSpan w:val="3"/>
            <w:tcBorders>
              <w:left w:val="single" w:sz="4" w:space="0" w:color="auto"/>
              <w:bottom w:val="nil"/>
              <w:right w:val="nil"/>
            </w:tcBorders>
          </w:tcPr>
          <w:p w14:paraId="63BC905D" w14:textId="77777777" w:rsidR="009D3973" w:rsidRPr="00D7101E" w:rsidRDefault="004E1851" w:rsidP="006519AC">
            <w:pPr>
              <w:spacing w:after="0" w:line="240" w:lineRule="auto"/>
              <w:jc w:val="center"/>
              <w:outlineLvl w:val="0"/>
              <w:rPr>
                <w:rFonts w:ascii="Times New Roman" w:hAnsi="Times New Roman"/>
                <w:b/>
              </w:rPr>
            </w:pPr>
            <w:r w:rsidRPr="00D7101E">
              <w:rPr>
                <w:rFonts w:ascii="Times New Roman" w:hAnsi="Times New Roman"/>
                <w:b/>
              </w:rPr>
              <w:t>C</w:t>
            </w:r>
            <w:r w:rsidR="009D3973" w:rsidRPr="00D7101E">
              <w:rPr>
                <w:rFonts w:ascii="Times New Roman" w:hAnsi="Times New Roman"/>
                <w:b/>
              </w:rPr>
              <w:t>risis</w:t>
            </w:r>
            <w:r w:rsidRPr="00D7101E">
              <w:rPr>
                <w:rFonts w:ascii="Times New Roman" w:hAnsi="Times New Roman"/>
                <w:b/>
              </w:rPr>
              <w:t xml:space="preserve"> period</w:t>
            </w:r>
          </w:p>
        </w:tc>
      </w:tr>
      <w:tr w:rsidR="009D3973" w:rsidRPr="009D3973" w14:paraId="699BC4FC" w14:textId="77777777" w:rsidTr="00295191">
        <w:trPr>
          <w:trHeight w:val="20"/>
          <w:jc w:val="center"/>
        </w:trPr>
        <w:tc>
          <w:tcPr>
            <w:tcW w:w="704" w:type="pct"/>
            <w:vMerge/>
            <w:tcBorders>
              <w:left w:val="nil"/>
              <w:bottom w:val="single" w:sz="4" w:space="0" w:color="auto"/>
              <w:right w:val="nil"/>
            </w:tcBorders>
          </w:tcPr>
          <w:p w14:paraId="67E9C90E" w14:textId="77777777" w:rsidR="009D3973" w:rsidRPr="00D7101E" w:rsidRDefault="009D3973" w:rsidP="006519AC">
            <w:pPr>
              <w:spacing w:after="0" w:line="240" w:lineRule="auto"/>
              <w:jc w:val="center"/>
              <w:outlineLvl w:val="0"/>
              <w:rPr>
                <w:rFonts w:ascii="Times New Roman" w:hAnsi="Times New Roman"/>
                <w:b/>
              </w:rPr>
            </w:pPr>
          </w:p>
        </w:tc>
        <w:tc>
          <w:tcPr>
            <w:tcW w:w="681" w:type="pct"/>
            <w:tcBorders>
              <w:left w:val="nil"/>
              <w:bottom w:val="single" w:sz="4" w:space="0" w:color="auto"/>
              <w:right w:val="nil"/>
            </w:tcBorders>
          </w:tcPr>
          <w:p w14:paraId="0ED31261" w14:textId="77777777" w:rsidR="009D3973" w:rsidRPr="00D7101E" w:rsidRDefault="009D3973" w:rsidP="005D6ACF">
            <w:pPr>
              <w:spacing w:after="0" w:line="240" w:lineRule="auto"/>
              <w:jc w:val="center"/>
              <w:outlineLvl w:val="0"/>
              <w:rPr>
                <w:rFonts w:ascii="Times New Roman" w:hAnsi="Times New Roman"/>
                <w:b/>
              </w:rPr>
            </w:pPr>
            <w:r w:rsidRPr="00D7101E">
              <w:rPr>
                <w:rFonts w:ascii="Times New Roman" w:hAnsi="Times New Roman"/>
                <w:b/>
              </w:rPr>
              <w:t xml:space="preserve">95% </w:t>
            </w:r>
            <w:proofErr w:type="spellStart"/>
            <w:r w:rsidRPr="00D7101E">
              <w:rPr>
                <w:rFonts w:ascii="Times New Roman" w:hAnsi="Times New Roman"/>
                <w:b/>
              </w:rPr>
              <w:t>V</w:t>
            </w:r>
            <w:r w:rsidR="005D6ACF" w:rsidRPr="00D7101E">
              <w:rPr>
                <w:rFonts w:ascii="Times New Roman" w:hAnsi="Times New Roman"/>
                <w:b/>
              </w:rPr>
              <w:t>a</w:t>
            </w:r>
            <w:r w:rsidRPr="00D7101E">
              <w:rPr>
                <w:rFonts w:ascii="Times New Roman" w:hAnsi="Times New Roman"/>
                <w:b/>
              </w:rPr>
              <w:t>R</w:t>
            </w:r>
            <w:proofErr w:type="spellEnd"/>
          </w:p>
        </w:tc>
        <w:tc>
          <w:tcPr>
            <w:tcW w:w="682" w:type="pct"/>
            <w:tcBorders>
              <w:left w:val="nil"/>
              <w:bottom w:val="single" w:sz="4" w:space="0" w:color="auto"/>
              <w:right w:val="nil"/>
            </w:tcBorders>
          </w:tcPr>
          <w:p w14:paraId="5274C31E" w14:textId="77777777" w:rsidR="009D3973" w:rsidRPr="00D7101E" w:rsidRDefault="009D3973" w:rsidP="005D6ACF">
            <w:pPr>
              <w:spacing w:after="0" w:line="240" w:lineRule="auto"/>
              <w:jc w:val="center"/>
              <w:outlineLvl w:val="0"/>
              <w:rPr>
                <w:rFonts w:ascii="Times New Roman" w:hAnsi="Times New Roman"/>
                <w:b/>
              </w:rPr>
            </w:pPr>
            <w:r w:rsidRPr="00D7101E">
              <w:rPr>
                <w:rFonts w:ascii="Times New Roman" w:hAnsi="Times New Roman"/>
                <w:b/>
              </w:rPr>
              <w:t xml:space="preserve">99% </w:t>
            </w:r>
            <w:proofErr w:type="spellStart"/>
            <w:r w:rsidRPr="00D7101E">
              <w:rPr>
                <w:rFonts w:ascii="Times New Roman" w:hAnsi="Times New Roman"/>
                <w:b/>
              </w:rPr>
              <w:t>V</w:t>
            </w:r>
            <w:r w:rsidR="005D6ACF" w:rsidRPr="00D7101E">
              <w:rPr>
                <w:rFonts w:ascii="Times New Roman" w:hAnsi="Times New Roman"/>
                <w:b/>
              </w:rPr>
              <w:t>a</w:t>
            </w:r>
            <w:r w:rsidRPr="00D7101E">
              <w:rPr>
                <w:rFonts w:ascii="Times New Roman" w:hAnsi="Times New Roman"/>
                <w:b/>
              </w:rPr>
              <w:t>R</w:t>
            </w:r>
            <w:proofErr w:type="spellEnd"/>
          </w:p>
        </w:tc>
        <w:tc>
          <w:tcPr>
            <w:tcW w:w="785" w:type="pct"/>
            <w:tcBorders>
              <w:left w:val="nil"/>
              <w:bottom w:val="single" w:sz="4" w:space="0" w:color="auto"/>
              <w:right w:val="single" w:sz="4" w:space="0" w:color="auto"/>
            </w:tcBorders>
          </w:tcPr>
          <w:p w14:paraId="646E325C" w14:textId="77777777" w:rsidR="009D3973" w:rsidRPr="00D7101E" w:rsidRDefault="009D3973" w:rsidP="005D6ACF">
            <w:pPr>
              <w:spacing w:after="0" w:line="240" w:lineRule="auto"/>
              <w:jc w:val="center"/>
              <w:outlineLvl w:val="0"/>
              <w:rPr>
                <w:rFonts w:ascii="Times New Roman" w:hAnsi="Times New Roman"/>
                <w:b/>
              </w:rPr>
            </w:pPr>
            <w:r w:rsidRPr="00D7101E">
              <w:rPr>
                <w:rFonts w:ascii="Times New Roman" w:hAnsi="Times New Roman"/>
                <w:b/>
              </w:rPr>
              <w:t xml:space="preserve">99.5% </w:t>
            </w:r>
            <w:proofErr w:type="spellStart"/>
            <w:r w:rsidRPr="00D7101E">
              <w:rPr>
                <w:rFonts w:ascii="Times New Roman" w:hAnsi="Times New Roman"/>
                <w:b/>
              </w:rPr>
              <w:t>V</w:t>
            </w:r>
            <w:r w:rsidR="005D6ACF" w:rsidRPr="00D7101E">
              <w:rPr>
                <w:rFonts w:ascii="Times New Roman" w:hAnsi="Times New Roman"/>
                <w:b/>
              </w:rPr>
              <w:t>a</w:t>
            </w:r>
            <w:r w:rsidRPr="00D7101E">
              <w:rPr>
                <w:rFonts w:ascii="Times New Roman" w:hAnsi="Times New Roman"/>
                <w:b/>
              </w:rPr>
              <w:t>R</w:t>
            </w:r>
            <w:proofErr w:type="spellEnd"/>
          </w:p>
        </w:tc>
        <w:tc>
          <w:tcPr>
            <w:tcW w:w="682" w:type="pct"/>
            <w:tcBorders>
              <w:left w:val="single" w:sz="4" w:space="0" w:color="auto"/>
              <w:bottom w:val="single" w:sz="4" w:space="0" w:color="auto"/>
              <w:right w:val="nil"/>
            </w:tcBorders>
          </w:tcPr>
          <w:p w14:paraId="728ED2CE" w14:textId="77777777" w:rsidR="009D3973" w:rsidRPr="00D7101E" w:rsidRDefault="009D3973" w:rsidP="005D6ACF">
            <w:pPr>
              <w:spacing w:after="0" w:line="240" w:lineRule="auto"/>
              <w:jc w:val="center"/>
              <w:outlineLvl w:val="0"/>
              <w:rPr>
                <w:rFonts w:ascii="Times New Roman" w:hAnsi="Times New Roman"/>
                <w:b/>
              </w:rPr>
            </w:pPr>
            <w:r w:rsidRPr="00D7101E">
              <w:rPr>
                <w:rFonts w:ascii="Times New Roman" w:hAnsi="Times New Roman"/>
                <w:b/>
              </w:rPr>
              <w:t xml:space="preserve">95% </w:t>
            </w:r>
            <w:proofErr w:type="spellStart"/>
            <w:r w:rsidRPr="00D7101E">
              <w:rPr>
                <w:rFonts w:ascii="Times New Roman" w:hAnsi="Times New Roman"/>
                <w:b/>
              </w:rPr>
              <w:t>V</w:t>
            </w:r>
            <w:r w:rsidR="005D6ACF" w:rsidRPr="00D7101E">
              <w:rPr>
                <w:rFonts w:ascii="Times New Roman" w:hAnsi="Times New Roman"/>
                <w:b/>
              </w:rPr>
              <w:t>a</w:t>
            </w:r>
            <w:r w:rsidRPr="00D7101E">
              <w:rPr>
                <w:rFonts w:ascii="Times New Roman" w:hAnsi="Times New Roman"/>
                <w:b/>
              </w:rPr>
              <w:t>R</w:t>
            </w:r>
            <w:proofErr w:type="spellEnd"/>
          </w:p>
        </w:tc>
        <w:tc>
          <w:tcPr>
            <w:tcW w:w="682" w:type="pct"/>
            <w:tcBorders>
              <w:left w:val="nil"/>
              <w:bottom w:val="single" w:sz="4" w:space="0" w:color="auto"/>
              <w:right w:val="nil"/>
            </w:tcBorders>
          </w:tcPr>
          <w:p w14:paraId="6C3A0B70" w14:textId="77777777" w:rsidR="009D3973" w:rsidRPr="00D7101E" w:rsidRDefault="009D3973" w:rsidP="005D6ACF">
            <w:pPr>
              <w:spacing w:after="0" w:line="240" w:lineRule="auto"/>
              <w:jc w:val="center"/>
              <w:outlineLvl w:val="0"/>
              <w:rPr>
                <w:rFonts w:ascii="Times New Roman" w:hAnsi="Times New Roman"/>
                <w:b/>
              </w:rPr>
            </w:pPr>
            <w:r w:rsidRPr="00D7101E">
              <w:rPr>
                <w:rFonts w:ascii="Times New Roman" w:hAnsi="Times New Roman"/>
                <w:b/>
              </w:rPr>
              <w:t xml:space="preserve">99% </w:t>
            </w:r>
            <w:proofErr w:type="spellStart"/>
            <w:r w:rsidRPr="00D7101E">
              <w:rPr>
                <w:rFonts w:ascii="Times New Roman" w:hAnsi="Times New Roman"/>
                <w:b/>
              </w:rPr>
              <w:t>V</w:t>
            </w:r>
            <w:r w:rsidR="005D6ACF" w:rsidRPr="00D7101E">
              <w:rPr>
                <w:rFonts w:ascii="Times New Roman" w:hAnsi="Times New Roman"/>
                <w:b/>
              </w:rPr>
              <w:t>a</w:t>
            </w:r>
            <w:r w:rsidRPr="00D7101E">
              <w:rPr>
                <w:rFonts w:ascii="Times New Roman" w:hAnsi="Times New Roman"/>
                <w:b/>
              </w:rPr>
              <w:t>R</w:t>
            </w:r>
            <w:proofErr w:type="spellEnd"/>
          </w:p>
        </w:tc>
        <w:tc>
          <w:tcPr>
            <w:tcW w:w="784" w:type="pct"/>
            <w:tcBorders>
              <w:left w:val="nil"/>
              <w:bottom w:val="single" w:sz="4" w:space="0" w:color="auto"/>
              <w:right w:val="nil"/>
            </w:tcBorders>
          </w:tcPr>
          <w:p w14:paraId="09D5C964" w14:textId="77777777" w:rsidR="009D3973" w:rsidRPr="00D7101E" w:rsidRDefault="009D3973" w:rsidP="005D6ACF">
            <w:pPr>
              <w:spacing w:after="0" w:line="240" w:lineRule="auto"/>
              <w:jc w:val="center"/>
              <w:outlineLvl w:val="0"/>
              <w:rPr>
                <w:rFonts w:ascii="Times New Roman" w:hAnsi="Times New Roman"/>
                <w:b/>
              </w:rPr>
            </w:pPr>
            <w:r w:rsidRPr="00D7101E">
              <w:rPr>
                <w:rFonts w:ascii="Times New Roman" w:hAnsi="Times New Roman"/>
                <w:b/>
              </w:rPr>
              <w:t xml:space="preserve">99.5% </w:t>
            </w:r>
            <w:proofErr w:type="spellStart"/>
            <w:r w:rsidRPr="00D7101E">
              <w:rPr>
                <w:rFonts w:ascii="Times New Roman" w:hAnsi="Times New Roman"/>
                <w:b/>
              </w:rPr>
              <w:t>V</w:t>
            </w:r>
            <w:r w:rsidR="005D6ACF" w:rsidRPr="00D7101E">
              <w:rPr>
                <w:rFonts w:ascii="Times New Roman" w:hAnsi="Times New Roman"/>
                <w:b/>
              </w:rPr>
              <w:t>a</w:t>
            </w:r>
            <w:r w:rsidRPr="00D7101E">
              <w:rPr>
                <w:rFonts w:ascii="Times New Roman" w:hAnsi="Times New Roman"/>
                <w:b/>
              </w:rPr>
              <w:t>R</w:t>
            </w:r>
            <w:proofErr w:type="spellEnd"/>
          </w:p>
        </w:tc>
      </w:tr>
      <w:tr w:rsidR="009D3973" w:rsidRPr="001063AF" w14:paraId="2CACF100" w14:textId="77777777" w:rsidTr="00FF0ED8">
        <w:trPr>
          <w:trHeight w:val="20"/>
          <w:jc w:val="center"/>
        </w:trPr>
        <w:tc>
          <w:tcPr>
            <w:tcW w:w="5000" w:type="pct"/>
            <w:gridSpan w:val="7"/>
            <w:tcBorders>
              <w:top w:val="single" w:sz="4" w:space="0" w:color="auto"/>
              <w:left w:val="nil"/>
              <w:bottom w:val="single" w:sz="4" w:space="0" w:color="auto"/>
              <w:right w:val="nil"/>
            </w:tcBorders>
          </w:tcPr>
          <w:p w14:paraId="17E0F893" w14:textId="77777777" w:rsidR="009D3973" w:rsidRPr="00555F72" w:rsidRDefault="009D3973" w:rsidP="009D3973">
            <w:pPr>
              <w:spacing w:after="0" w:line="240" w:lineRule="auto"/>
              <w:outlineLvl w:val="0"/>
              <w:rPr>
                <w:rFonts w:ascii="Times New Roman" w:hAnsi="Times New Roman"/>
                <w:b/>
              </w:rPr>
            </w:pPr>
            <w:r>
              <w:rPr>
                <w:rFonts w:ascii="Times New Roman" w:hAnsi="Times New Roman"/>
                <w:b/>
              </w:rPr>
              <w:t>Investment Grade</w:t>
            </w:r>
          </w:p>
        </w:tc>
      </w:tr>
      <w:tr w:rsidR="009D3973" w:rsidRPr="001063AF" w14:paraId="0E2A3801" w14:textId="77777777" w:rsidTr="00295191">
        <w:trPr>
          <w:trHeight w:val="20"/>
          <w:jc w:val="center"/>
        </w:trPr>
        <w:tc>
          <w:tcPr>
            <w:tcW w:w="704" w:type="pct"/>
            <w:tcBorders>
              <w:top w:val="single" w:sz="4" w:space="0" w:color="auto"/>
              <w:left w:val="nil"/>
              <w:bottom w:val="nil"/>
              <w:right w:val="nil"/>
            </w:tcBorders>
          </w:tcPr>
          <w:p w14:paraId="01A65F6D" w14:textId="77777777" w:rsidR="009D3973" w:rsidRPr="009D3973" w:rsidRDefault="009D3973" w:rsidP="006519AC">
            <w:pPr>
              <w:spacing w:after="0" w:line="240" w:lineRule="auto"/>
              <w:jc w:val="center"/>
              <w:outlineLvl w:val="0"/>
              <w:rPr>
                <w:rFonts w:ascii="Times New Roman" w:hAnsi="Times New Roman"/>
              </w:rPr>
            </w:pPr>
            <w:r w:rsidRPr="009D3973">
              <w:rPr>
                <w:rFonts w:ascii="Times New Roman" w:hAnsi="Times New Roman"/>
              </w:rPr>
              <w:t>Strategy 1</w:t>
            </w:r>
          </w:p>
        </w:tc>
        <w:tc>
          <w:tcPr>
            <w:tcW w:w="681" w:type="pct"/>
            <w:tcBorders>
              <w:top w:val="single" w:sz="4" w:space="0" w:color="auto"/>
              <w:left w:val="nil"/>
              <w:bottom w:val="nil"/>
              <w:right w:val="nil"/>
            </w:tcBorders>
          </w:tcPr>
          <w:p w14:paraId="66A78494" w14:textId="77777777" w:rsidR="009D3973" w:rsidRPr="001063AF" w:rsidRDefault="009D5547" w:rsidP="006519AC">
            <w:pPr>
              <w:spacing w:after="0" w:line="240" w:lineRule="auto"/>
              <w:jc w:val="center"/>
              <w:outlineLvl w:val="0"/>
              <w:rPr>
                <w:rFonts w:ascii="Times New Roman" w:hAnsi="Times New Roman"/>
              </w:rPr>
            </w:pPr>
            <w:r>
              <w:rPr>
                <w:rFonts w:ascii="Times New Roman" w:hAnsi="Times New Roman"/>
              </w:rPr>
              <w:t>0.748</w:t>
            </w:r>
          </w:p>
        </w:tc>
        <w:tc>
          <w:tcPr>
            <w:tcW w:w="682" w:type="pct"/>
            <w:tcBorders>
              <w:top w:val="single" w:sz="4" w:space="0" w:color="auto"/>
              <w:left w:val="nil"/>
              <w:bottom w:val="nil"/>
              <w:right w:val="nil"/>
            </w:tcBorders>
          </w:tcPr>
          <w:p w14:paraId="43961382" w14:textId="77777777" w:rsidR="009D3973" w:rsidRPr="001063AF" w:rsidRDefault="009D5547" w:rsidP="006519AC">
            <w:pPr>
              <w:spacing w:after="0" w:line="240" w:lineRule="auto"/>
              <w:jc w:val="center"/>
              <w:outlineLvl w:val="0"/>
              <w:rPr>
                <w:rFonts w:ascii="Times New Roman" w:hAnsi="Times New Roman"/>
              </w:rPr>
            </w:pPr>
            <w:r>
              <w:rPr>
                <w:rFonts w:ascii="Times New Roman" w:hAnsi="Times New Roman"/>
              </w:rPr>
              <w:t>1.323</w:t>
            </w:r>
          </w:p>
        </w:tc>
        <w:tc>
          <w:tcPr>
            <w:tcW w:w="785" w:type="pct"/>
            <w:tcBorders>
              <w:top w:val="single" w:sz="4" w:space="0" w:color="auto"/>
              <w:left w:val="nil"/>
              <w:bottom w:val="nil"/>
              <w:right w:val="single" w:sz="4" w:space="0" w:color="auto"/>
            </w:tcBorders>
          </w:tcPr>
          <w:p w14:paraId="6F773D30" w14:textId="77777777" w:rsidR="009D3973" w:rsidRPr="001063AF" w:rsidRDefault="009D5547" w:rsidP="006519AC">
            <w:pPr>
              <w:spacing w:after="0" w:line="240" w:lineRule="auto"/>
              <w:jc w:val="center"/>
              <w:outlineLvl w:val="0"/>
              <w:rPr>
                <w:rFonts w:ascii="Times New Roman" w:hAnsi="Times New Roman"/>
              </w:rPr>
            </w:pPr>
            <w:r>
              <w:rPr>
                <w:rFonts w:ascii="Times New Roman" w:hAnsi="Times New Roman"/>
              </w:rPr>
              <w:t>1.593</w:t>
            </w:r>
          </w:p>
        </w:tc>
        <w:tc>
          <w:tcPr>
            <w:tcW w:w="682" w:type="pct"/>
            <w:tcBorders>
              <w:top w:val="single" w:sz="4" w:space="0" w:color="auto"/>
              <w:left w:val="single" w:sz="4" w:space="0" w:color="auto"/>
              <w:bottom w:val="nil"/>
              <w:right w:val="nil"/>
            </w:tcBorders>
          </w:tcPr>
          <w:p w14:paraId="4C7347E8" w14:textId="77777777" w:rsidR="009D3973" w:rsidRPr="001063AF" w:rsidRDefault="009D5547" w:rsidP="006519AC">
            <w:pPr>
              <w:spacing w:after="0" w:line="240" w:lineRule="auto"/>
              <w:jc w:val="center"/>
              <w:outlineLvl w:val="0"/>
              <w:rPr>
                <w:rFonts w:ascii="Times New Roman" w:hAnsi="Times New Roman"/>
              </w:rPr>
            </w:pPr>
            <w:r>
              <w:rPr>
                <w:rFonts w:ascii="Times New Roman" w:hAnsi="Times New Roman"/>
              </w:rPr>
              <w:t>3.368</w:t>
            </w:r>
          </w:p>
        </w:tc>
        <w:tc>
          <w:tcPr>
            <w:tcW w:w="682" w:type="pct"/>
            <w:tcBorders>
              <w:top w:val="single" w:sz="4" w:space="0" w:color="auto"/>
              <w:left w:val="nil"/>
              <w:bottom w:val="nil"/>
              <w:right w:val="nil"/>
            </w:tcBorders>
          </w:tcPr>
          <w:p w14:paraId="7D9A77A7" w14:textId="77777777" w:rsidR="009D3973" w:rsidRPr="001063AF" w:rsidRDefault="009D5547" w:rsidP="006519AC">
            <w:pPr>
              <w:spacing w:after="0" w:line="240" w:lineRule="auto"/>
              <w:jc w:val="center"/>
              <w:outlineLvl w:val="0"/>
              <w:rPr>
                <w:rFonts w:ascii="Times New Roman" w:hAnsi="Times New Roman"/>
              </w:rPr>
            </w:pPr>
            <w:r>
              <w:rPr>
                <w:rFonts w:ascii="Times New Roman" w:hAnsi="Times New Roman"/>
              </w:rPr>
              <w:t>6.026</w:t>
            </w:r>
          </w:p>
        </w:tc>
        <w:tc>
          <w:tcPr>
            <w:tcW w:w="784" w:type="pct"/>
            <w:tcBorders>
              <w:top w:val="single" w:sz="4" w:space="0" w:color="auto"/>
              <w:left w:val="nil"/>
              <w:bottom w:val="nil"/>
              <w:right w:val="nil"/>
            </w:tcBorders>
          </w:tcPr>
          <w:p w14:paraId="29ED42D9" w14:textId="77777777" w:rsidR="009D3973" w:rsidRPr="001063AF" w:rsidRDefault="009D5547" w:rsidP="006519AC">
            <w:pPr>
              <w:spacing w:after="0" w:line="240" w:lineRule="auto"/>
              <w:jc w:val="center"/>
              <w:outlineLvl w:val="0"/>
              <w:rPr>
                <w:rFonts w:ascii="Times New Roman" w:hAnsi="Times New Roman"/>
              </w:rPr>
            </w:pPr>
            <w:r>
              <w:rPr>
                <w:rFonts w:ascii="Times New Roman" w:hAnsi="Times New Roman"/>
              </w:rPr>
              <w:t>7.332</w:t>
            </w:r>
          </w:p>
        </w:tc>
      </w:tr>
      <w:tr w:rsidR="009D3973" w:rsidRPr="001063AF" w14:paraId="179F1CAD" w14:textId="77777777" w:rsidTr="00295191">
        <w:trPr>
          <w:trHeight w:val="20"/>
          <w:jc w:val="center"/>
        </w:trPr>
        <w:tc>
          <w:tcPr>
            <w:tcW w:w="704" w:type="pct"/>
            <w:tcBorders>
              <w:top w:val="nil"/>
              <w:left w:val="nil"/>
              <w:bottom w:val="nil"/>
              <w:right w:val="nil"/>
            </w:tcBorders>
          </w:tcPr>
          <w:p w14:paraId="04B3488C" w14:textId="77777777" w:rsidR="009D3973" w:rsidRPr="009D3973" w:rsidRDefault="009D3973" w:rsidP="006519AC">
            <w:pPr>
              <w:spacing w:after="0" w:line="240" w:lineRule="auto"/>
              <w:jc w:val="center"/>
              <w:outlineLvl w:val="0"/>
              <w:rPr>
                <w:rFonts w:ascii="Times New Roman" w:hAnsi="Times New Roman"/>
              </w:rPr>
            </w:pPr>
            <w:r w:rsidRPr="009D3973">
              <w:rPr>
                <w:rFonts w:ascii="Times New Roman" w:hAnsi="Times New Roman"/>
              </w:rPr>
              <w:t>Strategy 2</w:t>
            </w:r>
          </w:p>
        </w:tc>
        <w:tc>
          <w:tcPr>
            <w:tcW w:w="681" w:type="pct"/>
            <w:tcBorders>
              <w:top w:val="nil"/>
              <w:left w:val="nil"/>
              <w:bottom w:val="nil"/>
              <w:right w:val="nil"/>
            </w:tcBorders>
          </w:tcPr>
          <w:p w14:paraId="6CF2CF97" w14:textId="77777777" w:rsidR="009D3973" w:rsidRPr="001063AF" w:rsidRDefault="009D5547" w:rsidP="00EC4762">
            <w:pPr>
              <w:spacing w:after="0" w:line="240" w:lineRule="auto"/>
              <w:jc w:val="center"/>
              <w:outlineLvl w:val="0"/>
              <w:rPr>
                <w:rFonts w:ascii="Times New Roman" w:hAnsi="Times New Roman"/>
              </w:rPr>
            </w:pPr>
            <w:r>
              <w:rPr>
                <w:rFonts w:ascii="Times New Roman" w:hAnsi="Times New Roman"/>
              </w:rPr>
              <w:t>0.74</w:t>
            </w:r>
            <w:r w:rsidR="00EC4762">
              <w:rPr>
                <w:rFonts w:ascii="Times New Roman" w:hAnsi="Times New Roman"/>
              </w:rPr>
              <w:t>7</w:t>
            </w:r>
          </w:p>
        </w:tc>
        <w:tc>
          <w:tcPr>
            <w:tcW w:w="682" w:type="pct"/>
            <w:tcBorders>
              <w:top w:val="nil"/>
              <w:left w:val="nil"/>
              <w:bottom w:val="nil"/>
              <w:right w:val="nil"/>
            </w:tcBorders>
          </w:tcPr>
          <w:p w14:paraId="3A12BE8E" w14:textId="77777777" w:rsidR="009D3973" w:rsidRPr="001063AF" w:rsidRDefault="009D5547" w:rsidP="00EC4762">
            <w:pPr>
              <w:spacing w:after="0" w:line="240" w:lineRule="auto"/>
              <w:jc w:val="center"/>
              <w:outlineLvl w:val="0"/>
              <w:rPr>
                <w:rFonts w:ascii="Times New Roman" w:hAnsi="Times New Roman"/>
              </w:rPr>
            </w:pPr>
            <w:r>
              <w:rPr>
                <w:rFonts w:ascii="Times New Roman" w:hAnsi="Times New Roman"/>
              </w:rPr>
              <w:t>1.29</w:t>
            </w:r>
            <w:r w:rsidR="00EC4762">
              <w:rPr>
                <w:rFonts w:ascii="Times New Roman" w:hAnsi="Times New Roman"/>
              </w:rPr>
              <w:t>3</w:t>
            </w:r>
          </w:p>
        </w:tc>
        <w:tc>
          <w:tcPr>
            <w:tcW w:w="785" w:type="pct"/>
            <w:tcBorders>
              <w:top w:val="nil"/>
              <w:left w:val="nil"/>
              <w:bottom w:val="nil"/>
              <w:right w:val="single" w:sz="4" w:space="0" w:color="auto"/>
            </w:tcBorders>
          </w:tcPr>
          <w:p w14:paraId="7C251A3C" w14:textId="77777777" w:rsidR="009D3973" w:rsidRPr="001063AF" w:rsidRDefault="009D5547" w:rsidP="00EC4762">
            <w:pPr>
              <w:spacing w:after="0" w:line="240" w:lineRule="auto"/>
              <w:jc w:val="center"/>
              <w:outlineLvl w:val="0"/>
              <w:rPr>
                <w:rFonts w:ascii="Times New Roman" w:hAnsi="Times New Roman"/>
              </w:rPr>
            </w:pPr>
            <w:r>
              <w:rPr>
                <w:rFonts w:ascii="Times New Roman" w:hAnsi="Times New Roman"/>
              </w:rPr>
              <w:t>1.54</w:t>
            </w:r>
            <w:r w:rsidR="00EC4762">
              <w:rPr>
                <w:rFonts w:ascii="Times New Roman" w:hAnsi="Times New Roman"/>
              </w:rPr>
              <w:t>7</w:t>
            </w:r>
          </w:p>
        </w:tc>
        <w:tc>
          <w:tcPr>
            <w:tcW w:w="682" w:type="pct"/>
            <w:tcBorders>
              <w:top w:val="nil"/>
              <w:left w:val="single" w:sz="4" w:space="0" w:color="auto"/>
              <w:bottom w:val="nil"/>
              <w:right w:val="nil"/>
            </w:tcBorders>
          </w:tcPr>
          <w:p w14:paraId="366C6908" w14:textId="77777777" w:rsidR="009D3973" w:rsidRPr="001063AF" w:rsidRDefault="009D5547" w:rsidP="006519AC">
            <w:pPr>
              <w:spacing w:after="0" w:line="240" w:lineRule="auto"/>
              <w:jc w:val="center"/>
              <w:outlineLvl w:val="0"/>
              <w:rPr>
                <w:rFonts w:ascii="Times New Roman" w:hAnsi="Times New Roman"/>
              </w:rPr>
            </w:pPr>
            <w:r>
              <w:rPr>
                <w:rFonts w:ascii="Times New Roman" w:hAnsi="Times New Roman"/>
              </w:rPr>
              <w:t>3.102</w:t>
            </w:r>
          </w:p>
        </w:tc>
        <w:tc>
          <w:tcPr>
            <w:tcW w:w="682" w:type="pct"/>
            <w:tcBorders>
              <w:top w:val="nil"/>
              <w:left w:val="nil"/>
              <w:bottom w:val="nil"/>
              <w:right w:val="nil"/>
            </w:tcBorders>
          </w:tcPr>
          <w:p w14:paraId="78062DD9" w14:textId="77777777" w:rsidR="009D3973" w:rsidRPr="001063AF" w:rsidRDefault="009D5547" w:rsidP="006519AC">
            <w:pPr>
              <w:spacing w:after="0" w:line="240" w:lineRule="auto"/>
              <w:jc w:val="center"/>
              <w:outlineLvl w:val="0"/>
              <w:rPr>
                <w:rFonts w:ascii="Times New Roman" w:hAnsi="Times New Roman"/>
              </w:rPr>
            </w:pPr>
            <w:r>
              <w:rPr>
                <w:rFonts w:ascii="Times New Roman" w:hAnsi="Times New Roman"/>
              </w:rPr>
              <w:t>5.085</w:t>
            </w:r>
          </w:p>
        </w:tc>
        <w:tc>
          <w:tcPr>
            <w:tcW w:w="784" w:type="pct"/>
            <w:tcBorders>
              <w:top w:val="nil"/>
              <w:left w:val="nil"/>
              <w:bottom w:val="nil"/>
              <w:right w:val="nil"/>
            </w:tcBorders>
          </w:tcPr>
          <w:p w14:paraId="2019C4C9" w14:textId="77777777" w:rsidR="009D3973" w:rsidRPr="001063AF" w:rsidRDefault="009D5547" w:rsidP="006519AC">
            <w:pPr>
              <w:spacing w:after="0" w:line="240" w:lineRule="auto"/>
              <w:jc w:val="center"/>
              <w:outlineLvl w:val="0"/>
              <w:rPr>
                <w:rFonts w:ascii="Times New Roman" w:hAnsi="Times New Roman"/>
              </w:rPr>
            </w:pPr>
            <w:r>
              <w:rPr>
                <w:rFonts w:ascii="Times New Roman" w:hAnsi="Times New Roman"/>
              </w:rPr>
              <w:t>6.016</w:t>
            </w:r>
          </w:p>
        </w:tc>
      </w:tr>
      <w:tr w:rsidR="009D3973" w:rsidRPr="001063AF" w14:paraId="4519B674" w14:textId="77777777" w:rsidTr="00295191">
        <w:trPr>
          <w:trHeight w:val="20"/>
          <w:jc w:val="center"/>
        </w:trPr>
        <w:tc>
          <w:tcPr>
            <w:tcW w:w="704" w:type="pct"/>
            <w:tcBorders>
              <w:top w:val="nil"/>
              <w:left w:val="nil"/>
              <w:bottom w:val="nil"/>
              <w:right w:val="nil"/>
            </w:tcBorders>
          </w:tcPr>
          <w:p w14:paraId="4E1BE187" w14:textId="77777777" w:rsidR="009D3973" w:rsidRPr="009D3973" w:rsidRDefault="009D3973" w:rsidP="006519AC">
            <w:pPr>
              <w:spacing w:after="0" w:line="240" w:lineRule="auto"/>
              <w:jc w:val="center"/>
              <w:outlineLvl w:val="0"/>
              <w:rPr>
                <w:rFonts w:ascii="Times New Roman" w:hAnsi="Times New Roman"/>
              </w:rPr>
            </w:pPr>
            <w:r w:rsidRPr="009D3973">
              <w:rPr>
                <w:rFonts w:ascii="Times New Roman" w:hAnsi="Times New Roman"/>
              </w:rPr>
              <w:t>Strategy 3</w:t>
            </w:r>
          </w:p>
        </w:tc>
        <w:tc>
          <w:tcPr>
            <w:tcW w:w="681" w:type="pct"/>
            <w:tcBorders>
              <w:top w:val="nil"/>
              <w:left w:val="nil"/>
              <w:bottom w:val="nil"/>
              <w:right w:val="nil"/>
            </w:tcBorders>
          </w:tcPr>
          <w:p w14:paraId="1EA7D93A" w14:textId="77777777" w:rsidR="009D3973" w:rsidRPr="001063AF" w:rsidRDefault="009D5547" w:rsidP="006519AC">
            <w:pPr>
              <w:spacing w:after="0" w:line="240" w:lineRule="auto"/>
              <w:jc w:val="center"/>
              <w:outlineLvl w:val="0"/>
              <w:rPr>
                <w:rFonts w:ascii="Times New Roman" w:hAnsi="Times New Roman"/>
              </w:rPr>
            </w:pPr>
            <w:r>
              <w:rPr>
                <w:rFonts w:ascii="Times New Roman" w:hAnsi="Times New Roman"/>
              </w:rPr>
              <w:t>3.954</w:t>
            </w:r>
          </w:p>
        </w:tc>
        <w:tc>
          <w:tcPr>
            <w:tcW w:w="682" w:type="pct"/>
            <w:tcBorders>
              <w:top w:val="nil"/>
              <w:left w:val="nil"/>
              <w:bottom w:val="nil"/>
              <w:right w:val="nil"/>
            </w:tcBorders>
          </w:tcPr>
          <w:p w14:paraId="2845501A" w14:textId="77777777" w:rsidR="009D3973" w:rsidRPr="001063AF" w:rsidRDefault="009D5547" w:rsidP="006519AC">
            <w:pPr>
              <w:spacing w:after="0" w:line="240" w:lineRule="auto"/>
              <w:jc w:val="center"/>
              <w:outlineLvl w:val="0"/>
              <w:rPr>
                <w:rFonts w:ascii="Times New Roman" w:hAnsi="Times New Roman"/>
              </w:rPr>
            </w:pPr>
            <w:r>
              <w:rPr>
                <w:rFonts w:ascii="Times New Roman" w:hAnsi="Times New Roman"/>
              </w:rPr>
              <w:t>4.868</w:t>
            </w:r>
          </w:p>
        </w:tc>
        <w:tc>
          <w:tcPr>
            <w:tcW w:w="785" w:type="pct"/>
            <w:tcBorders>
              <w:top w:val="nil"/>
              <w:left w:val="nil"/>
              <w:bottom w:val="nil"/>
              <w:right w:val="single" w:sz="4" w:space="0" w:color="auto"/>
            </w:tcBorders>
          </w:tcPr>
          <w:p w14:paraId="061EBA9C" w14:textId="77777777" w:rsidR="009D3973" w:rsidRPr="001063AF" w:rsidRDefault="009D5547" w:rsidP="006519AC">
            <w:pPr>
              <w:spacing w:after="0" w:line="240" w:lineRule="auto"/>
              <w:jc w:val="center"/>
              <w:outlineLvl w:val="0"/>
              <w:rPr>
                <w:rFonts w:ascii="Times New Roman" w:hAnsi="Times New Roman"/>
              </w:rPr>
            </w:pPr>
            <w:r>
              <w:rPr>
                <w:rFonts w:ascii="Times New Roman" w:hAnsi="Times New Roman"/>
              </w:rPr>
              <w:t>5.178</w:t>
            </w:r>
          </w:p>
        </w:tc>
        <w:tc>
          <w:tcPr>
            <w:tcW w:w="682" w:type="pct"/>
            <w:tcBorders>
              <w:top w:val="nil"/>
              <w:left w:val="single" w:sz="4" w:space="0" w:color="auto"/>
              <w:bottom w:val="nil"/>
              <w:right w:val="nil"/>
            </w:tcBorders>
          </w:tcPr>
          <w:p w14:paraId="63E998E2" w14:textId="77777777" w:rsidR="009D3973" w:rsidRPr="001063AF" w:rsidRDefault="009D5547" w:rsidP="006519AC">
            <w:pPr>
              <w:spacing w:after="0" w:line="240" w:lineRule="auto"/>
              <w:jc w:val="center"/>
              <w:outlineLvl w:val="0"/>
              <w:rPr>
                <w:rFonts w:ascii="Times New Roman" w:hAnsi="Times New Roman"/>
              </w:rPr>
            </w:pPr>
            <w:r>
              <w:rPr>
                <w:rFonts w:ascii="Times New Roman" w:hAnsi="Times New Roman"/>
              </w:rPr>
              <w:t>2.229</w:t>
            </w:r>
          </w:p>
        </w:tc>
        <w:tc>
          <w:tcPr>
            <w:tcW w:w="682" w:type="pct"/>
            <w:tcBorders>
              <w:top w:val="nil"/>
              <w:left w:val="nil"/>
              <w:bottom w:val="nil"/>
              <w:right w:val="nil"/>
            </w:tcBorders>
          </w:tcPr>
          <w:p w14:paraId="139B085F" w14:textId="77777777" w:rsidR="009D3973" w:rsidRPr="001063AF" w:rsidRDefault="009D5547" w:rsidP="006519AC">
            <w:pPr>
              <w:spacing w:after="0" w:line="240" w:lineRule="auto"/>
              <w:jc w:val="center"/>
              <w:outlineLvl w:val="0"/>
              <w:rPr>
                <w:rFonts w:ascii="Times New Roman" w:hAnsi="Times New Roman"/>
              </w:rPr>
            </w:pPr>
            <w:r>
              <w:rPr>
                <w:rFonts w:ascii="Times New Roman" w:hAnsi="Times New Roman"/>
              </w:rPr>
              <w:t>2.707</w:t>
            </w:r>
          </w:p>
        </w:tc>
        <w:tc>
          <w:tcPr>
            <w:tcW w:w="784" w:type="pct"/>
            <w:tcBorders>
              <w:top w:val="nil"/>
              <w:left w:val="nil"/>
              <w:bottom w:val="nil"/>
              <w:right w:val="nil"/>
            </w:tcBorders>
          </w:tcPr>
          <w:p w14:paraId="3D9CD810" w14:textId="77777777" w:rsidR="009D3973" w:rsidRPr="001063AF" w:rsidRDefault="009D5547" w:rsidP="006519AC">
            <w:pPr>
              <w:spacing w:after="0" w:line="240" w:lineRule="auto"/>
              <w:jc w:val="center"/>
              <w:outlineLvl w:val="0"/>
              <w:rPr>
                <w:rFonts w:ascii="Times New Roman" w:hAnsi="Times New Roman"/>
              </w:rPr>
            </w:pPr>
            <w:r>
              <w:rPr>
                <w:rFonts w:ascii="Times New Roman" w:hAnsi="Times New Roman"/>
              </w:rPr>
              <w:t>2.793</w:t>
            </w:r>
          </w:p>
        </w:tc>
      </w:tr>
      <w:tr w:rsidR="009D3973" w:rsidRPr="001063AF" w14:paraId="226FAF8F" w14:textId="77777777" w:rsidTr="00295191">
        <w:trPr>
          <w:trHeight w:val="20"/>
          <w:jc w:val="center"/>
        </w:trPr>
        <w:tc>
          <w:tcPr>
            <w:tcW w:w="704" w:type="pct"/>
            <w:tcBorders>
              <w:top w:val="nil"/>
              <w:left w:val="nil"/>
              <w:bottom w:val="nil"/>
              <w:right w:val="nil"/>
            </w:tcBorders>
          </w:tcPr>
          <w:p w14:paraId="0679556A" w14:textId="77777777" w:rsidR="009D3973" w:rsidRPr="009D3973" w:rsidRDefault="009D3973" w:rsidP="006519AC">
            <w:pPr>
              <w:spacing w:after="0" w:line="240" w:lineRule="auto"/>
              <w:jc w:val="center"/>
              <w:outlineLvl w:val="0"/>
              <w:rPr>
                <w:rFonts w:ascii="Times New Roman" w:hAnsi="Times New Roman"/>
              </w:rPr>
            </w:pPr>
            <w:r w:rsidRPr="009D3973">
              <w:rPr>
                <w:rFonts w:ascii="Times New Roman" w:hAnsi="Times New Roman"/>
              </w:rPr>
              <w:t>Strategy 4</w:t>
            </w:r>
          </w:p>
        </w:tc>
        <w:tc>
          <w:tcPr>
            <w:tcW w:w="681" w:type="pct"/>
            <w:tcBorders>
              <w:top w:val="nil"/>
              <w:left w:val="nil"/>
              <w:bottom w:val="nil"/>
              <w:right w:val="nil"/>
            </w:tcBorders>
          </w:tcPr>
          <w:p w14:paraId="77CE6BBE" w14:textId="77777777" w:rsidR="009D3973" w:rsidRPr="001063AF" w:rsidRDefault="009D5547" w:rsidP="006519AC">
            <w:pPr>
              <w:spacing w:after="0" w:line="240" w:lineRule="auto"/>
              <w:jc w:val="center"/>
              <w:outlineLvl w:val="0"/>
              <w:rPr>
                <w:rFonts w:ascii="Times New Roman" w:hAnsi="Times New Roman"/>
              </w:rPr>
            </w:pPr>
            <w:r>
              <w:rPr>
                <w:rFonts w:ascii="Times New Roman" w:hAnsi="Times New Roman"/>
              </w:rPr>
              <w:t>3.609</w:t>
            </w:r>
          </w:p>
        </w:tc>
        <w:tc>
          <w:tcPr>
            <w:tcW w:w="682" w:type="pct"/>
            <w:tcBorders>
              <w:top w:val="nil"/>
              <w:left w:val="nil"/>
              <w:bottom w:val="nil"/>
              <w:right w:val="nil"/>
            </w:tcBorders>
          </w:tcPr>
          <w:p w14:paraId="4508469E" w14:textId="77777777" w:rsidR="009D3973" w:rsidRPr="001063AF" w:rsidRDefault="009D5547" w:rsidP="006519AC">
            <w:pPr>
              <w:spacing w:after="0" w:line="240" w:lineRule="auto"/>
              <w:jc w:val="center"/>
              <w:outlineLvl w:val="0"/>
              <w:rPr>
                <w:rFonts w:ascii="Times New Roman" w:hAnsi="Times New Roman"/>
              </w:rPr>
            </w:pPr>
            <w:r>
              <w:rPr>
                <w:rFonts w:ascii="Times New Roman" w:hAnsi="Times New Roman"/>
              </w:rPr>
              <w:t>4.375</w:t>
            </w:r>
          </w:p>
        </w:tc>
        <w:tc>
          <w:tcPr>
            <w:tcW w:w="785" w:type="pct"/>
            <w:tcBorders>
              <w:top w:val="nil"/>
              <w:left w:val="nil"/>
              <w:bottom w:val="nil"/>
              <w:right w:val="single" w:sz="4" w:space="0" w:color="auto"/>
            </w:tcBorders>
          </w:tcPr>
          <w:p w14:paraId="6989F922" w14:textId="77777777" w:rsidR="009D3973" w:rsidRPr="001063AF" w:rsidRDefault="009D5547" w:rsidP="006519AC">
            <w:pPr>
              <w:spacing w:after="0" w:line="240" w:lineRule="auto"/>
              <w:jc w:val="center"/>
              <w:outlineLvl w:val="0"/>
              <w:rPr>
                <w:rFonts w:ascii="Times New Roman" w:hAnsi="Times New Roman"/>
              </w:rPr>
            </w:pPr>
            <w:r>
              <w:rPr>
                <w:rFonts w:ascii="Times New Roman" w:hAnsi="Times New Roman"/>
              </w:rPr>
              <w:t>4.557</w:t>
            </w:r>
          </w:p>
        </w:tc>
        <w:tc>
          <w:tcPr>
            <w:tcW w:w="682" w:type="pct"/>
            <w:tcBorders>
              <w:top w:val="nil"/>
              <w:left w:val="single" w:sz="4" w:space="0" w:color="auto"/>
              <w:bottom w:val="nil"/>
              <w:right w:val="nil"/>
            </w:tcBorders>
          </w:tcPr>
          <w:p w14:paraId="6D27701B" w14:textId="77777777" w:rsidR="009D3973" w:rsidRPr="001063AF" w:rsidRDefault="009D5547" w:rsidP="006519AC">
            <w:pPr>
              <w:spacing w:after="0" w:line="240" w:lineRule="auto"/>
              <w:jc w:val="center"/>
              <w:outlineLvl w:val="0"/>
              <w:rPr>
                <w:rFonts w:ascii="Times New Roman" w:hAnsi="Times New Roman"/>
              </w:rPr>
            </w:pPr>
            <w:r>
              <w:rPr>
                <w:rFonts w:ascii="Times New Roman" w:hAnsi="Times New Roman"/>
              </w:rPr>
              <w:t>2.620</w:t>
            </w:r>
          </w:p>
        </w:tc>
        <w:tc>
          <w:tcPr>
            <w:tcW w:w="682" w:type="pct"/>
            <w:tcBorders>
              <w:top w:val="nil"/>
              <w:left w:val="nil"/>
              <w:bottom w:val="nil"/>
              <w:right w:val="nil"/>
            </w:tcBorders>
          </w:tcPr>
          <w:p w14:paraId="1D04A516" w14:textId="77777777" w:rsidR="009D3973" w:rsidRPr="001063AF" w:rsidRDefault="009D5547" w:rsidP="006519AC">
            <w:pPr>
              <w:spacing w:after="0" w:line="240" w:lineRule="auto"/>
              <w:jc w:val="center"/>
              <w:outlineLvl w:val="0"/>
              <w:rPr>
                <w:rFonts w:ascii="Times New Roman" w:hAnsi="Times New Roman"/>
              </w:rPr>
            </w:pPr>
            <w:r>
              <w:rPr>
                <w:rFonts w:ascii="Times New Roman" w:hAnsi="Times New Roman"/>
              </w:rPr>
              <w:t>3.535</w:t>
            </w:r>
          </w:p>
        </w:tc>
        <w:tc>
          <w:tcPr>
            <w:tcW w:w="784" w:type="pct"/>
            <w:tcBorders>
              <w:top w:val="nil"/>
              <w:left w:val="nil"/>
              <w:bottom w:val="nil"/>
              <w:right w:val="nil"/>
            </w:tcBorders>
          </w:tcPr>
          <w:p w14:paraId="563DF869" w14:textId="77777777" w:rsidR="009D3973" w:rsidRPr="001063AF" w:rsidRDefault="009D5547" w:rsidP="006519AC">
            <w:pPr>
              <w:spacing w:after="0" w:line="240" w:lineRule="auto"/>
              <w:jc w:val="center"/>
              <w:outlineLvl w:val="0"/>
              <w:rPr>
                <w:rFonts w:ascii="Times New Roman" w:hAnsi="Times New Roman"/>
              </w:rPr>
            </w:pPr>
            <w:r>
              <w:rPr>
                <w:rFonts w:ascii="Times New Roman" w:hAnsi="Times New Roman"/>
              </w:rPr>
              <w:t>3.838</w:t>
            </w:r>
          </w:p>
        </w:tc>
      </w:tr>
      <w:tr w:rsidR="009D3973" w:rsidRPr="009D3973" w14:paraId="19C1E371" w14:textId="77777777" w:rsidTr="00FF0ED8">
        <w:trPr>
          <w:trHeight w:val="20"/>
          <w:jc w:val="center"/>
        </w:trPr>
        <w:tc>
          <w:tcPr>
            <w:tcW w:w="5000" w:type="pct"/>
            <w:gridSpan w:val="7"/>
            <w:tcBorders>
              <w:top w:val="single" w:sz="4" w:space="0" w:color="auto"/>
              <w:left w:val="nil"/>
              <w:bottom w:val="single" w:sz="4" w:space="0" w:color="auto"/>
              <w:right w:val="nil"/>
            </w:tcBorders>
          </w:tcPr>
          <w:p w14:paraId="31AECB81" w14:textId="77777777" w:rsidR="009D3973" w:rsidRPr="009D3973" w:rsidRDefault="009D3973" w:rsidP="009D3973">
            <w:pPr>
              <w:spacing w:after="0" w:line="240" w:lineRule="auto"/>
              <w:outlineLvl w:val="0"/>
              <w:rPr>
                <w:rFonts w:ascii="Times New Roman" w:hAnsi="Times New Roman"/>
                <w:b/>
              </w:rPr>
            </w:pPr>
            <w:r w:rsidRPr="009D3973">
              <w:rPr>
                <w:rFonts w:ascii="Times New Roman" w:hAnsi="Times New Roman"/>
                <w:b/>
              </w:rPr>
              <w:t>Speculative Grade</w:t>
            </w:r>
          </w:p>
        </w:tc>
      </w:tr>
      <w:tr w:rsidR="00BB08D2" w:rsidRPr="001063AF" w14:paraId="2E06C8BB" w14:textId="77777777" w:rsidTr="00295191">
        <w:trPr>
          <w:trHeight w:val="20"/>
          <w:jc w:val="center"/>
        </w:trPr>
        <w:tc>
          <w:tcPr>
            <w:tcW w:w="704" w:type="pct"/>
            <w:tcBorders>
              <w:top w:val="single" w:sz="4" w:space="0" w:color="auto"/>
              <w:left w:val="nil"/>
              <w:bottom w:val="nil"/>
              <w:right w:val="nil"/>
            </w:tcBorders>
          </w:tcPr>
          <w:p w14:paraId="3E3F15C8" w14:textId="77777777" w:rsidR="00BB08D2" w:rsidRPr="009D3973" w:rsidRDefault="00BB08D2" w:rsidP="006519AC">
            <w:pPr>
              <w:spacing w:after="0" w:line="240" w:lineRule="auto"/>
              <w:jc w:val="center"/>
              <w:outlineLvl w:val="0"/>
              <w:rPr>
                <w:rFonts w:ascii="Times New Roman" w:hAnsi="Times New Roman"/>
              </w:rPr>
            </w:pPr>
            <w:r w:rsidRPr="009D3973">
              <w:rPr>
                <w:rFonts w:ascii="Times New Roman" w:hAnsi="Times New Roman"/>
              </w:rPr>
              <w:t>Strategy 1</w:t>
            </w:r>
          </w:p>
        </w:tc>
        <w:tc>
          <w:tcPr>
            <w:tcW w:w="681" w:type="pct"/>
            <w:tcBorders>
              <w:top w:val="single" w:sz="4" w:space="0" w:color="auto"/>
              <w:left w:val="nil"/>
              <w:bottom w:val="nil"/>
              <w:right w:val="nil"/>
            </w:tcBorders>
          </w:tcPr>
          <w:p w14:paraId="1533682F" w14:textId="77777777" w:rsidR="00BB08D2" w:rsidRPr="001063AF" w:rsidRDefault="009D5547" w:rsidP="006519AC">
            <w:pPr>
              <w:spacing w:after="0" w:line="240" w:lineRule="auto"/>
              <w:jc w:val="center"/>
              <w:outlineLvl w:val="0"/>
              <w:rPr>
                <w:rFonts w:ascii="Times New Roman" w:hAnsi="Times New Roman"/>
              </w:rPr>
            </w:pPr>
            <w:r>
              <w:rPr>
                <w:rFonts w:ascii="Times New Roman" w:hAnsi="Times New Roman"/>
              </w:rPr>
              <w:t>2.538</w:t>
            </w:r>
          </w:p>
        </w:tc>
        <w:tc>
          <w:tcPr>
            <w:tcW w:w="682" w:type="pct"/>
            <w:tcBorders>
              <w:top w:val="single" w:sz="4" w:space="0" w:color="auto"/>
              <w:left w:val="nil"/>
              <w:bottom w:val="nil"/>
              <w:right w:val="nil"/>
            </w:tcBorders>
          </w:tcPr>
          <w:p w14:paraId="70309456" w14:textId="77777777" w:rsidR="00BB08D2" w:rsidRPr="001063AF" w:rsidRDefault="009D5547" w:rsidP="006519AC">
            <w:pPr>
              <w:spacing w:after="0" w:line="240" w:lineRule="auto"/>
              <w:jc w:val="center"/>
              <w:outlineLvl w:val="0"/>
              <w:rPr>
                <w:rFonts w:ascii="Times New Roman" w:hAnsi="Times New Roman"/>
              </w:rPr>
            </w:pPr>
            <w:r>
              <w:rPr>
                <w:rFonts w:ascii="Times New Roman" w:hAnsi="Times New Roman"/>
              </w:rPr>
              <w:t>4.717</w:t>
            </w:r>
          </w:p>
        </w:tc>
        <w:tc>
          <w:tcPr>
            <w:tcW w:w="785" w:type="pct"/>
            <w:tcBorders>
              <w:top w:val="single" w:sz="4" w:space="0" w:color="auto"/>
              <w:left w:val="nil"/>
              <w:bottom w:val="nil"/>
              <w:right w:val="single" w:sz="4" w:space="0" w:color="auto"/>
            </w:tcBorders>
          </w:tcPr>
          <w:p w14:paraId="12B7891A" w14:textId="77777777" w:rsidR="00BB08D2" w:rsidRPr="001063AF" w:rsidRDefault="009D5547" w:rsidP="006519AC">
            <w:pPr>
              <w:spacing w:after="0" w:line="240" w:lineRule="auto"/>
              <w:jc w:val="center"/>
              <w:outlineLvl w:val="0"/>
              <w:rPr>
                <w:rFonts w:ascii="Times New Roman" w:hAnsi="Times New Roman"/>
              </w:rPr>
            </w:pPr>
            <w:r>
              <w:rPr>
                <w:rFonts w:ascii="Times New Roman" w:hAnsi="Times New Roman"/>
              </w:rPr>
              <w:t>5.682</w:t>
            </w:r>
          </w:p>
        </w:tc>
        <w:tc>
          <w:tcPr>
            <w:tcW w:w="682" w:type="pct"/>
            <w:tcBorders>
              <w:top w:val="single" w:sz="4" w:space="0" w:color="auto"/>
              <w:left w:val="single" w:sz="4" w:space="0" w:color="auto"/>
              <w:bottom w:val="nil"/>
              <w:right w:val="nil"/>
            </w:tcBorders>
          </w:tcPr>
          <w:p w14:paraId="2613669D" w14:textId="77777777" w:rsidR="00BB08D2" w:rsidRPr="001063AF" w:rsidRDefault="009D5547" w:rsidP="006519AC">
            <w:pPr>
              <w:spacing w:after="0" w:line="240" w:lineRule="auto"/>
              <w:jc w:val="center"/>
              <w:outlineLvl w:val="0"/>
              <w:rPr>
                <w:rFonts w:ascii="Times New Roman" w:hAnsi="Times New Roman"/>
              </w:rPr>
            </w:pPr>
            <w:r>
              <w:rPr>
                <w:rFonts w:ascii="Times New Roman" w:hAnsi="Times New Roman"/>
              </w:rPr>
              <w:t>11.555</w:t>
            </w:r>
          </w:p>
        </w:tc>
        <w:tc>
          <w:tcPr>
            <w:tcW w:w="682" w:type="pct"/>
            <w:tcBorders>
              <w:top w:val="single" w:sz="4" w:space="0" w:color="auto"/>
              <w:left w:val="nil"/>
              <w:bottom w:val="nil"/>
              <w:right w:val="nil"/>
            </w:tcBorders>
          </w:tcPr>
          <w:p w14:paraId="51546967" w14:textId="77777777" w:rsidR="00BB08D2" w:rsidRDefault="009D5547" w:rsidP="006519AC">
            <w:pPr>
              <w:spacing w:after="0" w:line="240" w:lineRule="auto"/>
              <w:jc w:val="center"/>
              <w:outlineLvl w:val="0"/>
              <w:rPr>
                <w:rFonts w:ascii="Times New Roman" w:hAnsi="Times New Roman"/>
              </w:rPr>
            </w:pPr>
            <w:r>
              <w:rPr>
                <w:rFonts w:ascii="Times New Roman" w:hAnsi="Times New Roman"/>
              </w:rPr>
              <w:t>15.828</w:t>
            </w:r>
          </w:p>
        </w:tc>
        <w:tc>
          <w:tcPr>
            <w:tcW w:w="784" w:type="pct"/>
            <w:tcBorders>
              <w:top w:val="single" w:sz="4" w:space="0" w:color="auto"/>
              <w:left w:val="nil"/>
              <w:bottom w:val="nil"/>
              <w:right w:val="nil"/>
            </w:tcBorders>
          </w:tcPr>
          <w:p w14:paraId="2E5C827D" w14:textId="77777777" w:rsidR="00BB08D2" w:rsidRPr="001063AF" w:rsidRDefault="009D5547" w:rsidP="006519AC">
            <w:pPr>
              <w:spacing w:after="0" w:line="240" w:lineRule="auto"/>
              <w:jc w:val="center"/>
              <w:outlineLvl w:val="0"/>
              <w:rPr>
                <w:rFonts w:ascii="Times New Roman" w:hAnsi="Times New Roman"/>
              </w:rPr>
            </w:pPr>
            <w:r>
              <w:rPr>
                <w:rFonts w:ascii="Times New Roman" w:hAnsi="Times New Roman"/>
              </w:rPr>
              <w:t>17.462</w:t>
            </w:r>
          </w:p>
        </w:tc>
      </w:tr>
      <w:tr w:rsidR="00BB08D2" w:rsidRPr="001063AF" w14:paraId="24E4C302" w14:textId="77777777" w:rsidTr="00295191">
        <w:trPr>
          <w:trHeight w:val="20"/>
          <w:jc w:val="center"/>
        </w:trPr>
        <w:tc>
          <w:tcPr>
            <w:tcW w:w="704" w:type="pct"/>
            <w:tcBorders>
              <w:top w:val="nil"/>
              <w:left w:val="nil"/>
              <w:bottom w:val="nil"/>
              <w:right w:val="nil"/>
            </w:tcBorders>
          </w:tcPr>
          <w:p w14:paraId="554F872C" w14:textId="77777777" w:rsidR="00BB08D2" w:rsidRPr="009D3973" w:rsidRDefault="00BB08D2" w:rsidP="006519AC">
            <w:pPr>
              <w:spacing w:after="0" w:line="240" w:lineRule="auto"/>
              <w:jc w:val="center"/>
              <w:outlineLvl w:val="0"/>
              <w:rPr>
                <w:rFonts w:ascii="Times New Roman" w:hAnsi="Times New Roman"/>
              </w:rPr>
            </w:pPr>
            <w:r w:rsidRPr="009D3973">
              <w:rPr>
                <w:rFonts w:ascii="Times New Roman" w:hAnsi="Times New Roman"/>
              </w:rPr>
              <w:t>Strategy 2</w:t>
            </w:r>
          </w:p>
        </w:tc>
        <w:tc>
          <w:tcPr>
            <w:tcW w:w="681" w:type="pct"/>
            <w:tcBorders>
              <w:top w:val="nil"/>
              <w:left w:val="nil"/>
              <w:bottom w:val="nil"/>
              <w:right w:val="nil"/>
            </w:tcBorders>
          </w:tcPr>
          <w:p w14:paraId="670189A2" w14:textId="77777777" w:rsidR="00BB08D2" w:rsidRPr="001063AF" w:rsidRDefault="009D5547" w:rsidP="006519AC">
            <w:pPr>
              <w:spacing w:after="0" w:line="240" w:lineRule="auto"/>
              <w:jc w:val="center"/>
              <w:outlineLvl w:val="0"/>
              <w:rPr>
                <w:rFonts w:ascii="Times New Roman" w:hAnsi="Times New Roman"/>
              </w:rPr>
            </w:pPr>
            <w:r>
              <w:rPr>
                <w:rFonts w:ascii="Times New Roman" w:hAnsi="Times New Roman"/>
              </w:rPr>
              <w:t>2.293</w:t>
            </w:r>
          </w:p>
        </w:tc>
        <w:tc>
          <w:tcPr>
            <w:tcW w:w="682" w:type="pct"/>
            <w:tcBorders>
              <w:top w:val="nil"/>
              <w:left w:val="nil"/>
              <w:bottom w:val="nil"/>
              <w:right w:val="nil"/>
            </w:tcBorders>
          </w:tcPr>
          <w:p w14:paraId="410A0636" w14:textId="77777777" w:rsidR="00BB08D2" w:rsidRPr="001063AF" w:rsidRDefault="009D5547" w:rsidP="006519AC">
            <w:pPr>
              <w:spacing w:after="0" w:line="240" w:lineRule="auto"/>
              <w:jc w:val="center"/>
              <w:outlineLvl w:val="0"/>
              <w:rPr>
                <w:rFonts w:ascii="Times New Roman" w:hAnsi="Times New Roman"/>
              </w:rPr>
            </w:pPr>
            <w:r>
              <w:rPr>
                <w:rFonts w:ascii="Times New Roman" w:hAnsi="Times New Roman"/>
              </w:rPr>
              <w:t>4.159</w:t>
            </w:r>
          </w:p>
        </w:tc>
        <w:tc>
          <w:tcPr>
            <w:tcW w:w="785" w:type="pct"/>
            <w:tcBorders>
              <w:top w:val="nil"/>
              <w:left w:val="nil"/>
              <w:bottom w:val="nil"/>
              <w:right w:val="single" w:sz="4" w:space="0" w:color="auto"/>
            </w:tcBorders>
          </w:tcPr>
          <w:p w14:paraId="389D10D9" w14:textId="77777777" w:rsidR="00BB08D2" w:rsidRPr="001063AF" w:rsidRDefault="009D5547" w:rsidP="006519AC">
            <w:pPr>
              <w:spacing w:after="0" w:line="240" w:lineRule="auto"/>
              <w:jc w:val="center"/>
              <w:outlineLvl w:val="0"/>
              <w:rPr>
                <w:rFonts w:ascii="Times New Roman" w:hAnsi="Times New Roman"/>
              </w:rPr>
            </w:pPr>
            <w:r>
              <w:rPr>
                <w:rFonts w:ascii="Times New Roman" w:hAnsi="Times New Roman"/>
              </w:rPr>
              <w:t>4.998</w:t>
            </w:r>
          </w:p>
        </w:tc>
        <w:tc>
          <w:tcPr>
            <w:tcW w:w="682" w:type="pct"/>
            <w:tcBorders>
              <w:top w:val="nil"/>
              <w:left w:val="single" w:sz="4" w:space="0" w:color="auto"/>
              <w:bottom w:val="nil"/>
              <w:right w:val="nil"/>
            </w:tcBorders>
          </w:tcPr>
          <w:p w14:paraId="7C9C1664" w14:textId="77777777" w:rsidR="00BB08D2" w:rsidRPr="001063AF" w:rsidRDefault="009D5547" w:rsidP="006519AC">
            <w:pPr>
              <w:spacing w:after="0" w:line="240" w:lineRule="auto"/>
              <w:jc w:val="center"/>
              <w:outlineLvl w:val="0"/>
              <w:rPr>
                <w:rFonts w:ascii="Times New Roman" w:hAnsi="Times New Roman"/>
              </w:rPr>
            </w:pPr>
            <w:r>
              <w:rPr>
                <w:rFonts w:ascii="Times New Roman" w:hAnsi="Times New Roman"/>
              </w:rPr>
              <w:t>12.752</w:t>
            </w:r>
          </w:p>
        </w:tc>
        <w:tc>
          <w:tcPr>
            <w:tcW w:w="682" w:type="pct"/>
            <w:tcBorders>
              <w:top w:val="nil"/>
              <w:left w:val="nil"/>
              <w:bottom w:val="nil"/>
              <w:right w:val="nil"/>
            </w:tcBorders>
          </w:tcPr>
          <w:p w14:paraId="0B13F810" w14:textId="77777777" w:rsidR="00BB08D2" w:rsidRDefault="009D5547" w:rsidP="006519AC">
            <w:pPr>
              <w:spacing w:after="0" w:line="240" w:lineRule="auto"/>
              <w:jc w:val="center"/>
              <w:outlineLvl w:val="0"/>
              <w:rPr>
                <w:rFonts w:ascii="Times New Roman" w:hAnsi="Times New Roman"/>
              </w:rPr>
            </w:pPr>
            <w:r>
              <w:rPr>
                <w:rFonts w:ascii="Times New Roman" w:hAnsi="Times New Roman"/>
              </w:rPr>
              <w:t>18.433</w:t>
            </w:r>
          </w:p>
        </w:tc>
        <w:tc>
          <w:tcPr>
            <w:tcW w:w="784" w:type="pct"/>
            <w:tcBorders>
              <w:top w:val="nil"/>
              <w:left w:val="nil"/>
              <w:bottom w:val="nil"/>
              <w:right w:val="nil"/>
            </w:tcBorders>
          </w:tcPr>
          <w:p w14:paraId="18202980" w14:textId="77777777" w:rsidR="00BB08D2" w:rsidRPr="001063AF" w:rsidRDefault="009D5547" w:rsidP="006519AC">
            <w:pPr>
              <w:spacing w:after="0" w:line="240" w:lineRule="auto"/>
              <w:jc w:val="center"/>
              <w:outlineLvl w:val="0"/>
              <w:rPr>
                <w:rFonts w:ascii="Times New Roman" w:hAnsi="Times New Roman"/>
              </w:rPr>
            </w:pPr>
            <w:r>
              <w:rPr>
                <w:rFonts w:ascii="Times New Roman" w:hAnsi="Times New Roman"/>
              </w:rPr>
              <w:t>20.865</w:t>
            </w:r>
          </w:p>
        </w:tc>
      </w:tr>
      <w:tr w:rsidR="00BB08D2" w:rsidRPr="001063AF" w14:paraId="117D445E" w14:textId="77777777" w:rsidTr="00295191">
        <w:trPr>
          <w:trHeight w:val="20"/>
          <w:jc w:val="center"/>
        </w:trPr>
        <w:tc>
          <w:tcPr>
            <w:tcW w:w="704" w:type="pct"/>
            <w:tcBorders>
              <w:top w:val="nil"/>
              <w:left w:val="nil"/>
              <w:bottom w:val="nil"/>
              <w:right w:val="nil"/>
            </w:tcBorders>
          </w:tcPr>
          <w:p w14:paraId="7719DD58" w14:textId="77777777" w:rsidR="00BB08D2" w:rsidRPr="009D3973" w:rsidRDefault="00BB08D2" w:rsidP="006519AC">
            <w:pPr>
              <w:spacing w:after="0" w:line="240" w:lineRule="auto"/>
              <w:jc w:val="center"/>
              <w:outlineLvl w:val="0"/>
              <w:rPr>
                <w:rFonts w:ascii="Times New Roman" w:hAnsi="Times New Roman"/>
              </w:rPr>
            </w:pPr>
            <w:r w:rsidRPr="009D3973">
              <w:rPr>
                <w:rFonts w:ascii="Times New Roman" w:hAnsi="Times New Roman"/>
              </w:rPr>
              <w:t>Strategy 3</w:t>
            </w:r>
          </w:p>
        </w:tc>
        <w:tc>
          <w:tcPr>
            <w:tcW w:w="681" w:type="pct"/>
            <w:tcBorders>
              <w:top w:val="nil"/>
              <w:left w:val="nil"/>
              <w:bottom w:val="nil"/>
              <w:right w:val="nil"/>
            </w:tcBorders>
          </w:tcPr>
          <w:p w14:paraId="364D6CF5" w14:textId="77777777" w:rsidR="00BB08D2" w:rsidRPr="001063AF" w:rsidRDefault="009D5547" w:rsidP="006519AC">
            <w:pPr>
              <w:spacing w:after="0" w:line="240" w:lineRule="auto"/>
              <w:jc w:val="center"/>
              <w:outlineLvl w:val="0"/>
              <w:rPr>
                <w:rFonts w:ascii="Times New Roman" w:hAnsi="Times New Roman"/>
              </w:rPr>
            </w:pPr>
            <w:r>
              <w:rPr>
                <w:rFonts w:ascii="Times New Roman" w:hAnsi="Times New Roman"/>
              </w:rPr>
              <w:t>3.827</w:t>
            </w:r>
          </w:p>
        </w:tc>
        <w:tc>
          <w:tcPr>
            <w:tcW w:w="682" w:type="pct"/>
            <w:tcBorders>
              <w:top w:val="nil"/>
              <w:left w:val="nil"/>
              <w:bottom w:val="nil"/>
              <w:right w:val="nil"/>
            </w:tcBorders>
          </w:tcPr>
          <w:p w14:paraId="5359D3BC" w14:textId="77777777" w:rsidR="00BB08D2" w:rsidRPr="001063AF" w:rsidRDefault="009D5547" w:rsidP="006519AC">
            <w:pPr>
              <w:spacing w:after="0" w:line="240" w:lineRule="auto"/>
              <w:jc w:val="center"/>
              <w:outlineLvl w:val="0"/>
              <w:rPr>
                <w:rFonts w:ascii="Times New Roman" w:hAnsi="Times New Roman"/>
              </w:rPr>
            </w:pPr>
            <w:r>
              <w:rPr>
                <w:rFonts w:ascii="Times New Roman" w:hAnsi="Times New Roman"/>
              </w:rPr>
              <w:t>4.470</w:t>
            </w:r>
          </w:p>
        </w:tc>
        <w:tc>
          <w:tcPr>
            <w:tcW w:w="785" w:type="pct"/>
            <w:tcBorders>
              <w:top w:val="nil"/>
              <w:left w:val="nil"/>
              <w:bottom w:val="nil"/>
              <w:right w:val="single" w:sz="4" w:space="0" w:color="auto"/>
            </w:tcBorders>
          </w:tcPr>
          <w:p w14:paraId="381CC03E" w14:textId="77777777" w:rsidR="00BB08D2" w:rsidRPr="001063AF" w:rsidRDefault="009D5547" w:rsidP="006519AC">
            <w:pPr>
              <w:spacing w:after="0" w:line="240" w:lineRule="auto"/>
              <w:jc w:val="center"/>
              <w:outlineLvl w:val="0"/>
              <w:rPr>
                <w:rFonts w:ascii="Times New Roman" w:hAnsi="Times New Roman"/>
              </w:rPr>
            </w:pPr>
            <w:r>
              <w:rPr>
                <w:rFonts w:ascii="Times New Roman" w:hAnsi="Times New Roman"/>
              </w:rPr>
              <w:t>4.654</w:t>
            </w:r>
          </w:p>
        </w:tc>
        <w:tc>
          <w:tcPr>
            <w:tcW w:w="682" w:type="pct"/>
            <w:tcBorders>
              <w:top w:val="nil"/>
              <w:left w:val="single" w:sz="4" w:space="0" w:color="auto"/>
              <w:bottom w:val="nil"/>
              <w:right w:val="nil"/>
            </w:tcBorders>
          </w:tcPr>
          <w:p w14:paraId="4207E869" w14:textId="77777777" w:rsidR="00BB08D2" w:rsidRPr="001063AF" w:rsidRDefault="009D5547" w:rsidP="006519AC">
            <w:pPr>
              <w:spacing w:after="0" w:line="240" w:lineRule="auto"/>
              <w:jc w:val="center"/>
              <w:outlineLvl w:val="0"/>
              <w:rPr>
                <w:rFonts w:ascii="Times New Roman" w:hAnsi="Times New Roman"/>
              </w:rPr>
            </w:pPr>
            <w:r>
              <w:rPr>
                <w:rFonts w:ascii="Times New Roman" w:hAnsi="Times New Roman"/>
              </w:rPr>
              <w:t>27.395</w:t>
            </w:r>
          </w:p>
        </w:tc>
        <w:tc>
          <w:tcPr>
            <w:tcW w:w="682" w:type="pct"/>
            <w:tcBorders>
              <w:top w:val="nil"/>
              <w:left w:val="nil"/>
              <w:bottom w:val="nil"/>
              <w:right w:val="nil"/>
            </w:tcBorders>
          </w:tcPr>
          <w:p w14:paraId="446BCE79" w14:textId="77777777" w:rsidR="00BB08D2" w:rsidRDefault="009D5547" w:rsidP="006519AC">
            <w:pPr>
              <w:spacing w:after="0" w:line="240" w:lineRule="auto"/>
              <w:jc w:val="center"/>
              <w:outlineLvl w:val="0"/>
              <w:rPr>
                <w:rFonts w:ascii="Times New Roman" w:hAnsi="Times New Roman"/>
              </w:rPr>
            </w:pPr>
            <w:r>
              <w:rPr>
                <w:rFonts w:ascii="Times New Roman" w:hAnsi="Times New Roman"/>
              </w:rPr>
              <w:t>52.090</w:t>
            </w:r>
          </w:p>
        </w:tc>
        <w:tc>
          <w:tcPr>
            <w:tcW w:w="784" w:type="pct"/>
            <w:tcBorders>
              <w:top w:val="nil"/>
              <w:left w:val="nil"/>
              <w:bottom w:val="nil"/>
              <w:right w:val="nil"/>
            </w:tcBorders>
          </w:tcPr>
          <w:p w14:paraId="76DCD8FC" w14:textId="77777777" w:rsidR="00BB08D2" w:rsidRPr="001063AF" w:rsidRDefault="009D5547" w:rsidP="006519AC">
            <w:pPr>
              <w:spacing w:after="0" w:line="240" w:lineRule="auto"/>
              <w:jc w:val="center"/>
              <w:outlineLvl w:val="0"/>
              <w:rPr>
                <w:rFonts w:ascii="Times New Roman" w:hAnsi="Times New Roman"/>
              </w:rPr>
            </w:pPr>
            <w:r>
              <w:rPr>
                <w:rFonts w:ascii="Times New Roman" w:hAnsi="Times New Roman"/>
              </w:rPr>
              <w:t>63.219</w:t>
            </w:r>
          </w:p>
        </w:tc>
      </w:tr>
      <w:tr w:rsidR="00BB08D2" w:rsidRPr="001063AF" w14:paraId="25D7AC84" w14:textId="77777777" w:rsidTr="00295191">
        <w:trPr>
          <w:trHeight w:val="20"/>
          <w:jc w:val="center"/>
        </w:trPr>
        <w:tc>
          <w:tcPr>
            <w:tcW w:w="704" w:type="pct"/>
            <w:tcBorders>
              <w:top w:val="nil"/>
              <w:left w:val="nil"/>
              <w:bottom w:val="single" w:sz="4" w:space="0" w:color="auto"/>
              <w:right w:val="nil"/>
            </w:tcBorders>
          </w:tcPr>
          <w:p w14:paraId="0DB497B4" w14:textId="77777777" w:rsidR="00BB08D2" w:rsidRPr="009D3973" w:rsidRDefault="00BB08D2" w:rsidP="006519AC">
            <w:pPr>
              <w:spacing w:after="0" w:line="240" w:lineRule="auto"/>
              <w:jc w:val="center"/>
              <w:outlineLvl w:val="0"/>
              <w:rPr>
                <w:rFonts w:ascii="Times New Roman" w:hAnsi="Times New Roman"/>
              </w:rPr>
            </w:pPr>
            <w:r w:rsidRPr="009D3973">
              <w:rPr>
                <w:rFonts w:ascii="Times New Roman" w:hAnsi="Times New Roman"/>
              </w:rPr>
              <w:t>Strategy 4</w:t>
            </w:r>
          </w:p>
        </w:tc>
        <w:tc>
          <w:tcPr>
            <w:tcW w:w="681" w:type="pct"/>
            <w:tcBorders>
              <w:top w:val="nil"/>
              <w:left w:val="nil"/>
              <w:bottom w:val="single" w:sz="4" w:space="0" w:color="auto"/>
              <w:right w:val="nil"/>
            </w:tcBorders>
          </w:tcPr>
          <w:p w14:paraId="642C87CA" w14:textId="77777777" w:rsidR="00BB08D2" w:rsidRPr="001063AF" w:rsidRDefault="009D5547" w:rsidP="006519AC">
            <w:pPr>
              <w:spacing w:after="0" w:line="240" w:lineRule="auto"/>
              <w:jc w:val="center"/>
              <w:outlineLvl w:val="0"/>
              <w:rPr>
                <w:rFonts w:ascii="Times New Roman" w:hAnsi="Times New Roman"/>
              </w:rPr>
            </w:pPr>
            <w:r>
              <w:rPr>
                <w:rFonts w:ascii="Times New Roman" w:hAnsi="Times New Roman"/>
              </w:rPr>
              <w:t>2.763</w:t>
            </w:r>
          </w:p>
        </w:tc>
        <w:tc>
          <w:tcPr>
            <w:tcW w:w="682" w:type="pct"/>
            <w:tcBorders>
              <w:top w:val="nil"/>
              <w:left w:val="nil"/>
              <w:bottom w:val="single" w:sz="4" w:space="0" w:color="auto"/>
              <w:right w:val="nil"/>
            </w:tcBorders>
          </w:tcPr>
          <w:p w14:paraId="1B624174" w14:textId="77777777" w:rsidR="00BB08D2" w:rsidRPr="001063AF" w:rsidRDefault="009D5547" w:rsidP="006519AC">
            <w:pPr>
              <w:spacing w:after="0" w:line="240" w:lineRule="auto"/>
              <w:jc w:val="center"/>
              <w:outlineLvl w:val="0"/>
              <w:rPr>
                <w:rFonts w:ascii="Times New Roman" w:hAnsi="Times New Roman"/>
              </w:rPr>
            </w:pPr>
            <w:r>
              <w:rPr>
                <w:rFonts w:ascii="Times New Roman" w:hAnsi="Times New Roman"/>
              </w:rPr>
              <w:t>3.517</w:t>
            </w:r>
          </w:p>
        </w:tc>
        <w:tc>
          <w:tcPr>
            <w:tcW w:w="785" w:type="pct"/>
            <w:tcBorders>
              <w:top w:val="nil"/>
              <w:left w:val="nil"/>
              <w:bottom w:val="single" w:sz="4" w:space="0" w:color="auto"/>
              <w:right w:val="single" w:sz="4" w:space="0" w:color="auto"/>
            </w:tcBorders>
          </w:tcPr>
          <w:p w14:paraId="2375B64A" w14:textId="77777777" w:rsidR="00BB08D2" w:rsidRPr="001063AF" w:rsidRDefault="009D5547" w:rsidP="006519AC">
            <w:pPr>
              <w:spacing w:after="0" w:line="240" w:lineRule="auto"/>
              <w:jc w:val="center"/>
              <w:outlineLvl w:val="0"/>
              <w:rPr>
                <w:rFonts w:ascii="Times New Roman" w:hAnsi="Times New Roman"/>
              </w:rPr>
            </w:pPr>
            <w:r>
              <w:rPr>
                <w:rFonts w:ascii="Times New Roman" w:hAnsi="Times New Roman"/>
              </w:rPr>
              <w:t>3.757</w:t>
            </w:r>
          </w:p>
        </w:tc>
        <w:tc>
          <w:tcPr>
            <w:tcW w:w="682" w:type="pct"/>
            <w:tcBorders>
              <w:top w:val="nil"/>
              <w:left w:val="single" w:sz="4" w:space="0" w:color="auto"/>
              <w:bottom w:val="single" w:sz="4" w:space="0" w:color="auto"/>
              <w:right w:val="nil"/>
            </w:tcBorders>
          </w:tcPr>
          <w:p w14:paraId="75DF02BB" w14:textId="77777777" w:rsidR="00BB08D2" w:rsidRPr="001063AF" w:rsidRDefault="009D5547" w:rsidP="006519AC">
            <w:pPr>
              <w:spacing w:after="0" w:line="240" w:lineRule="auto"/>
              <w:jc w:val="center"/>
              <w:outlineLvl w:val="0"/>
              <w:rPr>
                <w:rFonts w:ascii="Times New Roman" w:hAnsi="Times New Roman"/>
              </w:rPr>
            </w:pPr>
            <w:r>
              <w:rPr>
                <w:rFonts w:ascii="Times New Roman" w:hAnsi="Times New Roman"/>
              </w:rPr>
              <w:t>3.853</w:t>
            </w:r>
          </w:p>
        </w:tc>
        <w:tc>
          <w:tcPr>
            <w:tcW w:w="682" w:type="pct"/>
            <w:tcBorders>
              <w:top w:val="nil"/>
              <w:left w:val="nil"/>
              <w:bottom w:val="single" w:sz="4" w:space="0" w:color="auto"/>
              <w:right w:val="nil"/>
            </w:tcBorders>
          </w:tcPr>
          <w:p w14:paraId="0778B593" w14:textId="77777777" w:rsidR="00BB08D2" w:rsidRDefault="009D5547" w:rsidP="006519AC">
            <w:pPr>
              <w:spacing w:after="0" w:line="240" w:lineRule="auto"/>
              <w:jc w:val="center"/>
              <w:outlineLvl w:val="0"/>
              <w:rPr>
                <w:rFonts w:ascii="Times New Roman" w:hAnsi="Times New Roman"/>
              </w:rPr>
            </w:pPr>
            <w:r>
              <w:rPr>
                <w:rFonts w:ascii="Times New Roman" w:hAnsi="Times New Roman"/>
              </w:rPr>
              <w:t>4.611</w:t>
            </w:r>
          </w:p>
        </w:tc>
        <w:tc>
          <w:tcPr>
            <w:tcW w:w="784" w:type="pct"/>
            <w:tcBorders>
              <w:top w:val="nil"/>
              <w:left w:val="nil"/>
              <w:bottom w:val="single" w:sz="4" w:space="0" w:color="auto"/>
              <w:right w:val="nil"/>
            </w:tcBorders>
          </w:tcPr>
          <w:p w14:paraId="3CDA82C6" w14:textId="77777777" w:rsidR="00BB08D2" w:rsidRPr="001063AF" w:rsidRDefault="009D5547" w:rsidP="006519AC">
            <w:pPr>
              <w:spacing w:after="0" w:line="240" w:lineRule="auto"/>
              <w:jc w:val="center"/>
              <w:outlineLvl w:val="0"/>
              <w:rPr>
                <w:rFonts w:ascii="Times New Roman" w:hAnsi="Times New Roman"/>
              </w:rPr>
            </w:pPr>
            <w:r>
              <w:rPr>
                <w:rFonts w:ascii="Times New Roman" w:hAnsi="Times New Roman"/>
              </w:rPr>
              <w:t>9.147</w:t>
            </w:r>
          </w:p>
        </w:tc>
      </w:tr>
    </w:tbl>
    <w:p w14:paraId="5E01FB79" w14:textId="77777777" w:rsidR="00DE2CDE" w:rsidRDefault="00DE2CDE" w:rsidP="00C61C0E">
      <w:pPr>
        <w:spacing w:line="240" w:lineRule="auto"/>
        <w:jc w:val="both"/>
        <w:outlineLvl w:val="0"/>
        <w:rPr>
          <w:rFonts w:ascii="Times New Roman" w:hAnsi="Times New Roman"/>
          <w:b/>
          <w:sz w:val="24"/>
          <w:szCs w:val="24"/>
        </w:rPr>
      </w:pPr>
    </w:p>
    <w:p w14:paraId="0D1941A7" w14:textId="77777777" w:rsidR="00EE2CA0" w:rsidRDefault="00295191" w:rsidP="00C61C0E">
      <w:pPr>
        <w:spacing w:line="240" w:lineRule="auto"/>
        <w:jc w:val="both"/>
        <w:outlineLvl w:val="0"/>
        <w:rPr>
          <w:rFonts w:ascii="Times New Roman" w:hAnsi="Times New Roman"/>
          <w:b/>
          <w:sz w:val="24"/>
          <w:szCs w:val="24"/>
        </w:rPr>
      </w:pPr>
      <w:r>
        <w:rPr>
          <w:rFonts w:ascii="Times New Roman" w:hAnsi="Times New Roman"/>
          <w:b/>
          <w:sz w:val="24"/>
          <w:szCs w:val="24"/>
        </w:rPr>
        <w:t>Exhibit 9</w:t>
      </w:r>
      <w:r w:rsidR="00EE2CA0">
        <w:rPr>
          <w:rFonts w:ascii="Times New Roman" w:hAnsi="Times New Roman"/>
          <w:b/>
          <w:sz w:val="24"/>
          <w:szCs w:val="24"/>
        </w:rPr>
        <w:t xml:space="preserve">. </w:t>
      </w:r>
      <w:r w:rsidR="00DA78D8">
        <w:rPr>
          <w:rFonts w:ascii="Times New Roman" w:hAnsi="Times New Roman"/>
          <w:b/>
          <w:sz w:val="24"/>
          <w:szCs w:val="24"/>
        </w:rPr>
        <w:t>The c</w:t>
      </w:r>
      <w:r w:rsidR="00EE2CA0">
        <w:rPr>
          <w:rFonts w:ascii="Times New Roman" w:hAnsi="Times New Roman"/>
          <w:b/>
          <w:sz w:val="24"/>
          <w:szCs w:val="24"/>
        </w:rPr>
        <w:t xml:space="preserve">orrelation matrix </w:t>
      </w:r>
      <w:r w:rsidR="00DA78D8">
        <w:rPr>
          <w:rFonts w:ascii="Times New Roman" w:hAnsi="Times New Roman"/>
          <w:b/>
          <w:sz w:val="24"/>
          <w:szCs w:val="24"/>
        </w:rPr>
        <w:t>of</w:t>
      </w:r>
      <w:r w:rsidR="00EE2CA0">
        <w:rPr>
          <w:rFonts w:ascii="Times New Roman" w:hAnsi="Times New Roman"/>
          <w:b/>
          <w:sz w:val="24"/>
          <w:szCs w:val="24"/>
        </w:rPr>
        <w:t xml:space="preserve"> the monthly returns of the strategies</w:t>
      </w:r>
      <w:r w:rsidR="00302EEC">
        <w:rPr>
          <w:rFonts w:ascii="Times New Roman" w:hAnsi="Times New Roman"/>
          <w:b/>
          <w:sz w:val="24"/>
          <w:szCs w:val="24"/>
        </w:rPr>
        <w:t xml:space="preserve"> for investment grade and speculative grade obligors (above and below the main diagonal, respectively) </w:t>
      </w:r>
    </w:p>
    <w:tbl>
      <w:tblPr>
        <w:tblStyle w:val="TableGrid"/>
        <w:tblW w:w="5000" w:type="pct"/>
        <w:jc w:val="center"/>
        <w:tblLook w:val="04A0" w:firstRow="1" w:lastRow="0" w:firstColumn="1" w:lastColumn="0" w:noHBand="0" w:noVBand="1"/>
      </w:tblPr>
      <w:tblGrid>
        <w:gridCol w:w="1646"/>
        <w:gridCol w:w="1109"/>
        <w:gridCol w:w="1109"/>
        <w:gridCol w:w="1109"/>
        <w:gridCol w:w="1109"/>
        <w:gridCol w:w="1647"/>
        <w:gridCol w:w="1298"/>
      </w:tblGrid>
      <w:tr w:rsidR="0062103B" w:rsidRPr="006F53FC" w14:paraId="09356E6E" w14:textId="77777777" w:rsidTr="00295191">
        <w:trPr>
          <w:trHeight w:val="251"/>
          <w:jc w:val="center"/>
        </w:trPr>
        <w:tc>
          <w:tcPr>
            <w:tcW w:w="912" w:type="pct"/>
            <w:tcBorders>
              <w:left w:val="nil"/>
              <w:bottom w:val="nil"/>
              <w:right w:val="nil"/>
            </w:tcBorders>
          </w:tcPr>
          <w:p w14:paraId="1CF85E57" w14:textId="77777777" w:rsidR="0062103B" w:rsidRPr="006F53FC" w:rsidRDefault="0062103B" w:rsidP="00FE0EF2">
            <w:pPr>
              <w:spacing w:after="0" w:line="240" w:lineRule="auto"/>
              <w:jc w:val="center"/>
              <w:outlineLvl w:val="0"/>
              <w:rPr>
                <w:rFonts w:ascii="Times New Roman" w:hAnsi="Times New Roman"/>
                <w:b/>
              </w:rPr>
            </w:pPr>
          </w:p>
        </w:tc>
        <w:tc>
          <w:tcPr>
            <w:tcW w:w="615" w:type="pct"/>
            <w:tcBorders>
              <w:left w:val="nil"/>
              <w:bottom w:val="nil"/>
              <w:right w:val="nil"/>
            </w:tcBorders>
          </w:tcPr>
          <w:p w14:paraId="7F47EBB2" w14:textId="77777777" w:rsidR="0062103B" w:rsidRPr="006F53FC" w:rsidRDefault="0062103B" w:rsidP="00FE0EF2">
            <w:pPr>
              <w:spacing w:after="0" w:line="240" w:lineRule="auto"/>
              <w:jc w:val="center"/>
              <w:outlineLvl w:val="0"/>
              <w:rPr>
                <w:rFonts w:ascii="Times New Roman" w:hAnsi="Times New Roman"/>
              </w:rPr>
            </w:pPr>
            <w:r w:rsidRPr="006F53FC">
              <w:rPr>
                <w:rFonts w:ascii="Times New Roman" w:hAnsi="Times New Roman"/>
              </w:rPr>
              <w:t>Strategy 1</w:t>
            </w:r>
          </w:p>
        </w:tc>
        <w:tc>
          <w:tcPr>
            <w:tcW w:w="614" w:type="pct"/>
            <w:tcBorders>
              <w:left w:val="nil"/>
              <w:bottom w:val="nil"/>
              <w:right w:val="nil"/>
            </w:tcBorders>
          </w:tcPr>
          <w:p w14:paraId="0529FF6F" w14:textId="77777777" w:rsidR="0062103B" w:rsidRPr="006F53FC" w:rsidRDefault="0062103B" w:rsidP="00FE0EF2">
            <w:pPr>
              <w:spacing w:after="0" w:line="240" w:lineRule="auto"/>
              <w:jc w:val="center"/>
              <w:outlineLvl w:val="0"/>
              <w:rPr>
                <w:rFonts w:ascii="Times New Roman" w:hAnsi="Times New Roman"/>
              </w:rPr>
            </w:pPr>
            <w:r w:rsidRPr="006F53FC">
              <w:rPr>
                <w:rFonts w:ascii="Times New Roman" w:hAnsi="Times New Roman"/>
              </w:rPr>
              <w:t>Strategy 2</w:t>
            </w:r>
          </w:p>
        </w:tc>
        <w:tc>
          <w:tcPr>
            <w:tcW w:w="614" w:type="pct"/>
            <w:tcBorders>
              <w:left w:val="nil"/>
              <w:bottom w:val="nil"/>
              <w:right w:val="nil"/>
            </w:tcBorders>
          </w:tcPr>
          <w:p w14:paraId="3738EADD" w14:textId="77777777" w:rsidR="0062103B" w:rsidRPr="006F53FC" w:rsidRDefault="0062103B" w:rsidP="00FE0EF2">
            <w:pPr>
              <w:spacing w:after="0" w:line="240" w:lineRule="auto"/>
              <w:jc w:val="center"/>
              <w:outlineLvl w:val="0"/>
              <w:rPr>
                <w:rFonts w:ascii="Times New Roman" w:hAnsi="Times New Roman"/>
              </w:rPr>
            </w:pPr>
            <w:r w:rsidRPr="006F53FC">
              <w:rPr>
                <w:rFonts w:ascii="Times New Roman" w:hAnsi="Times New Roman"/>
              </w:rPr>
              <w:t>Strategy 3</w:t>
            </w:r>
          </w:p>
        </w:tc>
        <w:tc>
          <w:tcPr>
            <w:tcW w:w="614" w:type="pct"/>
            <w:tcBorders>
              <w:left w:val="nil"/>
              <w:bottom w:val="nil"/>
              <w:right w:val="nil"/>
            </w:tcBorders>
          </w:tcPr>
          <w:p w14:paraId="1D96FA34" w14:textId="77777777" w:rsidR="0062103B" w:rsidRPr="006F53FC" w:rsidRDefault="0062103B" w:rsidP="00FE0EF2">
            <w:pPr>
              <w:spacing w:after="0" w:line="240" w:lineRule="auto"/>
              <w:jc w:val="center"/>
              <w:outlineLvl w:val="0"/>
              <w:rPr>
                <w:rFonts w:ascii="Times New Roman" w:hAnsi="Times New Roman"/>
              </w:rPr>
            </w:pPr>
            <w:r w:rsidRPr="006F53FC">
              <w:rPr>
                <w:rFonts w:ascii="Times New Roman" w:hAnsi="Times New Roman"/>
              </w:rPr>
              <w:t>Strategy 4</w:t>
            </w:r>
          </w:p>
        </w:tc>
        <w:tc>
          <w:tcPr>
            <w:tcW w:w="912" w:type="pct"/>
            <w:tcBorders>
              <w:left w:val="nil"/>
              <w:bottom w:val="nil"/>
              <w:right w:val="nil"/>
            </w:tcBorders>
          </w:tcPr>
          <w:p w14:paraId="44094F2B" w14:textId="77777777" w:rsidR="0062103B" w:rsidRPr="006F53FC" w:rsidRDefault="0062103B" w:rsidP="00FE0EF2">
            <w:pPr>
              <w:spacing w:after="0" w:line="240" w:lineRule="auto"/>
              <w:jc w:val="center"/>
              <w:outlineLvl w:val="0"/>
              <w:rPr>
                <w:rFonts w:ascii="Times New Roman" w:hAnsi="Times New Roman"/>
              </w:rPr>
            </w:pPr>
            <w:r w:rsidRPr="006F53FC">
              <w:rPr>
                <w:rFonts w:ascii="Times New Roman" w:hAnsi="Times New Roman"/>
              </w:rPr>
              <w:t>Strategy 1_1000</w:t>
            </w:r>
          </w:p>
        </w:tc>
        <w:tc>
          <w:tcPr>
            <w:tcW w:w="720" w:type="pct"/>
            <w:tcBorders>
              <w:left w:val="nil"/>
              <w:bottom w:val="nil"/>
              <w:right w:val="nil"/>
            </w:tcBorders>
          </w:tcPr>
          <w:p w14:paraId="342EF9E4" w14:textId="77777777" w:rsidR="0062103B" w:rsidRPr="006F53FC" w:rsidRDefault="0062103B" w:rsidP="00FE0EF2">
            <w:pPr>
              <w:spacing w:after="0" w:line="240" w:lineRule="auto"/>
              <w:jc w:val="center"/>
              <w:outlineLvl w:val="0"/>
              <w:rPr>
                <w:rFonts w:ascii="Times New Roman" w:hAnsi="Times New Roman"/>
              </w:rPr>
            </w:pPr>
            <w:r w:rsidRPr="006F53FC">
              <w:rPr>
                <w:rFonts w:ascii="Times New Roman" w:hAnsi="Times New Roman"/>
              </w:rPr>
              <w:t>CSFB Index</w:t>
            </w:r>
          </w:p>
        </w:tc>
      </w:tr>
      <w:tr w:rsidR="0062103B" w:rsidRPr="006F53FC" w14:paraId="1258EB4C" w14:textId="77777777" w:rsidTr="00295191">
        <w:trPr>
          <w:trHeight w:val="267"/>
          <w:jc w:val="center"/>
        </w:trPr>
        <w:tc>
          <w:tcPr>
            <w:tcW w:w="912" w:type="pct"/>
            <w:tcBorders>
              <w:top w:val="nil"/>
              <w:left w:val="nil"/>
              <w:bottom w:val="nil"/>
              <w:right w:val="nil"/>
            </w:tcBorders>
          </w:tcPr>
          <w:p w14:paraId="61DA3A31" w14:textId="77777777" w:rsidR="0062103B" w:rsidRPr="006F53FC" w:rsidRDefault="0062103B" w:rsidP="00FE0EF2">
            <w:pPr>
              <w:spacing w:after="0" w:line="240" w:lineRule="auto"/>
              <w:jc w:val="center"/>
              <w:outlineLvl w:val="0"/>
              <w:rPr>
                <w:rFonts w:ascii="Times New Roman" w:hAnsi="Times New Roman"/>
              </w:rPr>
            </w:pPr>
            <w:r w:rsidRPr="006F53FC">
              <w:rPr>
                <w:rFonts w:ascii="Times New Roman" w:hAnsi="Times New Roman"/>
              </w:rPr>
              <w:t>Strategy 1</w:t>
            </w:r>
          </w:p>
        </w:tc>
        <w:tc>
          <w:tcPr>
            <w:tcW w:w="615" w:type="pct"/>
            <w:tcBorders>
              <w:top w:val="nil"/>
              <w:left w:val="nil"/>
              <w:bottom w:val="nil"/>
              <w:right w:val="nil"/>
            </w:tcBorders>
          </w:tcPr>
          <w:p w14:paraId="0BF7478A" w14:textId="77777777" w:rsidR="0062103B" w:rsidRPr="006F53FC" w:rsidRDefault="00E53708" w:rsidP="00FE0EF2">
            <w:pPr>
              <w:spacing w:after="0" w:line="240" w:lineRule="auto"/>
              <w:jc w:val="center"/>
              <w:outlineLvl w:val="0"/>
              <w:rPr>
                <w:rFonts w:ascii="Times New Roman" w:hAnsi="Times New Roman"/>
              </w:rPr>
            </w:pPr>
            <w:r>
              <w:rPr>
                <w:rFonts w:ascii="Times New Roman" w:hAnsi="Times New Roman"/>
                <w:b/>
                <w:noProof/>
                <w:lang w:eastAsia="en-GB"/>
              </w:rPr>
              <mc:AlternateContent>
                <mc:Choice Requires="wps">
                  <w:drawing>
                    <wp:anchor distT="0" distB="0" distL="114300" distR="114300" simplePos="0" relativeHeight="251662336" behindDoc="0" locked="0" layoutInCell="1" allowOverlap="1" wp14:anchorId="4CBCB858" wp14:editId="7EF8EE18">
                      <wp:simplePos x="0" y="0"/>
                      <wp:positionH relativeFrom="column">
                        <wp:posOffset>146685</wp:posOffset>
                      </wp:positionH>
                      <wp:positionV relativeFrom="paragraph">
                        <wp:posOffset>45720</wp:posOffset>
                      </wp:positionV>
                      <wp:extent cx="4583430" cy="956310"/>
                      <wp:effectExtent l="7620" t="13335" r="9525" b="1143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3430" cy="95631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B5FFD" id="_x0000_t32" coordsize="21600,21600" o:spt="32" o:oned="t" path="m,l21600,21600e" filled="f">
                      <v:path arrowok="t" fillok="f" o:connecttype="none"/>
                      <o:lock v:ext="edit" shapetype="t"/>
                    </v:shapetype>
                    <v:shape id="AutoShape 5" o:spid="_x0000_s1026" type="#_x0000_t32" style="position:absolute;margin-left:11.55pt;margin-top:3.6pt;width:360.9pt;height:7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" strokecolor="black [3213]"/>
                  </w:pict>
                </mc:Fallback>
              </mc:AlternateContent>
            </w:r>
            <w:r w:rsidR="0062103B" w:rsidRPr="006F53FC">
              <w:rPr>
                <w:rFonts w:ascii="Times New Roman" w:hAnsi="Times New Roman"/>
              </w:rPr>
              <w:t>1.00</w:t>
            </w:r>
          </w:p>
        </w:tc>
        <w:tc>
          <w:tcPr>
            <w:tcW w:w="614" w:type="pct"/>
            <w:tcBorders>
              <w:top w:val="nil"/>
              <w:left w:val="nil"/>
              <w:bottom w:val="nil"/>
              <w:right w:val="nil"/>
            </w:tcBorders>
          </w:tcPr>
          <w:p w14:paraId="28803587" w14:textId="77777777" w:rsidR="0062103B" w:rsidRPr="006F53FC" w:rsidRDefault="0062103B" w:rsidP="00813681">
            <w:pPr>
              <w:spacing w:after="0" w:line="240" w:lineRule="auto"/>
              <w:jc w:val="center"/>
              <w:outlineLvl w:val="0"/>
              <w:rPr>
                <w:rFonts w:ascii="Times New Roman" w:hAnsi="Times New Roman"/>
              </w:rPr>
            </w:pPr>
            <w:r w:rsidRPr="006F53FC">
              <w:rPr>
                <w:rFonts w:ascii="Times New Roman" w:hAnsi="Times New Roman"/>
              </w:rPr>
              <w:t>0.92</w:t>
            </w:r>
          </w:p>
        </w:tc>
        <w:tc>
          <w:tcPr>
            <w:tcW w:w="614" w:type="pct"/>
            <w:tcBorders>
              <w:top w:val="nil"/>
              <w:left w:val="nil"/>
              <w:bottom w:val="nil"/>
              <w:right w:val="nil"/>
            </w:tcBorders>
          </w:tcPr>
          <w:p w14:paraId="59923EF4" w14:textId="77777777" w:rsidR="0062103B" w:rsidRPr="006F53FC" w:rsidRDefault="0062103B" w:rsidP="00813681">
            <w:pPr>
              <w:spacing w:after="0" w:line="240" w:lineRule="auto"/>
              <w:jc w:val="center"/>
              <w:outlineLvl w:val="0"/>
              <w:rPr>
                <w:rFonts w:ascii="Times New Roman" w:hAnsi="Times New Roman"/>
              </w:rPr>
            </w:pPr>
            <w:r w:rsidRPr="006F53FC">
              <w:rPr>
                <w:rFonts w:ascii="Times New Roman" w:hAnsi="Times New Roman"/>
              </w:rPr>
              <w:t>0.03</w:t>
            </w:r>
          </w:p>
        </w:tc>
        <w:tc>
          <w:tcPr>
            <w:tcW w:w="614" w:type="pct"/>
            <w:tcBorders>
              <w:top w:val="nil"/>
              <w:left w:val="nil"/>
              <w:bottom w:val="nil"/>
              <w:right w:val="nil"/>
            </w:tcBorders>
          </w:tcPr>
          <w:p w14:paraId="5A85F859" w14:textId="77777777" w:rsidR="0062103B" w:rsidRPr="006F53FC" w:rsidRDefault="0062103B" w:rsidP="00813681">
            <w:pPr>
              <w:spacing w:after="0" w:line="240" w:lineRule="auto"/>
              <w:jc w:val="center"/>
              <w:outlineLvl w:val="0"/>
              <w:rPr>
                <w:rFonts w:ascii="Times New Roman" w:hAnsi="Times New Roman"/>
              </w:rPr>
            </w:pPr>
            <w:r w:rsidRPr="006F53FC">
              <w:rPr>
                <w:rFonts w:ascii="Times New Roman" w:hAnsi="Times New Roman"/>
              </w:rPr>
              <w:t>-0.22</w:t>
            </w:r>
          </w:p>
        </w:tc>
        <w:tc>
          <w:tcPr>
            <w:tcW w:w="912" w:type="pct"/>
            <w:tcBorders>
              <w:top w:val="nil"/>
              <w:left w:val="nil"/>
              <w:bottom w:val="nil"/>
              <w:right w:val="nil"/>
            </w:tcBorders>
          </w:tcPr>
          <w:p w14:paraId="609542C6" w14:textId="77777777" w:rsidR="0062103B" w:rsidRPr="006F53FC" w:rsidRDefault="0062103B" w:rsidP="00813681">
            <w:pPr>
              <w:spacing w:after="0" w:line="240" w:lineRule="auto"/>
              <w:jc w:val="center"/>
              <w:outlineLvl w:val="0"/>
              <w:rPr>
                <w:rFonts w:ascii="Times New Roman" w:hAnsi="Times New Roman"/>
              </w:rPr>
            </w:pPr>
            <w:r w:rsidRPr="006F53FC">
              <w:rPr>
                <w:rFonts w:ascii="Times New Roman" w:hAnsi="Times New Roman"/>
              </w:rPr>
              <w:t>0.39</w:t>
            </w:r>
          </w:p>
        </w:tc>
        <w:tc>
          <w:tcPr>
            <w:tcW w:w="720" w:type="pct"/>
            <w:tcBorders>
              <w:top w:val="nil"/>
              <w:left w:val="nil"/>
              <w:bottom w:val="nil"/>
              <w:right w:val="nil"/>
            </w:tcBorders>
          </w:tcPr>
          <w:p w14:paraId="592F9AF7" w14:textId="77777777" w:rsidR="0062103B" w:rsidRPr="006F53FC" w:rsidRDefault="0062103B" w:rsidP="00FE0EF2">
            <w:pPr>
              <w:spacing w:after="0" w:line="240" w:lineRule="auto"/>
              <w:jc w:val="center"/>
              <w:outlineLvl w:val="0"/>
              <w:rPr>
                <w:rFonts w:ascii="Times New Roman" w:hAnsi="Times New Roman"/>
              </w:rPr>
            </w:pPr>
            <w:r w:rsidRPr="006F53FC">
              <w:rPr>
                <w:rFonts w:ascii="Times New Roman" w:hAnsi="Times New Roman"/>
              </w:rPr>
              <w:t>0.37</w:t>
            </w:r>
          </w:p>
        </w:tc>
      </w:tr>
      <w:tr w:rsidR="0062103B" w:rsidRPr="006F53FC" w14:paraId="3D74E359" w14:textId="77777777" w:rsidTr="00295191">
        <w:trPr>
          <w:trHeight w:val="267"/>
          <w:jc w:val="center"/>
        </w:trPr>
        <w:tc>
          <w:tcPr>
            <w:tcW w:w="912" w:type="pct"/>
            <w:tcBorders>
              <w:top w:val="nil"/>
              <w:left w:val="nil"/>
              <w:bottom w:val="nil"/>
              <w:right w:val="nil"/>
            </w:tcBorders>
          </w:tcPr>
          <w:p w14:paraId="784775DB" w14:textId="77777777" w:rsidR="0062103B" w:rsidRPr="006F53FC" w:rsidRDefault="0062103B" w:rsidP="00FE0EF2">
            <w:pPr>
              <w:spacing w:after="0" w:line="240" w:lineRule="auto"/>
              <w:jc w:val="center"/>
              <w:outlineLvl w:val="0"/>
              <w:rPr>
                <w:rFonts w:ascii="Times New Roman" w:hAnsi="Times New Roman"/>
              </w:rPr>
            </w:pPr>
            <w:r w:rsidRPr="006F53FC">
              <w:rPr>
                <w:rFonts w:ascii="Times New Roman" w:hAnsi="Times New Roman"/>
              </w:rPr>
              <w:t>Strategy 2</w:t>
            </w:r>
          </w:p>
        </w:tc>
        <w:tc>
          <w:tcPr>
            <w:tcW w:w="615" w:type="pct"/>
            <w:tcBorders>
              <w:top w:val="nil"/>
              <w:left w:val="nil"/>
              <w:bottom w:val="nil"/>
              <w:right w:val="nil"/>
            </w:tcBorders>
          </w:tcPr>
          <w:p w14:paraId="68815C0D" w14:textId="77777777" w:rsidR="0062103B" w:rsidRPr="006F53FC" w:rsidRDefault="0062103B" w:rsidP="00FE0EF2">
            <w:pPr>
              <w:spacing w:after="0" w:line="240" w:lineRule="auto"/>
              <w:jc w:val="center"/>
              <w:outlineLvl w:val="0"/>
              <w:rPr>
                <w:rFonts w:ascii="Times New Roman" w:hAnsi="Times New Roman"/>
              </w:rPr>
            </w:pPr>
            <w:r w:rsidRPr="006F53FC">
              <w:rPr>
                <w:rFonts w:ascii="Times New Roman" w:hAnsi="Times New Roman"/>
              </w:rPr>
              <w:t>0.98</w:t>
            </w:r>
          </w:p>
        </w:tc>
        <w:tc>
          <w:tcPr>
            <w:tcW w:w="614" w:type="pct"/>
            <w:tcBorders>
              <w:top w:val="nil"/>
              <w:left w:val="nil"/>
              <w:bottom w:val="nil"/>
              <w:right w:val="nil"/>
            </w:tcBorders>
          </w:tcPr>
          <w:p w14:paraId="45B5448D" w14:textId="77777777" w:rsidR="0062103B" w:rsidRPr="006F53FC" w:rsidRDefault="0062103B" w:rsidP="00FE0EF2">
            <w:pPr>
              <w:spacing w:after="0" w:line="240" w:lineRule="auto"/>
              <w:jc w:val="center"/>
              <w:outlineLvl w:val="0"/>
              <w:rPr>
                <w:rFonts w:ascii="Times New Roman" w:hAnsi="Times New Roman"/>
              </w:rPr>
            </w:pPr>
            <w:r w:rsidRPr="006F53FC">
              <w:rPr>
                <w:rFonts w:ascii="Times New Roman" w:hAnsi="Times New Roman"/>
              </w:rPr>
              <w:t>1.00</w:t>
            </w:r>
          </w:p>
        </w:tc>
        <w:tc>
          <w:tcPr>
            <w:tcW w:w="614" w:type="pct"/>
            <w:tcBorders>
              <w:top w:val="nil"/>
              <w:left w:val="nil"/>
              <w:bottom w:val="nil"/>
              <w:right w:val="nil"/>
            </w:tcBorders>
          </w:tcPr>
          <w:p w14:paraId="5613A94B" w14:textId="77777777" w:rsidR="0062103B" w:rsidRPr="006F53FC" w:rsidRDefault="0062103B" w:rsidP="00FE0EF2">
            <w:pPr>
              <w:spacing w:after="0" w:line="240" w:lineRule="auto"/>
              <w:jc w:val="center"/>
              <w:outlineLvl w:val="0"/>
              <w:rPr>
                <w:rFonts w:ascii="Times New Roman" w:hAnsi="Times New Roman"/>
              </w:rPr>
            </w:pPr>
            <w:r w:rsidRPr="006F53FC">
              <w:rPr>
                <w:rFonts w:ascii="Times New Roman" w:hAnsi="Times New Roman"/>
              </w:rPr>
              <w:t>0.03</w:t>
            </w:r>
          </w:p>
        </w:tc>
        <w:tc>
          <w:tcPr>
            <w:tcW w:w="614" w:type="pct"/>
            <w:tcBorders>
              <w:top w:val="nil"/>
              <w:left w:val="nil"/>
              <w:bottom w:val="nil"/>
              <w:right w:val="nil"/>
            </w:tcBorders>
          </w:tcPr>
          <w:p w14:paraId="4B527471" w14:textId="77777777" w:rsidR="0062103B" w:rsidRPr="006F53FC" w:rsidRDefault="0062103B" w:rsidP="00813681">
            <w:pPr>
              <w:spacing w:after="0" w:line="240" w:lineRule="auto"/>
              <w:jc w:val="center"/>
              <w:outlineLvl w:val="0"/>
              <w:rPr>
                <w:rFonts w:ascii="Times New Roman" w:hAnsi="Times New Roman"/>
              </w:rPr>
            </w:pPr>
            <w:r w:rsidRPr="006F53FC">
              <w:rPr>
                <w:rFonts w:ascii="Times New Roman" w:hAnsi="Times New Roman"/>
              </w:rPr>
              <w:t>-0.20</w:t>
            </w:r>
          </w:p>
        </w:tc>
        <w:tc>
          <w:tcPr>
            <w:tcW w:w="912" w:type="pct"/>
            <w:tcBorders>
              <w:top w:val="nil"/>
              <w:left w:val="nil"/>
              <w:bottom w:val="nil"/>
              <w:right w:val="nil"/>
            </w:tcBorders>
          </w:tcPr>
          <w:p w14:paraId="3549F6DB" w14:textId="77777777" w:rsidR="0062103B" w:rsidRPr="006F53FC" w:rsidRDefault="0062103B" w:rsidP="00FE0EF2">
            <w:pPr>
              <w:spacing w:after="0" w:line="240" w:lineRule="auto"/>
              <w:jc w:val="center"/>
              <w:outlineLvl w:val="0"/>
              <w:rPr>
                <w:rFonts w:ascii="Times New Roman" w:hAnsi="Times New Roman"/>
              </w:rPr>
            </w:pPr>
            <w:r w:rsidRPr="006F53FC">
              <w:rPr>
                <w:rFonts w:ascii="Times New Roman" w:hAnsi="Times New Roman"/>
              </w:rPr>
              <w:t>0.41</w:t>
            </w:r>
          </w:p>
        </w:tc>
        <w:tc>
          <w:tcPr>
            <w:tcW w:w="720" w:type="pct"/>
            <w:tcBorders>
              <w:top w:val="nil"/>
              <w:left w:val="nil"/>
              <w:bottom w:val="nil"/>
              <w:right w:val="nil"/>
            </w:tcBorders>
          </w:tcPr>
          <w:p w14:paraId="7190074C" w14:textId="77777777" w:rsidR="0062103B" w:rsidRPr="006F53FC" w:rsidRDefault="0062103B" w:rsidP="00FE0EF2">
            <w:pPr>
              <w:spacing w:after="0" w:line="240" w:lineRule="auto"/>
              <w:jc w:val="center"/>
              <w:outlineLvl w:val="0"/>
              <w:rPr>
                <w:rFonts w:ascii="Times New Roman" w:hAnsi="Times New Roman"/>
              </w:rPr>
            </w:pPr>
            <w:r w:rsidRPr="006F53FC">
              <w:rPr>
                <w:rFonts w:ascii="Times New Roman" w:hAnsi="Times New Roman"/>
              </w:rPr>
              <w:t>0.39</w:t>
            </w:r>
          </w:p>
        </w:tc>
      </w:tr>
      <w:tr w:rsidR="0062103B" w:rsidRPr="006F53FC" w14:paraId="7AFE7804" w14:textId="77777777" w:rsidTr="00295191">
        <w:trPr>
          <w:trHeight w:val="267"/>
          <w:jc w:val="center"/>
        </w:trPr>
        <w:tc>
          <w:tcPr>
            <w:tcW w:w="912" w:type="pct"/>
            <w:tcBorders>
              <w:top w:val="nil"/>
              <w:left w:val="nil"/>
              <w:bottom w:val="nil"/>
              <w:right w:val="nil"/>
            </w:tcBorders>
          </w:tcPr>
          <w:p w14:paraId="4842A72C" w14:textId="77777777" w:rsidR="0062103B" w:rsidRPr="006F53FC" w:rsidRDefault="0062103B" w:rsidP="00FE0EF2">
            <w:pPr>
              <w:spacing w:after="0" w:line="240" w:lineRule="auto"/>
              <w:jc w:val="center"/>
              <w:outlineLvl w:val="0"/>
              <w:rPr>
                <w:rFonts w:ascii="Times New Roman" w:hAnsi="Times New Roman"/>
              </w:rPr>
            </w:pPr>
            <w:r w:rsidRPr="006F53FC">
              <w:rPr>
                <w:rFonts w:ascii="Times New Roman" w:hAnsi="Times New Roman"/>
              </w:rPr>
              <w:t>Strategy 3</w:t>
            </w:r>
          </w:p>
        </w:tc>
        <w:tc>
          <w:tcPr>
            <w:tcW w:w="615" w:type="pct"/>
            <w:tcBorders>
              <w:top w:val="nil"/>
              <w:left w:val="nil"/>
              <w:bottom w:val="nil"/>
              <w:right w:val="nil"/>
            </w:tcBorders>
          </w:tcPr>
          <w:p w14:paraId="401414A8" w14:textId="77777777" w:rsidR="0062103B" w:rsidRPr="006F53FC" w:rsidRDefault="0062103B" w:rsidP="00FE0EF2">
            <w:pPr>
              <w:spacing w:after="0" w:line="240" w:lineRule="auto"/>
              <w:jc w:val="center"/>
              <w:outlineLvl w:val="0"/>
              <w:rPr>
                <w:rFonts w:ascii="Times New Roman" w:hAnsi="Times New Roman"/>
              </w:rPr>
            </w:pPr>
            <w:r w:rsidRPr="006F53FC">
              <w:rPr>
                <w:rFonts w:ascii="Times New Roman" w:hAnsi="Times New Roman"/>
              </w:rPr>
              <w:t>0.45</w:t>
            </w:r>
          </w:p>
        </w:tc>
        <w:tc>
          <w:tcPr>
            <w:tcW w:w="614" w:type="pct"/>
            <w:tcBorders>
              <w:top w:val="nil"/>
              <w:left w:val="nil"/>
              <w:bottom w:val="nil"/>
              <w:right w:val="nil"/>
            </w:tcBorders>
          </w:tcPr>
          <w:p w14:paraId="5D694A6B" w14:textId="77777777" w:rsidR="0062103B" w:rsidRPr="006F53FC" w:rsidRDefault="0062103B" w:rsidP="00FE0EF2">
            <w:pPr>
              <w:spacing w:after="0" w:line="240" w:lineRule="auto"/>
              <w:jc w:val="center"/>
              <w:outlineLvl w:val="0"/>
              <w:rPr>
                <w:rFonts w:ascii="Times New Roman" w:hAnsi="Times New Roman"/>
              </w:rPr>
            </w:pPr>
            <w:r w:rsidRPr="006F53FC">
              <w:rPr>
                <w:rFonts w:ascii="Times New Roman" w:hAnsi="Times New Roman"/>
              </w:rPr>
              <w:t>0.41</w:t>
            </w:r>
          </w:p>
        </w:tc>
        <w:tc>
          <w:tcPr>
            <w:tcW w:w="614" w:type="pct"/>
            <w:tcBorders>
              <w:top w:val="nil"/>
              <w:left w:val="nil"/>
              <w:bottom w:val="nil"/>
              <w:right w:val="nil"/>
            </w:tcBorders>
          </w:tcPr>
          <w:p w14:paraId="2B58DF76" w14:textId="77777777" w:rsidR="0062103B" w:rsidRPr="006F53FC" w:rsidRDefault="0062103B" w:rsidP="00FE0EF2">
            <w:pPr>
              <w:spacing w:after="0" w:line="240" w:lineRule="auto"/>
              <w:jc w:val="center"/>
              <w:outlineLvl w:val="0"/>
              <w:rPr>
                <w:rFonts w:ascii="Times New Roman" w:hAnsi="Times New Roman"/>
              </w:rPr>
            </w:pPr>
            <w:r w:rsidRPr="006F53FC">
              <w:rPr>
                <w:rFonts w:ascii="Times New Roman" w:hAnsi="Times New Roman"/>
              </w:rPr>
              <w:t>1.00</w:t>
            </w:r>
          </w:p>
        </w:tc>
        <w:tc>
          <w:tcPr>
            <w:tcW w:w="614" w:type="pct"/>
            <w:tcBorders>
              <w:top w:val="nil"/>
              <w:left w:val="nil"/>
              <w:bottom w:val="nil"/>
              <w:right w:val="nil"/>
            </w:tcBorders>
          </w:tcPr>
          <w:p w14:paraId="0B817DA0" w14:textId="77777777" w:rsidR="0062103B" w:rsidRPr="006F53FC" w:rsidRDefault="0062103B" w:rsidP="00FE0EF2">
            <w:pPr>
              <w:spacing w:after="0" w:line="240" w:lineRule="auto"/>
              <w:jc w:val="center"/>
              <w:outlineLvl w:val="0"/>
              <w:rPr>
                <w:rFonts w:ascii="Times New Roman" w:hAnsi="Times New Roman"/>
              </w:rPr>
            </w:pPr>
            <w:r w:rsidRPr="006F53FC">
              <w:rPr>
                <w:rFonts w:ascii="Times New Roman" w:hAnsi="Times New Roman"/>
              </w:rPr>
              <w:t>0.89</w:t>
            </w:r>
          </w:p>
        </w:tc>
        <w:tc>
          <w:tcPr>
            <w:tcW w:w="912" w:type="pct"/>
            <w:tcBorders>
              <w:top w:val="nil"/>
              <w:left w:val="nil"/>
              <w:bottom w:val="nil"/>
              <w:right w:val="nil"/>
            </w:tcBorders>
          </w:tcPr>
          <w:p w14:paraId="01BD08BE" w14:textId="77777777" w:rsidR="0062103B" w:rsidRPr="006F53FC" w:rsidRDefault="0062103B" w:rsidP="00FE0EF2">
            <w:pPr>
              <w:spacing w:after="0" w:line="240" w:lineRule="auto"/>
              <w:jc w:val="center"/>
              <w:outlineLvl w:val="0"/>
              <w:rPr>
                <w:rFonts w:ascii="Times New Roman" w:hAnsi="Times New Roman"/>
              </w:rPr>
            </w:pPr>
            <w:r w:rsidRPr="006F53FC">
              <w:rPr>
                <w:rFonts w:ascii="Times New Roman" w:hAnsi="Times New Roman"/>
              </w:rPr>
              <w:t>-0.15</w:t>
            </w:r>
          </w:p>
        </w:tc>
        <w:tc>
          <w:tcPr>
            <w:tcW w:w="720" w:type="pct"/>
            <w:tcBorders>
              <w:top w:val="nil"/>
              <w:left w:val="nil"/>
              <w:bottom w:val="nil"/>
              <w:right w:val="nil"/>
            </w:tcBorders>
          </w:tcPr>
          <w:p w14:paraId="4C051B8B" w14:textId="77777777" w:rsidR="0062103B" w:rsidRPr="006F53FC" w:rsidRDefault="0062103B" w:rsidP="00FE0EF2">
            <w:pPr>
              <w:spacing w:after="0" w:line="240" w:lineRule="auto"/>
              <w:jc w:val="center"/>
              <w:outlineLvl w:val="0"/>
              <w:rPr>
                <w:rFonts w:ascii="Times New Roman" w:hAnsi="Times New Roman"/>
              </w:rPr>
            </w:pPr>
            <w:r w:rsidRPr="006F53FC">
              <w:rPr>
                <w:rFonts w:ascii="Times New Roman" w:hAnsi="Times New Roman"/>
              </w:rPr>
              <w:t>-0.15</w:t>
            </w:r>
          </w:p>
        </w:tc>
      </w:tr>
      <w:tr w:rsidR="0062103B" w:rsidRPr="006F53FC" w14:paraId="36F04B91" w14:textId="77777777" w:rsidTr="00295191">
        <w:trPr>
          <w:trHeight w:val="267"/>
          <w:jc w:val="center"/>
        </w:trPr>
        <w:tc>
          <w:tcPr>
            <w:tcW w:w="912" w:type="pct"/>
            <w:tcBorders>
              <w:top w:val="nil"/>
              <w:left w:val="nil"/>
              <w:bottom w:val="nil"/>
              <w:right w:val="nil"/>
            </w:tcBorders>
          </w:tcPr>
          <w:p w14:paraId="0F4F1E1A" w14:textId="77777777" w:rsidR="0062103B" w:rsidRPr="006F53FC" w:rsidRDefault="0062103B" w:rsidP="00FE0EF2">
            <w:pPr>
              <w:spacing w:after="0" w:line="240" w:lineRule="auto"/>
              <w:jc w:val="center"/>
              <w:outlineLvl w:val="0"/>
              <w:rPr>
                <w:rFonts w:ascii="Times New Roman" w:hAnsi="Times New Roman"/>
              </w:rPr>
            </w:pPr>
            <w:r w:rsidRPr="006F53FC">
              <w:rPr>
                <w:rFonts w:ascii="Times New Roman" w:hAnsi="Times New Roman"/>
              </w:rPr>
              <w:t>Strategy 4</w:t>
            </w:r>
          </w:p>
        </w:tc>
        <w:tc>
          <w:tcPr>
            <w:tcW w:w="615" w:type="pct"/>
            <w:tcBorders>
              <w:top w:val="nil"/>
              <w:left w:val="nil"/>
              <w:bottom w:val="nil"/>
              <w:right w:val="nil"/>
            </w:tcBorders>
          </w:tcPr>
          <w:p w14:paraId="69428D9B" w14:textId="77777777" w:rsidR="0062103B" w:rsidRPr="006F53FC" w:rsidRDefault="0062103B" w:rsidP="00FE0EF2">
            <w:pPr>
              <w:spacing w:after="0" w:line="240" w:lineRule="auto"/>
              <w:jc w:val="center"/>
              <w:outlineLvl w:val="0"/>
              <w:rPr>
                <w:rFonts w:ascii="Times New Roman" w:hAnsi="Times New Roman"/>
              </w:rPr>
            </w:pPr>
            <w:r w:rsidRPr="006F53FC">
              <w:rPr>
                <w:rFonts w:ascii="Times New Roman" w:hAnsi="Times New Roman"/>
              </w:rPr>
              <w:t>0.03</w:t>
            </w:r>
          </w:p>
        </w:tc>
        <w:tc>
          <w:tcPr>
            <w:tcW w:w="614" w:type="pct"/>
            <w:tcBorders>
              <w:top w:val="nil"/>
              <w:left w:val="nil"/>
              <w:bottom w:val="nil"/>
              <w:right w:val="nil"/>
            </w:tcBorders>
          </w:tcPr>
          <w:p w14:paraId="393F5C0F" w14:textId="77777777" w:rsidR="0062103B" w:rsidRPr="006F53FC" w:rsidRDefault="0062103B" w:rsidP="00FE0EF2">
            <w:pPr>
              <w:spacing w:after="0" w:line="240" w:lineRule="auto"/>
              <w:jc w:val="center"/>
              <w:outlineLvl w:val="0"/>
              <w:rPr>
                <w:rFonts w:ascii="Times New Roman" w:hAnsi="Times New Roman"/>
              </w:rPr>
            </w:pPr>
            <w:r w:rsidRPr="006F53FC">
              <w:rPr>
                <w:rFonts w:ascii="Times New Roman" w:hAnsi="Times New Roman"/>
              </w:rPr>
              <w:t>-0.10</w:t>
            </w:r>
          </w:p>
        </w:tc>
        <w:tc>
          <w:tcPr>
            <w:tcW w:w="614" w:type="pct"/>
            <w:tcBorders>
              <w:top w:val="nil"/>
              <w:left w:val="nil"/>
              <w:bottom w:val="nil"/>
              <w:right w:val="nil"/>
            </w:tcBorders>
          </w:tcPr>
          <w:p w14:paraId="4EBB82BD" w14:textId="77777777" w:rsidR="0062103B" w:rsidRPr="006F53FC" w:rsidRDefault="0062103B" w:rsidP="00FE0EF2">
            <w:pPr>
              <w:spacing w:after="0" w:line="240" w:lineRule="auto"/>
              <w:jc w:val="center"/>
              <w:outlineLvl w:val="0"/>
              <w:rPr>
                <w:rFonts w:ascii="Times New Roman" w:hAnsi="Times New Roman"/>
              </w:rPr>
            </w:pPr>
            <w:r w:rsidRPr="006F53FC">
              <w:rPr>
                <w:rFonts w:ascii="Times New Roman" w:hAnsi="Times New Roman"/>
              </w:rPr>
              <w:t>0.31</w:t>
            </w:r>
          </w:p>
        </w:tc>
        <w:tc>
          <w:tcPr>
            <w:tcW w:w="614" w:type="pct"/>
            <w:tcBorders>
              <w:top w:val="nil"/>
              <w:left w:val="nil"/>
              <w:bottom w:val="nil"/>
              <w:right w:val="nil"/>
            </w:tcBorders>
          </w:tcPr>
          <w:p w14:paraId="0A937DF5" w14:textId="77777777" w:rsidR="0062103B" w:rsidRPr="006F53FC" w:rsidRDefault="0062103B" w:rsidP="00FE0EF2">
            <w:pPr>
              <w:spacing w:after="0" w:line="240" w:lineRule="auto"/>
              <w:jc w:val="center"/>
              <w:outlineLvl w:val="0"/>
              <w:rPr>
                <w:rFonts w:ascii="Times New Roman" w:hAnsi="Times New Roman"/>
              </w:rPr>
            </w:pPr>
            <w:r w:rsidRPr="006F53FC">
              <w:rPr>
                <w:rFonts w:ascii="Times New Roman" w:hAnsi="Times New Roman"/>
              </w:rPr>
              <w:t>1.00</w:t>
            </w:r>
          </w:p>
        </w:tc>
        <w:tc>
          <w:tcPr>
            <w:tcW w:w="912" w:type="pct"/>
            <w:tcBorders>
              <w:top w:val="nil"/>
              <w:left w:val="nil"/>
              <w:bottom w:val="nil"/>
              <w:right w:val="nil"/>
            </w:tcBorders>
          </w:tcPr>
          <w:p w14:paraId="5753C5B1" w14:textId="77777777" w:rsidR="0062103B" w:rsidRPr="006F53FC" w:rsidRDefault="0062103B" w:rsidP="00FE0EF2">
            <w:pPr>
              <w:spacing w:after="0" w:line="240" w:lineRule="auto"/>
              <w:jc w:val="center"/>
              <w:outlineLvl w:val="0"/>
              <w:rPr>
                <w:rFonts w:ascii="Times New Roman" w:hAnsi="Times New Roman"/>
              </w:rPr>
            </w:pPr>
            <w:r w:rsidRPr="006F53FC">
              <w:rPr>
                <w:rFonts w:ascii="Times New Roman" w:hAnsi="Times New Roman"/>
              </w:rPr>
              <w:t>-0.25</w:t>
            </w:r>
          </w:p>
        </w:tc>
        <w:tc>
          <w:tcPr>
            <w:tcW w:w="720" w:type="pct"/>
            <w:tcBorders>
              <w:top w:val="nil"/>
              <w:left w:val="nil"/>
              <w:bottom w:val="nil"/>
              <w:right w:val="nil"/>
            </w:tcBorders>
          </w:tcPr>
          <w:p w14:paraId="43D3FF27" w14:textId="77777777" w:rsidR="0062103B" w:rsidRPr="006F53FC" w:rsidRDefault="0062103B" w:rsidP="00FE0EF2">
            <w:pPr>
              <w:spacing w:after="0" w:line="240" w:lineRule="auto"/>
              <w:jc w:val="center"/>
              <w:outlineLvl w:val="0"/>
              <w:rPr>
                <w:rFonts w:ascii="Times New Roman" w:hAnsi="Times New Roman"/>
              </w:rPr>
            </w:pPr>
            <w:r w:rsidRPr="006F53FC">
              <w:rPr>
                <w:rFonts w:ascii="Times New Roman" w:hAnsi="Times New Roman"/>
              </w:rPr>
              <w:t>-0.24</w:t>
            </w:r>
          </w:p>
        </w:tc>
      </w:tr>
      <w:tr w:rsidR="0062103B" w:rsidRPr="006F53FC" w14:paraId="10E2D04F" w14:textId="77777777" w:rsidTr="00295191">
        <w:trPr>
          <w:trHeight w:val="283"/>
          <w:jc w:val="center"/>
        </w:trPr>
        <w:tc>
          <w:tcPr>
            <w:tcW w:w="912" w:type="pct"/>
            <w:tcBorders>
              <w:top w:val="nil"/>
              <w:left w:val="nil"/>
              <w:bottom w:val="nil"/>
              <w:right w:val="nil"/>
            </w:tcBorders>
          </w:tcPr>
          <w:p w14:paraId="3B8FCFB2" w14:textId="77777777" w:rsidR="0062103B" w:rsidRPr="006F53FC" w:rsidRDefault="0062103B" w:rsidP="00FE0EF2">
            <w:pPr>
              <w:spacing w:after="0" w:line="240" w:lineRule="auto"/>
              <w:jc w:val="center"/>
              <w:outlineLvl w:val="0"/>
              <w:rPr>
                <w:rFonts w:ascii="Times New Roman" w:hAnsi="Times New Roman"/>
              </w:rPr>
            </w:pPr>
            <w:r w:rsidRPr="006F53FC">
              <w:rPr>
                <w:rFonts w:ascii="Times New Roman" w:hAnsi="Times New Roman"/>
              </w:rPr>
              <w:t>Strategy 1_1000</w:t>
            </w:r>
          </w:p>
        </w:tc>
        <w:tc>
          <w:tcPr>
            <w:tcW w:w="615" w:type="pct"/>
            <w:tcBorders>
              <w:top w:val="nil"/>
              <w:left w:val="nil"/>
              <w:bottom w:val="nil"/>
              <w:right w:val="nil"/>
            </w:tcBorders>
          </w:tcPr>
          <w:p w14:paraId="171FA739" w14:textId="77777777" w:rsidR="0062103B" w:rsidRPr="006F53FC" w:rsidRDefault="0062103B" w:rsidP="00CB0901">
            <w:pPr>
              <w:spacing w:after="0" w:line="240" w:lineRule="auto"/>
              <w:jc w:val="center"/>
              <w:outlineLvl w:val="0"/>
              <w:rPr>
                <w:rFonts w:ascii="Times New Roman" w:hAnsi="Times New Roman"/>
              </w:rPr>
            </w:pPr>
            <w:r w:rsidRPr="006F53FC">
              <w:rPr>
                <w:rFonts w:ascii="Times New Roman" w:hAnsi="Times New Roman"/>
              </w:rPr>
              <w:t>0.15</w:t>
            </w:r>
          </w:p>
        </w:tc>
        <w:tc>
          <w:tcPr>
            <w:tcW w:w="614" w:type="pct"/>
            <w:tcBorders>
              <w:top w:val="nil"/>
              <w:left w:val="nil"/>
              <w:bottom w:val="nil"/>
              <w:right w:val="nil"/>
            </w:tcBorders>
          </w:tcPr>
          <w:p w14:paraId="345EFB17" w14:textId="77777777" w:rsidR="0062103B" w:rsidRPr="006F53FC" w:rsidRDefault="0062103B" w:rsidP="00FE0EF2">
            <w:pPr>
              <w:spacing w:after="0" w:line="240" w:lineRule="auto"/>
              <w:jc w:val="center"/>
              <w:outlineLvl w:val="0"/>
              <w:rPr>
                <w:rFonts w:ascii="Times New Roman" w:hAnsi="Times New Roman"/>
              </w:rPr>
            </w:pPr>
            <w:r w:rsidRPr="006F53FC">
              <w:rPr>
                <w:rFonts w:ascii="Times New Roman" w:hAnsi="Times New Roman"/>
              </w:rPr>
              <w:t>0.17</w:t>
            </w:r>
          </w:p>
        </w:tc>
        <w:tc>
          <w:tcPr>
            <w:tcW w:w="614" w:type="pct"/>
            <w:tcBorders>
              <w:top w:val="nil"/>
              <w:left w:val="nil"/>
              <w:bottom w:val="nil"/>
              <w:right w:val="nil"/>
            </w:tcBorders>
          </w:tcPr>
          <w:p w14:paraId="3AD382D6" w14:textId="77777777" w:rsidR="0062103B" w:rsidRPr="006F53FC" w:rsidRDefault="0062103B" w:rsidP="00FE0EF2">
            <w:pPr>
              <w:spacing w:after="0" w:line="240" w:lineRule="auto"/>
              <w:jc w:val="center"/>
              <w:outlineLvl w:val="0"/>
              <w:rPr>
                <w:rFonts w:ascii="Times New Roman" w:hAnsi="Times New Roman"/>
              </w:rPr>
            </w:pPr>
            <w:r w:rsidRPr="006F53FC">
              <w:rPr>
                <w:rFonts w:ascii="Times New Roman" w:hAnsi="Times New Roman"/>
              </w:rPr>
              <w:t>-0.34</w:t>
            </w:r>
          </w:p>
        </w:tc>
        <w:tc>
          <w:tcPr>
            <w:tcW w:w="614" w:type="pct"/>
            <w:tcBorders>
              <w:top w:val="nil"/>
              <w:left w:val="nil"/>
              <w:bottom w:val="nil"/>
              <w:right w:val="nil"/>
            </w:tcBorders>
          </w:tcPr>
          <w:p w14:paraId="5F4F31A5" w14:textId="77777777" w:rsidR="0062103B" w:rsidRPr="006F53FC" w:rsidRDefault="0062103B" w:rsidP="00FE0EF2">
            <w:pPr>
              <w:spacing w:after="0" w:line="240" w:lineRule="auto"/>
              <w:jc w:val="center"/>
              <w:outlineLvl w:val="0"/>
              <w:rPr>
                <w:rFonts w:ascii="Times New Roman" w:hAnsi="Times New Roman"/>
              </w:rPr>
            </w:pPr>
            <w:r w:rsidRPr="006F53FC">
              <w:rPr>
                <w:rFonts w:ascii="Times New Roman" w:hAnsi="Times New Roman"/>
              </w:rPr>
              <w:t>-0.48</w:t>
            </w:r>
          </w:p>
        </w:tc>
        <w:tc>
          <w:tcPr>
            <w:tcW w:w="912" w:type="pct"/>
            <w:tcBorders>
              <w:top w:val="nil"/>
              <w:left w:val="nil"/>
              <w:bottom w:val="nil"/>
              <w:right w:val="nil"/>
            </w:tcBorders>
          </w:tcPr>
          <w:p w14:paraId="7C3061FA" w14:textId="77777777" w:rsidR="0062103B" w:rsidRPr="006F53FC" w:rsidRDefault="0062103B" w:rsidP="00FE0EF2">
            <w:pPr>
              <w:spacing w:after="0" w:line="240" w:lineRule="auto"/>
              <w:jc w:val="center"/>
              <w:outlineLvl w:val="0"/>
              <w:rPr>
                <w:rFonts w:ascii="Times New Roman" w:hAnsi="Times New Roman"/>
              </w:rPr>
            </w:pPr>
            <w:r w:rsidRPr="006F53FC">
              <w:rPr>
                <w:rFonts w:ascii="Times New Roman" w:hAnsi="Times New Roman"/>
              </w:rPr>
              <w:t>1.00</w:t>
            </w:r>
          </w:p>
        </w:tc>
        <w:tc>
          <w:tcPr>
            <w:tcW w:w="720" w:type="pct"/>
            <w:tcBorders>
              <w:top w:val="nil"/>
              <w:left w:val="nil"/>
              <w:bottom w:val="nil"/>
              <w:right w:val="nil"/>
            </w:tcBorders>
          </w:tcPr>
          <w:p w14:paraId="672BA842" w14:textId="77777777" w:rsidR="0062103B" w:rsidRPr="006F53FC" w:rsidRDefault="0062103B" w:rsidP="00FE0EF2">
            <w:pPr>
              <w:spacing w:after="0" w:line="240" w:lineRule="auto"/>
              <w:jc w:val="center"/>
              <w:outlineLvl w:val="0"/>
              <w:rPr>
                <w:rFonts w:ascii="Times New Roman" w:hAnsi="Times New Roman"/>
              </w:rPr>
            </w:pPr>
            <w:r w:rsidRPr="006F53FC">
              <w:rPr>
                <w:rFonts w:ascii="Times New Roman" w:hAnsi="Times New Roman"/>
              </w:rPr>
              <w:t>0.67</w:t>
            </w:r>
          </w:p>
        </w:tc>
      </w:tr>
      <w:tr w:rsidR="0062103B" w:rsidRPr="006F53FC" w14:paraId="500DBCEA" w14:textId="77777777" w:rsidTr="00295191">
        <w:trPr>
          <w:trHeight w:val="283"/>
          <w:jc w:val="center"/>
        </w:trPr>
        <w:tc>
          <w:tcPr>
            <w:tcW w:w="912" w:type="pct"/>
            <w:tcBorders>
              <w:top w:val="nil"/>
              <w:left w:val="nil"/>
              <w:bottom w:val="single" w:sz="4" w:space="0" w:color="auto"/>
              <w:right w:val="nil"/>
            </w:tcBorders>
          </w:tcPr>
          <w:p w14:paraId="685E227D" w14:textId="77777777" w:rsidR="0062103B" w:rsidRPr="006F53FC" w:rsidRDefault="0062103B" w:rsidP="00813681">
            <w:pPr>
              <w:spacing w:after="0" w:line="240" w:lineRule="auto"/>
              <w:jc w:val="center"/>
              <w:outlineLvl w:val="0"/>
              <w:rPr>
                <w:rFonts w:ascii="Times New Roman" w:hAnsi="Times New Roman"/>
              </w:rPr>
            </w:pPr>
            <w:r w:rsidRPr="006F53FC">
              <w:rPr>
                <w:rFonts w:ascii="Times New Roman" w:hAnsi="Times New Roman"/>
              </w:rPr>
              <w:t>CSFB Index</w:t>
            </w:r>
          </w:p>
        </w:tc>
        <w:tc>
          <w:tcPr>
            <w:tcW w:w="615" w:type="pct"/>
            <w:tcBorders>
              <w:top w:val="nil"/>
              <w:left w:val="nil"/>
              <w:bottom w:val="single" w:sz="4" w:space="0" w:color="auto"/>
              <w:right w:val="nil"/>
            </w:tcBorders>
          </w:tcPr>
          <w:p w14:paraId="7E5E13A9" w14:textId="77777777" w:rsidR="0062103B" w:rsidRPr="006F53FC" w:rsidRDefault="0062103B" w:rsidP="00FE0EF2">
            <w:pPr>
              <w:spacing w:after="0" w:line="240" w:lineRule="auto"/>
              <w:jc w:val="center"/>
              <w:outlineLvl w:val="0"/>
              <w:rPr>
                <w:rFonts w:ascii="Times New Roman" w:hAnsi="Times New Roman"/>
              </w:rPr>
            </w:pPr>
            <w:r w:rsidRPr="006F53FC">
              <w:rPr>
                <w:rFonts w:ascii="Times New Roman" w:hAnsi="Times New Roman"/>
              </w:rPr>
              <w:t>0.10</w:t>
            </w:r>
          </w:p>
        </w:tc>
        <w:tc>
          <w:tcPr>
            <w:tcW w:w="614" w:type="pct"/>
            <w:tcBorders>
              <w:top w:val="nil"/>
              <w:left w:val="nil"/>
              <w:bottom w:val="single" w:sz="4" w:space="0" w:color="auto"/>
              <w:right w:val="nil"/>
            </w:tcBorders>
          </w:tcPr>
          <w:p w14:paraId="7A253D11" w14:textId="77777777" w:rsidR="0062103B" w:rsidRPr="006F53FC" w:rsidRDefault="0062103B" w:rsidP="00FE0EF2">
            <w:pPr>
              <w:spacing w:after="0" w:line="240" w:lineRule="auto"/>
              <w:jc w:val="center"/>
              <w:outlineLvl w:val="0"/>
              <w:rPr>
                <w:rFonts w:ascii="Times New Roman" w:hAnsi="Times New Roman"/>
              </w:rPr>
            </w:pPr>
            <w:r w:rsidRPr="006F53FC">
              <w:rPr>
                <w:rFonts w:ascii="Times New Roman" w:hAnsi="Times New Roman"/>
              </w:rPr>
              <w:t>0.14</w:t>
            </w:r>
          </w:p>
        </w:tc>
        <w:tc>
          <w:tcPr>
            <w:tcW w:w="614" w:type="pct"/>
            <w:tcBorders>
              <w:top w:val="nil"/>
              <w:left w:val="nil"/>
              <w:bottom w:val="single" w:sz="4" w:space="0" w:color="auto"/>
              <w:right w:val="nil"/>
            </w:tcBorders>
          </w:tcPr>
          <w:p w14:paraId="01A4ACFE" w14:textId="77777777" w:rsidR="0062103B" w:rsidRPr="006F53FC" w:rsidRDefault="0062103B" w:rsidP="00FE0EF2">
            <w:pPr>
              <w:spacing w:after="0" w:line="240" w:lineRule="auto"/>
              <w:jc w:val="center"/>
              <w:outlineLvl w:val="0"/>
              <w:rPr>
                <w:rFonts w:ascii="Times New Roman" w:hAnsi="Times New Roman"/>
              </w:rPr>
            </w:pPr>
            <w:r w:rsidRPr="006F53FC">
              <w:rPr>
                <w:rFonts w:ascii="Times New Roman" w:hAnsi="Times New Roman"/>
              </w:rPr>
              <w:t>-0.35</w:t>
            </w:r>
          </w:p>
        </w:tc>
        <w:tc>
          <w:tcPr>
            <w:tcW w:w="614" w:type="pct"/>
            <w:tcBorders>
              <w:top w:val="nil"/>
              <w:left w:val="nil"/>
              <w:bottom w:val="single" w:sz="4" w:space="0" w:color="auto"/>
              <w:right w:val="nil"/>
            </w:tcBorders>
          </w:tcPr>
          <w:p w14:paraId="258D2A79" w14:textId="77777777" w:rsidR="0062103B" w:rsidRPr="006F53FC" w:rsidRDefault="0062103B" w:rsidP="00FE0EF2">
            <w:pPr>
              <w:spacing w:after="0" w:line="240" w:lineRule="auto"/>
              <w:jc w:val="center"/>
              <w:outlineLvl w:val="0"/>
              <w:rPr>
                <w:rFonts w:ascii="Times New Roman" w:hAnsi="Times New Roman"/>
              </w:rPr>
            </w:pPr>
            <w:r w:rsidRPr="006F53FC">
              <w:rPr>
                <w:rFonts w:ascii="Times New Roman" w:hAnsi="Times New Roman"/>
              </w:rPr>
              <w:t>-0.47</w:t>
            </w:r>
          </w:p>
        </w:tc>
        <w:tc>
          <w:tcPr>
            <w:tcW w:w="912" w:type="pct"/>
            <w:tcBorders>
              <w:top w:val="nil"/>
              <w:left w:val="nil"/>
              <w:bottom w:val="single" w:sz="4" w:space="0" w:color="auto"/>
              <w:right w:val="nil"/>
            </w:tcBorders>
          </w:tcPr>
          <w:p w14:paraId="33A31F27" w14:textId="77777777" w:rsidR="0062103B" w:rsidRPr="006F53FC" w:rsidRDefault="0062103B" w:rsidP="00FE0EF2">
            <w:pPr>
              <w:spacing w:after="0" w:line="240" w:lineRule="auto"/>
              <w:jc w:val="center"/>
              <w:outlineLvl w:val="0"/>
              <w:rPr>
                <w:rFonts w:ascii="Times New Roman" w:hAnsi="Times New Roman"/>
              </w:rPr>
            </w:pPr>
            <w:r w:rsidRPr="006F53FC">
              <w:rPr>
                <w:rFonts w:ascii="Times New Roman" w:hAnsi="Times New Roman"/>
              </w:rPr>
              <w:t>0.49</w:t>
            </w:r>
          </w:p>
        </w:tc>
        <w:tc>
          <w:tcPr>
            <w:tcW w:w="720" w:type="pct"/>
            <w:tcBorders>
              <w:top w:val="nil"/>
              <w:left w:val="nil"/>
              <w:bottom w:val="single" w:sz="4" w:space="0" w:color="auto"/>
              <w:right w:val="nil"/>
            </w:tcBorders>
          </w:tcPr>
          <w:p w14:paraId="13EEED2E" w14:textId="77777777" w:rsidR="0062103B" w:rsidRPr="006F53FC" w:rsidRDefault="0062103B" w:rsidP="00FE0EF2">
            <w:pPr>
              <w:spacing w:after="0" w:line="240" w:lineRule="auto"/>
              <w:jc w:val="center"/>
              <w:outlineLvl w:val="0"/>
              <w:rPr>
                <w:rFonts w:ascii="Times New Roman" w:hAnsi="Times New Roman"/>
              </w:rPr>
            </w:pPr>
            <w:r w:rsidRPr="006F53FC">
              <w:rPr>
                <w:rFonts w:ascii="Times New Roman" w:hAnsi="Times New Roman"/>
              </w:rPr>
              <w:t>1.00</w:t>
            </w:r>
          </w:p>
        </w:tc>
      </w:tr>
    </w:tbl>
    <w:p w14:paraId="3A152BDF" w14:textId="77777777" w:rsidR="00D7101E" w:rsidRDefault="00D7101E">
      <w:pPr>
        <w:spacing w:after="0" w:line="240" w:lineRule="auto"/>
        <w:rPr>
          <w:rFonts w:ascii="Times New Roman" w:hAnsi="Times New Roman"/>
          <w:b/>
          <w:sz w:val="24"/>
          <w:szCs w:val="24"/>
        </w:rPr>
      </w:pPr>
    </w:p>
    <w:p w14:paraId="5940D77D" w14:textId="77777777" w:rsidR="00734EE4" w:rsidRDefault="00295191" w:rsidP="00734EE4">
      <w:pPr>
        <w:spacing w:line="240" w:lineRule="auto"/>
        <w:jc w:val="both"/>
        <w:outlineLvl w:val="0"/>
        <w:rPr>
          <w:rFonts w:ascii="Times New Roman" w:hAnsi="Times New Roman"/>
          <w:b/>
          <w:sz w:val="24"/>
          <w:szCs w:val="24"/>
        </w:rPr>
      </w:pPr>
      <w:r>
        <w:rPr>
          <w:rFonts w:ascii="Times New Roman" w:hAnsi="Times New Roman"/>
          <w:b/>
          <w:sz w:val="24"/>
          <w:szCs w:val="24"/>
        </w:rPr>
        <w:t>Exhibit 10</w:t>
      </w:r>
      <w:r w:rsidR="00734EE4">
        <w:rPr>
          <w:rFonts w:ascii="Times New Roman" w:hAnsi="Times New Roman"/>
          <w:b/>
          <w:sz w:val="24"/>
          <w:szCs w:val="24"/>
        </w:rPr>
        <w:t>. Regression</w:t>
      </w:r>
      <w:r w:rsidR="002F5DD5">
        <w:rPr>
          <w:rFonts w:ascii="Times New Roman" w:hAnsi="Times New Roman"/>
          <w:b/>
          <w:sz w:val="24"/>
          <w:szCs w:val="24"/>
        </w:rPr>
        <w:t>s of</w:t>
      </w:r>
      <w:r w:rsidR="00734EE4">
        <w:rPr>
          <w:rFonts w:ascii="Times New Roman" w:hAnsi="Times New Roman"/>
          <w:b/>
          <w:sz w:val="24"/>
          <w:szCs w:val="24"/>
        </w:rPr>
        <w:t xml:space="preserve"> </w:t>
      </w:r>
      <w:r w:rsidR="00DA78D8">
        <w:rPr>
          <w:rFonts w:ascii="Times New Roman" w:hAnsi="Times New Roman"/>
          <w:b/>
          <w:sz w:val="24"/>
          <w:szCs w:val="24"/>
        </w:rPr>
        <w:t xml:space="preserve">the </w:t>
      </w:r>
      <w:r w:rsidR="00734EE4">
        <w:rPr>
          <w:rFonts w:ascii="Times New Roman" w:hAnsi="Times New Roman"/>
          <w:b/>
          <w:sz w:val="24"/>
          <w:szCs w:val="24"/>
        </w:rPr>
        <w:t xml:space="preserve">strategies’ monthly returns on </w:t>
      </w:r>
      <w:r w:rsidR="007623E4">
        <w:rPr>
          <w:rFonts w:ascii="Times New Roman" w:hAnsi="Times New Roman"/>
          <w:b/>
          <w:sz w:val="24"/>
          <w:szCs w:val="24"/>
        </w:rPr>
        <w:t>market</w:t>
      </w:r>
      <w:r w:rsidR="00734EE4">
        <w:rPr>
          <w:rFonts w:ascii="Times New Roman" w:hAnsi="Times New Roman"/>
          <w:b/>
          <w:sz w:val="24"/>
          <w:szCs w:val="24"/>
        </w:rPr>
        <w:t xml:space="preserve"> risk factors</w:t>
      </w:r>
    </w:p>
    <w:p w14:paraId="2797A935" w14:textId="77777777" w:rsidR="006D6E15" w:rsidRDefault="006042BF" w:rsidP="00734EE4">
      <w:pPr>
        <w:spacing w:line="240" w:lineRule="auto"/>
        <w:jc w:val="both"/>
        <w:outlineLvl w:val="0"/>
        <w:rPr>
          <w:rFonts w:ascii="Times New Roman" w:hAnsi="Times New Roman"/>
          <w:sz w:val="20"/>
          <w:szCs w:val="20"/>
        </w:rPr>
      </w:pPr>
      <w:r>
        <w:rPr>
          <w:rFonts w:ascii="Times New Roman" w:hAnsi="Times New Roman"/>
          <w:sz w:val="20"/>
          <w:szCs w:val="20"/>
        </w:rPr>
        <w:t xml:space="preserve">This table </w:t>
      </w:r>
      <w:r w:rsidR="00A35394">
        <w:rPr>
          <w:rFonts w:ascii="Times New Roman" w:hAnsi="Times New Roman"/>
          <w:sz w:val="20"/>
          <w:szCs w:val="20"/>
        </w:rPr>
        <w:t xml:space="preserve">reports estimated coefficients, </w:t>
      </w:r>
      <w:r w:rsidR="0006111B">
        <w:rPr>
          <w:rFonts w:ascii="Times New Roman" w:hAnsi="Times New Roman"/>
          <w:sz w:val="20"/>
          <w:szCs w:val="20"/>
        </w:rPr>
        <w:t xml:space="preserve">White’s heteroskedastic consistent </w:t>
      </w:r>
      <w:r w:rsidR="00A35394">
        <w:rPr>
          <w:rFonts w:ascii="Times New Roman" w:hAnsi="Times New Roman"/>
          <w:sz w:val="20"/>
          <w:szCs w:val="20"/>
        </w:rPr>
        <w:t>standard errors (in parenthes</w:t>
      </w:r>
      <w:r w:rsidR="002C1DAB">
        <w:rPr>
          <w:rFonts w:ascii="Times New Roman" w:hAnsi="Times New Roman"/>
          <w:sz w:val="20"/>
          <w:szCs w:val="20"/>
        </w:rPr>
        <w:t>e</w:t>
      </w:r>
      <w:r w:rsidR="00A35394">
        <w:rPr>
          <w:rFonts w:ascii="Times New Roman" w:hAnsi="Times New Roman"/>
          <w:sz w:val="20"/>
          <w:szCs w:val="20"/>
        </w:rPr>
        <w:t xml:space="preserve">s) and </w:t>
      </w:r>
      <w:r w:rsidR="00DA78D8">
        <w:rPr>
          <w:rFonts w:ascii="Times New Roman" w:hAnsi="Times New Roman"/>
          <w:sz w:val="20"/>
          <w:szCs w:val="20"/>
        </w:rPr>
        <w:t xml:space="preserve">the </w:t>
      </w:r>
      <w:r w:rsidR="00A35394">
        <w:rPr>
          <w:rFonts w:ascii="Times New Roman" w:hAnsi="Times New Roman"/>
          <w:sz w:val="20"/>
          <w:szCs w:val="20"/>
        </w:rPr>
        <w:t xml:space="preserve">R-squared of </w:t>
      </w:r>
      <w:r w:rsidR="00DA78D8">
        <w:rPr>
          <w:rFonts w:ascii="Times New Roman" w:hAnsi="Times New Roman"/>
          <w:sz w:val="20"/>
          <w:szCs w:val="20"/>
        </w:rPr>
        <w:t xml:space="preserve">the </w:t>
      </w:r>
      <w:r w:rsidR="00A35394">
        <w:rPr>
          <w:rFonts w:ascii="Times New Roman" w:hAnsi="Times New Roman"/>
          <w:sz w:val="20"/>
          <w:szCs w:val="20"/>
        </w:rPr>
        <w:t>regression</w:t>
      </w:r>
      <w:r w:rsidR="00DA78D8">
        <w:rPr>
          <w:rFonts w:ascii="Times New Roman" w:hAnsi="Times New Roman"/>
          <w:sz w:val="20"/>
          <w:szCs w:val="20"/>
        </w:rPr>
        <w:t>s</w:t>
      </w:r>
      <w:r w:rsidR="00A35394">
        <w:rPr>
          <w:rFonts w:ascii="Times New Roman" w:hAnsi="Times New Roman"/>
          <w:sz w:val="20"/>
          <w:szCs w:val="20"/>
        </w:rPr>
        <w:t xml:space="preserve"> of </w:t>
      </w:r>
      <w:r w:rsidR="00DA78D8">
        <w:rPr>
          <w:rFonts w:ascii="Times New Roman" w:hAnsi="Times New Roman"/>
          <w:sz w:val="20"/>
          <w:szCs w:val="20"/>
        </w:rPr>
        <w:t>the four strategies’</w:t>
      </w:r>
      <w:r w:rsidR="00A35394">
        <w:rPr>
          <w:rFonts w:ascii="Times New Roman" w:hAnsi="Times New Roman"/>
          <w:sz w:val="20"/>
          <w:szCs w:val="20"/>
        </w:rPr>
        <w:t xml:space="preserve"> monthly excess returns</w:t>
      </w:r>
      <w:r w:rsidR="00C26699">
        <w:rPr>
          <w:rFonts w:ascii="Times New Roman" w:hAnsi="Times New Roman"/>
          <w:sz w:val="20"/>
          <w:szCs w:val="20"/>
        </w:rPr>
        <w:t xml:space="preserve"> (obtained by using a </w:t>
      </w:r>
      <w:r w:rsidR="00C26699" w:rsidRPr="008142C9">
        <w:rPr>
          <w:rFonts w:ascii="Times New Roman" w:hAnsi="Times New Roman"/>
          <w:i/>
          <w:sz w:val="20"/>
          <w:szCs w:val="20"/>
        </w:rPr>
        <w:t>θ</w:t>
      </w:r>
      <w:r w:rsidR="00C26699" w:rsidRPr="008142C9">
        <w:rPr>
          <w:rFonts w:ascii="Times New Roman" w:hAnsi="Times New Roman"/>
          <w:sz w:val="20"/>
          <w:szCs w:val="20"/>
        </w:rPr>
        <w:t xml:space="preserve"> trading</w:t>
      </w:r>
      <w:r w:rsidR="00C26699">
        <w:rPr>
          <w:rFonts w:ascii="Times New Roman" w:hAnsi="Times New Roman"/>
          <w:sz w:val="20"/>
          <w:szCs w:val="20"/>
        </w:rPr>
        <w:t xml:space="preserve"> </w:t>
      </w:r>
      <w:r w:rsidR="00C26699" w:rsidRPr="003725B8">
        <w:rPr>
          <w:rFonts w:ascii="Times New Roman" w:hAnsi="Times New Roman"/>
          <w:sz w:val="20"/>
          <w:szCs w:val="20"/>
        </w:rPr>
        <w:t>trigger of 2</w:t>
      </w:r>
      <w:r w:rsidR="00C26699">
        <w:rPr>
          <w:rFonts w:ascii="Times New Roman" w:hAnsi="Times New Roman"/>
          <w:sz w:val="20"/>
          <w:szCs w:val="20"/>
        </w:rPr>
        <w:t>)</w:t>
      </w:r>
      <w:r w:rsidR="00A35394">
        <w:rPr>
          <w:rFonts w:ascii="Times New Roman" w:hAnsi="Times New Roman"/>
          <w:sz w:val="20"/>
          <w:szCs w:val="20"/>
        </w:rPr>
        <w:t xml:space="preserve"> on the excess returns of equity and bond portfolios</w:t>
      </w:r>
      <w:r w:rsidR="006D6E15">
        <w:rPr>
          <w:rFonts w:ascii="Times New Roman" w:hAnsi="Times New Roman"/>
          <w:sz w:val="20"/>
          <w:szCs w:val="20"/>
        </w:rPr>
        <w:t>:</w:t>
      </w:r>
      <w:r w:rsidR="00A35394">
        <w:rPr>
          <w:rFonts w:ascii="Times New Roman" w:hAnsi="Times New Roman"/>
          <w:sz w:val="20"/>
          <w:szCs w:val="20"/>
        </w:rPr>
        <w:t xml:space="preserve"> </w:t>
      </w:r>
    </w:p>
    <w:p w14:paraId="00432515" w14:textId="77777777" w:rsidR="006042BF" w:rsidRPr="006042BF" w:rsidRDefault="00160BC2" w:rsidP="00734EE4">
      <w:pPr>
        <w:spacing w:line="240" w:lineRule="auto"/>
        <w:jc w:val="both"/>
        <w:outlineLvl w:val="0"/>
        <w:rPr>
          <w:rFonts w:ascii="Times New Roman" w:hAnsi="Times New Roman"/>
          <w:sz w:val="20"/>
          <w:szCs w:val="20"/>
        </w:rPr>
      </w:pPr>
      <w:r w:rsidRPr="00DD7FFB">
        <w:rPr>
          <w:rFonts w:ascii="Times New Roman" w:hAnsi="Times New Roman"/>
          <w:noProof/>
          <w:position w:val="-12"/>
          <w:sz w:val="20"/>
          <w:szCs w:val="20"/>
        </w:rPr>
        <w:object w:dxaOrig="10660" w:dyaOrig="360" w14:anchorId="148E1E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0.8pt;height:15.05pt;mso-width-percent:0;mso-height-percent:0;mso-width-percent:0;mso-height-percent:0" o:ole="">
            <v:imagedata r:id="rId16" o:title=""/>
          </v:shape>
          <o:OLEObject Type="Embed" ProgID="Equation.3" ShapeID="_x0000_i1025" DrawAspect="Content" ObjectID="_1616518546" r:id="rId17"/>
        </w:object>
      </w:r>
      <w:r w:rsidR="00DA78D8" w:rsidRPr="00DA78D8">
        <w:rPr>
          <w:rFonts w:ascii="Times New Roman" w:hAnsi="Times New Roman"/>
          <w:i/>
          <w:sz w:val="20"/>
          <w:szCs w:val="20"/>
        </w:rPr>
        <w:t>R</w:t>
      </w:r>
      <w:r w:rsidR="00DA78D8" w:rsidRPr="00DA78D8">
        <w:rPr>
          <w:rFonts w:ascii="Times New Roman" w:hAnsi="Times New Roman"/>
          <w:i/>
          <w:sz w:val="20"/>
          <w:szCs w:val="20"/>
          <w:vertAlign w:val="subscript"/>
        </w:rPr>
        <w:t>i</w:t>
      </w:r>
      <w:r w:rsidR="00DA78D8">
        <w:rPr>
          <w:rFonts w:ascii="Times New Roman" w:hAnsi="Times New Roman"/>
          <w:sz w:val="20"/>
          <w:szCs w:val="20"/>
        </w:rPr>
        <w:t xml:space="preserve"> represents the excess returns using Strategy </w:t>
      </w:r>
      <w:proofErr w:type="spellStart"/>
      <w:r w:rsidR="002F5DD5">
        <w:rPr>
          <w:rFonts w:ascii="Times New Roman" w:hAnsi="Times New Roman"/>
          <w:i/>
          <w:sz w:val="20"/>
          <w:szCs w:val="20"/>
        </w:rPr>
        <w:t>i</w:t>
      </w:r>
      <w:proofErr w:type="spellEnd"/>
      <w:r w:rsidR="002F5DD5">
        <w:rPr>
          <w:rFonts w:ascii="Times New Roman" w:hAnsi="Times New Roman"/>
          <w:i/>
          <w:sz w:val="20"/>
          <w:szCs w:val="20"/>
        </w:rPr>
        <w:t xml:space="preserve">, </w:t>
      </w:r>
      <w:r w:rsidR="002F5DD5" w:rsidRPr="002F5DD5">
        <w:rPr>
          <w:rFonts w:ascii="Times New Roman" w:hAnsi="Times New Roman"/>
          <w:sz w:val="20"/>
          <w:szCs w:val="20"/>
        </w:rPr>
        <w:t>the</w:t>
      </w:r>
      <w:r w:rsidR="002F5DD5">
        <w:rPr>
          <w:rFonts w:ascii="Times New Roman" w:hAnsi="Times New Roman"/>
          <w:i/>
          <w:sz w:val="20"/>
          <w:szCs w:val="20"/>
        </w:rPr>
        <w:t xml:space="preserve"> </w:t>
      </w:r>
      <w:r w:rsidR="002F5DD5">
        <w:rPr>
          <w:rFonts w:ascii="Times New Roman" w:hAnsi="Times New Roman"/>
          <w:sz w:val="20"/>
          <w:szCs w:val="20"/>
        </w:rPr>
        <w:t>CSFB fixed income arbitrage hedge fund return index and an equally weighted portfolio (EW) which includes the 4 strategies</w:t>
      </w:r>
      <w:r w:rsidR="00DA78D8">
        <w:rPr>
          <w:rFonts w:ascii="Times New Roman" w:hAnsi="Times New Roman"/>
          <w:sz w:val="20"/>
          <w:szCs w:val="20"/>
        </w:rPr>
        <w:t xml:space="preserve">, and </w:t>
      </w:r>
      <w:r w:rsidR="007E5652">
        <w:rPr>
          <w:rFonts w:ascii="Times New Roman" w:hAnsi="Times New Roman"/>
          <w:sz w:val="20"/>
          <w:szCs w:val="20"/>
        </w:rPr>
        <w:t xml:space="preserve">MKT is the excess return on the CRSP value-weighted portfolio. SMB, HML and WML are the </w:t>
      </w:r>
      <w:proofErr w:type="spellStart"/>
      <w:r w:rsidR="007E5652">
        <w:rPr>
          <w:rFonts w:ascii="Times New Roman" w:hAnsi="Times New Roman"/>
          <w:sz w:val="20"/>
          <w:szCs w:val="20"/>
        </w:rPr>
        <w:t>Fama</w:t>
      </w:r>
      <w:proofErr w:type="spellEnd"/>
      <w:r w:rsidR="007E5652">
        <w:rPr>
          <w:rFonts w:ascii="Times New Roman" w:hAnsi="Times New Roman"/>
          <w:sz w:val="20"/>
          <w:szCs w:val="20"/>
        </w:rPr>
        <w:t>-French small-minus-big, high-minus-low and winner</w:t>
      </w:r>
      <w:r w:rsidR="00772DB0">
        <w:rPr>
          <w:rFonts w:ascii="Times New Roman" w:hAnsi="Times New Roman"/>
          <w:sz w:val="20"/>
          <w:szCs w:val="20"/>
        </w:rPr>
        <w:t xml:space="preserve">s-minus-losers market factors, respectively. </w:t>
      </w:r>
      <w:proofErr w:type="spellStart"/>
      <w:r w:rsidR="00772DB0">
        <w:rPr>
          <w:rFonts w:ascii="Times New Roman" w:hAnsi="Times New Roman"/>
          <w:sz w:val="20"/>
          <w:szCs w:val="20"/>
        </w:rPr>
        <w:t>MSCIBank</w:t>
      </w:r>
      <w:proofErr w:type="spellEnd"/>
      <w:r w:rsidR="00772DB0">
        <w:rPr>
          <w:rFonts w:ascii="Times New Roman" w:hAnsi="Times New Roman"/>
          <w:sz w:val="20"/>
          <w:szCs w:val="20"/>
        </w:rPr>
        <w:t xml:space="preserve"> is the excess return on the MSCI (World) bank stock index</w:t>
      </w:r>
      <w:r w:rsidR="006D6E15">
        <w:rPr>
          <w:rFonts w:ascii="Times New Roman" w:hAnsi="Times New Roman"/>
          <w:sz w:val="20"/>
          <w:szCs w:val="20"/>
        </w:rPr>
        <w:t>. TRSY5Y, IND and FIN are the excess returns on the Bank of America/Merrill Lynch indices of the 5-year Treasury bond portfolios, the BBB-rated</w:t>
      </w:r>
      <w:r w:rsidR="008878E6">
        <w:rPr>
          <w:rFonts w:ascii="Times New Roman" w:hAnsi="Times New Roman"/>
          <w:sz w:val="20"/>
          <w:szCs w:val="20"/>
        </w:rPr>
        <w:t xml:space="preserve"> </w:t>
      </w:r>
      <w:r w:rsidR="006D6E15">
        <w:rPr>
          <w:rFonts w:ascii="Times New Roman" w:hAnsi="Times New Roman"/>
          <w:sz w:val="20"/>
          <w:szCs w:val="20"/>
        </w:rPr>
        <w:t xml:space="preserve">industrial </w:t>
      </w:r>
      <w:r w:rsidR="008878E6">
        <w:rPr>
          <w:rFonts w:ascii="Times New Roman" w:hAnsi="Times New Roman"/>
          <w:sz w:val="20"/>
          <w:szCs w:val="20"/>
        </w:rPr>
        <w:t xml:space="preserve">global </w:t>
      </w:r>
      <w:r w:rsidR="006D6E15">
        <w:rPr>
          <w:rFonts w:ascii="Times New Roman" w:hAnsi="Times New Roman"/>
          <w:sz w:val="20"/>
          <w:szCs w:val="20"/>
        </w:rPr>
        <w:t xml:space="preserve">bond portfolios and the BBB-rated </w:t>
      </w:r>
      <w:r w:rsidR="008878E6">
        <w:rPr>
          <w:rFonts w:ascii="Times New Roman" w:hAnsi="Times New Roman"/>
          <w:sz w:val="20"/>
          <w:szCs w:val="20"/>
        </w:rPr>
        <w:t xml:space="preserve">global </w:t>
      </w:r>
      <w:r w:rsidR="006D6E15">
        <w:rPr>
          <w:rFonts w:ascii="Times New Roman" w:hAnsi="Times New Roman"/>
          <w:sz w:val="20"/>
          <w:szCs w:val="20"/>
        </w:rPr>
        <w:t xml:space="preserve">bond portfolios for financial companies. </w:t>
      </w:r>
      <w:r w:rsidR="00565B4B">
        <w:rPr>
          <w:rFonts w:ascii="Times New Roman" w:hAnsi="Times New Roman"/>
          <w:sz w:val="20"/>
          <w:szCs w:val="20"/>
        </w:rPr>
        <w:t>*,</w:t>
      </w:r>
      <w:r w:rsidR="001A63B2">
        <w:rPr>
          <w:rFonts w:ascii="Times New Roman" w:hAnsi="Times New Roman"/>
          <w:sz w:val="20"/>
          <w:szCs w:val="20"/>
        </w:rPr>
        <w:t xml:space="preserve"> </w:t>
      </w:r>
      <w:r w:rsidR="00565B4B">
        <w:rPr>
          <w:rFonts w:ascii="Times New Roman" w:hAnsi="Times New Roman"/>
          <w:sz w:val="20"/>
          <w:szCs w:val="20"/>
        </w:rPr>
        <w:t>**</w:t>
      </w:r>
      <w:r w:rsidR="008878E6">
        <w:rPr>
          <w:rFonts w:ascii="Times New Roman" w:hAnsi="Times New Roman"/>
          <w:sz w:val="20"/>
          <w:szCs w:val="20"/>
        </w:rPr>
        <w:t xml:space="preserve"> and</w:t>
      </w:r>
      <w:r w:rsidR="00565B4B">
        <w:rPr>
          <w:rFonts w:ascii="Times New Roman" w:hAnsi="Times New Roman"/>
          <w:sz w:val="20"/>
          <w:szCs w:val="20"/>
        </w:rPr>
        <w:t xml:space="preserve"> *** indicate significance at the 10%, 5% and 1% level</w:t>
      </w:r>
      <w:r w:rsidR="000C480A">
        <w:rPr>
          <w:rFonts w:ascii="Times New Roman" w:hAnsi="Times New Roman"/>
          <w:sz w:val="20"/>
          <w:szCs w:val="20"/>
        </w:rPr>
        <w:t>s</w:t>
      </w:r>
      <w:r w:rsidR="00565B4B">
        <w:rPr>
          <w:rFonts w:ascii="Times New Roman" w:hAnsi="Times New Roman"/>
          <w:sz w:val="20"/>
          <w:szCs w:val="20"/>
        </w:rPr>
        <w:t>.</w:t>
      </w:r>
      <w:r w:rsidR="006D6E15">
        <w:rPr>
          <w:rFonts w:ascii="Times New Roman" w:hAnsi="Times New Roman"/>
          <w:sz w:val="20"/>
          <w:szCs w:val="20"/>
        </w:rPr>
        <w:t xml:space="preserve"> </w:t>
      </w:r>
      <w:r w:rsidR="00A35394">
        <w:rPr>
          <w:rFonts w:ascii="Times New Roman" w:hAnsi="Times New Roman"/>
          <w:sz w:val="20"/>
          <w:szCs w:val="20"/>
        </w:rPr>
        <w:t xml:space="preserve"> </w:t>
      </w:r>
    </w:p>
    <w:tbl>
      <w:tblPr>
        <w:tblStyle w:val="TableGrid"/>
        <w:tblW w:w="10130" w:type="dxa"/>
        <w:jc w:val="center"/>
        <w:tblLook w:val="04A0" w:firstRow="1" w:lastRow="0" w:firstColumn="1" w:lastColumn="0" w:noHBand="0" w:noVBand="1"/>
      </w:tblPr>
      <w:tblGrid>
        <w:gridCol w:w="1356"/>
        <w:gridCol w:w="719"/>
        <w:gridCol w:w="1070"/>
        <w:gridCol w:w="719"/>
        <w:gridCol w:w="966"/>
        <w:gridCol w:w="966"/>
        <w:gridCol w:w="1227"/>
        <w:gridCol w:w="1021"/>
        <w:gridCol w:w="719"/>
        <w:gridCol w:w="786"/>
        <w:gridCol w:w="581"/>
      </w:tblGrid>
      <w:tr w:rsidR="00B36EBD" w:rsidRPr="009259A7" w14:paraId="2F122F7E" w14:textId="77777777" w:rsidTr="00EA00B9">
        <w:trPr>
          <w:trHeight w:val="251"/>
          <w:jc w:val="center"/>
        </w:trPr>
        <w:tc>
          <w:tcPr>
            <w:tcW w:w="1357" w:type="dxa"/>
            <w:tcBorders>
              <w:left w:val="nil"/>
              <w:bottom w:val="single" w:sz="4" w:space="0" w:color="auto"/>
              <w:right w:val="nil"/>
            </w:tcBorders>
          </w:tcPr>
          <w:p w14:paraId="2AF24D67" w14:textId="77777777" w:rsidR="00BF6F9E" w:rsidRPr="00D7101E" w:rsidRDefault="00D7101E" w:rsidP="00D7101E">
            <w:pPr>
              <w:spacing w:after="0" w:line="240" w:lineRule="auto"/>
              <w:outlineLvl w:val="0"/>
              <w:rPr>
                <w:rFonts w:ascii="Times New Roman" w:hAnsi="Times New Roman"/>
                <w:b/>
              </w:rPr>
            </w:pPr>
            <w:r w:rsidRPr="00D7101E">
              <w:rPr>
                <w:rFonts w:ascii="Times New Roman" w:hAnsi="Times New Roman"/>
                <w:b/>
              </w:rPr>
              <w:t xml:space="preserve">   Strategy</w:t>
            </w:r>
          </w:p>
        </w:tc>
        <w:tc>
          <w:tcPr>
            <w:tcW w:w="0" w:type="auto"/>
            <w:tcBorders>
              <w:left w:val="nil"/>
              <w:bottom w:val="single" w:sz="4" w:space="0" w:color="auto"/>
              <w:right w:val="nil"/>
            </w:tcBorders>
          </w:tcPr>
          <w:p w14:paraId="2C9039CB" w14:textId="77777777" w:rsidR="00BF6F9E" w:rsidRPr="00D7101E" w:rsidRDefault="00556A17" w:rsidP="00734EE4">
            <w:pPr>
              <w:spacing w:after="0" w:line="240" w:lineRule="auto"/>
              <w:jc w:val="center"/>
              <w:outlineLvl w:val="0"/>
              <w:rPr>
                <w:rFonts w:ascii="Times New Roman" w:hAnsi="Times New Roman"/>
                <w:b/>
              </w:rPr>
            </w:pPr>
            <w:r w:rsidRPr="00D7101E">
              <w:rPr>
                <w:rFonts w:ascii="Times New Roman" w:hAnsi="Times New Roman"/>
                <w:b/>
              </w:rPr>
              <w:t>alpha</w:t>
            </w:r>
          </w:p>
        </w:tc>
        <w:tc>
          <w:tcPr>
            <w:tcW w:w="1070" w:type="dxa"/>
            <w:tcBorders>
              <w:left w:val="nil"/>
              <w:bottom w:val="single" w:sz="4" w:space="0" w:color="auto"/>
              <w:right w:val="nil"/>
            </w:tcBorders>
          </w:tcPr>
          <w:p w14:paraId="3405ECA6" w14:textId="77777777" w:rsidR="00BF6F9E" w:rsidRPr="00D7101E" w:rsidRDefault="00BF1637" w:rsidP="006F53FC">
            <w:pPr>
              <w:spacing w:after="0" w:line="240" w:lineRule="auto"/>
              <w:jc w:val="center"/>
              <w:outlineLvl w:val="0"/>
              <w:rPr>
                <w:rFonts w:ascii="Times New Roman" w:hAnsi="Times New Roman"/>
                <w:b/>
              </w:rPr>
            </w:pPr>
            <w:r w:rsidRPr="00D7101E">
              <w:rPr>
                <w:rFonts w:ascii="Times New Roman" w:hAnsi="Times New Roman"/>
                <w:b/>
              </w:rPr>
              <w:t>MKT</w:t>
            </w:r>
          </w:p>
        </w:tc>
        <w:tc>
          <w:tcPr>
            <w:tcW w:w="0" w:type="auto"/>
            <w:tcBorders>
              <w:left w:val="nil"/>
              <w:bottom w:val="single" w:sz="4" w:space="0" w:color="auto"/>
              <w:right w:val="nil"/>
            </w:tcBorders>
          </w:tcPr>
          <w:p w14:paraId="62547638" w14:textId="77777777" w:rsidR="00BF6F9E" w:rsidRPr="00D7101E" w:rsidRDefault="00BF6F9E" w:rsidP="00734EE4">
            <w:pPr>
              <w:spacing w:after="0" w:line="240" w:lineRule="auto"/>
              <w:jc w:val="center"/>
              <w:outlineLvl w:val="0"/>
              <w:rPr>
                <w:rFonts w:ascii="Times New Roman" w:hAnsi="Times New Roman"/>
                <w:b/>
              </w:rPr>
            </w:pPr>
            <w:r w:rsidRPr="00D7101E">
              <w:rPr>
                <w:rFonts w:ascii="Times New Roman" w:hAnsi="Times New Roman"/>
                <w:b/>
              </w:rPr>
              <w:t>SMB</w:t>
            </w:r>
          </w:p>
        </w:tc>
        <w:tc>
          <w:tcPr>
            <w:tcW w:w="966" w:type="dxa"/>
            <w:tcBorders>
              <w:left w:val="nil"/>
              <w:bottom w:val="single" w:sz="4" w:space="0" w:color="auto"/>
              <w:right w:val="nil"/>
            </w:tcBorders>
          </w:tcPr>
          <w:p w14:paraId="5D481AFC" w14:textId="77777777" w:rsidR="00BF6F9E" w:rsidRPr="00D7101E" w:rsidRDefault="00BF6F9E" w:rsidP="00734EE4">
            <w:pPr>
              <w:spacing w:after="0" w:line="240" w:lineRule="auto"/>
              <w:jc w:val="center"/>
              <w:outlineLvl w:val="0"/>
              <w:rPr>
                <w:rFonts w:ascii="Times New Roman" w:hAnsi="Times New Roman"/>
                <w:b/>
              </w:rPr>
            </w:pPr>
            <w:r w:rsidRPr="00D7101E">
              <w:rPr>
                <w:rFonts w:ascii="Times New Roman" w:hAnsi="Times New Roman"/>
                <w:b/>
              </w:rPr>
              <w:t>HML</w:t>
            </w:r>
          </w:p>
        </w:tc>
        <w:tc>
          <w:tcPr>
            <w:tcW w:w="966" w:type="dxa"/>
            <w:tcBorders>
              <w:left w:val="nil"/>
              <w:bottom w:val="single" w:sz="4" w:space="0" w:color="auto"/>
              <w:right w:val="nil"/>
            </w:tcBorders>
          </w:tcPr>
          <w:p w14:paraId="32400AD1" w14:textId="77777777" w:rsidR="00BF6F9E" w:rsidRPr="00D7101E" w:rsidRDefault="00BF6F9E" w:rsidP="00734EE4">
            <w:pPr>
              <w:spacing w:after="0" w:line="240" w:lineRule="auto"/>
              <w:jc w:val="center"/>
              <w:outlineLvl w:val="0"/>
              <w:rPr>
                <w:rFonts w:ascii="Times New Roman" w:hAnsi="Times New Roman"/>
                <w:b/>
              </w:rPr>
            </w:pPr>
            <w:r w:rsidRPr="00D7101E">
              <w:rPr>
                <w:rFonts w:ascii="Times New Roman" w:hAnsi="Times New Roman"/>
                <w:b/>
              </w:rPr>
              <w:t>WML</w:t>
            </w:r>
          </w:p>
        </w:tc>
        <w:tc>
          <w:tcPr>
            <w:tcW w:w="0" w:type="auto"/>
            <w:tcBorders>
              <w:left w:val="nil"/>
              <w:bottom w:val="single" w:sz="4" w:space="0" w:color="auto"/>
              <w:right w:val="nil"/>
            </w:tcBorders>
          </w:tcPr>
          <w:p w14:paraId="5DEBC286" w14:textId="77777777" w:rsidR="00BF6F9E" w:rsidRPr="00D7101E" w:rsidRDefault="00BF6F9E" w:rsidP="00BF1637">
            <w:pPr>
              <w:spacing w:after="0" w:line="240" w:lineRule="auto"/>
              <w:jc w:val="center"/>
              <w:outlineLvl w:val="0"/>
              <w:rPr>
                <w:rFonts w:ascii="Times New Roman" w:hAnsi="Times New Roman"/>
                <w:b/>
              </w:rPr>
            </w:pPr>
            <w:proofErr w:type="spellStart"/>
            <w:r w:rsidRPr="00D7101E">
              <w:rPr>
                <w:rFonts w:ascii="Times New Roman" w:hAnsi="Times New Roman"/>
                <w:b/>
              </w:rPr>
              <w:t>MSCIBank</w:t>
            </w:r>
            <w:proofErr w:type="spellEnd"/>
          </w:p>
        </w:tc>
        <w:tc>
          <w:tcPr>
            <w:tcW w:w="0" w:type="auto"/>
            <w:tcBorders>
              <w:left w:val="nil"/>
              <w:bottom w:val="single" w:sz="4" w:space="0" w:color="auto"/>
              <w:right w:val="nil"/>
            </w:tcBorders>
          </w:tcPr>
          <w:p w14:paraId="38927D46" w14:textId="77777777" w:rsidR="00BF6F9E" w:rsidRPr="00D7101E" w:rsidRDefault="00BF6F9E" w:rsidP="00734EE4">
            <w:pPr>
              <w:spacing w:after="0" w:line="240" w:lineRule="auto"/>
              <w:jc w:val="center"/>
              <w:outlineLvl w:val="0"/>
              <w:rPr>
                <w:rFonts w:ascii="Times New Roman" w:hAnsi="Times New Roman"/>
                <w:b/>
              </w:rPr>
            </w:pPr>
            <w:r w:rsidRPr="00D7101E">
              <w:rPr>
                <w:rFonts w:ascii="Times New Roman" w:hAnsi="Times New Roman"/>
                <w:b/>
              </w:rPr>
              <w:t>TRSY5Y</w:t>
            </w:r>
          </w:p>
        </w:tc>
        <w:tc>
          <w:tcPr>
            <w:tcW w:w="0" w:type="auto"/>
            <w:tcBorders>
              <w:left w:val="nil"/>
              <w:bottom w:val="single" w:sz="4" w:space="0" w:color="auto"/>
              <w:right w:val="nil"/>
            </w:tcBorders>
          </w:tcPr>
          <w:p w14:paraId="66DCC42A" w14:textId="77777777" w:rsidR="00BF6F9E" w:rsidRPr="00D7101E" w:rsidRDefault="00BF6F9E" w:rsidP="00BF1637">
            <w:pPr>
              <w:spacing w:after="0" w:line="240" w:lineRule="auto"/>
              <w:jc w:val="center"/>
              <w:outlineLvl w:val="0"/>
              <w:rPr>
                <w:rFonts w:ascii="Times New Roman" w:hAnsi="Times New Roman"/>
                <w:b/>
              </w:rPr>
            </w:pPr>
            <w:r w:rsidRPr="00D7101E">
              <w:rPr>
                <w:rFonts w:ascii="Times New Roman" w:hAnsi="Times New Roman"/>
                <w:b/>
              </w:rPr>
              <w:t>I</w:t>
            </w:r>
            <w:r w:rsidR="00BF1637" w:rsidRPr="00D7101E">
              <w:rPr>
                <w:rFonts w:ascii="Times New Roman" w:hAnsi="Times New Roman"/>
                <w:b/>
              </w:rPr>
              <w:t>ND</w:t>
            </w:r>
          </w:p>
        </w:tc>
        <w:tc>
          <w:tcPr>
            <w:tcW w:w="0" w:type="auto"/>
            <w:tcBorders>
              <w:left w:val="nil"/>
              <w:bottom w:val="single" w:sz="4" w:space="0" w:color="auto"/>
              <w:right w:val="nil"/>
            </w:tcBorders>
          </w:tcPr>
          <w:p w14:paraId="3E5E6204" w14:textId="77777777" w:rsidR="00BF6F9E" w:rsidRPr="00D7101E" w:rsidRDefault="00BF6F9E" w:rsidP="00BF1637">
            <w:pPr>
              <w:spacing w:after="0" w:line="240" w:lineRule="auto"/>
              <w:jc w:val="center"/>
              <w:outlineLvl w:val="0"/>
              <w:rPr>
                <w:rFonts w:ascii="Times New Roman" w:hAnsi="Times New Roman"/>
                <w:b/>
              </w:rPr>
            </w:pPr>
            <w:r w:rsidRPr="00D7101E">
              <w:rPr>
                <w:rFonts w:ascii="Times New Roman" w:hAnsi="Times New Roman"/>
                <w:b/>
              </w:rPr>
              <w:t>F</w:t>
            </w:r>
            <w:r w:rsidR="00BF1637" w:rsidRPr="00D7101E">
              <w:rPr>
                <w:rFonts w:ascii="Times New Roman" w:hAnsi="Times New Roman"/>
                <w:b/>
              </w:rPr>
              <w:t>IN</w:t>
            </w:r>
          </w:p>
        </w:tc>
        <w:tc>
          <w:tcPr>
            <w:tcW w:w="0" w:type="auto"/>
            <w:tcBorders>
              <w:left w:val="nil"/>
              <w:bottom w:val="single" w:sz="4" w:space="0" w:color="auto"/>
              <w:right w:val="nil"/>
            </w:tcBorders>
          </w:tcPr>
          <w:p w14:paraId="45E2F65D" w14:textId="77777777" w:rsidR="00BF6F9E" w:rsidRPr="00D7101E" w:rsidRDefault="00BF6F9E" w:rsidP="00734EE4">
            <w:pPr>
              <w:spacing w:after="0" w:line="240" w:lineRule="auto"/>
              <w:jc w:val="center"/>
              <w:outlineLvl w:val="0"/>
              <w:rPr>
                <w:rFonts w:ascii="Times New Roman" w:hAnsi="Times New Roman"/>
                <w:b/>
                <w:vertAlign w:val="superscript"/>
              </w:rPr>
            </w:pPr>
            <w:r w:rsidRPr="00D7101E">
              <w:rPr>
                <w:rFonts w:ascii="Times New Roman" w:hAnsi="Times New Roman"/>
                <w:b/>
              </w:rPr>
              <w:t>R</w:t>
            </w:r>
            <w:r w:rsidRPr="00D7101E">
              <w:rPr>
                <w:rFonts w:ascii="Times New Roman" w:hAnsi="Times New Roman"/>
                <w:b/>
                <w:vertAlign w:val="superscript"/>
              </w:rPr>
              <w:t>2</w:t>
            </w:r>
          </w:p>
        </w:tc>
      </w:tr>
      <w:tr w:rsidR="00B36EBD" w:rsidRPr="006F53FC" w14:paraId="22281217" w14:textId="77777777" w:rsidTr="00EA00B9">
        <w:trPr>
          <w:trHeight w:val="267"/>
          <w:jc w:val="center"/>
        </w:trPr>
        <w:tc>
          <w:tcPr>
            <w:tcW w:w="1357" w:type="dxa"/>
            <w:tcBorders>
              <w:top w:val="single" w:sz="4" w:space="0" w:color="auto"/>
              <w:left w:val="nil"/>
              <w:bottom w:val="nil"/>
              <w:right w:val="nil"/>
            </w:tcBorders>
          </w:tcPr>
          <w:p w14:paraId="67B4C937" w14:textId="77777777" w:rsidR="00BF6F9E" w:rsidRPr="00D7101E" w:rsidRDefault="00BF6F9E" w:rsidP="00734EE4">
            <w:pPr>
              <w:spacing w:after="0" w:line="240" w:lineRule="auto"/>
              <w:jc w:val="center"/>
              <w:outlineLvl w:val="0"/>
              <w:rPr>
                <w:rFonts w:ascii="Times New Roman" w:hAnsi="Times New Roman"/>
              </w:rPr>
            </w:pPr>
            <w:r w:rsidRPr="00D7101E">
              <w:rPr>
                <w:rFonts w:ascii="Times New Roman" w:hAnsi="Times New Roman"/>
              </w:rPr>
              <w:t>Strategy 1</w:t>
            </w:r>
          </w:p>
        </w:tc>
        <w:tc>
          <w:tcPr>
            <w:tcW w:w="0" w:type="auto"/>
            <w:tcBorders>
              <w:top w:val="single" w:sz="4" w:space="0" w:color="auto"/>
              <w:left w:val="nil"/>
              <w:bottom w:val="nil"/>
              <w:right w:val="nil"/>
            </w:tcBorders>
          </w:tcPr>
          <w:p w14:paraId="1D983805" w14:textId="77777777" w:rsidR="00BF6F9E" w:rsidRPr="006F53FC" w:rsidRDefault="00BF1637" w:rsidP="009A5ADE">
            <w:pPr>
              <w:spacing w:after="0" w:line="240" w:lineRule="auto"/>
              <w:jc w:val="center"/>
              <w:outlineLvl w:val="0"/>
              <w:rPr>
                <w:rFonts w:ascii="Times New Roman" w:hAnsi="Times New Roman"/>
              </w:rPr>
            </w:pPr>
            <w:r>
              <w:rPr>
                <w:rFonts w:ascii="Times New Roman" w:hAnsi="Times New Roman"/>
              </w:rPr>
              <w:t>-0.0</w:t>
            </w:r>
            <w:r w:rsidR="009A5ADE">
              <w:rPr>
                <w:rFonts w:ascii="Times New Roman" w:hAnsi="Times New Roman"/>
              </w:rPr>
              <w:t>6</w:t>
            </w:r>
          </w:p>
        </w:tc>
        <w:tc>
          <w:tcPr>
            <w:tcW w:w="1070" w:type="dxa"/>
            <w:tcBorders>
              <w:top w:val="single" w:sz="4" w:space="0" w:color="auto"/>
              <w:left w:val="nil"/>
              <w:bottom w:val="nil"/>
              <w:right w:val="nil"/>
            </w:tcBorders>
          </w:tcPr>
          <w:p w14:paraId="73A9E703" w14:textId="77777777" w:rsidR="00BF6F9E" w:rsidRPr="006F53FC" w:rsidRDefault="00BF1637" w:rsidP="009A5ADE">
            <w:pPr>
              <w:spacing w:after="0" w:line="240" w:lineRule="auto"/>
              <w:jc w:val="center"/>
              <w:outlineLvl w:val="0"/>
              <w:rPr>
                <w:rFonts w:ascii="Times New Roman" w:hAnsi="Times New Roman"/>
              </w:rPr>
            </w:pPr>
            <w:r>
              <w:rPr>
                <w:rFonts w:ascii="Times New Roman" w:hAnsi="Times New Roman"/>
              </w:rPr>
              <w:t>-0.0</w:t>
            </w:r>
            <w:r w:rsidR="009A5ADE">
              <w:rPr>
                <w:rFonts w:ascii="Times New Roman" w:hAnsi="Times New Roman"/>
              </w:rPr>
              <w:t>8</w:t>
            </w:r>
          </w:p>
        </w:tc>
        <w:tc>
          <w:tcPr>
            <w:tcW w:w="0" w:type="auto"/>
            <w:tcBorders>
              <w:top w:val="single" w:sz="4" w:space="0" w:color="auto"/>
              <w:left w:val="nil"/>
              <w:bottom w:val="nil"/>
              <w:right w:val="nil"/>
            </w:tcBorders>
          </w:tcPr>
          <w:p w14:paraId="58105E11" w14:textId="77777777" w:rsidR="00BF6F9E" w:rsidRPr="006F53FC" w:rsidRDefault="00BF1637" w:rsidP="009A5ADE">
            <w:pPr>
              <w:spacing w:after="0" w:line="240" w:lineRule="auto"/>
              <w:jc w:val="center"/>
              <w:outlineLvl w:val="0"/>
              <w:rPr>
                <w:rFonts w:ascii="Times New Roman" w:hAnsi="Times New Roman"/>
              </w:rPr>
            </w:pPr>
            <w:r>
              <w:rPr>
                <w:rFonts w:ascii="Times New Roman" w:hAnsi="Times New Roman"/>
              </w:rPr>
              <w:t>-0.1</w:t>
            </w:r>
            <w:r w:rsidR="009A5ADE">
              <w:rPr>
                <w:rFonts w:ascii="Times New Roman" w:hAnsi="Times New Roman"/>
              </w:rPr>
              <w:t>9</w:t>
            </w:r>
          </w:p>
        </w:tc>
        <w:tc>
          <w:tcPr>
            <w:tcW w:w="966" w:type="dxa"/>
            <w:tcBorders>
              <w:top w:val="single" w:sz="4" w:space="0" w:color="auto"/>
              <w:left w:val="nil"/>
              <w:bottom w:val="nil"/>
              <w:right w:val="nil"/>
            </w:tcBorders>
          </w:tcPr>
          <w:p w14:paraId="06F5954F" w14:textId="77777777" w:rsidR="00BF6F9E" w:rsidRPr="006F53FC" w:rsidRDefault="00BF1637" w:rsidP="009A5ADE">
            <w:pPr>
              <w:spacing w:after="0" w:line="240" w:lineRule="auto"/>
              <w:jc w:val="center"/>
              <w:outlineLvl w:val="0"/>
              <w:rPr>
                <w:rFonts w:ascii="Times New Roman" w:hAnsi="Times New Roman"/>
              </w:rPr>
            </w:pPr>
            <w:r>
              <w:rPr>
                <w:rFonts w:ascii="Times New Roman" w:hAnsi="Times New Roman"/>
              </w:rPr>
              <w:t>0.0</w:t>
            </w:r>
            <w:r w:rsidR="009A5ADE">
              <w:rPr>
                <w:rFonts w:ascii="Times New Roman" w:hAnsi="Times New Roman"/>
              </w:rPr>
              <w:t>6</w:t>
            </w:r>
          </w:p>
        </w:tc>
        <w:tc>
          <w:tcPr>
            <w:tcW w:w="966" w:type="dxa"/>
            <w:tcBorders>
              <w:top w:val="single" w:sz="4" w:space="0" w:color="auto"/>
              <w:left w:val="nil"/>
              <w:bottom w:val="nil"/>
              <w:right w:val="nil"/>
            </w:tcBorders>
          </w:tcPr>
          <w:p w14:paraId="166DB717" w14:textId="77777777" w:rsidR="00BF6F9E" w:rsidRPr="006F53FC" w:rsidRDefault="00BF1637" w:rsidP="009A5ADE">
            <w:pPr>
              <w:spacing w:after="0" w:line="240" w:lineRule="auto"/>
              <w:jc w:val="center"/>
              <w:outlineLvl w:val="0"/>
              <w:rPr>
                <w:rFonts w:ascii="Times New Roman" w:hAnsi="Times New Roman"/>
              </w:rPr>
            </w:pPr>
            <w:r>
              <w:rPr>
                <w:rFonts w:ascii="Times New Roman" w:hAnsi="Times New Roman"/>
              </w:rPr>
              <w:t>0.0</w:t>
            </w:r>
            <w:r w:rsidR="009A5ADE">
              <w:rPr>
                <w:rFonts w:ascii="Times New Roman" w:hAnsi="Times New Roman"/>
              </w:rPr>
              <w:t>9</w:t>
            </w:r>
          </w:p>
        </w:tc>
        <w:tc>
          <w:tcPr>
            <w:tcW w:w="0" w:type="auto"/>
            <w:tcBorders>
              <w:top w:val="single" w:sz="4" w:space="0" w:color="auto"/>
              <w:left w:val="nil"/>
              <w:bottom w:val="nil"/>
              <w:right w:val="nil"/>
            </w:tcBorders>
          </w:tcPr>
          <w:p w14:paraId="0A15BA76" w14:textId="77777777" w:rsidR="00BF6F9E" w:rsidRPr="006F53FC" w:rsidRDefault="00BF1637" w:rsidP="009A5ADE">
            <w:pPr>
              <w:spacing w:after="0" w:line="240" w:lineRule="auto"/>
              <w:jc w:val="center"/>
              <w:outlineLvl w:val="0"/>
              <w:rPr>
                <w:rFonts w:ascii="Times New Roman" w:hAnsi="Times New Roman"/>
              </w:rPr>
            </w:pPr>
            <w:r>
              <w:rPr>
                <w:rFonts w:ascii="Times New Roman" w:hAnsi="Times New Roman"/>
              </w:rPr>
              <w:t>0.1</w:t>
            </w:r>
            <w:r w:rsidR="009A5ADE">
              <w:rPr>
                <w:rFonts w:ascii="Times New Roman" w:hAnsi="Times New Roman"/>
              </w:rPr>
              <w:t>5*</w:t>
            </w:r>
            <w:r w:rsidR="00DC49CE">
              <w:rPr>
                <w:rFonts w:ascii="Times New Roman" w:hAnsi="Times New Roman"/>
              </w:rPr>
              <w:t>*</w:t>
            </w:r>
          </w:p>
        </w:tc>
        <w:tc>
          <w:tcPr>
            <w:tcW w:w="0" w:type="auto"/>
            <w:tcBorders>
              <w:top w:val="single" w:sz="4" w:space="0" w:color="auto"/>
              <w:left w:val="nil"/>
              <w:bottom w:val="nil"/>
              <w:right w:val="nil"/>
            </w:tcBorders>
          </w:tcPr>
          <w:p w14:paraId="7E9EF0D1" w14:textId="77777777" w:rsidR="00BF6F9E" w:rsidRPr="006F53FC" w:rsidRDefault="009A5ADE" w:rsidP="009A5ADE">
            <w:pPr>
              <w:spacing w:after="0" w:line="240" w:lineRule="auto"/>
              <w:jc w:val="center"/>
              <w:outlineLvl w:val="0"/>
              <w:rPr>
                <w:rFonts w:ascii="Times New Roman" w:hAnsi="Times New Roman"/>
              </w:rPr>
            </w:pPr>
            <w:r>
              <w:rPr>
                <w:rFonts w:ascii="Times New Roman" w:hAnsi="Times New Roman"/>
              </w:rPr>
              <w:t>-</w:t>
            </w:r>
            <w:r w:rsidR="00BF1637">
              <w:rPr>
                <w:rFonts w:ascii="Times New Roman" w:hAnsi="Times New Roman"/>
              </w:rPr>
              <w:t>0.</w:t>
            </w:r>
            <w:r>
              <w:rPr>
                <w:rFonts w:ascii="Times New Roman" w:hAnsi="Times New Roman"/>
              </w:rPr>
              <w:t>0</w:t>
            </w:r>
            <w:r w:rsidR="00BF1637">
              <w:rPr>
                <w:rFonts w:ascii="Times New Roman" w:hAnsi="Times New Roman"/>
              </w:rPr>
              <w:t>1</w:t>
            </w:r>
          </w:p>
        </w:tc>
        <w:tc>
          <w:tcPr>
            <w:tcW w:w="0" w:type="auto"/>
            <w:tcBorders>
              <w:top w:val="single" w:sz="4" w:space="0" w:color="auto"/>
              <w:left w:val="nil"/>
              <w:bottom w:val="nil"/>
              <w:right w:val="nil"/>
            </w:tcBorders>
          </w:tcPr>
          <w:p w14:paraId="32898BB8" w14:textId="77777777" w:rsidR="00BF6F9E" w:rsidRPr="006F53FC" w:rsidRDefault="00BF1637" w:rsidP="009A5ADE">
            <w:pPr>
              <w:spacing w:after="0" w:line="240" w:lineRule="auto"/>
              <w:jc w:val="center"/>
              <w:outlineLvl w:val="0"/>
              <w:rPr>
                <w:rFonts w:ascii="Times New Roman" w:hAnsi="Times New Roman"/>
              </w:rPr>
            </w:pPr>
            <w:r>
              <w:rPr>
                <w:rFonts w:ascii="Times New Roman" w:hAnsi="Times New Roman"/>
              </w:rPr>
              <w:t>0.</w:t>
            </w:r>
            <w:r w:rsidR="009A5ADE">
              <w:rPr>
                <w:rFonts w:ascii="Times New Roman" w:hAnsi="Times New Roman"/>
              </w:rPr>
              <w:t>11</w:t>
            </w:r>
          </w:p>
        </w:tc>
        <w:tc>
          <w:tcPr>
            <w:tcW w:w="0" w:type="auto"/>
            <w:tcBorders>
              <w:top w:val="single" w:sz="4" w:space="0" w:color="auto"/>
              <w:left w:val="nil"/>
              <w:bottom w:val="nil"/>
              <w:right w:val="nil"/>
            </w:tcBorders>
          </w:tcPr>
          <w:p w14:paraId="61C1ED2E" w14:textId="77777777" w:rsidR="00BF6F9E" w:rsidRPr="006F53FC" w:rsidRDefault="00BF1637" w:rsidP="009A5ADE">
            <w:pPr>
              <w:spacing w:after="0" w:line="240" w:lineRule="auto"/>
              <w:jc w:val="center"/>
              <w:outlineLvl w:val="0"/>
              <w:rPr>
                <w:rFonts w:ascii="Times New Roman" w:hAnsi="Times New Roman"/>
              </w:rPr>
            </w:pPr>
            <w:r>
              <w:rPr>
                <w:rFonts w:ascii="Times New Roman" w:hAnsi="Times New Roman"/>
              </w:rPr>
              <w:t>0.1</w:t>
            </w:r>
            <w:r w:rsidR="009A5ADE">
              <w:rPr>
                <w:rFonts w:ascii="Times New Roman" w:hAnsi="Times New Roman"/>
              </w:rPr>
              <w:t>3</w:t>
            </w:r>
          </w:p>
        </w:tc>
        <w:tc>
          <w:tcPr>
            <w:tcW w:w="0" w:type="auto"/>
            <w:tcBorders>
              <w:top w:val="single" w:sz="4" w:space="0" w:color="auto"/>
              <w:left w:val="nil"/>
              <w:bottom w:val="nil"/>
              <w:right w:val="nil"/>
            </w:tcBorders>
          </w:tcPr>
          <w:p w14:paraId="67B4E7A8" w14:textId="77777777" w:rsidR="00BF6F9E" w:rsidRPr="006F53FC" w:rsidRDefault="00BF1637" w:rsidP="009A5ADE">
            <w:pPr>
              <w:spacing w:after="0" w:line="240" w:lineRule="auto"/>
              <w:jc w:val="center"/>
              <w:outlineLvl w:val="0"/>
              <w:rPr>
                <w:rFonts w:ascii="Times New Roman" w:hAnsi="Times New Roman"/>
              </w:rPr>
            </w:pPr>
            <w:r>
              <w:rPr>
                <w:rFonts w:ascii="Times New Roman" w:hAnsi="Times New Roman"/>
              </w:rPr>
              <w:t>0.</w:t>
            </w:r>
            <w:r w:rsidR="009A5ADE">
              <w:rPr>
                <w:rFonts w:ascii="Times New Roman" w:hAnsi="Times New Roman"/>
              </w:rPr>
              <w:t>49</w:t>
            </w:r>
          </w:p>
        </w:tc>
      </w:tr>
      <w:tr w:rsidR="00B36EBD" w:rsidRPr="006F53FC" w14:paraId="03D3F2AF" w14:textId="77777777" w:rsidTr="00EA00B9">
        <w:trPr>
          <w:trHeight w:val="267"/>
          <w:jc w:val="center"/>
        </w:trPr>
        <w:tc>
          <w:tcPr>
            <w:tcW w:w="1357" w:type="dxa"/>
            <w:tcBorders>
              <w:top w:val="nil"/>
              <w:left w:val="nil"/>
              <w:bottom w:val="nil"/>
              <w:right w:val="nil"/>
            </w:tcBorders>
          </w:tcPr>
          <w:p w14:paraId="764AD212" w14:textId="77777777" w:rsidR="005B7447" w:rsidRPr="00D7101E" w:rsidRDefault="005B7447" w:rsidP="00734EE4">
            <w:pPr>
              <w:spacing w:after="0" w:line="240" w:lineRule="auto"/>
              <w:jc w:val="center"/>
              <w:outlineLvl w:val="0"/>
              <w:rPr>
                <w:rFonts w:ascii="Times New Roman" w:hAnsi="Times New Roman"/>
              </w:rPr>
            </w:pPr>
          </w:p>
        </w:tc>
        <w:tc>
          <w:tcPr>
            <w:tcW w:w="0" w:type="auto"/>
            <w:tcBorders>
              <w:top w:val="nil"/>
              <w:left w:val="nil"/>
              <w:bottom w:val="nil"/>
              <w:right w:val="nil"/>
            </w:tcBorders>
          </w:tcPr>
          <w:p w14:paraId="2F69F4F3" w14:textId="77777777" w:rsidR="005B7447" w:rsidRPr="006F53FC" w:rsidRDefault="00BF1637" w:rsidP="009A5ADE">
            <w:pPr>
              <w:spacing w:after="0" w:line="240" w:lineRule="auto"/>
              <w:jc w:val="center"/>
              <w:outlineLvl w:val="0"/>
              <w:rPr>
                <w:rFonts w:ascii="Times New Roman" w:hAnsi="Times New Roman"/>
              </w:rPr>
            </w:pPr>
            <w:r>
              <w:rPr>
                <w:rFonts w:ascii="Times New Roman" w:hAnsi="Times New Roman"/>
              </w:rPr>
              <w:t>(0.</w:t>
            </w:r>
            <w:r w:rsidR="009A5ADE">
              <w:rPr>
                <w:rFonts w:ascii="Times New Roman" w:hAnsi="Times New Roman"/>
              </w:rPr>
              <w:t>23</w:t>
            </w:r>
            <w:r>
              <w:rPr>
                <w:rFonts w:ascii="Times New Roman" w:hAnsi="Times New Roman"/>
              </w:rPr>
              <w:t>)</w:t>
            </w:r>
          </w:p>
        </w:tc>
        <w:tc>
          <w:tcPr>
            <w:tcW w:w="1070" w:type="dxa"/>
            <w:tcBorders>
              <w:top w:val="nil"/>
              <w:left w:val="nil"/>
              <w:bottom w:val="nil"/>
              <w:right w:val="nil"/>
            </w:tcBorders>
          </w:tcPr>
          <w:p w14:paraId="0EE6E439" w14:textId="77777777" w:rsidR="005B7447" w:rsidRPr="006F53FC" w:rsidRDefault="00BF1637" w:rsidP="009A5ADE">
            <w:pPr>
              <w:spacing w:after="0" w:line="240" w:lineRule="auto"/>
              <w:jc w:val="center"/>
              <w:outlineLvl w:val="0"/>
              <w:rPr>
                <w:rFonts w:ascii="Times New Roman" w:hAnsi="Times New Roman"/>
              </w:rPr>
            </w:pPr>
            <w:r>
              <w:rPr>
                <w:rFonts w:ascii="Times New Roman" w:hAnsi="Times New Roman"/>
              </w:rPr>
              <w:t>(0.0</w:t>
            </w:r>
            <w:r w:rsidR="009A5ADE">
              <w:rPr>
                <w:rFonts w:ascii="Times New Roman" w:hAnsi="Times New Roman"/>
              </w:rPr>
              <w:t>9</w:t>
            </w:r>
            <w:r>
              <w:rPr>
                <w:rFonts w:ascii="Times New Roman" w:hAnsi="Times New Roman"/>
              </w:rPr>
              <w:t>)</w:t>
            </w:r>
          </w:p>
        </w:tc>
        <w:tc>
          <w:tcPr>
            <w:tcW w:w="0" w:type="auto"/>
            <w:tcBorders>
              <w:top w:val="nil"/>
              <w:left w:val="nil"/>
              <w:bottom w:val="nil"/>
              <w:right w:val="nil"/>
            </w:tcBorders>
          </w:tcPr>
          <w:p w14:paraId="4ACE1F4B" w14:textId="77777777" w:rsidR="005B7447" w:rsidRPr="006F53FC" w:rsidRDefault="00BF1637" w:rsidP="009A5ADE">
            <w:pPr>
              <w:spacing w:after="0" w:line="240" w:lineRule="auto"/>
              <w:jc w:val="center"/>
              <w:outlineLvl w:val="0"/>
              <w:rPr>
                <w:rFonts w:ascii="Times New Roman" w:hAnsi="Times New Roman"/>
              </w:rPr>
            </w:pPr>
            <w:r>
              <w:rPr>
                <w:rFonts w:ascii="Times New Roman" w:hAnsi="Times New Roman"/>
              </w:rPr>
              <w:t>(0.1</w:t>
            </w:r>
            <w:r w:rsidR="009A5ADE">
              <w:rPr>
                <w:rFonts w:ascii="Times New Roman" w:hAnsi="Times New Roman"/>
              </w:rPr>
              <w:t>4</w:t>
            </w:r>
            <w:r>
              <w:rPr>
                <w:rFonts w:ascii="Times New Roman" w:hAnsi="Times New Roman"/>
              </w:rPr>
              <w:t>)</w:t>
            </w:r>
          </w:p>
        </w:tc>
        <w:tc>
          <w:tcPr>
            <w:tcW w:w="966" w:type="dxa"/>
            <w:tcBorders>
              <w:top w:val="nil"/>
              <w:left w:val="nil"/>
              <w:bottom w:val="nil"/>
              <w:right w:val="nil"/>
            </w:tcBorders>
          </w:tcPr>
          <w:p w14:paraId="6093701D" w14:textId="77777777" w:rsidR="005B7447" w:rsidRPr="006F53FC" w:rsidRDefault="00BF1637" w:rsidP="009A5ADE">
            <w:pPr>
              <w:spacing w:after="0" w:line="240" w:lineRule="auto"/>
              <w:jc w:val="center"/>
              <w:outlineLvl w:val="0"/>
              <w:rPr>
                <w:rFonts w:ascii="Times New Roman" w:hAnsi="Times New Roman"/>
              </w:rPr>
            </w:pPr>
            <w:r>
              <w:rPr>
                <w:rFonts w:ascii="Times New Roman" w:hAnsi="Times New Roman"/>
              </w:rPr>
              <w:t>(0.</w:t>
            </w:r>
            <w:r w:rsidR="009A5ADE">
              <w:rPr>
                <w:rFonts w:ascii="Times New Roman" w:hAnsi="Times New Roman"/>
              </w:rPr>
              <w:t>23</w:t>
            </w:r>
            <w:r>
              <w:rPr>
                <w:rFonts w:ascii="Times New Roman" w:hAnsi="Times New Roman"/>
              </w:rPr>
              <w:t>)</w:t>
            </w:r>
          </w:p>
        </w:tc>
        <w:tc>
          <w:tcPr>
            <w:tcW w:w="966" w:type="dxa"/>
            <w:tcBorders>
              <w:top w:val="nil"/>
              <w:left w:val="nil"/>
              <w:bottom w:val="nil"/>
              <w:right w:val="nil"/>
            </w:tcBorders>
          </w:tcPr>
          <w:p w14:paraId="1340E9A5" w14:textId="77777777" w:rsidR="005B7447" w:rsidRPr="006F53FC" w:rsidRDefault="00BF1637" w:rsidP="009A5ADE">
            <w:pPr>
              <w:spacing w:after="0" w:line="240" w:lineRule="auto"/>
              <w:jc w:val="center"/>
              <w:outlineLvl w:val="0"/>
              <w:rPr>
                <w:rFonts w:ascii="Times New Roman" w:hAnsi="Times New Roman"/>
              </w:rPr>
            </w:pPr>
            <w:r>
              <w:rPr>
                <w:rFonts w:ascii="Times New Roman" w:hAnsi="Times New Roman"/>
              </w:rPr>
              <w:t>(0.0</w:t>
            </w:r>
            <w:r w:rsidR="009A5ADE">
              <w:rPr>
                <w:rFonts w:ascii="Times New Roman" w:hAnsi="Times New Roman"/>
              </w:rPr>
              <w:t>7</w:t>
            </w:r>
            <w:r>
              <w:rPr>
                <w:rFonts w:ascii="Times New Roman" w:hAnsi="Times New Roman"/>
              </w:rPr>
              <w:t>)</w:t>
            </w:r>
          </w:p>
        </w:tc>
        <w:tc>
          <w:tcPr>
            <w:tcW w:w="0" w:type="auto"/>
            <w:tcBorders>
              <w:top w:val="nil"/>
              <w:left w:val="nil"/>
              <w:bottom w:val="nil"/>
              <w:right w:val="nil"/>
            </w:tcBorders>
          </w:tcPr>
          <w:p w14:paraId="3C502201" w14:textId="77777777" w:rsidR="005B7447" w:rsidRPr="006F53FC" w:rsidRDefault="00BF1637" w:rsidP="009A5ADE">
            <w:pPr>
              <w:spacing w:after="0" w:line="240" w:lineRule="auto"/>
              <w:jc w:val="center"/>
              <w:outlineLvl w:val="0"/>
              <w:rPr>
                <w:rFonts w:ascii="Times New Roman" w:hAnsi="Times New Roman"/>
              </w:rPr>
            </w:pPr>
            <w:r>
              <w:rPr>
                <w:rFonts w:ascii="Times New Roman" w:hAnsi="Times New Roman"/>
              </w:rPr>
              <w:t>(0.0</w:t>
            </w:r>
            <w:r w:rsidR="009A5ADE">
              <w:rPr>
                <w:rFonts w:ascii="Times New Roman" w:hAnsi="Times New Roman"/>
              </w:rPr>
              <w:t>7</w:t>
            </w:r>
            <w:r>
              <w:rPr>
                <w:rFonts w:ascii="Times New Roman" w:hAnsi="Times New Roman"/>
              </w:rPr>
              <w:t>)</w:t>
            </w:r>
          </w:p>
        </w:tc>
        <w:tc>
          <w:tcPr>
            <w:tcW w:w="0" w:type="auto"/>
            <w:tcBorders>
              <w:top w:val="nil"/>
              <w:left w:val="nil"/>
              <w:bottom w:val="nil"/>
              <w:right w:val="nil"/>
            </w:tcBorders>
          </w:tcPr>
          <w:p w14:paraId="693549A4" w14:textId="77777777" w:rsidR="005B7447" w:rsidRPr="006F53FC" w:rsidRDefault="00BF1637" w:rsidP="009A5ADE">
            <w:pPr>
              <w:spacing w:after="0" w:line="240" w:lineRule="auto"/>
              <w:jc w:val="center"/>
              <w:outlineLvl w:val="0"/>
              <w:rPr>
                <w:rFonts w:ascii="Times New Roman" w:hAnsi="Times New Roman"/>
              </w:rPr>
            </w:pPr>
            <w:r>
              <w:rPr>
                <w:rFonts w:ascii="Times New Roman" w:hAnsi="Times New Roman"/>
              </w:rPr>
              <w:t>(0.1</w:t>
            </w:r>
            <w:r w:rsidR="009A5ADE">
              <w:rPr>
                <w:rFonts w:ascii="Times New Roman" w:hAnsi="Times New Roman"/>
              </w:rPr>
              <w:t>9</w:t>
            </w:r>
            <w:r>
              <w:rPr>
                <w:rFonts w:ascii="Times New Roman" w:hAnsi="Times New Roman"/>
              </w:rPr>
              <w:t>)</w:t>
            </w:r>
          </w:p>
        </w:tc>
        <w:tc>
          <w:tcPr>
            <w:tcW w:w="0" w:type="auto"/>
            <w:tcBorders>
              <w:top w:val="nil"/>
              <w:left w:val="nil"/>
              <w:bottom w:val="nil"/>
              <w:right w:val="nil"/>
            </w:tcBorders>
          </w:tcPr>
          <w:p w14:paraId="3C570B25" w14:textId="77777777" w:rsidR="005B7447" w:rsidRPr="006F53FC" w:rsidRDefault="00BF1637" w:rsidP="009A5ADE">
            <w:pPr>
              <w:spacing w:after="0" w:line="240" w:lineRule="auto"/>
              <w:jc w:val="center"/>
              <w:outlineLvl w:val="0"/>
              <w:rPr>
                <w:rFonts w:ascii="Times New Roman" w:hAnsi="Times New Roman"/>
              </w:rPr>
            </w:pPr>
            <w:r>
              <w:rPr>
                <w:rFonts w:ascii="Times New Roman" w:hAnsi="Times New Roman"/>
              </w:rPr>
              <w:t>(0.</w:t>
            </w:r>
            <w:r w:rsidR="009A5ADE">
              <w:rPr>
                <w:rFonts w:ascii="Times New Roman" w:hAnsi="Times New Roman"/>
              </w:rPr>
              <w:t>24</w:t>
            </w:r>
            <w:r>
              <w:rPr>
                <w:rFonts w:ascii="Times New Roman" w:hAnsi="Times New Roman"/>
              </w:rPr>
              <w:t>)</w:t>
            </w:r>
          </w:p>
        </w:tc>
        <w:tc>
          <w:tcPr>
            <w:tcW w:w="0" w:type="auto"/>
            <w:tcBorders>
              <w:top w:val="nil"/>
              <w:left w:val="nil"/>
              <w:bottom w:val="nil"/>
              <w:right w:val="nil"/>
            </w:tcBorders>
          </w:tcPr>
          <w:p w14:paraId="725359DD" w14:textId="77777777" w:rsidR="005B7447" w:rsidRPr="006F53FC" w:rsidRDefault="00BF1637" w:rsidP="009A5ADE">
            <w:pPr>
              <w:spacing w:after="0" w:line="240" w:lineRule="auto"/>
              <w:jc w:val="center"/>
              <w:outlineLvl w:val="0"/>
              <w:rPr>
                <w:rFonts w:ascii="Times New Roman" w:hAnsi="Times New Roman"/>
              </w:rPr>
            </w:pPr>
            <w:r>
              <w:rPr>
                <w:rFonts w:ascii="Times New Roman" w:hAnsi="Times New Roman"/>
              </w:rPr>
              <w:t>(0.</w:t>
            </w:r>
            <w:r w:rsidR="009A5ADE">
              <w:rPr>
                <w:rFonts w:ascii="Times New Roman" w:hAnsi="Times New Roman"/>
              </w:rPr>
              <w:t>10</w:t>
            </w:r>
            <w:r>
              <w:rPr>
                <w:rFonts w:ascii="Times New Roman" w:hAnsi="Times New Roman"/>
              </w:rPr>
              <w:t>)</w:t>
            </w:r>
          </w:p>
        </w:tc>
        <w:tc>
          <w:tcPr>
            <w:tcW w:w="0" w:type="auto"/>
            <w:tcBorders>
              <w:top w:val="nil"/>
              <w:left w:val="nil"/>
              <w:bottom w:val="nil"/>
              <w:right w:val="nil"/>
            </w:tcBorders>
          </w:tcPr>
          <w:p w14:paraId="02AB61CF" w14:textId="77777777" w:rsidR="005B7447" w:rsidRPr="006F53FC" w:rsidRDefault="005B7447" w:rsidP="00734EE4">
            <w:pPr>
              <w:spacing w:after="0" w:line="240" w:lineRule="auto"/>
              <w:jc w:val="center"/>
              <w:outlineLvl w:val="0"/>
              <w:rPr>
                <w:rFonts w:ascii="Times New Roman" w:hAnsi="Times New Roman"/>
              </w:rPr>
            </w:pPr>
          </w:p>
        </w:tc>
      </w:tr>
      <w:tr w:rsidR="00B36EBD" w:rsidRPr="006F53FC" w14:paraId="76FCD634" w14:textId="77777777" w:rsidTr="00EA00B9">
        <w:trPr>
          <w:trHeight w:val="267"/>
          <w:jc w:val="center"/>
        </w:trPr>
        <w:tc>
          <w:tcPr>
            <w:tcW w:w="1357" w:type="dxa"/>
            <w:tcBorders>
              <w:top w:val="nil"/>
              <w:left w:val="nil"/>
              <w:bottom w:val="nil"/>
              <w:right w:val="nil"/>
            </w:tcBorders>
          </w:tcPr>
          <w:p w14:paraId="7511C4B1" w14:textId="77777777" w:rsidR="00BF6F9E" w:rsidRPr="00D7101E" w:rsidRDefault="00BF6F9E" w:rsidP="00734EE4">
            <w:pPr>
              <w:spacing w:after="0" w:line="240" w:lineRule="auto"/>
              <w:jc w:val="center"/>
              <w:outlineLvl w:val="0"/>
              <w:rPr>
                <w:rFonts w:ascii="Times New Roman" w:hAnsi="Times New Roman"/>
              </w:rPr>
            </w:pPr>
            <w:r w:rsidRPr="00D7101E">
              <w:rPr>
                <w:rFonts w:ascii="Times New Roman" w:hAnsi="Times New Roman"/>
              </w:rPr>
              <w:t>Strategy 2</w:t>
            </w:r>
          </w:p>
        </w:tc>
        <w:tc>
          <w:tcPr>
            <w:tcW w:w="0" w:type="auto"/>
            <w:tcBorders>
              <w:top w:val="nil"/>
              <w:left w:val="nil"/>
              <w:bottom w:val="nil"/>
              <w:right w:val="nil"/>
            </w:tcBorders>
          </w:tcPr>
          <w:p w14:paraId="45B3B613" w14:textId="77777777" w:rsidR="00BF6F9E" w:rsidRPr="006F53FC" w:rsidRDefault="00630E49" w:rsidP="00734EE4">
            <w:pPr>
              <w:spacing w:after="0" w:line="240" w:lineRule="auto"/>
              <w:jc w:val="center"/>
              <w:outlineLvl w:val="0"/>
              <w:rPr>
                <w:rFonts w:ascii="Times New Roman" w:hAnsi="Times New Roman"/>
              </w:rPr>
            </w:pPr>
            <w:r>
              <w:rPr>
                <w:rFonts w:ascii="Times New Roman" w:hAnsi="Times New Roman"/>
              </w:rPr>
              <w:t>0.00</w:t>
            </w:r>
          </w:p>
        </w:tc>
        <w:tc>
          <w:tcPr>
            <w:tcW w:w="1070" w:type="dxa"/>
            <w:tcBorders>
              <w:top w:val="nil"/>
              <w:left w:val="nil"/>
              <w:bottom w:val="nil"/>
              <w:right w:val="nil"/>
            </w:tcBorders>
          </w:tcPr>
          <w:p w14:paraId="1A5CC44E" w14:textId="77777777" w:rsidR="00BF6F9E" w:rsidRPr="006F53FC" w:rsidRDefault="00630E49" w:rsidP="00A1108C">
            <w:pPr>
              <w:spacing w:after="0" w:line="240" w:lineRule="auto"/>
              <w:jc w:val="center"/>
              <w:outlineLvl w:val="0"/>
              <w:rPr>
                <w:rFonts w:ascii="Times New Roman" w:hAnsi="Times New Roman"/>
              </w:rPr>
            </w:pPr>
            <w:r>
              <w:rPr>
                <w:rFonts w:ascii="Times New Roman" w:hAnsi="Times New Roman"/>
              </w:rPr>
              <w:t>-0.</w:t>
            </w:r>
            <w:r w:rsidR="00A1108C">
              <w:rPr>
                <w:rFonts w:ascii="Times New Roman" w:hAnsi="Times New Roman"/>
              </w:rPr>
              <w:t>11</w:t>
            </w:r>
          </w:p>
        </w:tc>
        <w:tc>
          <w:tcPr>
            <w:tcW w:w="0" w:type="auto"/>
            <w:tcBorders>
              <w:top w:val="nil"/>
              <w:left w:val="nil"/>
              <w:bottom w:val="nil"/>
              <w:right w:val="nil"/>
            </w:tcBorders>
          </w:tcPr>
          <w:p w14:paraId="73E3B029" w14:textId="77777777" w:rsidR="00BF6F9E" w:rsidRPr="006F53FC" w:rsidRDefault="00630E49" w:rsidP="00A1108C">
            <w:pPr>
              <w:spacing w:after="0" w:line="240" w:lineRule="auto"/>
              <w:jc w:val="center"/>
              <w:outlineLvl w:val="0"/>
              <w:rPr>
                <w:rFonts w:ascii="Times New Roman" w:hAnsi="Times New Roman"/>
              </w:rPr>
            </w:pPr>
            <w:r>
              <w:rPr>
                <w:rFonts w:ascii="Times New Roman" w:hAnsi="Times New Roman"/>
              </w:rPr>
              <w:t>-0.</w:t>
            </w:r>
            <w:r w:rsidR="00A1108C">
              <w:rPr>
                <w:rFonts w:ascii="Times New Roman" w:hAnsi="Times New Roman"/>
              </w:rPr>
              <w:t>18</w:t>
            </w:r>
          </w:p>
        </w:tc>
        <w:tc>
          <w:tcPr>
            <w:tcW w:w="966" w:type="dxa"/>
            <w:tcBorders>
              <w:top w:val="nil"/>
              <w:left w:val="nil"/>
              <w:bottom w:val="nil"/>
              <w:right w:val="nil"/>
            </w:tcBorders>
          </w:tcPr>
          <w:p w14:paraId="00EA0E35" w14:textId="77777777" w:rsidR="00BF6F9E" w:rsidRPr="006F53FC" w:rsidRDefault="00630E49" w:rsidP="00A1108C">
            <w:pPr>
              <w:spacing w:after="0" w:line="240" w:lineRule="auto"/>
              <w:jc w:val="center"/>
              <w:outlineLvl w:val="0"/>
              <w:rPr>
                <w:rFonts w:ascii="Times New Roman" w:hAnsi="Times New Roman"/>
              </w:rPr>
            </w:pPr>
            <w:r>
              <w:rPr>
                <w:rFonts w:ascii="Times New Roman" w:hAnsi="Times New Roman"/>
              </w:rPr>
              <w:t>0.</w:t>
            </w:r>
            <w:r w:rsidR="00A1108C">
              <w:rPr>
                <w:rFonts w:ascii="Times New Roman" w:hAnsi="Times New Roman"/>
              </w:rPr>
              <w:t>08</w:t>
            </w:r>
          </w:p>
        </w:tc>
        <w:tc>
          <w:tcPr>
            <w:tcW w:w="966" w:type="dxa"/>
            <w:tcBorders>
              <w:top w:val="nil"/>
              <w:left w:val="nil"/>
              <w:bottom w:val="nil"/>
              <w:right w:val="nil"/>
            </w:tcBorders>
          </w:tcPr>
          <w:p w14:paraId="2E2FBDBA" w14:textId="77777777" w:rsidR="00BF6F9E" w:rsidRPr="006F53FC" w:rsidRDefault="00630E49" w:rsidP="00A1108C">
            <w:pPr>
              <w:spacing w:after="0" w:line="240" w:lineRule="auto"/>
              <w:jc w:val="center"/>
              <w:outlineLvl w:val="0"/>
              <w:rPr>
                <w:rFonts w:ascii="Times New Roman" w:hAnsi="Times New Roman"/>
              </w:rPr>
            </w:pPr>
            <w:r>
              <w:rPr>
                <w:rFonts w:ascii="Times New Roman" w:hAnsi="Times New Roman"/>
              </w:rPr>
              <w:t>0.</w:t>
            </w:r>
            <w:r w:rsidR="00A1108C">
              <w:rPr>
                <w:rFonts w:ascii="Times New Roman" w:hAnsi="Times New Roman"/>
              </w:rPr>
              <w:t>12*</w:t>
            </w:r>
          </w:p>
        </w:tc>
        <w:tc>
          <w:tcPr>
            <w:tcW w:w="0" w:type="auto"/>
            <w:tcBorders>
              <w:top w:val="nil"/>
              <w:left w:val="nil"/>
              <w:bottom w:val="nil"/>
              <w:right w:val="nil"/>
            </w:tcBorders>
          </w:tcPr>
          <w:p w14:paraId="788E646E" w14:textId="77777777" w:rsidR="00BF6F9E" w:rsidRPr="006F53FC" w:rsidRDefault="00630E49" w:rsidP="00A1108C">
            <w:pPr>
              <w:spacing w:after="0" w:line="240" w:lineRule="auto"/>
              <w:jc w:val="center"/>
              <w:outlineLvl w:val="0"/>
              <w:rPr>
                <w:rFonts w:ascii="Times New Roman" w:hAnsi="Times New Roman"/>
              </w:rPr>
            </w:pPr>
            <w:r>
              <w:rPr>
                <w:rFonts w:ascii="Times New Roman" w:hAnsi="Times New Roman"/>
              </w:rPr>
              <w:t>0.</w:t>
            </w:r>
            <w:r w:rsidR="00A1108C">
              <w:rPr>
                <w:rFonts w:ascii="Times New Roman" w:hAnsi="Times New Roman"/>
              </w:rPr>
              <w:t>15*</w:t>
            </w:r>
          </w:p>
        </w:tc>
        <w:tc>
          <w:tcPr>
            <w:tcW w:w="0" w:type="auto"/>
            <w:tcBorders>
              <w:top w:val="nil"/>
              <w:left w:val="nil"/>
              <w:bottom w:val="nil"/>
              <w:right w:val="nil"/>
            </w:tcBorders>
          </w:tcPr>
          <w:p w14:paraId="09AFCFD4" w14:textId="77777777" w:rsidR="00BF6F9E" w:rsidRPr="006F53FC" w:rsidRDefault="00630E49" w:rsidP="00A1108C">
            <w:pPr>
              <w:spacing w:after="0" w:line="240" w:lineRule="auto"/>
              <w:jc w:val="center"/>
              <w:outlineLvl w:val="0"/>
              <w:rPr>
                <w:rFonts w:ascii="Times New Roman" w:hAnsi="Times New Roman"/>
              </w:rPr>
            </w:pPr>
            <w:r>
              <w:rPr>
                <w:rFonts w:ascii="Times New Roman" w:hAnsi="Times New Roman"/>
              </w:rPr>
              <w:t>-0.</w:t>
            </w:r>
            <w:r w:rsidR="00A1108C">
              <w:rPr>
                <w:rFonts w:ascii="Times New Roman" w:hAnsi="Times New Roman"/>
              </w:rPr>
              <w:t>13</w:t>
            </w:r>
          </w:p>
        </w:tc>
        <w:tc>
          <w:tcPr>
            <w:tcW w:w="0" w:type="auto"/>
            <w:tcBorders>
              <w:top w:val="nil"/>
              <w:left w:val="nil"/>
              <w:bottom w:val="nil"/>
              <w:right w:val="nil"/>
            </w:tcBorders>
          </w:tcPr>
          <w:p w14:paraId="38C4BDA0" w14:textId="77777777" w:rsidR="00BF6F9E" w:rsidRPr="006F53FC" w:rsidRDefault="003F154B" w:rsidP="00A1108C">
            <w:pPr>
              <w:spacing w:after="0" w:line="240" w:lineRule="auto"/>
              <w:jc w:val="center"/>
              <w:outlineLvl w:val="0"/>
              <w:rPr>
                <w:rFonts w:ascii="Times New Roman" w:hAnsi="Times New Roman"/>
              </w:rPr>
            </w:pPr>
            <w:r>
              <w:rPr>
                <w:rFonts w:ascii="Times New Roman" w:hAnsi="Times New Roman"/>
              </w:rPr>
              <w:t>0.</w:t>
            </w:r>
            <w:r w:rsidR="00A1108C">
              <w:rPr>
                <w:rFonts w:ascii="Times New Roman" w:hAnsi="Times New Roman"/>
              </w:rPr>
              <w:t>2</w:t>
            </w:r>
            <w:r>
              <w:rPr>
                <w:rFonts w:ascii="Times New Roman" w:hAnsi="Times New Roman"/>
              </w:rPr>
              <w:t>6</w:t>
            </w:r>
          </w:p>
        </w:tc>
        <w:tc>
          <w:tcPr>
            <w:tcW w:w="0" w:type="auto"/>
            <w:tcBorders>
              <w:top w:val="nil"/>
              <w:left w:val="nil"/>
              <w:bottom w:val="nil"/>
              <w:right w:val="nil"/>
            </w:tcBorders>
          </w:tcPr>
          <w:p w14:paraId="6EAB7325" w14:textId="77777777" w:rsidR="00BF6F9E" w:rsidRPr="006F53FC" w:rsidRDefault="003F154B" w:rsidP="00A1108C">
            <w:pPr>
              <w:spacing w:after="0" w:line="240" w:lineRule="auto"/>
              <w:jc w:val="center"/>
              <w:outlineLvl w:val="0"/>
              <w:rPr>
                <w:rFonts w:ascii="Times New Roman" w:hAnsi="Times New Roman"/>
              </w:rPr>
            </w:pPr>
            <w:r>
              <w:rPr>
                <w:rFonts w:ascii="Times New Roman" w:hAnsi="Times New Roman"/>
              </w:rPr>
              <w:t>0.1</w:t>
            </w:r>
            <w:r w:rsidR="00A1108C">
              <w:rPr>
                <w:rFonts w:ascii="Times New Roman" w:hAnsi="Times New Roman"/>
              </w:rPr>
              <w:t>2</w:t>
            </w:r>
          </w:p>
        </w:tc>
        <w:tc>
          <w:tcPr>
            <w:tcW w:w="0" w:type="auto"/>
            <w:tcBorders>
              <w:top w:val="nil"/>
              <w:left w:val="nil"/>
              <w:bottom w:val="nil"/>
              <w:right w:val="nil"/>
            </w:tcBorders>
          </w:tcPr>
          <w:p w14:paraId="426D5258" w14:textId="77777777" w:rsidR="00BF6F9E" w:rsidRPr="006F53FC" w:rsidRDefault="003F154B" w:rsidP="00A1108C">
            <w:pPr>
              <w:spacing w:after="0" w:line="240" w:lineRule="auto"/>
              <w:jc w:val="center"/>
              <w:outlineLvl w:val="0"/>
              <w:rPr>
                <w:rFonts w:ascii="Times New Roman" w:hAnsi="Times New Roman"/>
              </w:rPr>
            </w:pPr>
            <w:r>
              <w:rPr>
                <w:rFonts w:ascii="Times New Roman" w:hAnsi="Times New Roman"/>
              </w:rPr>
              <w:t>0.4</w:t>
            </w:r>
            <w:r w:rsidR="00A1108C">
              <w:rPr>
                <w:rFonts w:ascii="Times New Roman" w:hAnsi="Times New Roman"/>
              </w:rPr>
              <w:t>5</w:t>
            </w:r>
          </w:p>
        </w:tc>
      </w:tr>
      <w:tr w:rsidR="00B36EBD" w:rsidRPr="006F53FC" w14:paraId="508D56DE" w14:textId="77777777" w:rsidTr="00EA00B9">
        <w:trPr>
          <w:trHeight w:val="267"/>
          <w:jc w:val="center"/>
        </w:trPr>
        <w:tc>
          <w:tcPr>
            <w:tcW w:w="1357" w:type="dxa"/>
            <w:tcBorders>
              <w:top w:val="nil"/>
              <w:left w:val="nil"/>
              <w:bottom w:val="nil"/>
              <w:right w:val="nil"/>
            </w:tcBorders>
          </w:tcPr>
          <w:p w14:paraId="5CB279BB" w14:textId="77777777" w:rsidR="005B7447" w:rsidRPr="00D7101E" w:rsidRDefault="005B7447" w:rsidP="00734EE4">
            <w:pPr>
              <w:spacing w:after="0" w:line="240" w:lineRule="auto"/>
              <w:jc w:val="center"/>
              <w:outlineLvl w:val="0"/>
              <w:rPr>
                <w:rFonts w:ascii="Times New Roman" w:hAnsi="Times New Roman"/>
              </w:rPr>
            </w:pPr>
          </w:p>
        </w:tc>
        <w:tc>
          <w:tcPr>
            <w:tcW w:w="0" w:type="auto"/>
            <w:tcBorders>
              <w:top w:val="nil"/>
              <w:left w:val="nil"/>
              <w:bottom w:val="nil"/>
              <w:right w:val="nil"/>
            </w:tcBorders>
          </w:tcPr>
          <w:p w14:paraId="45F4EA0D" w14:textId="77777777" w:rsidR="005B7447" w:rsidRPr="006F53FC" w:rsidRDefault="00630E49" w:rsidP="00A1108C">
            <w:pPr>
              <w:spacing w:after="0" w:line="240" w:lineRule="auto"/>
              <w:jc w:val="center"/>
              <w:outlineLvl w:val="0"/>
              <w:rPr>
                <w:rFonts w:ascii="Times New Roman" w:hAnsi="Times New Roman"/>
              </w:rPr>
            </w:pPr>
            <w:r>
              <w:rPr>
                <w:rFonts w:ascii="Times New Roman" w:hAnsi="Times New Roman"/>
              </w:rPr>
              <w:t>(0.2</w:t>
            </w:r>
            <w:r w:rsidR="00A1108C">
              <w:rPr>
                <w:rFonts w:ascii="Times New Roman" w:hAnsi="Times New Roman"/>
              </w:rPr>
              <w:t>4</w:t>
            </w:r>
            <w:r>
              <w:rPr>
                <w:rFonts w:ascii="Times New Roman" w:hAnsi="Times New Roman"/>
              </w:rPr>
              <w:t>)</w:t>
            </w:r>
          </w:p>
        </w:tc>
        <w:tc>
          <w:tcPr>
            <w:tcW w:w="1070" w:type="dxa"/>
            <w:tcBorders>
              <w:top w:val="nil"/>
              <w:left w:val="nil"/>
              <w:bottom w:val="nil"/>
              <w:right w:val="nil"/>
            </w:tcBorders>
          </w:tcPr>
          <w:p w14:paraId="5FC3DCDF" w14:textId="77777777" w:rsidR="005B7447" w:rsidRPr="006F53FC" w:rsidRDefault="00630E49" w:rsidP="00A1108C">
            <w:pPr>
              <w:spacing w:after="0" w:line="240" w:lineRule="auto"/>
              <w:jc w:val="center"/>
              <w:outlineLvl w:val="0"/>
              <w:rPr>
                <w:rFonts w:ascii="Times New Roman" w:hAnsi="Times New Roman"/>
              </w:rPr>
            </w:pPr>
            <w:r>
              <w:rPr>
                <w:rFonts w:ascii="Times New Roman" w:hAnsi="Times New Roman"/>
              </w:rPr>
              <w:t>(0.</w:t>
            </w:r>
            <w:r w:rsidR="00A1108C">
              <w:rPr>
                <w:rFonts w:ascii="Times New Roman" w:hAnsi="Times New Roman"/>
              </w:rPr>
              <w:t>10</w:t>
            </w:r>
            <w:r>
              <w:rPr>
                <w:rFonts w:ascii="Times New Roman" w:hAnsi="Times New Roman"/>
              </w:rPr>
              <w:t>)</w:t>
            </w:r>
          </w:p>
        </w:tc>
        <w:tc>
          <w:tcPr>
            <w:tcW w:w="0" w:type="auto"/>
            <w:tcBorders>
              <w:top w:val="nil"/>
              <w:left w:val="nil"/>
              <w:bottom w:val="nil"/>
              <w:right w:val="nil"/>
            </w:tcBorders>
          </w:tcPr>
          <w:p w14:paraId="77FD4348" w14:textId="77777777" w:rsidR="005B7447" w:rsidRPr="006F53FC" w:rsidRDefault="00630E49" w:rsidP="00A1108C">
            <w:pPr>
              <w:spacing w:after="0" w:line="240" w:lineRule="auto"/>
              <w:jc w:val="center"/>
              <w:outlineLvl w:val="0"/>
              <w:rPr>
                <w:rFonts w:ascii="Times New Roman" w:hAnsi="Times New Roman"/>
              </w:rPr>
            </w:pPr>
            <w:r>
              <w:rPr>
                <w:rFonts w:ascii="Times New Roman" w:hAnsi="Times New Roman"/>
              </w:rPr>
              <w:t>(0.1</w:t>
            </w:r>
            <w:r w:rsidR="00A1108C">
              <w:rPr>
                <w:rFonts w:ascii="Times New Roman" w:hAnsi="Times New Roman"/>
              </w:rPr>
              <w:t>4</w:t>
            </w:r>
            <w:r>
              <w:rPr>
                <w:rFonts w:ascii="Times New Roman" w:hAnsi="Times New Roman"/>
              </w:rPr>
              <w:t>)</w:t>
            </w:r>
          </w:p>
        </w:tc>
        <w:tc>
          <w:tcPr>
            <w:tcW w:w="966" w:type="dxa"/>
            <w:tcBorders>
              <w:top w:val="nil"/>
              <w:left w:val="nil"/>
              <w:bottom w:val="nil"/>
              <w:right w:val="nil"/>
            </w:tcBorders>
          </w:tcPr>
          <w:p w14:paraId="4A0B0D0D" w14:textId="77777777" w:rsidR="005B7447" w:rsidRPr="006F53FC" w:rsidRDefault="00630E49" w:rsidP="00A1108C">
            <w:pPr>
              <w:spacing w:after="0" w:line="240" w:lineRule="auto"/>
              <w:jc w:val="center"/>
              <w:outlineLvl w:val="0"/>
              <w:rPr>
                <w:rFonts w:ascii="Times New Roman" w:hAnsi="Times New Roman"/>
              </w:rPr>
            </w:pPr>
            <w:r>
              <w:rPr>
                <w:rFonts w:ascii="Times New Roman" w:hAnsi="Times New Roman"/>
              </w:rPr>
              <w:t>(0.</w:t>
            </w:r>
            <w:r w:rsidR="00A1108C">
              <w:rPr>
                <w:rFonts w:ascii="Times New Roman" w:hAnsi="Times New Roman"/>
              </w:rPr>
              <w:t>23</w:t>
            </w:r>
            <w:r>
              <w:rPr>
                <w:rFonts w:ascii="Times New Roman" w:hAnsi="Times New Roman"/>
              </w:rPr>
              <w:t>)</w:t>
            </w:r>
          </w:p>
        </w:tc>
        <w:tc>
          <w:tcPr>
            <w:tcW w:w="966" w:type="dxa"/>
            <w:tcBorders>
              <w:top w:val="nil"/>
              <w:left w:val="nil"/>
              <w:bottom w:val="nil"/>
              <w:right w:val="nil"/>
            </w:tcBorders>
          </w:tcPr>
          <w:p w14:paraId="25009B25" w14:textId="77777777" w:rsidR="005B7447" w:rsidRPr="006F53FC" w:rsidRDefault="00630E49" w:rsidP="00A1108C">
            <w:pPr>
              <w:spacing w:after="0" w:line="240" w:lineRule="auto"/>
              <w:jc w:val="center"/>
              <w:outlineLvl w:val="0"/>
              <w:rPr>
                <w:rFonts w:ascii="Times New Roman" w:hAnsi="Times New Roman"/>
              </w:rPr>
            </w:pPr>
            <w:r>
              <w:rPr>
                <w:rFonts w:ascii="Times New Roman" w:hAnsi="Times New Roman"/>
              </w:rPr>
              <w:t>(0.0</w:t>
            </w:r>
            <w:r w:rsidR="00A1108C">
              <w:rPr>
                <w:rFonts w:ascii="Times New Roman" w:hAnsi="Times New Roman"/>
              </w:rPr>
              <w:t>7</w:t>
            </w:r>
            <w:r>
              <w:rPr>
                <w:rFonts w:ascii="Times New Roman" w:hAnsi="Times New Roman"/>
              </w:rPr>
              <w:t>)</w:t>
            </w:r>
          </w:p>
        </w:tc>
        <w:tc>
          <w:tcPr>
            <w:tcW w:w="0" w:type="auto"/>
            <w:tcBorders>
              <w:top w:val="nil"/>
              <w:left w:val="nil"/>
              <w:bottom w:val="nil"/>
              <w:right w:val="nil"/>
            </w:tcBorders>
          </w:tcPr>
          <w:p w14:paraId="234C91BE" w14:textId="77777777" w:rsidR="005B7447" w:rsidRPr="006F53FC" w:rsidRDefault="00630E49" w:rsidP="00A1108C">
            <w:pPr>
              <w:spacing w:after="0" w:line="240" w:lineRule="auto"/>
              <w:jc w:val="center"/>
              <w:outlineLvl w:val="0"/>
              <w:rPr>
                <w:rFonts w:ascii="Times New Roman" w:hAnsi="Times New Roman"/>
              </w:rPr>
            </w:pPr>
            <w:r>
              <w:rPr>
                <w:rFonts w:ascii="Times New Roman" w:hAnsi="Times New Roman"/>
              </w:rPr>
              <w:t>(0.0</w:t>
            </w:r>
            <w:r w:rsidR="00A1108C">
              <w:rPr>
                <w:rFonts w:ascii="Times New Roman" w:hAnsi="Times New Roman"/>
              </w:rPr>
              <w:t>8</w:t>
            </w:r>
            <w:r>
              <w:rPr>
                <w:rFonts w:ascii="Times New Roman" w:hAnsi="Times New Roman"/>
              </w:rPr>
              <w:t>)</w:t>
            </w:r>
          </w:p>
        </w:tc>
        <w:tc>
          <w:tcPr>
            <w:tcW w:w="0" w:type="auto"/>
            <w:tcBorders>
              <w:top w:val="nil"/>
              <w:left w:val="nil"/>
              <w:bottom w:val="nil"/>
              <w:right w:val="nil"/>
            </w:tcBorders>
          </w:tcPr>
          <w:p w14:paraId="4B7FDB72" w14:textId="77777777" w:rsidR="005B7447" w:rsidRPr="006F53FC" w:rsidRDefault="00630E49" w:rsidP="00A1108C">
            <w:pPr>
              <w:spacing w:after="0" w:line="240" w:lineRule="auto"/>
              <w:jc w:val="center"/>
              <w:outlineLvl w:val="0"/>
              <w:rPr>
                <w:rFonts w:ascii="Times New Roman" w:hAnsi="Times New Roman"/>
              </w:rPr>
            </w:pPr>
            <w:r>
              <w:rPr>
                <w:rFonts w:ascii="Times New Roman" w:hAnsi="Times New Roman"/>
              </w:rPr>
              <w:t>(0.1</w:t>
            </w:r>
            <w:r w:rsidR="00A1108C">
              <w:rPr>
                <w:rFonts w:ascii="Times New Roman" w:hAnsi="Times New Roman"/>
              </w:rPr>
              <w:t>9</w:t>
            </w:r>
            <w:r>
              <w:rPr>
                <w:rFonts w:ascii="Times New Roman" w:hAnsi="Times New Roman"/>
              </w:rPr>
              <w:t>)</w:t>
            </w:r>
          </w:p>
        </w:tc>
        <w:tc>
          <w:tcPr>
            <w:tcW w:w="0" w:type="auto"/>
            <w:tcBorders>
              <w:top w:val="nil"/>
              <w:left w:val="nil"/>
              <w:bottom w:val="nil"/>
              <w:right w:val="nil"/>
            </w:tcBorders>
          </w:tcPr>
          <w:p w14:paraId="031291D0" w14:textId="77777777" w:rsidR="005B7447" w:rsidRPr="006F53FC" w:rsidRDefault="003F154B" w:rsidP="00A1108C">
            <w:pPr>
              <w:spacing w:after="0" w:line="240" w:lineRule="auto"/>
              <w:jc w:val="center"/>
              <w:outlineLvl w:val="0"/>
              <w:rPr>
                <w:rFonts w:ascii="Times New Roman" w:hAnsi="Times New Roman"/>
              </w:rPr>
            </w:pPr>
            <w:r>
              <w:rPr>
                <w:rFonts w:ascii="Times New Roman" w:hAnsi="Times New Roman"/>
              </w:rPr>
              <w:t>(0.</w:t>
            </w:r>
            <w:r w:rsidR="00A1108C">
              <w:rPr>
                <w:rFonts w:ascii="Times New Roman" w:hAnsi="Times New Roman"/>
              </w:rPr>
              <w:t>22</w:t>
            </w:r>
            <w:r>
              <w:rPr>
                <w:rFonts w:ascii="Times New Roman" w:hAnsi="Times New Roman"/>
              </w:rPr>
              <w:t>)</w:t>
            </w:r>
          </w:p>
        </w:tc>
        <w:tc>
          <w:tcPr>
            <w:tcW w:w="0" w:type="auto"/>
            <w:tcBorders>
              <w:top w:val="nil"/>
              <w:left w:val="nil"/>
              <w:bottom w:val="nil"/>
              <w:right w:val="nil"/>
            </w:tcBorders>
          </w:tcPr>
          <w:p w14:paraId="7A709387" w14:textId="77777777" w:rsidR="005B7447" w:rsidRPr="006F53FC" w:rsidRDefault="003F154B" w:rsidP="00A1108C">
            <w:pPr>
              <w:spacing w:after="0" w:line="240" w:lineRule="auto"/>
              <w:jc w:val="center"/>
              <w:outlineLvl w:val="0"/>
              <w:rPr>
                <w:rFonts w:ascii="Times New Roman" w:hAnsi="Times New Roman"/>
              </w:rPr>
            </w:pPr>
            <w:r>
              <w:rPr>
                <w:rFonts w:ascii="Times New Roman" w:hAnsi="Times New Roman"/>
              </w:rPr>
              <w:t>(0.</w:t>
            </w:r>
            <w:r w:rsidR="00A1108C">
              <w:rPr>
                <w:rFonts w:ascii="Times New Roman" w:hAnsi="Times New Roman"/>
              </w:rPr>
              <w:t>10</w:t>
            </w:r>
            <w:r>
              <w:rPr>
                <w:rFonts w:ascii="Times New Roman" w:hAnsi="Times New Roman"/>
              </w:rPr>
              <w:t>)</w:t>
            </w:r>
          </w:p>
        </w:tc>
        <w:tc>
          <w:tcPr>
            <w:tcW w:w="0" w:type="auto"/>
            <w:tcBorders>
              <w:top w:val="nil"/>
              <w:left w:val="nil"/>
              <w:bottom w:val="nil"/>
              <w:right w:val="nil"/>
            </w:tcBorders>
          </w:tcPr>
          <w:p w14:paraId="4BD8A060" w14:textId="77777777" w:rsidR="005B7447" w:rsidRPr="006F53FC" w:rsidRDefault="005B7447" w:rsidP="00734EE4">
            <w:pPr>
              <w:spacing w:after="0" w:line="240" w:lineRule="auto"/>
              <w:jc w:val="center"/>
              <w:outlineLvl w:val="0"/>
              <w:rPr>
                <w:rFonts w:ascii="Times New Roman" w:hAnsi="Times New Roman"/>
              </w:rPr>
            </w:pPr>
          </w:p>
        </w:tc>
      </w:tr>
      <w:tr w:rsidR="00B36EBD" w:rsidRPr="006F53FC" w14:paraId="619699FE" w14:textId="77777777" w:rsidTr="00EA00B9">
        <w:trPr>
          <w:trHeight w:val="267"/>
          <w:jc w:val="center"/>
        </w:trPr>
        <w:tc>
          <w:tcPr>
            <w:tcW w:w="1357" w:type="dxa"/>
            <w:tcBorders>
              <w:top w:val="nil"/>
              <w:left w:val="nil"/>
              <w:bottom w:val="nil"/>
              <w:right w:val="nil"/>
            </w:tcBorders>
          </w:tcPr>
          <w:p w14:paraId="594A743D" w14:textId="77777777" w:rsidR="00BF6F9E" w:rsidRPr="00D7101E" w:rsidRDefault="00BF6F9E" w:rsidP="00734EE4">
            <w:pPr>
              <w:spacing w:after="0" w:line="240" w:lineRule="auto"/>
              <w:jc w:val="center"/>
              <w:outlineLvl w:val="0"/>
              <w:rPr>
                <w:rFonts w:ascii="Times New Roman" w:hAnsi="Times New Roman"/>
              </w:rPr>
            </w:pPr>
            <w:r w:rsidRPr="00D7101E">
              <w:rPr>
                <w:rFonts w:ascii="Times New Roman" w:hAnsi="Times New Roman"/>
              </w:rPr>
              <w:t>Strategy 3</w:t>
            </w:r>
          </w:p>
        </w:tc>
        <w:tc>
          <w:tcPr>
            <w:tcW w:w="0" w:type="auto"/>
            <w:tcBorders>
              <w:top w:val="nil"/>
              <w:left w:val="nil"/>
              <w:bottom w:val="nil"/>
              <w:right w:val="nil"/>
            </w:tcBorders>
          </w:tcPr>
          <w:p w14:paraId="185A3017" w14:textId="77777777" w:rsidR="00BF6F9E" w:rsidRPr="006F53FC" w:rsidRDefault="003F154B" w:rsidP="00734EE4">
            <w:pPr>
              <w:spacing w:after="0" w:line="240" w:lineRule="auto"/>
              <w:jc w:val="center"/>
              <w:outlineLvl w:val="0"/>
              <w:rPr>
                <w:rFonts w:ascii="Times New Roman" w:hAnsi="Times New Roman"/>
              </w:rPr>
            </w:pPr>
            <w:r>
              <w:rPr>
                <w:rFonts w:ascii="Times New Roman" w:hAnsi="Times New Roman"/>
              </w:rPr>
              <w:t>0.08</w:t>
            </w:r>
          </w:p>
        </w:tc>
        <w:tc>
          <w:tcPr>
            <w:tcW w:w="1070" w:type="dxa"/>
            <w:tcBorders>
              <w:top w:val="nil"/>
              <w:left w:val="nil"/>
              <w:bottom w:val="nil"/>
              <w:right w:val="nil"/>
            </w:tcBorders>
          </w:tcPr>
          <w:p w14:paraId="56F3935C" w14:textId="77777777" w:rsidR="00BF6F9E" w:rsidRPr="006F53FC" w:rsidRDefault="003F154B" w:rsidP="00A1108C">
            <w:pPr>
              <w:spacing w:after="0" w:line="240" w:lineRule="auto"/>
              <w:jc w:val="center"/>
              <w:outlineLvl w:val="0"/>
              <w:rPr>
                <w:rFonts w:ascii="Times New Roman" w:hAnsi="Times New Roman"/>
              </w:rPr>
            </w:pPr>
            <w:r>
              <w:rPr>
                <w:rFonts w:ascii="Times New Roman" w:hAnsi="Times New Roman"/>
              </w:rPr>
              <w:t>-0.</w:t>
            </w:r>
            <w:r w:rsidR="00A1108C">
              <w:rPr>
                <w:rFonts w:ascii="Times New Roman" w:hAnsi="Times New Roman"/>
              </w:rPr>
              <w:t>51***</w:t>
            </w:r>
          </w:p>
        </w:tc>
        <w:tc>
          <w:tcPr>
            <w:tcW w:w="0" w:type="auto"/>
            <w:tcBorders>
              <w:top w:val="nil"/>
              <w:left w:val="nil"/>
              <w:bottom w:val="nil"/>
              <w:right w:val="nil"/>
            </w:tcBorders>
          </w:tcPr>
          <w:p w14:paraId="59690251" w14:textId="77777777" w:rsidR="00BF6F9E" w:rsidRPr="006F53FC" w:rsidRDefault="003F154B" w:rsidP="00A1108C">
            <w:pPr>
              <w:spacing w:after="0" w:line="240" w:lineRule="auto"/>
              <w:jc w:val="center"/>
              <w:outlineLvl w:val="0"/>
              <w:rPr>
                <w:rFonts w:ascii="Times New Roman" w:hAnsi="Times New Roman"/>
              </w:rPr>
            </w:pPr>
            <w:r>
              <w:rPr>
                <w:rFonts w:ascii="Times New Roman" w:hAnsi="Times New Roman"/>
              </w:rPr>
              <w:t>0.0</w:t>
            </w:r>
            <w:r w:rsidR="00A1108C">
              <w:rPr>
                <w:rFonts w:ascii="Times New Roman" w:hAnsi="Times New Roman"/>
              </w:rPr>
              <w:t>7</w:t>
            </w:r>
          </w:p>
        </w:tc>
        <w:tc>
          <w:tcPr>
            <w:tcW w:w="966" w:type="dxa"/>
            <w:tcBorders>
              <w:top w:val="nil"/>
              <w:left w:val="nil"/>
              <w:bottom w:val="nil"/>
              <w:right w:val="nil"/>
            </w:tcBorders>
          </w:tcPr>
          <w:p w14:paraId="2C8ACBB9" w14:textId="77777777" w:rsidR="00BF6F9E" w:rsidRPr="006F53FC" w:rsidRDefault="003F154B" w:rsidP="00A1108C">
            <w:pPr>
              <w:spacing w:after="0" w:line="240" w:lineRule="auto"/>
              <w:jc w:val="center"/>
              <w:outlineLvl w:val="0"/>
              <w:rPr>
                <w:rFonts w:ascii="Times New Roman" w:hAnsi="Times New Roman"/>
              </w:rPr>
            </w:pPr>
            <w:r>
              <w:rPr>
                <w:rFonts w:ascii="Times New Roman" w:hAnsi="Times New Roman"/>
              </w:rPr>
              <w:t>0.</w:t>
            </w:r>
            <w:r w:rsidR="00A1108C">
              <w:rPr>
                <w:rFonts w:ascii="Times New Roman" w:hAnsi="Times New Roman"/>
              </w:rPr>
              <w:t>03</w:t>
            </w:r>
          </w:p>
        </w:tc>
        <w:tc>
          <w:tcPr>
            <w:tcW w:w="966" w:type="dxa"/>
            <w:tcBorders>
              <w:top w:val="nil"/>
              <w:left w:val="nil"/>
              <w:bottom w:val="nil"/>
              <w:right w:val="nil"/>
            </w:tcBorders>
          </w:tcPr>
          <w:p w14:paraId="63B63A11" w14:textId="77777777" w:rsidR="00BF6F9E" w:rsidRPr="006F53FC" w:rsidRDefault="003F154B" w:rsidP="00A1108C">
            <w:pPr>
              <w:spacing w:after="0" w:line="240" w:lineRule="auto"/>
              <w:jc w:val="center"/>
              <w:outlineLvl w:val="0"/>
              <w:rPr>
                <w:rFonts w:ascii="Times New Roman" w:hAnsi="Times New Roman"/>
              </w:rPr>
            </w:pPr>
            <w:r>
              <w:rPr>
                <w:rFonts w:ascii="Times New Roman" w:hAnsi="Times New Roman"/>
              </w:rPr>
              <w:t>0.</w:t>
            </w:r>
            <w:r w:rsidR="00A1108C">
              <w:rPr>
                <w:rFonts w:ascii="Times New Roman" w:hAnsi="Times New Roman"/>
              </w:rPr>
              <w:t>02</w:t>
            </w:r>
          </w:p>
        </w:tc>
        <w:tc>
          <w:tcPr>
            <w:tcW w:w="0" w:type="auto"/>
            <w:tcBorders>
              <w:top w:val="nil"/>
              <w:left w:val="nil"/>
              <w:bottom w:val="nil"/>
              <w:right w:val="nil"/>
            </w:tcBorders>
          </w:tcPr>
          <w:p w14:paraId="60DE916A" w14:textId="77777777" w:rsidR="00BF6F9E" w:rsidRPr="006F53FC" w:rsidRDefault="003F154B" w:rsidP="00A1108C">
            <w:pPr>
              <w:spacing w:after="0" w:line="240" w:lineRule="auto"/>
              <w:jc w:val="center"/>
              <w:outlineLvl w:val="0"/>
              <w:rPr>
                <w:rFonts w:ascii="Times New Roman" w:hAnsi="Times New Roman"/>
              </w:rPr>
            </w:pPr>
            <w:r>
              <w:rPr>
                <w:rFonts w:ascii="Times New Roman" w:hAnsi="Times New Roman"/>
              </w:rPr>
              <w:t>0.0</w:t>
            </w:r>
            <w:r w:rsidR="00A1108C">
              <w:rPr>
                <w:rFonts w:ascii="Times New Roman" w:hAnsi="Times New Roman"/>
              </w:rPr>
              <w:t>7</w:t>
            </w:r>
          </w:p>
        </w:tc>
        <w:tc>
          <w:tcPr>
            <w:tcW w:w="0" w:type="auto"/>
            <w:tcBorders>
              <w:top w:val="nil"/>
              <w:left w:val="nil"/>
              <w:bottom w:val="nil"/>
              <w:right w:val="nil"/>
            </w:tcBorders>
          </w:tcPr>
          <w:p w14:paraId="557D7748" w14:textId="77777777" w:rsidR="00BF6F9E" w:rsidRPr="006F53FC" w:rsidRDefault="003F154B" w:rsidP="00A1108C">
            <w:pPr>
              <w:spacing w:after="0" w:line="240" w:lineRule="auto"/>
              <w:jc w:val="center"/>
              <w:outlineLvl w:val="0"/>
              <w:rPr>
                <w:rFonts w:ascii="Times New Roman" w:hAnsi="Times New Roman"/>
              </w:rPr>
            </w:pPr>
            <w:r>
              <w:rPr>
                <w:rFonts w:ascii="Times New Roman" w:hAnsi="Times New Roman"/>
              </w:rPr>
              <w:t>0.2</w:t>
            </w:r>
            <w:r w:rsidR="00A1108C">
              <w:rPr>
                <w:rFonts w:ascii="Times New Roman" w:hAnsi="Times New Roman"/>
              </w:rPr>
              <w:t>5</w:t>
            </w:r>
          </w:p>
        </w:tc>
        <w:tc>
          <w:tcPr>
            <w:tcW w:w="0" w:type="auto"/>
            <w:tcBorders>
              <w:top w:val="nil"/>
              <w:left w:val="nil"/>
              <w:bottom w:val="nil"/>
              <w:right w:val="nil"/>
            </w:tcBorders>
          </w:tcPr>
          <w:p w14:paraId="4955F4F3" w14:textId="77777777" w:rsidR="00BF6F9E" w:rsidRPr="006F53FC" w:rsidRDefault="003F154B" w:rsidP="00A1108C">
            <w:pPr>
              <w:spacing w:after="0" w:line="240" w:lineRule="auto"/>
              <w:jc w:val="center"/>
              <w:outlineLvl w:val="0"/>
              <w:rPr>
                <w:rFonts w:ascii="Times New Roman" w:hAnsi="Times New Roman"/>
              </w:rPr>
            </w:pPr>
            <w:r>
              <w:rPr>
                <w:rFonts w:ascii="Times New Roman" w:hAnsi="Times New Roman"/>
              </w:rPr>
              <w:t>0.0</w:t>
            </w:r>
            <w:r w:rsidR="00A1108C">
              <w:rPr>
                <w:rFonts w:ascii="Times New Roman" w:hAnsi="Times New Roman"/>
              </w:rPr>
              <w:t>5</w:t>
            </w:r>
          </w:p>
        </w:tc>
        <w:tc>
          <w:tcPr>
            <w:tcW w:w="0" w:type="auto"/>
            <w:tcBorders>
              <w:top w:val="nil"/>
              <w:left w:val="nil"/>
              <w:bottom w:val="nil"/>
              <w:right w:val="nil"/>
            </w:tcBorders>
          </w:tcPr>
          <w:p w14:paraId="01A2E86C" w14:textId="77777777" w:rsidR="00BF6F9E" w:rsidRPr="006F53FC" w:rsidRDefault="003F154B" w:rsidP="00A1108C">
            <w:pPr>
              <w:spacing w:after="0" w:line="240" w:lineRule="auto"/>
              <w:jc w:val="center"/>
              <w:outlineLvl w:val="0"/>
              <w:rPr>
                <w:rFonts w:ascii="Times New Roman" w:hAnsi="Times New Roman"/>
              </w:rPr>
            </w:pPr>
            <w:r>
              <w:rPr>
                <w:rFonts w:ascii="Times New Roman" w:hAnsi="Times New Roman"/>
              </w:rPr>
              <w:t>0.2</w:t>
            </w:r>
            <w:r w:rsidR="00A1108C">
              <w:rPr>
                <w:rFonts w:ascii="Times New Roman" w:hAnsi="Times New Roman"/>
              </w:rPr>
              <w:t>4</w:t>
            </w:r>
          </w:p>
        </w:tc>
        <w:tc>
          <w:tcPr>
            <w:tcW w:w="0" w:type="auto"/>
            <w:tcBorders>
              <w:top w:val="nil"/>
              <w:left w:val="nil"/>
              <w:bottom w:val="nil"/>
              <w:right w:val="nil"/>
            </w:tcBorders>
          </w:tcPr>
          <w:p w14:paraId="61BB180D" w14:textId="77777777" w:rsidR="00BF6F9E" w:rsidRPr="006F53FC" w:rsidRDefault="003F154B" w:rsidP="00A1108C">
            <w:pPr>
              <w:spacing w:after="0" w:line="240" w:lineRule="auto"/>
              <w:jc w:val="center"/>
              <w:outlineLvl w:val="0"/>
              <w:rPr>
                <w:rFonts w:ascii="Times New Roman" w:hAnsi="Times New Roman"/>
              </w:rPr>
            </w:pPr>
            <w:r>
              <w:rPr>
                <w:rFonts w:ascii="Times New Roman" w:hAnsi="Times New Roman"/>
              </w:rPr>
              <w:t>0.4</w:t>
            </w:r>
            <w:r w:rsidR="00A1108C">
              <w:rPr>
                <w:rFonts w:ascii="Times New Roman" w:hAnsi="Times New Roman"/>
              </w:rPr>
              <w:t>5</w:t>
            </w:r>
          </w:p>
        </w:tc>
      </w:tr>
      <w:tr w:rsidR="00B36EBD" w:rsidRPr="006F53FC" w14:paraId="3E128727" w14:textId="77777777" w:rsidTr="00EA00B9">
        <w:trPr>
          <w:trHeight w:val="267"/>
          <w:jc w:val="center"/>
        </w:trPr>
        <w:tc>
          <w:tcPr>
            <w:tcW w:w="1357" w:type="dxa"/>
            <w:tcBorders>
              <w:top w:val="nil"/>
              <w:left w:val="nil"/>
              <w:bottom w:val="nil"/>
              <w:right w:val="nil"/>
            </w:tcBorders>
          </w:tcPr>
          <w:p w14:paraId="699E8075" w14:textId="77777777" w:rsidR="005B7447" w:rsidRPr="00D7101E" w:rsidRDefault="005B7447" w:rsidP="00734EE4">
            <w:pPr>
              <w:spacing w:after="0" w:line="240" w:lineRule="auto"/>
              <w:jc w:val="center"/>
              <w:outlineLvl w:val="0"/>
              <w:rPr>
                <w:rFonts w:ascii="Times New Roman" w:hAnsi="Times New Roman"/>
              </w:rPr>
            </w:pPr>
          </w:p>
        </w:tc>
        <w:tc>
          <w:tcPr>
            <w:tcW w:w="0" w:type="auto"/>
            <w:tcBorders>
              <w:top w:val="nil"/>
              <w:left w:val="nil"/>
              <w:bottom w:val="nil"/>
              <w:right w:val="nil"/>
            </w:tcBorders>
          </w:tcPr>
          <w:p w14:paraId="00B30AE2" w14:textId="77777777" w:rsidR="005B7447" w:rsidRPr="006F53FC" w:rsidRDefault="003F154B" w:rsidP="00A1108C">
            <w:pPr>
              <w:spacing w:after="0" w:line="240" w:lineRule="auto"/>
              <w:jc w:val="center"/>
              <w:outlineLvl w:val="0"/>
              <w:rPr>
                <w:rFonts w:ascii="Times New Roman" w:hAnsi="Times New Roman"/>
              </w:rPr>
            </w:pPr>
            <w:r>
              <w:rPr>
                <w:rFonts w:ascii="Times New Roman" w:hAnsi="Times New Roman"/>
              </w:rPr>
              <w:t>(0.</w:t>
            </w:r>
            <w:r w:rsidR="00A1108C">
              <w:rPr>
                <w:rFonts w:ascii="Times New Roman" w:hAnsi="Times New Roman"/>
              </w:rPr>
              <w:t>30</w:t>
            </w:r>
            <w:r>
              <w:rPr>
                <w:rFonts w:ascii="Times New Roman" w:hAnsi="Times New Roman"/>
              </w:rPr>
              <w:t>)</w:t>
            </w:r>
          </w:p>
        </w:tc>
        <w:tc>
          <w:tcPr>
            <w:tcW w:w="1070" w:type="dxa"/>
            <w:tcBorders>
              <w:top w:val="nil"/>
              <w:left w:val="nil"/>
              <w:bottom w:val="nil"/>
              <w:right w:val="nil"/>
            </w:tcBorders>
          </w:tcPr>
          <w:p w14:paraId="6FB535AC" w14:textId="77777777" w:rsidR="005B7447" w:rsidRPr="006F53FC" w:rsidRDefault="003F154B" w:rsidP="00A1108C">
            <w:pPr>
              <w:spacing w:after="0" w:line="240" w:lineRule="auto"/>
              <w:jc w:val="center"/>
              <w:outlineLvl w:val="0"/>
              <w:rPr>
                <w:rFonts w:ascii="Times New Roman" w:hAnsi="Times New Roman"/>
              </w:rPr>
            </w:pPr>
            <w:r>
              <w:rPr>
                <w:rFonts w:ascii="Times New Roman" w:hAnsi="Times New Roman"/>
              </w:rPr>
              <w:t>(0.1</w:t>
            </w:r>
            <w:r w:rsidR="00A1108C">
              <w:rPr>
                <w:rFonts w:ascii="Times New Roman" w:hAnsi="Times New Roman"/>
              </w:rPr>
              <w:t>8</w:t>
            </w:r>
            <w:r>
              <w:rPr>
                <w:rFonts w:ascii="Times New Roman" w:hAnsi="Times New Roman"/>
              </w:rPr>
              <w:t>)</w:t>
            </w:r>
          </w:p>
        </w:tc>
        <w:tc>
          <w:tcPr>
            <w:tcW w:w="0" w:type="auto"/>
            <w:tcBorders>
              <w:top w:val="nil"/>
              <w:left w:val="nil"/>
              <w:bottom w:val="nil"/>
              <w:right w:val="nil"/>
            </w:tcBorders>
          </w:tcPr>
          <w:p w14:paraId="15D902D2" w14:textId="77777777" w:rsidR="005B7447" w:rsidRPr="006F53FC" w:rsidRDefault="003F154B" w:rsidP="00A1108C">
            <w:pPr>
              <w:spacing w:after="0" w:line="240" w:lineRule="auto"/>
              <w:jc w:val="center"/>
              <w:outlineLvl w:val="0"/>
              <w:rPr>
                <w:rFonts w:ascii="Times New Roman" w:hAnsi="Times New Roman"/>
              </w:rPr>
            </w:pPr>
            <w:r>
              <w:rPr>
                <w:rFonts w:ascii="Times New Roman" w:hAnsi="Times New Roman"/>
              </w:rPr>
              <w:t>(0.1</w:t>
            </w:r>
            <w:r w:rsidR="00A1108C">
              <w:rPr>
                <w:rFonts w:ascii="Times New Roman" w:hAnsi="Times New Roman"/>
              </w:rPr>
              <w:t>8</w:t>
            </w:r>
            <w:r>
              <w:rPr>
                <w:rFonts w:ascii="Times New Roman" w:hAnsi="Times New Roman"/>
              </w:rPr>
              <w:t>)</w:t>
            </w:r>
          </w:p>
        </w:tc>
        <w:tc>
          <w:tcPr>
            <w:tcW w:w="966" w:type="dxa"/>
            <w:tcBorders>
              <w:top w:val="nil"/>
              <w:left w:val="nil"/>
              <w:bottom w:val="nil"/>
              <w:right w:val="nil"/>
            </w:tcBorders>
          </w:tcPr>
          <w:p w14:paraId="414DF08E" w14:textId="77777777" w:rsidR="005B7447" w:rsidRPr="006F53FC" w:rsidRDefault="003F154B" w:rsidP="00A1108C">
            <w:pPr>
              <w:spacing w:after="0" w:line="240" w:lineRule="auto"/>
              <w:jc w:val="center"/>
              <w:outlineLvl w:val="0"/>
              <w:rPr>
                <w:rFonts w:ascii="Times New Roman" w:hAnsi="Times New Roman"/>
              </w:rPr>
            </w:pPr>
            <w:r>
              <w:rPr>
                <w:rFonts w:ascii="Times New Roman" w:hAnsi="Times New Roman"/>
              </w:rPr>
              <w:t>(0.</w:t>
            </w:r>
            <w:r w:rsidR="00A1108C">
              <w:rPr>
                <w:rFonts w:ascii="Times New Roman" w:hAnsi="Times New Roman"/>
              </w:rPr>
              <w:t>22</w:t>
            </w:r>
            <w:r>
              <w:rPr>
                <w:rFonts w:ascii="Times New Roman" w:hAnsi="Times New Roman"/>
              </w:rPr>
              <w:t>)</w:t>
            </w:r>
          </w:p>
        </w:tc>
        <w:tc>
          <w:tcPr>
            <w:tcW w:w="966" w:type="dxa"/>
            <w:tcBorders>
              <w:top w:val="nil"/>
              <w:left w:val="nil"/>
              <w:bottom w:val="nil"/>
              <w:right w:val="nil"/>
            </w:tcBorders>
          </w:tcPr>
          <w:p w14:paraId="66124F40" w14:textId="77777777" w:rsidR="005B7447" w:rsidRPr="006F53FC" w:rsidRDefault="003F154B" w:rsidP="00A1108C">
            <w:pPr>
              <w:spacing w:after="0" w:line="240" w:lineRule="auto"/>
              <w:jc w:val="center"/>
              <w:outlineLvl w:val="0"/>
              <w:rPr>
                <w:rFonts w:ascii="Times New Roman" w:hAnsi="Times New Roman"/>
              </w:rPr>
            </w:pPr>
            <w:r>
              <w:rPr>
                <w:rFonts w:ascii="Times New Roman" w:hAnsi="Times New Roman"/>
              </w:rPr>
              <w:t>(0.</w:t>
            </w:r>
            <w:r w:rsidR="00A1108C">
              <w:rPr>
                <w:rFonts w:ascii="Times New Roman" w:hAnsi="Times New Roman"/>
              </w:rPr>
              <w:t>12</w:t>
            </w:r>
            <w:r>
              <w:rPr>
                <w:rFonts w:ascii="Times New Roman" w:hAnsi="Times New Roman"/>
              </w:rPr>
              <w:t>)</w:t>
            </w:r>
          </w:p>
        </w:tc>
        <w:tc>
          <w:tcPr>
            <w:tcW w:w="0" w:type="auto"/>
            <w:tcBorders>
              <w:top w:val="nil"/>
              <w:left w:val="nil"/>
              <w:bottom w:val="nil"/>
              <w:right w:val="nil"/>
            </w:tcBorders>
          </w:tcPr>
          <w:p w14:paraId="67773805" w14:textId="77777777" w:rsidR="005B7447" w:rsidRPr="006F53FC" w:rsidRDefault="003F154B" w:rsidP="00A1108C">
            <w:pPr>
              <w:spacing w:after="0" w:line="240" w:lineRule="auto"/>
              <w:jc w:val="center"/>
              <w:outlineLvl w:val="0"/>
              <w:rPr>
                <w:rFonts w:ascii="Times New Roman" w:hAnsi="Times New Roman"/>
              </w:rPr>
            </w:pPr>
            <w:r>
              <w:rPr>
                <w:rFonts w:ascii="Times New Roman" w:hAnsi="Times New Roman"/>
              </w:rPr>
              <w:t>(0.1</w:t>
            </w:r>
            <w:r w:rsidR="00A1108C">
              <w:rPr>
                <w:rFonts w:ascii="Times New Roman" w:hAnsi="Times New Roman"/>
              </w:rPr>
              <w:t>3</w:t>
            </w:r>
            <w:r>
              <w:rPr>
                <w:rFonts w:ascii="Times New Roman" w:hAnsi="Times New Roman"/>
              </w:rPr>
              <w:t>)</w:t>
            </w:r>
          </w:p>
        </w:tc>
        <w:tc>
          <w:tcPr>
            <w:tcW w:w="0" w:type="auto"/>
            <w:tcBorders>
              <w:top w:val="nil"/>
              <w:left w:val="nil"/>
              <w:bottom w:val="nil"/>
              <w:right w:val="nil"/>
            </w:tcBorders>
          </w:tcPr>
          <w:p w14:paraId="63ACF5A0" w14:textId="77777777" w:rsidR="005B7447" w:rsidRPr="006F53FC" w:rsidRDefault="003F154B" w:rsidP="00A1108C">
            <w:pPr>
              <w:spacing w:after="0" w:line="240" w:lineRule="auto"/>
              <w:jc w:val="center"/>
              <w:outlineLvl w:val="0"/>
              <w:rPr>
                <w:rFonts w:ascii="Times New Roman" w:hAnsi="Times New Roman"/>
              </w:rPr>
            </w:pPr>
            <w:r>
              <w:rPr>
                <w:rFonts w:ascii="Times New Roman" w:hAnsi="Times New Roman"/>
              </w:rPr>
              <w:t>(0.2</w:t>
            </w:r>
            <w:r w:rsidR="00A1108C">
              <w:rPr>
                <w:rFonts w:ascii="Times New Roman" w:hAnsi="Times New Roman"/>
              </w:rPr>
              <w:t>4</w:t>
            </w:r>
            <w:r>
              <w:rPr>
                <w:rFonts w:ascii="Times New Roman" w:hAnsi="Times New Roman"/>
              </w:rPr>
              <w:t>)</w:t>
            </w:r>
          </w:p>
        </w:tc>
        <w:tc>
          <w:tcPr>
            <w:tcW w:w="0" w:type="auto"/>
            <w:tcBorders>
              <w:top w:val="nil"/>
              <w:left w:val="nil"/>
              <w:bottom w:val="nil"/>
              <w:right w:val="nil"/>
            </w:tcBorders>
          </w:tcPr>
          <w:p w14:paraId="7D57E4D8" w14:textId="77777777" w:rsidR="005B7447" w:rsidRPr="006F53FC" w:rsidRDefault="003F154B" w:rsidP="00A1108C">
            <w:pPr>
              <w:spacing w:after="0" w:line="240" w:lineRule="auto"/>
              <w:jc w:val="center"/>
              <w:outlineLvl w:val="0"/>
              <w:rPr>
                <w:rFonts w:ascii="Times New Roman" w:hAnsi="Times New Roman"/>
              </w:rPr>
            </w:pPr>
            <w:r>
              <w:rPr>
                <w:rFonts w:ascii="Times New Roman" w:hAnsi="Times New Roman"/>
              </w:rPr>
              <w:t>(0.</w:t>
            </w:r>
            <w:r w:rsidR="00A1108C">
              <w:rPr>
                <w:rFonts w:ascii="Times New Roman" w:hAnsi="Times New Roman"/>
              </w:rPr>
              <w:t>34</w:t>
            </w:r>
            <w:r>
              <w:rPr>
                <w:rFonts w:ascii="Times New Roman" w:hAnsi="Times New Roman"/>
              </w:rPr>
              <w:t>)</w:t>
            </w:r>
          </w:p>
        </w:tc>
        <w:tc>
          <w:tcPr>
            <w:tcW w:w="0" w:type="auto"/>
            <w:tcBorders>
              <w:top w:val="nil"/>
              <w:left w:val="nil"/>
              <w:bottom w:val="nil"/>
              <w:right w:val="nil"/>
            </w:tcBorders>
          </w:tcPr>
          <w:p w14:paraId="2FF33DFD" w14:textId="77777777" w:rsidR="005B7447" w:rsidRPr="006F53FC" w:rsidRDefault="003F154B" w:rsidP="00A1108C">
            <w:pPr>
              <w:spacing w:after="0" w:line="240" w:lineRule="auto"/>
              <w:jc w:val="center"/>
              <w:outlineLvl w:val="0"/>
              <w:rPr>
                <w:rFonts w:ascii="Times New Roman" w:hAnsi="Times New Roman"/>
              </w:rPr>
            </w:pPr>
            <w:r>
              <w:rPr>
                <w:rFonts w:ascii="Times New Roman" w:hAnsi="Times New Roman"/>
              </w:rPr>
              <w:t>(0.1</w:t>
            </w:r>
            <w:r w:rsidR="00A1108C">
              <w:rPr>
                <w:rFonts w:ascii="Times New Roman" w:hAnsi="Times New Roman"/>
              </w:rPr>
              <w:t>6</w:t>
            </w:r>
            <w:r>
              <w:rPr>
                <w:rFonts w:ascii="Times New Roman" w:hAnsi="Times New Roman"/>
              </w:rPr>
              <w:t>)</w:t>
            </w:r>
          </w:p>
        </w:tc>
        <w:tc>
          <w:tcPr>
            <w:tcW w:w="0" w:type="auto"/>
            <w:tcBorders>
              <w:top w:val="nil"/>
              <w:left w:val="nil"/>
              <w:bottom w:val="nil"/>
              <w:right w:val="nil"/>
            </w:tcBorders>
          </w:tcPr>
          <w:p w14:paraId="219DCEC8" w14:textId="77777777" w:rsidR="005B7447" w:rsidRPr="006F53FC" w:rsidRDefault="005B7447" w:rsidP="00734EE4">
            <w:pPr>
              <w:spacing w:after="0" w:line="240" w:lineRule="auto"/>
              <w:jc w:val="center"/>
              <w:outlineLvl w:val="0"/>
              <w:rPr>
                <w:rFonts w:ascii="Times New Roman" w:hAnsi="Times New Roman"/>
              </w:rPr>
            </w:pPr>
          </w:p>
        </w:tc>
      </w:tr>
      <w:tr w:rsidR="00B36EBD" w:rsidRPr="006F53FC" w14:paraId="52C3ACFE" w14:textId="77777777" w:rsidTr="00EA00B9">
        <w:trPr>
          <w:trHeight w:val="267"/>
          <w:jc w:val="center"/>
        </w:trPr>
        <w:tc>
          <w:tcPr>
            <w:tcW w:w="1357" w:type="dxa"/>
            <w:tcBorders>
              <w:top w:val="nil"/>
              <w:left w:val="nil"/>
              <w:bottom w:val="nil"/>
              <w:right w:val="nil"/>
            </w:tcBorders>
          </w:tcPr>
          <w:p w14:paraId="67D7BB5B" w14:textId="77777777" w:rsidR="00BF6F9E" w:rsidRPr="00D7101E" w:rsidRDefault="00BF6F9E" w:rsidP="00734EE4">
            <w:pPr>
              <w:spacing w:after="0" w:line="240" w:lineRule="auto"/>
              <w:jc w:val="center"/>
              <w:outlineLvl w:val="0"/>
              <w:rPr>
                <w:rFonts w:ascii="Times New Roman" w:hAnsi="Times New Roman"/>
              </w:rPr>
            </w:pPr>
            <w:r w:rsidRPr="00D7101E">
              <w:rPr>
                <w:rFonts w:ascii="Times New Roman" w:hAnsi="Times New Roman"/>
              </w:rPr>
              <w:t>Strategy 4</w:t>
            </w:r>
          </w:p>
        </w:tc>
        <w:tc>
          <w:tcPr>
            <w:tcW w:w="0" w:type="auto"/>
            <w:tcBorders>
              <w:top w:val="nil"/>
              <w:left w:val="nil"/>
              <w:bottom w:val="nil"/>
              <w:right w:val="nil"/>
            </w:tcBorders>
          </w:tcPr>
          <w:p w14:paraId="5A3B8A3E" w14:textId="77777777" w:rsidR="00BF6F9E" w:rsidRPr="006F53FC" w:rsidRDefault="00A1108C" w:rsidP="00A1108C">
            <w:pPr>
              <w:spacing w:after="0" w:line="240" w:lineRule="auto"/>
              <w:jc w:val="center"/>
              <w:outlineLvl w:val="0"/>
              <w:rPr>
                <w:rFonts w:ascii="Times New Roman" w:hAnsi="Times New Roman"/>
              </w:rPr>
            </w:pPr>
            <w:r>
              <w:rPr>
                <w:rFonts w:ascii="Times New Roman" w:hAnsi="Times New Roman"/>
              </w:rPr>
              <w:t>-</w:t>
            </w:r>
            <w:r w:rsidR="003F154B">
              <w:rPr>
                <w:rFonts w:ascii="Times New Roman" w:hAnsi="Times New Roman"/>
              </w:rPr>
              <w:t>0.1</w:t>
            </w:r>
            <w:r>
              <w:rPr>
                <w:rFonts w:ascii="Times New Roman" w:hAnsi="Times New Roman"/>
              </w:rPr>
              <w:t>4</w:t>
            </w:r>
          </w:p>
        </w:tc>
        <w:tc>
          <w:tcPr>
            <w:tcW w:w="1070" w:type="dxa"/>
            <w:tcBorders>
              <w:top w:val="nil"/>
              <w:left w:val="nil"/>
              <w:bottom w:val="nil"/>
              <w:right w:val="nil"/>
            </w:tcBorders>
          </w:tcPr>
          <w:p w14:paraId="393353DA" w14:textId="77777777" w:rsidR="00BF6F9E" w:rsidRPr="006F53FC" w:rsidRDefault="003F154B" w:rsidP="00A1108C">
            <w:pPr>
              <w:spacing w:after="0" w:line="240" w:lineRule="auto"/>
              <w:jc w:val="center"/>
              <w:outlineLvl w:val="0"/>
              <w:rPr>
                <w:rFonts w:ascii="Times New Roman" w:hAnsi="Times New Roman"/>
              </w:rPr>
            </w:pPr>
            <w:r>
              <w:rPr>
                <w:rFonts w:ascii="Times New Roman" w:hAnsi="Times New Roman"/>
              </w:rPr>
              <w:t>-0.</w:t>
            </w:r>
            <w:r w:rsidR="00A1108C">
              <w:rPr>
                <w:rFonts w:ascii="Times New Roman" w:hAnsi="Times New Roman"/>
              </w:rPr>
              <w:t>17</w:t>
            </w:r>
          </w:p>
        </w:tc>
        <w:tc>
          <w:tcPr>
            <w:tcW w:w="0" w:type="auto"/>
            <w:tcBorders>
              <w:top w:val="nil"/>
              <w:left w:val="nil"/>
              <w:bottom w:val="nil"/>
              <w:right w:val="nil"/>
            </w:tcBorders>
          </w:tcPr>
          <w:p w14:paraId="0124982F" w14:textId="77777777" w:rsidR="00BF6F9E" w:rsidRPr="006F53FC" w:rsidRDefault="003F154B" w:rsidP="00A1108C">
            <w:pPr>
              <w:spacing w:after="0" w:line="240" w:lineRule="auto"/>
              <w:jc w:val="center"/>
              <w:outlineLvl w:val="0"/>
              <w:rPr>
                <w:rFonts w:ascii="Times New Roman" w:hAnsi="Times New Roman"/>
              </w:rPr>
            </w:pPr>
            <w:r>
              <w:rPr>
                <w:rFonts w:ascii="Times New Roman" w:hAnsi="Times New Roman"/>
              </w:rPr>
              <w:t>0.0</w:t>
            </w:r>
            <w:r w:rsidR="00A1108C">
              <w:rPr>
                <w:rFonts w:ascii="Times New Roman" w:hAnsi="Times New Roman"/>
              </w:rPr>
              <w:t>3</w:t>
            </w:r>
          </w:p>
        </w:tc>
        <w:tc>
          <w:tcPr>
            <w:tcW w:w="966" w:type="dxa"/>
            <w:tcBorders>
              <w:top w:val="nil"/>
              <w:left w:val="nil"/>
              <w:bottom w:val="nil"/>
              <w:right w:val="nil"/>
            </w:tcBorders>
          </w:tcPr>
          <w:p w14:paraId="73EEE936" w14:textId="77777777" w:rsidR="00BF6F9E" w:rsidRPr="006F53FC" w:rsidRDefault="003F154B" w:rsidP="00A1108C">
            <w:pPr>
              <w:spacing w:after="0" w:line="240" w:lineRule="auto"/>
              <w:jc w:val="center"/>
              <w:outlineLvl w:val="0"/>
              <w:rPr>
                <w:rFonts w:ascii="Times New Roman" w:hAnsi="Times New Roman"/>
              </w:rPr>
            </w:pPr>
            <w:r>
              <w:rPr>
                <w:rFonts w:ascii="Times New Roman" w:hAnsi="Times New Roman"/>
              </w:rPr>
              <w:t>0.</w:t>
            </w:r>
            <w:r w:rsidR="00A1108C">
              <w:rPr>
                <w:rFonts w:ascii="Times New Roman" w:hAnsi="Times New Roman"/>
              </w:rPr>
              <w:t>09</w:t>
            </w:r>
          </w:p>
        </w:tc>
        <w:tc>
          <w:tcPr>
            <w:tcW w:w="966" w:type="dxa"/>
            <w:tcBorders>
              <w:top w:val="nil"/>
              <w:left w:val="nil"/>
              <w:bottom w:val="nil"/>
              <w:right w:val="nil"/>
            </w:tcBorders>
          </w:tcPr>
          <w:p w14:paraId="2F75A7EB" w14:textId="77777777" w:rsidR="00BF6F9E" w:rsidRPr="006F53FC" w:rsidRDefault="003F154B" w:rsidP="00734EE4">
            <w:pPr>
              <w:spacing w:after="0" w:line="240" w:lineRule="auto"/>
              <w:jc w:val="center"/>
              <w:outlineLvl w:val="0"/>
              <w:rPr>
                <w:rFonts w:ascii="Times New Roman" w:hAnsi="Times New Roman"/>
              </w:rPr>
            </w:pPr>
            <w:r>
              <w:rPr>
                <w:rFonts w:ascii="Times New Roman" w:hAnsi="Times New Roman"/>
              </w:rPr>
              <w:t>-0.11</w:t>
            </w:r>
            <w:r w:rsidR="00800B92">
              <w:rPr>
                <w:rFonts w:ascii="Times New Roman" w:hAnsi="Times New Roman"/>
              </w:rPr>
              <w:t>**</w:t>
            </w:r>
          </w:p>
        </w:tc>
        <w:tc>
          <w:tcPr>
            <w:tcW w:w="0" w:type="auto"/>
            <w:tcBorders>
              <w:top w:val="nil"/>
              <w:left w:val="nil"/>
              <w:bottom w:val="nil"/>
              <w:right w:val="nil"/>
            </w:tcBorders>
          </w:tcPr>
          <w:p w14:paraId="4FB7A595" w14:textId="77777777" w:rsidR="00BF6F9E" w:rsidRPr="006F53FC" w:rsidRDefault="003F154B" w:rsidP="00A1108C">
            <w:pPr>
              <w:spacing w:after="0" w:line="240" w:lineRule="auto"/>
              <w:jc w:val="center"/>
              <w:outlineLvl w:val="0"/>
              <w:rPr>
                <w:rFonts w:ascii="Times New Roman" w:hAnsi="Times New Roman"/>
              </w:rPr>
            </w:pPr>
            <w:r>
              <w:rPr>
                <w:rFonts w:ascii="Times New Roman" w:hAnsi="Times New Roman"/>
              </w:rPr>
              <w:t>-0.0</w:t>
            </w:r>
            <w:r w:rsidR="00A1108C">
              <w:rPr>
                <w:rFonts w:ascii="Times New Roman" w:hAnsi="Times New Roman"/>
              </w:rPr>
              <w:t>5</w:t>
            </w:r>
          </w:p>
        </w:tc>
        <w:tc>
          <w:tcPr>
            <w:tcW w:w="0" w:type="auto"/>
            <w:tcBorders>
              <w:top w:val="nil"/>
              <w:left w:val="nil"/>
              <w:bottom w:val="nil"/>
              <w:right w:val="nil"/>
            </w:tcBorders>
          </w:tcPr>
          <w:p w14:paraId="53581C58" w14:textId="77777777" w:rsidR="00BF6F9E" w:rsidRPr="006F53FC" w:rsidRDefault="00800B92" w:rsidP="00800B92">
            <w:pPr>
              <w:spacing w:after="0" w:line="240" w:lineRule="auto"/>
              <w:jc w:val="center"/>
              <w:outlineLvl w:val="0"/>
              <w:rPr>
                <w:rFonts w:ascii="Times New Roman" w:hAnsi="Times New Roman"/>
              </w:rPr>
            </w:pPr>
            <w:r>
              <w:rPr>
                <w:rFonts w:ascii="Times New Roman" w:hAnsi="Times New Roman"/>
              </w:rPr>
              <w:t>-</w:t>
            </w:r>
            <w:r w:rsidR="003F154B">
              <w:rPr>
                <w:rFonts w:ascii="Times New Roman" w:hAnsi="Times New Roman"/>
              </w:rPr>
              <w:t>0.</w:t>
            </w:r>
            <w:r>
              <w:rPr>
                <w:rFonts w:ascii="Times New Roman" w:hAnsi="Times New Roman"/>
              </w:rPr>
              <w:t>00</w:t>
            </w:r>
          </w:p>
        </w:tc>
        <w:tc>
          <w:tcPr>
            <w:tcW w:w="0" w:type="auto"/>
            <w:tcBorders>
              <w:top w:val="nil"/>
              <w:left w:val="nil"/>
              <w:bottom w:val="nil"/>
              <w:right w:val="nil"/>
            </w:tcBorders>
          </w:tcPr>
          <w:p w14:paraId="7644464A" w14:textId="77777777" w:rsidR="00BF6F9E" w:rsidRPr="006F53FC" w:rsidRDefault="00800B92" w:rsidP="00800B92">
            <w:pPr>
              <w:spacing w:after="0" w:line="240" w:lineRule="auto"/>
              <w:jc w:val="center"/>
              <w:outlineLvl w:val="0"/>
              <w:rPr>
                <w:rFonts w:ascii="Times New Roman" w:hAnsi="Times New Roman"/>
              </w:rPr>
            </w:pPr>
            <w:r>
              <w:rPr>
                <w:rFonts w:ascii="Times New Roman" w:hAnsi="Times New Roman"/>
              </w:rPr>
              <w:t>-</w:t>
            </w:r>
            <w:r w:rsidR="003F154B">
              <w:rPr>
                <w:rFonts w:ascii="Times New Roman" w:hAnsi="Times New Roman"/>
              </w:rPr>
              <w:t>0.0</w:t>
            </w:r>
            <w:r>
              <w:rPr>
                <w:rFonts w:ascii="Times New Roman" w:hAnsi="Times New Roman"/>
              </w:rPr>
              <w:t>3</w:t>
            </w:r>
          </w:p>
        </w:tc>
        <w:tc>
          <w:tcPr>
            <w:tcW w:w="0" w:type="auto"/>
            <w:tcBorders>
              <w:top w:val="nil"/>
              <w:left w:val="nil"/>
              <w:bottom w:val="nil"/>
              <w:right w:val="nil"/>
            </w:tcBorders>
          </w:tcPr>
          <w:p w14:paraId="34497B6C" w14:textId="77777777" w:rsidR="00BF6F9E" w:rsidRPr="006F53FC" w:rsidRDefault="003F154B" w:rsidP="00734EE4">
            <w:pPr>
              <w:spacing w:after="0" w:line="240" w:lineRule="auto"/>
              <w:jc w:val="center"/>
              <w:outlineLvl w:val="0"/>
              <w:rPr>
                <w:rFonts w:ascii="Times New Roman" w:hAnsi="Times New Roman"/>
              </w:rPr>
            </w:pPr>
            <w:r>
              <w:rPr>
                <w:rFonts w:ascii="Times New Roman" w:hAnsi="Times New Roman"/>
              </w:rPr>
              <w:t>0.18</w:t>
            </w:r>
            <w:r w:rsidR="00800B92">
              <w:rPr>
                <w:rFonts w:ascii="Times New Roman" w:hAnsi="Times New Roman"/>
              </w:rPr>
              <w:t>*</w:t>
            </w:r>
            <w:r w:rsidR="00DC49CE">
              <w:rPr>
                <w:rFonts w:ascii="Times New Roman" w:hAnsi="Times New Roman"/>
              </w:rPr>
              <w:t>*</w:t>
            </w:r>
          </w:p>
        </w:tc>
        <w:tc>
          <w:tcPr>
            <w:tcW w:w="0" w:type="auto"/>
            <w:tcBorders>
              <w:top w:val="nil"/>
              <w:left w:val="nil"/>
              <w:bottom w:val="nil"/>
              <w:right w:val="nil"/>
            </w:tcBorders>
          </w:tcPr>
          <w:p w14:paraId="02109F80" w14:textId="77777777" w:rsidR="00BF6F9E" w:rsidRPr="006F53FC" w:rsidRDefault="003F154B" w:rsidP="00800B92">
            <w:pPr>
              <w:spacing w:after="0" w:line="240" w:lineRule="auto"/>
              <w:jc w:val="center"/>
              <w:outlineLvl w:val="0"/>
              <w:rPr>
                <w:rFonts w:ascii="Times New Roman" w:hAnsi="Times New Roman"/>
              </w:rPr>
            </w:pPr>
            <w:r>
              <w:rPr>
                <w:rFonts w:ascii="Times New Roman" w:hAnsi="Times New Roman"/>
              </w:rPr>
              <w:t>0.4</w:t>
            </w:r>
            <w:r w:rsidR="00800B92">
              <w:rPr>
                <w:rFonts w:ascii="Times New Roman" w:hAnsi="Times New Roman"/>
              </w:rPr>
              <w:t>5</w:t>
            </w:r>
          </w:p>
        </w:tc>
      </w:tr>
      <w:tr w:rsidR="00B36EBD" w:rsidRPr="006F53FC" w14:paraId="23E10C65" w14:textId="77777777" w:rsidTr="00EA00B9">
        <w:trPr>
          <w:trHeight w:val="267"/>
          <w:jc w:val="center"/>
        </w:trPr>
        <w:tc>
          <w:tcPr>
            <w:tcW w:w="1357" w:type="dxa"/>
            <w:tcBorders>
              <w:top w:val="nil"/>
              <w:left w:val="nil"/>
              <w:bottom w:val="nil"/>
              <w:right w:val="nil"/>
            </w:tcBorders>
          </w:tcPr>
          <w:p w14:paraId="37D06EA8" w14:textId="77777777" w:rsidR="005B7447" w:rsidRPr="00D7101E" w:rsidRDefault="005B7447" w:rsidP="00734EE4">
            <w:pPr>
              <w:spacing w:after="0" w:line="240" w:lineRule="auto"/>
              <w:jc w:val="center"/>
              <w:outlineLvl w:val="0"/>
              <w:rPr>
                <w:rFonts w:ascii="Times New Roman" w:hAnsi="Times New Roman"/>
              </w:rPr>
            </w:pPr>
          </w:p>
        </w:tc>
        <w:tc>
          <w:tcPr>
            <w:tcW w:w="0" w:type="auto"/>
            <w:tcBorders>
              <w:top w:val="nil"/>
              <w:left w:val="nil"/>
              <w:bottom w:val="nil"/>
              <w:right w:val="nil"/>
            </w:tcBorders>
          </w:tcPr>
          <w:p w14:paraId="52320077" w14:textId="77777777" w:rsidR="005B7447" w:rsidRPr="006F53FC" w:rsidRDefault="003F154B" w:rsidP="00A1108C">
            <w:pPr>
              <w:spacing w:after="0" w:line="240" w:lineRule="auto"/>
              <w:jc w:val="center"/>
              <w:outlineLvl w:val="0"/>
              <w:rPr>
                <w:rFonts w:ascii="Times New Roman" w:hAnsi="Times New Roman"/>
              </w:rPr>
            </w:pPr>
            <w:r>
              <w:rPr>
                <w:rFonts w:ascii="Times New Roman" w:hAnsi="Times New Roman"/>
              </w:rPr>
              <w:t>(0.</w:t>
            </w:r>
            <w:r w:rsidR="00A1108C">
              <w:rPr>
                <w:rFonts w:ascii="Times New Roman" w:hAnsi="Times New Roman"/>
              </w:rPr>
              <w:t>16</w:t>
            </w:r>
            <w:r>
              <w:rPr>
                <w:rFonts w:ascii="Times New Roman" w:hAnsi="Times New Roman"/>
              </w:rPr>
              <w:t>)</w:t>
            </w:r>
          </w:p>
        </w:tc>
        <w:tc>
          <w:tcPr>
            <w:tcW w:w="1070" w:type="dxa"/>
            <w:tcBorders>
              <w:top w:val="nil"/>
              <w:left w:val="nil"/>
              <w:bottom w:val="nil"/>
              <w:right w:val="nil"/>
            </w:tcBorders>
          </w:tcPr>
          <w:p w14:paraId="6348C279" w14:textId="77777777" w:rsidR="005B7447" w:rsidRPr="006F53FC" w:rsidRDefault="003F154B" w:rsidP="00A1108C">
            <w:pPr>
              <w:spacing w:after="0" w:line="240" w:lineRule="auto"/>
              <w:jc w:val="center"/>
              <w:outlineLvl w:val="0"/>
              <w:rPr>
                <w:rFonts w:ascii="Times New Roman" w:hAnsi="Times New Roman"/>
              </w:rPr>
            </w:pPr>
            <w:r>
              <w:rPr>
                <w:rFonts w:ascii="Times New Roman" w:hAnsi="Times New Roman"/>
              </w:rPr>
              <w:t>(0.1</w:t>
            </w:r>
            <w:r w:rsidR="00A1108C">
              <w:rPr>
                <w:rFonts w:ascii="Times New Roman" w:hAnsi="Times New Roman"/>
              </w:rPr>
              <w:t>1</w:t>
            </w:r>
            <w:r>
              <w:rPr>
                <w:rFonts w:ascii="Times New Roman" w:hAnsi="Times New Roman"/>
              </w:rPr>
              <w:t>)</w:t>
            </w:r>
          </w:p>
        </w:tc>
        <w:tc>
          <w:tcPr>
            <w:tcW w:w="0" w:type="auto"/>
            <w:tcBorders>
              <w:top w:val="nil"/>
              <w:left w:val="nil"/>
              <w:bottom w:val="nil"/>
              <w:right w:val="nil"/>
            </w:tcBorders>
          </w:tcPr>
          <w:p w14:paraId="795995B6" w14:textId="77777777" w:rsidR="005B7447" w:rsidRPr="006F53FC" w:rsidRDefault="003F154B" w:rsidP="00A1108C">
            <w:pPr>
              <w:spacing w:after="0" w:line="240" w:lineRule="auto"/>
              <w:jc w:val="center"/>
              <w:outlineLvl w:val="0"/>
              <w:rPr>
                <w:rFonts w:ascii="Times New Roman" w:hAnsi="Times New Roman"/>
              </w:rPr>
            </w:pPr>
            <w:r>
              <w:rPr>
                <w:rFonts w:ascii="Times New Roman" w:hAnsi="Times New Roman"/>
              </w:rPr>
              <w:t>(0.</w:t>
            </w:r>
            <w:r w:rsidR="00A1108C">
              <w:rPr>
                <w:rFonts w:ascii="Times New Roman" w:hAnsi="Times New Roman"/>
              </w:rPr>
              <w:t>08</w:t>
            </w:r>
            <w:r>
              <w:rPr>
                <w:rFonts w:ascii="Times New Roman" w:hAnsi="Times New Roman"/>
              </w:rPr>
              <w:t>)</w:t>
            </w:r>
          </w:p>
        </w:tc>
        <w:tc>
          <w:tcPr>
            <w:tcW w:w="966" w:type="dxa"/>
            <w:tcBorders>
              <w:top w:val="nil"/>
              <w:left w:val="nil"/>
              <w:bottom w:val="nil"/>
              <w:right w:val="nil"/>
            </w:tcBorders>
          </w:tcPr>
          <w:p w14:paraId="7CD16DAF" w14:textId="77777777" w:rsidR="005B7447" w:rsidRPr="006F53FC" w:rsidRDefault="003F154B" w:rsidP="00A1108C">
            <w:pPr>
              <w:spacing w:after="0" w:line="240" w:lineRule="auto"/>
              <w:jc w:val="center"/>
              <w:outlineLvl w:val="0"/>
              <w:rPr>
                <w:rFonts w:ascii="Times New Roman" w:hAnsi="Times New Roman"/>
              </w:rPr>
            </w:pPr>
            <w:r>
              <w:rPr>
                <w:rFonts w:ascii="Times New Roman" w:hAnsi="Times New Roman"/>
              </w:rPr>
              <w:t>(0.1</w:t>
            </w:r>
            <w:r w:rsidR="00A1108C">
              <w:rPr>
                <w:rFonts w:ascii="Times New Roman" w:hAnsi="Times New Roman"/>
              </w:rPr>
              <w:t>2</w:t>
            </w:r>
            <w:r>
              <w:rPr>
                <w:rFonts w:ascii="Times New Roman" w:hAnsi="Times New Roman"/>
              </w:rPr>
              <w:t>)</w:t>
            </w:r>
          </w:p>
        </w:tc>
        <w:tc>
          <w:tcPr>
            <w:tcW w:w="966" w:type="dxa"/>
            <w:tcBorders>
              <w:top w:val="nil"/>
              <w:left w:val="nil"/>
              <w:bottom w:val="nil"/>
              <w:right w:val="nil"/>
            </w:tcBorders>
          </w:tcPr>
          <w:p w14:paraId="0969DB79" w14:textId="77777777" w:rsidR="005B7447" w:rsidRPr="006F53FC" w:rsidRDefault="003F154B" w:rsidP="00A1108C">
            <w:pPr>
              <w:spacing w:after="0" w:line="240" w:lineRule="auto"/>
              <w:jc w:val="center"/>
              <w:outlineLvl w:val="0"/>
              <w:rPr>
                <w:rFonts w:ascii="Times New Roman" w:hAnsi="Times New Roman"/>
              </w:rPr>
            </w:pPr>
            <w:r>
              <w:rPr>
                <w:rFonts w:ascii="Times New Roman" w:hAnsi="Times New Roman"/>
              </w:rPr>
              <w:t>(0.0</w:t>
            </w:r>
            <w:r w:rsidR="00A1108C">
              <w:rPr>
                <w:rFonts w:ascii="Times New Roman" w:hAnsi="Times New Roman"/>
              </w:rPr>
              <w:t>5</w:t>
            </w:r>
            <w:r>
              <w:rPr>
                <w:rFonts w:ascii="Times New Roman" w:hAnsi="Times New Roman"/>
              </w:rPr>
              <w:t>)</w:t>
            </w:r>
          </w:p>
        </w:tc>
        <w:tc>
          <w:tcPr>
            <w:tcW w:w="0" w:type="auto"/>
            <w:tcBorders>
              <w:top w:val="nil"/>
              <w:left w:val="nil"/>
              <w:bottom w:val="nil"/>
              <w:right w:val="nil"/>
            </w:tcBorders>
          </w:tcPr>
          <w:p w14:paraId="3D155F0A" w14:textId="77777777" w:rsidR="005B7447" w:rsidRPr="006F53FC" w:rsidRDefault="003F154B" w:rsidP="00800B92">
            <w:pPr>
              <w:spacing w:after="0" w:line="240" w:lineRule="auto"/>
              <w:jc w:val="center"/>
              <w:outlineLvl w:val="0"/>
              <w:rPr>
                <w:rFonts w:ascii="Times New Roman" w:hAnsi="Times New Roman"/>
              </w:rPr>
            </w:pPr>
            <w:r>
              <w:rPr>
                <w:rFonts w:ascii="Times New Roman" w:hAnsi="Times New Roman"/>
              </w:rPr>
              <w:t>(0.0</w:t>
            </w:r>
            <w:r w:rsidR="00800B92">
              <w:rPr>
                <w:rFonts w:ascii="Times New Roman" w:hAnsi="Times New Roman"/>
              </w:rPr>
              <w:t>8</w:t>
            </w:r>
            <w:r>
              <w:rPr>
                <w:rFonts w:ascii="Times New Roman" w:hAnsi="Times New Roman"/>
              </w:rPr>
              <w:t>)</w:t>
            </w:r>
          </w:p>
        </w:tc>
        <w:tc>
          <w:tcPr>
            <w:tcW w:w="0" w:type="auto"/>
            <w:tcBorders>
              <w:top w:val="nil"/>
              <w:left w:val="nil"/>
              <w:bottom w:val="nil"/>
              <w:right w:val="nil"/>
            </w:tcBorders>
          </w:tcPr>
          <w:p w14:paraId="77EBD14E" w14:textId="77777777" w:rsidR="005B7447" w:rsidRPr="006F53FC" w:rsidRDefault="003F154B" w:rsidP="00800B92">
            <w:pPr>
              <w:spacing w:after="0" w:line="240" w:lineRule="auto"/>
              <w:jc w:val="center"/>
              <w:outlineLvl w:val="0"/>
              <w:rPr>
                <w:rFonts w:ascii="Times New Roman" w:hAnsi="Times New Roman"/>
              </w:rPr>
            </w:pPr>
            <w:r>
              <w:rPr>
                <w:rFonts w:ascii="Times New Roman" w:hAnsi="Times New Roman"/>
              </w:rPr>
              <w:t>(0.1</w:t>
            </w:r>
            <w:r w:rsidR="00800B92">
              <w:rPr>
                <w:rFonts w:ascii="Times New Roman" w:hAnsi="Times New Roman"/>
              </w:rPr>
              <w:t>3</w:t>
            </w:r>
            <w:r>
              <w:rPr>
                <w:rFonts w:ascii="Times New Roman" w:hAnsi="Times New Roman"/>
              </w:rPr>
              <w:t>)</w:t>
            </w:r>
          </w:p>
        </w:tc>
        <w:tc>
          <w:tcPr>
            <w:tcW w:w="0" w:type="auto"/>
            <w:tcBorders>
              <w:top w:val="nil"/>
              <w:left w:val="nil"/>
              <w:bottom w:val="nil"/>
              <w:right w:val="nil"/>
            </w:tcBorders>
          </w:tcPr>
          <w:p w14:paraId="2CC992E6" w14:textId="77777777" w:rsidR="005B7447" w:rsidRPr="006F53FC" w:rsidRDefault="003F154B" w:rsidP="00800B92">
            <w:pPr>
              <w:spacing w:after="0" w:line="240" w:lineRule="auto"/>
              <w:jc w:val="center"/>
              <w:outlineLvl w:val="0"/>
              <w:rPr>
                <w:rFonts w:ascii="Times New Roman" w:hAnsi="Times New Roman"/>
              </w:rPr>
            </w:pPr>
            <w:r>
              <w:rPr>
                <w:rFonts w:ascii="Times New Roman" w:hAnsi="Times New Roman"/>
              </w:rPr>
              <w:t>(0.</w:t>
            </w:r>
            <w:r w:rsidR="00800B92">
              <w:rPr>
                <w:rFonts w:ascii="Times New Roman" w:hAnsi="Times New Roman"/>
              </w:rPr>
              <w:t>16</w:t>
            </w:r>
            <w:r>
              <w:rPr>
                <w:rFonts w:ascii="Times New Roman" w:hAnsi="Times New Roman"/>
              </w:rPr>
              <w:t>)</w:t>
            </w:r>
          </w:p>
        </w:tc>
        <w:tc>
          <w:tcPr>
            <w:tcW w:w="0" w:type="auto"/>
            <w:tcBorders>
              <w:top w:val="nil"/>
              <w:left w:val="nil"/>
              <w:bottom w:val="nil"/>
              <w:right w:val="nil"/>
            </w:tcBorders>
          </w:tcPr>
          <w:p w14:paraId="4C155B3E" w14:textId="77777777" w:rsidR="005B7447" w:rsidRPr="006F53FC" w:rsidRDefault="003F154B" w:rsidP="00800B92">
            <w:pPr>
              <w:spacing w:after="0" w:line="240" w:lineRule="auto"/>
              <w:jc w:val="center"/>
              <w:outlineLvl w:val="0"/>
              <w:rPr>
                <w:rFonts w:ascii="Times New Roman" w:hAnsi="Times New Roman"/>
              </w:rPr>
            </w:pPr>
            <w:r>
              <w:rPr>
                <w:rFonts w:ascii="Times New Roman" w:hAnsi="Times New Roman"/>
              </w:rPr>
              <w:t>(0.0</w:t>
            </w:r>
            <w:r w:rsidR="00800B92">
              <w:rPr>
                <w:rFonts w:ascii="Times New Roman" w:hAnsi="Times New Roman"/>
              </w:rPr>
              <w:t>7</w:t>
            </w:r>
            <w:r>
              <w:rPr>
                <w:rFonts w:ascii="Times New Roman" w:hAnsi="Times New Roman"/>
              </w:rPr>
              <w:t>)</w:t>
            </w:r>
          </w:p>
        </w:tc>
        <w:tc>
          <w:tcPr>
            <w:tcW w:w="0" w:type="auto"/>
            <w:tcBorders>
              <w:top w:val="nil"/>
              <w:left w:val="nil"/>
              <w:bottom w:val="nil"/>
              <w:right w:val="nil"/>
            </w:tcBorders>
          </w:tcPr>
          <w:p w14:paraId="6A5A439F" w14:textId="77777777" w:rsidR="005B7447" w:rsidRPr="006F53FC" w:rsidRDefault="005B7447" w:rsidP="00734EE4">
            <w:pPr>
              <w:spacing w:after="0" w:line="240" w:lineRule="auto"/>
              <w:jc w:val="center"/>
              <w:outlineLvl w:val="0"/>
              <w:rPr>
                <w:rFonts w:ascii="Times New Roman" w:hAnsi="Times New Roman"/>
              </w:rPr>
            </w:pPr>
          </w:p>
        </w:tc>
      </w:tr>
      <w:tr w:rsidR="00B36EBD" w:rsidRPr="006F53FC" w14:paraId="40BB50F3" w14:textId="77777777" w:rsidTr="00EA00B9">
        <w:trPr>
          <w:trHeight w:val="267"/>
          <w:jc w:val="center"/>
        </w:trPr>
        <w:tc>
          <w:tcPr>
            <w:tcW w:w="1357" w:type="dxa"/>
            <w:tcBorders>
              <w:top w:val="nil"/>
              <w:left w:val="nil"/>
              <w:bottom w:val="nil"/>
              <w:right w:val="nil"/>
            </w:tcBorders>
          </w:tcPr>
          <w:p w14:paraId="0BA54C2C" w14:textId="77777777" w:rsidR="005B7447" w:rsidRPr="00D7101E" w:rsidRDefault="005B7447" w:rsidP="005E41ED">
            <w:pPr>
              <w:spacing w:after="0" w:line="240" w:lineRule="auto"/>
              <w:jc w:val="center"/>
              <w:outlineLvl w:val="0"/>
              <w:rPr>
                <w:rFonts w:ascii="Times New Roman" w:hAnsi="Times New Roman"/>
              </w:rPr>
            </w:pPr>
            <w:r w:rsidRPr="00D7101E">
              <w:rPr>
                <w:rFonts w:ascii="Times New Roman" w:hAnsi="Times New Roman"/>
              </w:rPr>
              <w:t>EW</w:t>
            </w:r>
          </w:p>
        </w:tc>
        <w:tc>
          <w:tcPr>
            <w:tcW w:w="0" w:type="auto"/>
            <w:tcBorders>
              <w:top w:val="nil"/>
              <w:left w:val="nil"/>
              <w:bottom w:val="nil"/>
              <w:right w:val="nil"/>
            </w:tcBorders>
          </w:tcPr>
          <w:p w14:paraId="5F67E06A" w14:textId="77777777" w:rsidR="005B7447" w:rsidRPr="006F53FC" w:rsidRDefault="00524269" w:rsidP="00524269">
            <w:pPr>
              <w:spacing w:after="0" w:line="240" w:lineRule="auto"/>
              <w:jc w:val="center"/>
              <w:outlineLvl w:val="0"/>
              <w:rPr>
                <w:rFonts w:ascii="Times New Roman" w:hAnsi="Times New Roman"/>
              </w:rPr>
            </w:pPr>
            <w:r>
              <w:rPr>
                <w:rFonts w:ascii="Times New Roman" w:hAnsi="Times New Roman"/>
              </w:rPr>
              <w:t>-0.03</w:t>
            </w:r>
          </w:p>
        </w:tc>
        <w:tc>
          <w:tcPr>
            <w:tcW w:w="1070" w:type="dxa"/>
            <w:tcBorders>
              <w:top w:val="nil"/>
              <w:left w:val="nil"/>
              <w:bottom w:val="nil"/>
              <w:right w:val="nil"/>
            </w:tcBorders>
          </w:tcPr>
          <w:p w14:paraId="2F1937B2" w14:textId="77777777" w:rsidR="005B7447" w:rsidRPr="006F53FC" w:rsidRDefault="00524269" w:rsidP="000E18FA">
            <w:pPr>
              <w:spacing w:after="0" w:line="240" w:lineRule="auto"/>
              <w:jc w:val="center"/>
              <w:outlineLvl w:val="0"/>
              <w:rPr>
                <w:rFonts w:ascii="Times New Roman" w:hAnsi="Times New Roman"/>
              </w:rPr>
            </w:pPr>
            <w:r>
              <w:rPr>
                <w:rFonts w:ascii="Times New Roman" w:hAnsi="Times New Roman"/>
              </w:rPr>
              <w:t>-0.22**</w:t>
            </w:r>
          </w:p>
        </w:tc>
        <w:tc>
          <w:tcPr>
            <w:tcW w:w="0" w:type="auto"/>
            <w:tcBorders>
              <w:top w:val="nil"/>
              <w:left w:val="nil"/>
              <w:bottom w:val="nil"/>
              <w:right w:val="nil"/>
            </w:tcBorders>
          </w:tcPr>
          <w:p w14:paraId="757A84CC" w14:textId="77777777" w:rsidR="005B7447" w:rsidRPr="006F53FC" w:rsidRDefault="00524269" w:rsidP="000E18FA">
            <w:pPr>
              <w:spacing w:after="0" w:line="240" w:lineRule="auto"/>
              <w:jc w:val="center"/>
              <w:outlineLvl w:val="0"/>
              <w:rPr>
                <w:rFonts w:ascii="Times New Roman" w:hAnsi="Times New Roman"/>
              </w:rPr>
            </w:pPr>
            <w:r>
              <w:rPr>
                <w:rFonts w:ascii="Times New Roman" w:hAnsi="Times New Roman"/>
              </w:rPr>
              <w:t>-0.07</w:t>
            </w:r>
          </w:p>
        </w:tc>
        <w:tc>
          <w:tcPr>
            <w:tcW w:w="966" w:type="dxa"/>
            <w:tcBorders>
              <w:top w:val="nil"/>
              <w:left w:val="nil"/>
              <w:bottom w:val="nil"/>
              <w:right w:val="nil"/>
            </w:tcBorders>
          </w:tcPr>
          <w:p w14:paraId="78457DD7" w14:textId="77777777" w:rsidR="005B7447" w:rsidRPr="006F53FC" w:rsidRDefault="00524269" w:rsidP="000E18FA">
            <w:pPr>
              <w:spacing w:after="0" w:line="240" w:lineRule="auto"/>
              <w:jc w:val="center"/>
              <w:outlineLvl w:val="0"/>
              <w:rPr>
                <w:rFonts w:ascii="Times New Roman" w:hAnsi="Times New Roman"/>
              </w:rPr>
            </w:pPr>
            <w:r>
              <w:rPr>
                <w:rFonts w:ascii="Times New Roman" w:hAnsi="Times New Roman"/>
              </w:rPr>
              <w:t>0.07</w:t>
            </w:r>
          </w:p>
        </w:tc>
        <w:tc>
          <w:tcPr>
            <w:tcW w:w="966" w:type="dxa"/>
            <w:tcBorders>
              <w:top w:val="nil"/>
              <w:left w:val="nil"/>
              <w:bottom w:val="nil"/>
              <w:right w:val="nil"/>
            </w:tcBorders>
          </w:tcPr>
          <w:p w14:paraId="1CF9AB80" w14:textId="77777777" w:rsidR="005B7447" w:rsidRPr="006F53FC" w:rsidRDefault="00524269" w:rsidP="000E18FA">
            <w:pPr>
              <w:spacing w:after="0" w:line="240" w:lineRule="auto"/>
              <w:jc w:val="center"/>
              <w:outlineLvl w:val="0"/>
              <w:rPr>
                <w:rFonts w:ascii="Times New Roman" w:hAnsi="Times New Roman"/>
              </w:rPr>
            </w:pPr>
            <w:r>
              <w:rPr>
                <w:rFonts w:ascii="Times New Roman" w:hAnsi="Times New Roman"/>
              </w:rPr>
              <w:t>0.03</w:t>
            </w:r>
          </w:p>
        </w:tc>
        <w:tc>
          <w:tcPr>
            <w:tcW w:w="0" w:type="auto"/>
            <w:tcBorders>
              <w:top w:val="nil"/>
              <w:left w:val="nil"/>
              <w:bottom w:val="nil"/>
              <w:right w:val="nil"/>
            </w:tcBorders>
          </w:tcPr>
          <w:p w14:paraId="313513DC" w14:textId="77777777" w:rsidR="005B7447" w:rsidRPr="006F53FC" w:rsidRDefault="00524269" w:rsidP="00524269">
            <w:pPr>
              <w:spacing w:after="0" w:line="240" w:lineRule="auto"/>
              <w:jc w:val="center"/>
              <w:outlineLvl w:val="0"/>
              <w:rPr>
                <w:rFonts w:ascii="Times New Roman" w:hAnsi="Times New Roman"/>
              </w:rPr>
            </w:pPr>
            <w:r>
              <w:rPr>
                <w:rFonts w:ascii="Times New Roman" w:hAnsi="Times New Roman"/>
              </w:rPr>
              <w:t>0.08</w:t>
            </w:r>
          </w:p>
        </w:tc>
        <w:tc>
          <w:tcPr>
            <w:tcW w:w="0" w:type="auto"/>
            <w:tcBorders>
              <w:top w:val="nil"/>
              <w:left w:val="nil"/>
              <w:bottom w:val="nil"/>
              <w:right w:val="nil"/>
            </w:tcBorders>
          </w:tcPr>
          <w:p w14:paraId="5C47A7E7" w14:textId="77777777" w:rsidR="005B7447" w:rsidRPr="006F53FC" w:rsidRDefault="00524269" w:rsidP="000E18FA">
            <w:pPr>
              <w:spacing w:after="0" w:line="240" w:lineRule="auto"/>
              <w:jc w:val="center"/>
              <w:outlineLvl w:val="0"/>
              <w:rPr>
                <w:rFonts w:ascii="Times New Roman" w:hAnsi="Times New Roman"/>
              </w:rPr>
            </w:pPr>
            <w:r>
              <w:rPr>
                <w:rFonts w:ascii="Times New Roman" w:hAnsi="Times New Roman"/>
              </w:rPr>
              <w:t>0.03</w:t>
            </w:r>
          </w:p>
        </w:tc>
        <w:tc>
          <w:tcPr>
            <w:tcW w:w="0" w:type="auto"/>
            <w:tcBorders>
              <w:top w:val="nil"/>
              <w:left w:val="nil"/>
              <w:bottom w:val="nil"/>
              <w:right w:val="nil"/>
            </w:tcBorders>
          </w:tcPr>
          <w:p w14:paraId="44011F9C" w14:textId="77777777" w:rsidR="005B7447" w:rsidRPr="006F53FC" w:rsidRDefault="00524269" w:rsidP="000E18FA">
            <w:pPr>
              <w:spacing w:after="0" w:line="240" w:lineRule="auto"/>
              <w:jc w:val="center"/>
              <w:outlineLvl w:val="0"/>
              <w:rPr>
                <w:rFonts w:ascii="Times New Roman" w:hAnsi="Times New Roman"/>
              </w:rPr>
            </w:pPr>
            <w:r>
              <w:rPr>
                <w:rFonts w:ascii="Times New Roman" w:hAnsi="Times New Roman"/>
              </w:rPr>
              <w:t>0.10</w:t>
            </w:r>
          </w:p>
        </w:tc>
        <w:tc>
          <w:tcPr>
            <w:tcW w:w="0" w:type="auto"/>
            <w:tcBorders>
              <w:top w:val="nil"/>
              <w:left w:val="nil"/>
              <w:bottom w:val="nil"/>
              <w:right w:val="nil"/>
            </w:tcBorders>
          </w:tcPr>
          <w:p w14:paraId="7A268394" w14:textId="77777777" w:rsidR="005B7447" w:rsidRPr="006F53FC" w:rsidRDefault="00524269" w:rsidP="000E18FA">
            <w:pPr>
              <w:spacing w:after="0" w:line="240" w:lineRule="auto"/>
              <w:jc w:val="center"/>
              <w:outlineLvl w:val="0"/>
              <w:rPr>
                <w:rFonts w:ascii="Times New Roman" w:hAnsi="Times New Roman"/>
              </w:rPr>
            </w:pPr>
            <w:r>
              <w:rPr>
                <w:rFonts w:ascii="Times New Roman" w:hAnsi="Times New Roman"/>
              </w:rPr>
              <w:t>0.17*</w:t>
            </w:r>
          </w:p>
        </w:tc>
        <w:tc>
          <w:tcPr>
            <w:tcW w:w="0" w:type="auto"/>
            <w:tcBorders>
              <w:top w:val="nil"/>
              <w:left w:val="nil"/>
              <w:bottom w:val="nil"/>
              <w:right w:val="nil"/>
            </w:tcBorders>
          </w:tcPr>
          <w:p w14:paraId="3292B1CA" w14:textId="77777777" w:rsidR="005B7447" w:rsidRPr="006F53FC" w:rsidRDefault="00524269" w:rsidP="000E18FA">
            <w:pPr>
              <w:spacing w:after="0" w:line="240" w:lineRule="auto"/>
              <w:jc w:val="center"/>
              <w:outlineLvl w:val="0"/>
              <w:rPr>
                <w:rFonts w:ascii="Times New Roman" w:hAnsi="Times New Roman"/>
              </w:rPr>
            </w:pPr>
            <w:r>
              <w:rPr>
                <w:rFonts w:ascii="Times New Roman" w:hAnsi="Times New Roman"/>
              </w:rPr>
              <w:t>0.30</w:t>
            </w:r>
          </w:p>
        </w:tc>
      </w:tr>
      <w:tr w:rsidR="00B36EBD" w:rsidRPr="006F53FC" w14:paraId="2D430DFA" w14:textId="77777777" w:rsidTr="00EA00B9">
        <w:trPr>
          <w:trHeight w:val="267"/>
          <w:jc w:val="center"/>
        </w:trPr>
        <w:tc>
          <w:tcPr>
            <w:tcW w:w="1357" w:type="dxa"/>
            <w:tcBorders>
              <w:top w:val="nil"/>
              <w:left w:val="nil"/>
              <w:bottom w:val="single" w:sz="4" w:space="0" w:color="auto"/>
              <w:right w:val="nil"/>
            </w:tcBorders>
          </w:tcPr>
          <w:p w14:paraId="6D1D4773" w14:textId="77777777" w:rsidR="000654DA" w:rsidRPr="00D7101E" w:rsidRDefault="000654DA" w:rsidP="00734EE4">
            <w:pPr>
              <w:spacing w:after="0" w:line="240" w:lineRule="auto"/>
              <w:jc w:val="center"/>
              <w:outlineLvl w:val="0"/>
              <w:rPr>
                <w:rFonts w:ascii="Times New Roman" w:hAnsi="Times New Roman"/>
              </w:rPr>
            </w:pPr>
          </w:p>
        </w:tc>
        <w:tc>
          <w:tcPr>
            <w:tcW w:w="0" w:type="auto"/>
            <w:tcBorders>
              <w:top w:val="nil"/>
              <w:left w:val="nil"/>
              <w:bottom w:val="single" w:sz="4" w:space="0" w:color="auto"/>
              <w:right w:val="nil"/>
            </w:tcBorders>
          </w:tcPr>
          <w:p w14:paraId="174B0A6E" w14:textId="77777777" w:rsidR="000654DA" w:rsidRPr="006F53FC" w:rsidRDefault="002165EC" w:rsidP="00524269">
            <w:pPr>
              <w:spacing w:after="0" w:line="240" w:lineRule="auto"/>
              <w:jc w:val="center"/>
              <w:outlineLvl w:val="0"/>
              <w:rPr>
                <w:rFonts w:ascii="Times New Roman" w:hAnsi="Times New Roman"/>
              </w:rPr>
            </w:pPr>
            <w:r>
              <w:rPr>
                <w:rFonts w:ascii="Times New Roman" w:hAnsi="Times New Roman"/>
              </w:rPr>
              <w:t>(0.</w:t>
            </w:r>
            <w:r w:rsidR="00524269">
              <w:rPr>
                <w:rFonts w:ascii="Times New Roman" w:hAnsi="Times New Roman"/>
              </w:rPr>
              <w:t>18</w:t>
            </w:r>
            <w:r>
              <w:rPr>
                <w:rFonts w:ascii="Times New Roman" w:hAnsi="Times New Roman"/>
              </w:rPr>
              <w:t>)</w:t>
            </w:r>
          </w:p>
        </w:tc>
        <w:tc>
          <w:tcPr>
            <w:tcW w:w="1070" w:type="dxa"/>
            <w:tcBorders>
              <w:top w:val="nil"/>
              <w:left w:val="nil"/>
              <w:bottom w:val="single" w:sz="4" w:space="0" w:color="auto"/>
              <w:right w:val="nil"/>
            </w:tcBorders>
          </w:tcPr>
          <w:p w14:paraId="34DBD6FB" w14:textId="77777777" w:rsidR="000654DA" w:rsidRPr="006F53FC" w:rsidRDefault="002165EC" w:rsidP="00524269">
            <w:pPr>
              <w:spacing w:after="0" w:line="240" w:lineRule="auto"/>
              <w:jc w:val="center"/>
              <w:outlineLvl w:val="0"/>
              <w:rPr>
                <w:rFonts w:ascii="Times New Roman" w:hAnsi="Times New Roman"/>
              </w:rPr>
            </w:pPr>
            <w:r>
              <w:rPr>
                <w:rFonts w:ascii="Times New Roman" w:hAnsi="Times New Roman"/>
              </w:rPr>
              <w:t>(0.</w:t>
            </w:r>
            <w:r w:rsidR="00524269">
              <w:rPr>
                <w:rFonts w:ascii="Times New Roman" w:hAnsi="Times New Roman"/>
              </w:rPr>
              <w:t>09</w:t>
            </w:r>
            <w:r>
              <w:rPr>
                <w:rFonts w:ascii="Times New Roman" w:hAnsi="Times New Roman"/>
              </w:rPr>
              <w:t>)</w:t>
            </w:r>
          </w:p>
        </w:tc>
        <w:tc>
          <w:tcPr>
            <w:tcW w:w="0" w:type="auto"/>
            <w:tcBorders>
              <w:top w:val="nil"/>
              <w:left w:val="nil"/>
              <w:bottom w:val="single" w:sz="4" w:space="0" w:color="auto"/>
              <w:right w:val="nil"/>
            </w:tcBorders>
          </w:tcPr>
          <w:p w14:paraId="70D33DC9" w14:textId="77777777" w:rsidR="000654DA" w:rsidRPr="006F53FC" w:rsidRDefault="002165EC" w:rsidP="00524269">
            <w:pPr>
              <w:spacing w:after="0" w:line="240" w:lineRule="auto"/>
              <w:jc w:val="center"/>
              <w:outlineLvl w:val="0"/>
              <w:rPr>
                <w:rFonts w:ascii="Times New Roman" w:hAnsi="Times New Roman"/>
              </w:rPr>
            </w:pPr>
            <w:r>
              <w:rPr>
                <w:rFonts w:ascii="Times New Roman" w:hAnsi="Times New Roman"/>
              </w:rPr>
              <w:t>(0.</w:t>
            </w:r>
            <w:r w:rsidR="000E18FA">
              <w:rPr>
                <w:rFonts w:ascii="Times New Roman" w:hAnsi="Times New Roman"/>
              </w:rPr>
              <w:t>1</w:t>
            </w:r>
            <w:r w:rsidR="00524269">
              <w:rPr>
                <w:rFonts w:ascii="Times New Roman" w:hAnsi="Times New Roman"/>
              </w:rPr>
              <w:t>1</w:t>
            </w:r>
            <w:r>
              <w:rPr>
                <w:rFonts w:ascii="Times New Roman" w:hAnsi="Times New Roman"/>
              </w:rPr>
              <w:t>)</w:t>
            </w:r>
          </w:p>
        </w:tc>
        <w:tc>
          <w:tcPr>
            <w:tcW w:w="966" w:type="dxa"/>
            <w:tcBorders>
              <w:top w:val="nil"/>
              <w:left w:val="nil"/>
              <w:bottom w:val="single" w:sz="4" w:space="0" w:color="auto"/>
              <w:right w:val="nil"/>
            </w:tcBorders>
          </w:tcPr>
          <w:p w14:paraId="72F649B8" w14:textId="77777777" w:rsidR="000654DA" w:rsidRPr="006F53FC" w:rsidRDefault="002165EC" w:rsidP="000E18FA">
            <w:pPr>
              <w:spacing w:after="0" w:line="240" w:lineRule="auto"/>
              <w:jc w:val="center"/>
              <w:outlineLvl w:val="0"/>
              <w:rPr>
                <w:rFonts w:ascii="Times New Roman" w:hAnsi="Times New Roman"/>
              </w:rPr>
            </w:pPr>
            <w:r>
              <w:rPr>
                <w:rFonts w:ascii="Times New Roman" w:hAnsi="Times New Roman"/>
              </w:rPr>
              <w:t>(0.1</w:t>
            </w:r>
            <w:r w:rsidR="000E18FA">
              <w:rPr>
                <w:rFonts w:ascii="Times New Roman" w:hAnsi="Times New Roman"/>
              </w:rPr>
              <w:t>5</w:t>
            </w:r>
            <w:r>
              <w:rPr>
                <w:rFonts w:ascii="Times New Roman" w:hAnsi="Times New Roman"/>
              </w:rPr>
              <w:t>)</w:t>
            </w:r>
          </w:p>
        </w:tc>
        <w:tc>
          <w:tcPr>
            <w:tcW w:w="966" w:type="dxa"/>
            <w:tcBorders>
              <w:top w:val="nil"/>
              <w:left w:val="nil"/>
              <w:bottom w:val="single" w:sz="4" w:space="0" w:color="auto"/>
              <w:right w:val="nil"/>
            </w:tcBorders>
          </w:tcPr>
          <w:p w14:paraId="6D7701DD" w14:textId="77777777" w:rsidR="000654DA" w:rsidRPr="006F53FC" w:rsidRDefault="002165EC" w:rsidP="00524269">
            <w:pPr>
              <w:spacing w:after="0" w:line="240" w:lineRule="auto"/>
              <w:jc w:val="center"/>
              <w:outlineLvl w:val="0"/>
              <w:rPr>
                <w:rFonts w:ascii="Times New Roman" w:hAnsi="Times New Roman"/>
              </w:rPr>
            </w:pPr>
            <w:r>
              <w:rPr>
                <w:rFonts w:ascii="Times New Roman" w:hAnsi="Times New Roman"/>
              </w:rPr>
              <w:t>(0.</w:t>
            </w:r>
            <w:r w:rsidR="00524269">
              <w:rPr>
                <w:rFonts w:ascii="Times New Roman" w:hAnsi="Times New Roman"/>
              </w:rPr>
              <w:t>13</w:t>
            </w:r>
            <w:r>
              <w:rPr>
                <w:rFonts w:ascii="Times New Roman" w:hAnsi="Times New Roman"/>
              </w:rPr>
              <w:t>)</w:t>
            </w:r>
          </w:p>
        </w:tc>
        <w:tc>
          <w:tcPr>
            <w:tcW w:w="0" w:type="auto"/>
            <w:tcBorders>
              <w:top w:val="nil"/>
              <w:left w:val="nil"/>
              <w:bottom w:val="single" w:sz="4" w:space="0" w:color="auto"/>
              <w:right w:val="nil"/>
            </w:tcBorders>
          </w:tcPr>
          <w:p w14:paraId="098F7C64" w14:textId="77777777" w:rsidR="000654DA" w:rsidRPr="006F53FC" w:rsidRDefault="002165EC" w:rsidP="00524269">
            <w:pPr>
              <w:spacing w:after="0" w:line="240" w:lineRule="auto"/>
              <w:jc w:val="center"/>
              <w:outlineLvl w:val="0"/>
              <w:rPr>
                <w:rFonts w:ascii="Times New Roman" w:hAnsi="Times New Roman"/>
              </w:rPr>
            </w:pPr>
            <w:r>
              <w:rPr>
                <w:rFonts w:ascii="Times New Roman" w:hAnsi="Times New Roman"/>
              </w:rPr>
              <w:t>(0.</w:t>
            </w:r>
            <w:r w:rsidR="00524269">
              <w:rPr>
                <w:rFonts w:ascii="Times New Roman" w:hAnsi="Times New Roman"/>
              </w:rPr>
              <w:t>07</w:t>
            </w:r>
            <w:r>
              <w:rPr>
                <w:rFonts w:ascii="Times New Roman" w:hAnsi="Times New Roman"/>
              </w:rPr>
              <w:t>)</w:t>
            </w:r>
          </w:p>
        </w:tc>
        <w:tc>
          <w:tcPr>
            <w:tcW w:w="0" w:type="auto"/>
            <w:tcBorders>
              <w:top w:val="nil"/>
              <w:left w:val="nil"/>
              <w:bottom w:val="single" w:sz="4" w:space="0" w:color="auto"/>
              <w:right w:val="nil"/>
            </w:tcBorders>
          </w:tcPr>
          <w:p w14:paraId="60A3BA9A" w14:textId="77777777" w:rsidR="000654DA" w:rsidRPr="006F53FC" w:rsidRDefault="002165EC" w:rsidP="00524269">
            <w:pPr>
              <w:spacing w:after="0" w:line="240" w:lineRule="auto"/>
              <w:jc w:val="center"/>
              <w:outlineLvl w:val="0"/>
              <w:rPr>
                <w:rFonts w:ascii="Times New Roman" w:hAnsi="Times New Roman"/>
              </w:rPr>
            </w:pPr>
            <w:r>
              <w:rPr>
                <w:rFonts w:ascii="Times New Roman" w:hAnsi="Times New Roman"/>
              </w:rPr>
              <w:t>(0.</w:t>
            </w:r>
            <w:r w:rsidR="00524269">
              <w:rPr>
                <w:rFonts w:ascii="Times New Roman" w:hAnsi="Times New Roman"/>
              </w:rPr>
              <w:t>13</w:t>
            </w:r>
            <w:r>
              <w:rPr>
                <w:rFonts w:ascii="Times New Roman" w:hAnsi="Times New Roman"/>
              </w:rPr>
              <w:t>)</w:t>
            </w:r>
          </w:p>
        </w:tc>
        <w:tc>
          <w:tcPr>
            <w:tcW w:w="0" w:type="auto"/>
            <w:tcBorders>
              <w:top w:val="nil"/>
              <w:left w:val="nil"/>
              <w:bottom w:val="single" w:sz="4" w:space="0" w:color="auto"/>
              <w:right w:val="nil"/>
            </w:tcBorders>
          </w:tcPr>
          <w:p w14:paraId="043AA195" w14:textId="77777777" w:rsidR="000654DA" w:rsidRPr="006F53FC" w:rsidRDefault="002165EC" w:rsidP="00524269">
            <w:pPr>
              <w:spacing w:after="0" w:line="240" w:lineRule="auto"/>
              <w:jc w:val="center"/>
              <w:outlineLvl w:val="0"/>
              <w:rPr>
                <w:rFonts w:ascii="Times New Roman" w:hAnsi="Times New Roman"/>
              </w:rPr>
            </w:pPr>
            <w:r>
              <w:rPr>
                <w:rFonts w:ascii="Times New Roman" w:hAnsi="Times New Roman"/>
              </w:rPr>
              <w:t>(0.</w:t>
            </w:r>
            <w:r w:rsidR="00524269">
              <w:rPr>
                <w:rFonts w:ascii="Times New Roman" w:hAnsi="Times New Roman"/>
              </w:rPr>
              <w:t>22</w:t>
            </w:r>
            <w:r>
              <w:rPr>
                <w:rFonts w:ascii="Times New Roman" w:hAnsi="Times New Roman"/>
              </w:rPr>
              <w:t>)</w:t>
            </w:r>
          </w:p>
        </w:tc>
        <w:tc>
          <w:tcPr>
            <w:tcW w:w="0" w:type="auto"/>
            <w:tcBorders>
              <w:top w:val="nil"/>
              <w:left w:val="nil"/>
              <w:bottom w:val="single" w:sz="4" w:space="0" w:color="auto"/>
              <w:right w:val="nil"/>
            </w:tcBorders>
          </w:tcPr>
          <w:p w14:paraId="5855795D" w14:textId="77777777" w:rsidR="000654DA" w:rsidRPr="006F53FC" w:rsidRDefault="002165EC" w:rsidP="00524269">
            <w:pPr>
              <w:spacing w:after="0" w:line="240" w:lineRule="auto"/>
              <w:jc w:val="center"/>
              <w:outlineLvl w:val="0"/>
              <w:rPr>
                <w:rFonts w:ascii="Times New Roman" w:hAnsi="Times New Roman"/>
              </w:rPr>
            </w:pPr>
            <w:r>
              <w:rPr>
                <w:rFonts w:ascii="Times New Roman" w:hAnsi="Times New Roman"/>
              </w:rPr>
              <w:t>(0.</w:t>
            </w:r>
            <w:r w:rsidR="00524269">
              <w:rPr>
                <w:rFonts w:ascii="Times New Roman" w:hAnsi="Times New Roman"/>
              </w:rPr>
              <w:t>10</w:t>
            </w:r>
            <w:r>
              <w:rPr>
                <w:rFonts w:ascii="Times New Roman" w:hAnsi="Times New Roman"/>
              </w:rPr>
              <w:t>)</w:t>
            </w:r>
          </w:p>
        </w:tc>
        <w:tc>
          <w:tcPr>
            <w:tcW w:w="0" w:type="auto"/>
            <w:tcBorders>
              <w:top w:val="nil"/>
              <w:left w:val="nil"/>
              <w:bottom w:val="single" w:sz="4" w:space="0" w:color="auto"/>
              <w:right w:val="nil"/>
            </w:tcBorders>
          </w:tcPr>
          <w:p w14:paraId="621DD361" w14:textId="77777777" w:rsidR="000654DA" w:rsidRPr="006F53FC" w:rsidRDefault="000654DA" w:rsidP="00734EE4">
            <w:pPr>
              <w:spacing w:after="0" w:line="240" w:lineRule="auto"/>
              <w:jc w:val="center"/>
              <w:outlineLvl w:val="0"/>
              <w:rPr>
                <w:rFonts w:ascii="Times New Roman" w:hAnsi="Times New Roman"/>
              </w:rPr>
            </w:pPr>
          </w:p>
        </w:tc>
      </w:tr>
      <w:tr w:rsidR="00B36EBD" w:rsidRPr="006F53FC" w14:paraId="3BC9C329" w14:textId="77777777" w:rsidTr="00EA00B9">
        <w:trPr>
          <w:trHeight w:val="283"/>
          <w:jc w:val="center"/>
        </w:trPr>
        <w:tc>
          <w:tcPr>
            <w:tcW w:w="1357" w:type="dxa"/>
            <w:tcBorders>
              <w:top w:val="single" w:sz="4" w:space="0" w:color="auto"/>
              <w:left w:val="nil"/>
              <w:bottom w:val="nil"/>
              <w:right w:val="nil"/>
            </w:tcBorders>
          </w:tcPr>
          <w:p w14:paraId="007BEC37" w14:textId="77777777" w:rsidR="005B7447" w:rsidRPr="00D7101E" w:rsidRDefault="005B7447" w:rsidP="00734EE4">
            <w:pPr>
              <w:spacing w:after="0" w:line="240" w:lineRule="auto"/>
              <w:jc w:val="center"/>
              <w:outlineLvl w:val="0"/>
              <w:rPr>
                <w:rFonts w:ascii="Times New Roman" w:hAnsi="Times New Roman"/>
              </w:rPr>
            </w:pPr>
            <w:r w:rsidRPr="00D7101E">
              <w:rPr>
                <w:rFonts w:ascii="Times New Roman" w:hAnsi="Times New Roman"/>
              </w:rPr>
              <w:t>CSFB Index</w:t>
            </w:r>
          </w:p>
        </w:tc>
        <w:tc>
          <w:tcPr>
            <w:tcW w:w="0" w:type="auto"/>
            <w:tcBorders>
              <w:top w:val="single" w:sz="4" w:space="0" w:color="auto"/>
              <w:left w:val="nil"/>
              <w:bottom w:val="nil"/>
              <w:right w:val="nil"/>
            </w:tcBorders>
          </w:tcPr>
          <w:p w14:paraId="2D21BCE5" w14:textId="77777777" w:rsidR="005B7447" w:rsidRPr="006F53FC" w:rsidRDefault="005E41ED" w:rsidP="00734EE4">
            <w:pPr>
              <w:spacing w:after="0" w:line="240" w:lineRule="auto"/>
              <w:jc w:val="center"/>
              <w:outlineLvl w:val="0"/>
              <w:rPr>
                <w:rFonts w:ascii="Times New Roman" w:hAnsi="Times New Roman"/>
              </w:rPr>
            </w:pPr>
            <w:r>
              <w:rPr>
                <w:rFonts w:ascii="Times New Roman" w:hAnsi="Times New Roman"/>
              </w:rPr>
              <w:t>-0.57</w:t>
            </w:r>
          </w:p>
        </w:tc>
        <w:tc>
          <w:tcPr>
            <w:tcW w:w="1070" w:type="dxa"/>
            <w:tcBorders>
              <w:top w:val="single" w:sz="4" w:space="0" w:color="auto"/>
              <w:left w:val="nil"/>
              <w:bottom w:val="nil"/>
              <w:right w:val="nil"/>
            </w:tcBorders>
          </w:tcPr>
          <w:p w14:paraId="0258588A" w14:textId="77777777" w:rsidR="005B7447" w:rsidRPr="006F53FC" w:rsidRDefault="005E41ED" w:rsidP="00734EE4">
            <w:pPr>
              <w:spacing w:after="0" w:line="240" w:lineRule="auto"/>
              <w:jc w:val="center"/>
              <w:outlineLvl w:val="0"/>
              <w:rPr>
                <w:rFonts w:ascii="Times New Roman" w:hAnsi="Times New Roman"/>
              </w:rPr>
            </w:pPr>
            <w:r>
              <w:rPr>
                <w:rFonts w:ascii="Times New Roman" w:hAnsi="Times New Roman"/>
              </w:rPr>
              <w:t>0.21</w:t>
            </w:r>
          </w:p>
        </w:tc>
        <w:tc>
          <w:tcPr>
            <w:tcW w:w="0" w:type="auto"/>
            <w:tcBorders>
              <w:top w:val="single" w:sz="4" w:space="0" w:color="auto"/>
              <w:left w:val="nil"/>
              <w:bottom w:val="nil"/>
              <w:right w:val="nil"/>
            </w:tcBorders>
          </w:tcPr>
          <w:p w14:paraId="12495FB8" w14:textId="77777777" w:rsidR="005B7447" w:rsidRPr="006F53FC" w:rsidRDefault="005E41ED" w:rsidP="00734EE4">
            <w:pPr>
              <w:spacing w:after="0" w:line="240" w:lineRule="auto"/>
              <w:jc w:val="center"/>
              <w:outlineLvl w:val="0"/>
              <w:rPr>
                <w:rFonts w:ascii="Times New Roman" w:hAnsi="Times New Roman"/>
              </w:rPr>
            </w:pPr>
            <w:r>
              <w:rPr>
                <w:rFonts w:ascii="Times New Roman" w:hAnsi="Times New Roman"/>
              </w:rPr>
              <w:t>-0.01</w:t>
            </w:r>
          </w:p>
        </w:tc>
        <w:tc>
          <w:tcPr>
            <w:tcW w:w="966" w:type="dxa"/>
            <w:tcBorders>
              <w:top w:val="single" w:sz="4" w:space="0" w:color="auto"/>
              <w:left w:val="nil"/>
              <w:bottom w:val="nil"/>
              <w:right w:val="nil"/>
            </w:tcBorders>
          </w:tcPr>
          <w:p w14:paraId="23E9CCCF" w14:textId="77777777" w:rsidR="005B7447" w:rsidRPr="006F53FC" w:rsidRDefault="005E41ED" w:rsidP="00734EE4">
            <w:pPr>
              <w:spacing w:after="0" w:line="240" w:lineRule="auto"/>
              <w:jc w:val="center"/>
              <w:outlineLvl w:val="0"/>
              <w:rPr>
                <w:rFonts w:ascii="Times New Roman" w:hAnsi="Times New Roman"/>
              </w:rPr>
            </w:pPr>
            <w:r>
              <w:rPr>
                <w:rFonts w:ascii="Times New Roman" w:hAnsi="Times New Roman"/>
              </w:rPr>
              <w:t>-0.01</w:t>
            </w:r>
          </w:p>
        </w:tc>
        <w:tc>
          <w:tcPr>
            <w:tcW w:w="966" w:type="dxa"/>
            <w:tcBorders>
              <w:top w:val="single" w:sz="4" w:space="0" w:color="auto"/>
              <w:left w:val="nil"/>
              <w:bottom w:val="nil"/>
              <w:right w:val="nil"/>
            </w:tcBorders>
          </w:tcPr>
          <w:p w14:paraId="5B62E173" w14:textId="77777777" w:rsidR="005B7447" w:rsidRPr="006F53FC" w:rsidRDefault="005E41ED" w:rsidP="00734EE4">
            <w:pPr>
              <w:spacing w:after="0" w:line="240" w:lineRule="auto"/>
              <w:jc w:val="center"/>
              <w:outlineLvl w:val="0"/>
              <w:rPr>
                <w:rFonts w:ascii="Times New Roman" w:hAnsi="Times New Roman"/>
              </w:rPr>
            </w:pPr>
            <w:r>
              <w:rPr>
                <w:rFonts w:ascii="Times New Roman" w:hAnsi="Times New Roman"/>
              </w:rPr>
              <w:t>-0.08</w:t>
            </w:r>
          </w:p>
        </w:tc>
        <w:tc>
          <w:tcPr>
            <w:tcW w:w="0" w:type="auto"/>
            <w:tcBorders>
              <w:top w:val="single" w:sz="4" w:space="0" w:color="auto"/>
              <w:left w:val="nil"/>
              <w:bottom w:val="nil"/>
              <w:right w:val="nil"/>
            </w:tcBorders>
          </w:tcPr>
          <w:p w14:paraId="7B6FDC77" w14:textId="77777777" w:rsidR="005B7447" w:rsidRPr="006F53FC" w:rsidRDefault="00BF1637" w:rsidP="00734EE4">
            <w:pPr>
              <w:spacing w:after="0" w:line="240" w:lineRule="auto"/>
              <w:jc w:val="center"/>
              <w:outlineLvl w:val="0"/>
              <w:rPr>
                <w:rFonts w:ascii="Times New Roman" w:hAnsi="Times New Roman"/>
              </w:rPr>
            </w:pPr>
            <w:r>
              <w:rPr>
                <w:rFonts w:ascii="Times New Roman" w:hAnsi="Times New Roman"/>
              </w:rPr>
              <w:t>0.06</w:t>
            </w:r>
          </w:p>
        </w:tc>
        <w:tc>
          <w:tcPr>
            <w:tcW w:w="0" w:type="auto"/>
            <w:tcBorders>
              <w:top w:val="single" w:sz="4" w:space="0" w:color="auto"/>
              <w:left w:val="nil"/>
              <w:bottom w:val="nil"/>
              <w:right w:val="nil"/>
            </w:tcBorders>
          </w:tcPr>
          <w:p w14:paraId="0D69C81B" w14:textId="77777777" w:rsidR="005B7447" w:rsidRPr="006F53FC" w:rsidRDefault="00BF1637" w:rsidP="00734EE4">
            <w:pPr>
              <w:spacing w:after="0" w:line="240" w:lineRule="auto"/>
              <w:jc w:val="center"/>
              <w:outlineLvl w:val="0"/>
              <w:rPr>
                <w:rFonts w:ascii="Times New Roman" w:hAnsi="Times New Roman"/>
              </w:rPr>
            </w:pPr>
            <w:r>
              <w:rPr>
                <w:rFonts w:ascii="Times New Roman" w:hAnsi="Times New Roman"/>
              </w:rPr>
              <w:t>-0.73</w:t>
            </w:r>
            <w:r w:rsidR="00DC49CE">
              <w:rPr>
                <w:rFonts w:ascii="Times New Roman" w:hAnsi="Times New Roman"/>
              </w:rPr>
              <w:t>*</w:t>
            </w:r>
          </w:p>
        </w:tc>
        <w:tc>
          <w:tcPr>
            <w:tcW w:w="0" w:type="auto"/>
            <w:tcBorders>
              <w:top w:val="single" w:sz="4" w:space="0" w:color="auto"/>
              <w:left w:val="nil"/>
              <w:bottom w:val="nil"/>
              <w:right w:val="nil"/>
            </w:tcBorders>
          </w:tcPr>
          <w:p w14:paraId="2E2E657D" w14:textId="77777777" w:rsidR="005B7447" w:rsidRPr="006F53FC" w:rsidRDefault="00BF1637" w:rsidP="00734EE4">
            <w:pPr>
              <w:spacing w:after="0" w:line="240" w:lineRule="auto"/>
              <w:jc w:val="center"/>
              <w:outlineLvl w:val="0"/>
              <w:rPr>
                <w:rFonts w:ascii="Times New Roman" w:hAnsi="Times New Roman"/>
              </w:rPr>
            </w:pPr>
            <w:r>
              <w:rPr>
                <w:rFonts w:ascii="Times New Roman" w:hAnsi="Times New Roman"/>
              </w:rPr>
              <w:t>0.77</w:t>
            </w:r>
          </w:p>
        </w:tc>
        <w:tc>
          <w:tcPr>
            <w:tcW w:w="0" w:type="auto"/>
            <w:tcBorders>
              <w:top w:val="single" w:sz="4" w:space="0" w:color="auto"/>
              <w:left w:val="nil"/>
              <w:bottom w:val="nil"/>
              <w:right w:val="nil"/>
            </w:tcBorders>
          </w:tcPr>
          <w:p w14:paraId="44F8304C" w14:textId="77777777" w:rsidR="005B7447" w:rsidRPr="006F53FC" w:rsidRDefault="00BF1637" w:rsidP="00734EE4">
            <w:pPr>
              <w:spacing w:after="0" w:line="240" w:lineRule="auto"/>
              <w:jc w:val="center"/>
              <w:outlineLvl w:val="0"/>
              <w:rPr>
                <w:rFonts w:ascii="Times New Roman" w:hAnsi="Times New Roman"/>
              </w:rPr>
            </w:pPr>
            <w:r>
              <w:rPr>
                <w:rFonts w:ascii="Times New Roman" w:hAnsi="Times New Roman"/>
              </w:rPr>
              <w:t>-0.06</w:t>
            </w:r>
          </w:p>
        </w:tc>
        <w:tc>
          <w:tcPr>
            <w:tcW w:w="0" w:type="auto"/>
            <w:tcBorders>
              <w:top w:val="single" w:sz="4" w:space="0" w:color="auto"/>
              <w:left w:val="nil"/>
              <w:bottom w:val="nil"/>
              <w:right w:val="nil"/>
            </w:tcBorders>
          </w:tcPr>
          <w:p w14:paraId="00619CD2" w14:textId="77777777" w:rsidR="005B7447" w:rsidRPr="006F53FC" w:rsidRDefault="00BF1637" w:rsidP="00800B92">
            <w:pPr>
              <w:spacing w:after="0" w:line="240" w:lineRule="auto"/>
              <w:jc w:val="center"/>
              <w:outlineLvl w:val="0"/>
              <w:rPr>
                <w:rFonts w:ascii="Times New Roman" w:hAnsi="Times New Roman"/>
              </w:rPr>
            </w:pPr>
            <w:r>
              <w:rPr>
                <w:rFonts w:ascii="Times New Roman" w:hAnsi="Times New Roman"/>
              </w:rPr>
              <w:t>0.</w:t>
            </w:r>
            <w:r w:rsidR="00800B92">
              <w:rPr>
                <w:rFonts w:ascii="Times New Roman" w:hAnsi="Times New Roman"/>
              </w:rPr>
              <w:t>60</w:t>
            </w:r>
          </w:p>
        </w:tc>
      </w:tr>
      <w:tr w:rsidR="00B36EBD" w:rsidRPr="006F53FC" w14:paraId="0C930E69" w14:textId="77777777" w:rsidTr="00EA00B9">
        <w:trPr>
          <w:trHeight w:val="283"/>
          <w:jc w:val="center"/>
        </w:trPr>
        <w:tc>
          <w:tcPr>
            <w:tcW w:w="1357" w:type="dxa"/>
            <w:tcBorders>
              <w:top w:val="nil"/>
              <w:left w:val="nil"/>
              <w:bottom w:val="single" w:sz="4" w:space="0" w:color="auto"/>
              <w:right w:val="nil"/>
            </w:tcBorders>
          </w:tcPr>
          <w:p w14:paraId="4650CF71" w14:textId="77777777" w:rsidR="005B7447" w:rsidRPr="00D7101E" w:rsidRDefault="005B7447" w:rsidP="00734EE4">
            <w:pPr>
              <w:spacing w:after="0" w:line="240" w:lineRule="auto"/>
              <w:jc w:val="center"/>
              <w:outlineLvl w:val="0"/>
              <w:rPr>
                <w:rFonts w:ascii="Times New Roman" w:hAnsi="Times New Roman"/>
              </w:rPr>
            </w:pPr>
          </w:p>
        </w:tc>
        <w:tc>
          <w:tcPr>
            <w:tcW w:w="0" w:type="auto"/>
            <w:tcBorders>
              <w:top w:val="nil"/>
              <w:left w:val="nil"/>
              <w:bottom w:val="single" w:sz="4" w:space="0" w:color="auto"/>
              <w:right w:val="nil"/>
            </w:tcBorders>
          </w:tcPr>
          <w:p w14:paraId="2532F838" w14:textId="77777777" w:rsidR="005B7447" w:rsidRPr="006F53FC" w:rsidRDefault="005E41ED" w:rsidP="00734EE4">
            <w:pPr>
              <w:spacing w:after="0" w:line="240" w:lineRule="auto"/>
              <w:jc w:val="center"/>
              <w:outlineLvl w:val="0"/>
              <w:rPr>
                <w:rFonts w:ascii="Times New Roman" w:hAnsi="Times New Roman"/>
              </w:rPr>
            </w:pPr>
            <w:r>
              <w:rPr>
                <w:rFonts w:ascii="Times New Roman" w:hAnsi="Times New Roman"/>
              </w:rPr>
              <w:t>(0.37)</w:t>
            </w:r>
          </w:p>
        </w:tc>
        <w:tc>
          <w:tcPr>
            <w:tcW w:w="1070" w:type="dxa"/>
            <w:tcBorders>
              <w:top w:val="nil"/>
              <w:left w:val="nil"/>
              <w:bottom w:val="single" w:sz="4" w:space="0" w:color="auto"/>
              <w:right w:val="nil"/>
            </w:tcBorders>
          </w:tcPr>
          <w:p w14:paraId="2F6951D7" w14:textId="77777777" w:rsidR="005B7447" w:rsidRPr="006F53FC" w:rsidRDefault="005E41ED" w:rsidP="00734EE4">
            <w:pPr>
              <w:spacing w:after="0" w:line="240" w:lineRule="auto"/>
              <w:jc w:val="center"/>
              <w:outlineLvl w:val="0"/>
              <w:rPr>
                <w:rFonts w:ascii="Times New Roman" w:hAnsi="Times New Roman"/>
              </w:rPr>
            </w:pPr>
            <w:r>
              <w:rPr>
                <w:rFonts w:ascii="Times New Roman" w:hAnsi="Times New Roman"/>
              </w:rPr>
              <w:t>(0.17)</w:t>
            </w:r>
          </w:p>
        </w:tc>
        <w:tc>
          <w:tcPr>
            <w:tcW w:w="0" w:type="auto"/>
            <w:tcBorders>
              <w:top w:val="nil"/>
              <w:left w:val="nil"/>
              <w:bottom w:val="single" w:sz="4" w:space="0" w:color="auto"/>
              <w:right w:val="nil"/>
            </w:tcBorders>
          </w:tcPr>
          <w:p w14:paraId="7675623E" w14:textId="77777777" w:rsidR="005B7447" w:rsidRPr="006F53FC" w:rsidRDefault="005E41ED" w:rsidP="00734EE4">
            <w:pPr>
              <w:spacing w:after="0" w:line="240" w:lineRule="auto"/>
              <w:jc w:val="center"/>
              <w:outlineLvl w:val="0"/>
              <w:rPr>
                <w:rFonts w:ascii="Times New Roman" w:hAnsi="Times New Roman"/>
              </w:rPr>
            </w:pPr>
            <w:r>
              <w:rPr>
                <w:rFonts w:ascii="Times New Roman" w:hAnsi="Times New Roman"/>
              </w:rPr>
              <w:t>(0.20)</w:t>
            </w:r>
          </w:p>
        </w:tc>
        <w:tc>
          <w:tcPr>
            <w:tcW w:w="966" w:type="dxa"/>
            <w:tcBorders>
              <w:top w:val="nil"/>
              <w:left w:val="nil"/>
              <w:bottom w:val="single" w:sz="4" w:space="0" w:color="auto"/>
              <w:right w:val="nil"/>
            </w:tcBorders>
          </w:tcPr>
          <w:p w14:paraId="1046ED1F" w14:textId="77777777" w:rsidR="005B7447" w:rsidRPr="006F53FC" w:rsidRDefault="005E41ED" w:rsidP="00734EE4">
            <w:pPr>
              <w:spacing w:after="0" w:line="240" w:lineRule="auto"/>
              <w:jc w:val="center"/>
              <w:outlineLvl w:val="0"/>
              <w:rPr>
                <w:rFonts w:ascii="Times New Roman" w:hAnsi="Times New Roman"/>
              </w:rPr>
            </w:pPr>
            <w:r>
              <w:rPr>
                <w:rFonts w:ascii="Times New Roman" w:hAnsi="Times New Roman"/>
              </w:rPr>
              <w:t>(0.31)</w:t>
            </w:r>
          </w:p>
        </w:tc>
        <w:tc>
          <w:tcPr>
            <w:tcW w:w="966" w:type="dxa"/>
            <w:tcBorders>
              <w:top w:val="nil"/>
              <w:left w:val="nil"/>
              <w:bottom w:val="single" w:sz="4" w:space="0" w:color="auto"/>
              <w:right w:val="nil"/>
            </w:tcBorders>
          </w:tcPr>
          <w:p w14:paraId="0C0376D6" w14:textId="77777777" w:rsidR="005B7447" w:rsidRPr="006F53FC" w:rsidRDefault="005E41ED" w:rsidP="00734EE4">
            <w:pPr>
              <w:spacing w:after="0" w:line="240" w:lineRule="auto"/>
              <w:jc w:val="center"/>
              <w:outlineLvl w:val="0"/>
              <w:rPr>
                <w:rFonts w:ascii="Times New Roman" w:hAnsi="Times New Roman"/>
              </w:rPr>
            </w:pPr>
            <w:r>
              <w:rPr>
                <w:rFonts w:ascii="Times New Roman" w:hAnsi="Times New Roman"/>
              </w:rPr>
              <w:t>(0.12)</w:t>
            </w:r>
          </w:p>
        </w:tc>
        <w:tc>
          <w:tcPr>
            <w:tcW w:w="0" w:type="auto"/>
            <w:tcBorders>
              <w:top w:val="nil"/>
              <w:left w:val="nil"/>
              <w:bottom w:val="single" w:sz="4" w:space="0" w:color="auto"/>
              <w:right w:val="nil"/>
            </w:tcBorders>
          </w:tcPr>
          <w:p w14:paraId="7BF2A889" w14:textId="77777777" w:rsidR="005B7447" w:rsidRPr="006F53FC" w:rsidRDefault="00BF1637" w:rsidP="00734EE4">
            <w:pPr>
              <w:spacing w:after="0" w:line="240" w:lineRule="auto"/>
              <w:jc w:val="center"/>
              <w:outlineLvl w:val="0"/>
              <w:rPr>
                <w:rFonts w:ascii="Times New Roman" w:hAnsi="Times New Roman"/>
              </w:rPr>
            </w:pPr>
            <w:r>
              <w:rPr>
                <w:rFonts w:ascii="Times New Roman" w:hAnsi="Times New Roman"/>
              </w:rPr>
              <w:t>(0.12)</w:t>
            </w:r>
          </w:p>
        </w:tc>
        <w:tc>
          <w:tcPr>
            <w:tcW w:w="0" w:type="auto"/>
            <w:tcBorders>
              <w:top w:val="nil"/>
              <w:left w:val="nil"/>
              <w:bottom w:val="single" w:sz="4" w:space="0" w:color="auto"/>
              <w:right w:val="nil"/>
            </w:tcBorders>
          </w:tcPr>
          <w:p w14:paraId="273883D6" w14:textId="77777777" w:rsidR="005B7447" w:rsidRPr="006F53FC" w:rsidRDefault="00BF1637" w:rsidP="00734EE4">
            <w:pPr>
              <w:spacing w:after="0" w:line="240" w:lineRule="auto"/>
              <w:jc w:val="center"/>
              <w:outlineLvl w:val="0"/>
              <w:rPr>
                <w:rFonts w:ascii="Times New Roman" w:hAnsi="Times New Roman"/>
              </w:rPr>
            </w:pPr>
            <w:r>
              <w:rPr>
                <w:rFonts w:ascii="Times New Roman" w:hAnsi="Times New Roman"/>
              </w:rPr>
              <w:t>(0.39)</w:t>
            </w:r>
          </w:p>
        </w:tc>
        <w:tc>
          <w:tcPr>
            <w:tcW w:w="0" w:type="auto"/>
            <w:tcBorders>
              <w:top w:val="nil"/>
              <w:left w:val="nil"/>
              <w:bottom w:val="single" w:sz="4" w:space="0" w:color="auto"/>
              <w:right w:val="nil"/>
            </w:tcBorders>
          </w:tcPr>
          <w:p w14:paraId="3E266A28" w14:textId="77777777" w:rsidR="005B7447" w:rsidRPr="006F53FC" w:rsidRDefault="00BF1637" w:rsidP="00734EE4">
            <w:pPr>
              <w:spacing w:after="0" w:line="240" w:lineRule="auto"/>
              <w:jc w:val="center"/>
              <w:outlineLvl w:val="0"/>
              <w:rPr>
                <w:rFonts w:ascii="Times New Roman" w:hAnsi="Times New Roman"/>
              </w:rPr>
            </w:pPr>
            <w:r>
              <w:rPr>
                <w:rFonts w:ascii="Times New Roman" w:hAnsi="Times New Roman"/>
              </w:rPr>
              <w:t>(0.50)</w:t>
            </w:r>
          </w:p>
        </w:tc>
        <w:tc>
          <w:tcPr>
            <w:tcW w:w="0" w:type="auto"/>
            <w:tcBorders>
              <w:top w:val="nil"/>
              <w:left w:val="nil"/>
              <w:bottom w:val="single" w:sz="4" w:space="0" w:color="auto"/>
              <w:right w:val="nil"/>
            </w:tcBorders>
          </w:tcPr>
          <w:p w14:paraId="62C349F6" w14:textId="77777777" w:rsidR="005B7447" w:rsidRPr="006F53FC" w:rsidRDefault="00BF1637" w:rsidP="00734EE4">
            <w:pPr>
              <w:spacing w:after="0" w:line="240" w:lineRule="auto"/>
              <w:jc w:val="center"/>
              <w:outlineLvl w:val="0"/>
              <w:rPr>
                <w:rFonts w:ascii="Times New Roman" w:hAnsi="Times New Roman"/>
              </w:rPr>
            </w:pPr>
            <w:r>
              <w:rPr>
                <w:rFonts w:ascii="Times New Roman" w:hAnsi="Times New Roman"/>
              </w:rPr>
              <w:t>(0.20)</w:t>
            </w:r>
          </w:p>
        </w:tc>
        <w:tc>
          <w:tcPr>
            <w:tcW w:w="0" w:type="auto"/>
            <w:tcBorders>
              <w:top w:val="nil"/>
              <w:left w:val="nil"/>
              <w:bottom w:val="single" w:sz="4" w:space="0" w:color="auto"/>
              <w:right w:val="nil"/>
            </w:tcBorders>
          </w:tcPr>
          <w:p w14:paraId="78F93C81" w14:textId="77777777" w:rsidR="005B7447" w:rsidRPr="006F53FC" w:rsidRDefault="005B7447" w:rsidP="00734EE4">
            <w:pPr>
              <w:spacing w:after="0" w:line="240" w:lineRule="auto"/>
              <w:jc w:val="center"/>
              <w:outlineLvl w:val="0"/>
              <w:rPr>
                <w:rFonts w:ascii="Times New Roman" w:hAnsi="Times New Roman"/>
              </w:rPr>
            </w:pPr>
          </w:p>
        </w:tc>
      </w:tr>
    </w:tbl>
    <w:p w14:paraId="009C9B34" w14:textId="77777777" w:rsidR="00BE1E34" w:rsidRDefault="00BE1E34">
      <w:pPr>
        <w:spacing w:after="0" w:line="240" w:lineRule="auto"/>
        <w:rPr>
          <w:rFonts w:ascii="Times New Roman" w:hAnsi="Times New Roman"/>
          <w:b/>
          <w:sz w:val="20"/>
          <w:szCs w:val="20"/>
        </w:rPr>
      </w:pPr>
      <w:r>
        <w:rPr>
          <w:rFonts w:ascii="Times New Roman" w:hAnsi="Times New Roman"/>
          <w:b/>
          <w:sz w:val="20"/>
          <w:szCs w:val="20"/>
        </w:rPr>
        <w:br w:type="page"/>
      </w:r>
    </w:p>
    <w:p w14:paraId="12FAD131" w14:textId="77777777" w:rsidR="00DA42E4" w:rsidRPr="00200CE0" w:rsidRDefault="00DA42E4" w:rsidP="00EA7A97">
      <w:pPr>
        <w:tabs>
          <w:tab w:val="left" w:pos="3284"/>
        </w:tabs>
        <w:jc w:val="both"/>
        <w:rPr>
          <w:rFonts w:ascii="Times New Roman" w:hAnsi="Times New Roman"/>
          <w:b/>
          <w:sz w:val="20"/>
          <w:szCs w:val="20"/>
        </w:rPr>
      </w:pPr>
      <w:r w:rsidRPr="00200CE0">
        <w:rPr>
          <w:rFonts w:ascii="Times New Roman" w:hAnsi="Times New Roman"/>
          <w:b/>
          <w:sz w:val="20"/>
          <w:szCs w:val="20"/>
        </w:rPr>
        <w:lastRenderedPageBreak/>
        <w:t>Endnotes</w:t>
      </w:r>
    </w:p>
    <w:p w14:paraId="3B37FA3A" w14:textId="77777777" w:rsidR="00DA42E4" w:rsidRPr="00200CE0" w:rsidRDefault="00DA42E4" w:rsidP="00200CE0">
      <w:pPr>
        <w:tabs>
          <w:tab w:val="left" w:pos="3284"/>
        </w:tabs>
        <w:jc w:val="both"/>
        <w:rPr>
          <w:rFonts w:ascii="Times New Roman" w:hAnsi="Times New Roman"/>
          <w:sz w:val="20"/>
          <w:szCs w:val="20"/>
        </w:rPr>
      </w:pPr>
      <w:r w:rsidRPr="00200CE0">
        <w:rPr>
          <w:rFonts w:ascii="Times New Roman" w:hAnsi="Times New Roman"/>
          <w:sz w:val="20"/>
          <w:szCs w:val="20"/>
        </w:rPr>
        <w:t xml:space="preserve">Davide Avino acknowledges financial support from Science Foundation Ireland (08/SRC/FMC1389). </w:t>
      </w:r>
      <w:r w:rsidRPr="00200CE0">
        <w:rPr>
          <w:rFonts w:ascii="Times New Roman" w:hAnsi="Times New Roman"/>
          <w:sz w:val="20"/>
          <w:szCs w:val="20"/>
          <w:lang w:val="en-US"/>
        </w:rPr>
        <w:t>We are grateful to</w:t>
      </w:r>
      <w:r w:rsidRPr="00200CE0">
        <w:rPr>
          <w:rFonts w:ascii="Times New Roman" w:hAnsi="Times New Roman"/>
          <w:sz w:val="20"/>
          <w:szCs w:val="20"/>
        </w:rPr>
        <w:t xml:space="preserve"> Simone </w:t>
      </w:r>
      <w:proofErr w:type="spellStart"/>
      <w:r w:rsidRPr="00200CE0">
        <w:rPr>
          <w:rFonts w:ascii="Times New Roman" w:hAnsi="Times New Roman"/>
          <w:sz w:val="20"/>
          <w:szCs w:val="20"/>
        </w:rPr>
        <w:t>Varotto</w:t>
      </w:r>
      <w:proofErr w:type="spellEnd"/>
      <w:r w:rsidRPr="00200CE0">
        <w:rPr>
          <w:rFonts w:ascii="Times New Roman" w:hAnsi="Times New Roman"/>
          <w:sz w:val="20"/>
          <w:szCs w:val="20"/>
        </w:rPr>
        <w:t xml:space="preserve">, Alfonso Dufour, Fan Yu, </w:t>
      </w:r>
      <w:proofErr w:type="spellStart"/>
      <w:r w:rsidRPr="00200CE0">
        <w:rPr>
          <w:rFonts w:ascii="Times New Roman" w:hAnsi="Times New Roman"/>
          <w:sz w:val="20"/>
          <w:szCs w:val="20"/>
        </w:rPr>
        <w:t>Satchit</w:t>
      </w:r>
      <w:proofErr w:type="spellEnd"/>
      <w:r w:rsidRPr="00200CE0">
        <w:rPr>
          <w:rFonts w:ascii="Times New Roman" w:hAnsi="Times New Roman"/>
          <w:sz w:val="20"/>
          <w:szCs w:val="20"/>
        </w:rPr>
        <w:t xml:space="preserve"> </w:t>
      </w:r>
      <w:proofErr w:type="spellStart"/>
      <w:r w:rsidRPr="00200CE0">
        <w:rPr>
          <w:rFonts w:ascii="Times New Roman" w:hAnsi="Times New Roman"/>
          <w:sz w:val="20"/>
          <w:szCs w:val="20"/>
        </w:rPr>
        <w:t>Sagade</w:t>
      </w:r>
      <w:proofErr w:type="spellEnd"/>
      <w:r w:rsidRPr="00200CE0">
        <w:rPr>
          <w:rFonts w:ascii="Times New Roman" w:hAnsi="Times New Roman"/>
          <w:sz w:val="20"/>
          <w:szCs w:val="20"/>
        </w:rPr>
        <w:t xml:space="preserve">, Luciano </w:t>
      </w:r>
      <w:proofErr w:type="spellStart"/>
      <w:r w:rsidRPr="00200CE0">
        <w:rPr>
          <w:rFonts w:ascii="Times New Roman" w:hAnsi="Times New Roman"/>
          <w:sz w:val="20"/>
          <w:szCs w:val="20"/>
        </w:rPr>
        <w:t>Machain</w:t>
      </w:r>
      <w:proofErr w:type="spellEnd"/>
      <w:r w:rsidRPr="00200CE0">
        <w:rPr>
          <w:rFonts w:ascii="Times New Roman" w:hAnsi="Times New Roman"/>
          <w:sz w:val="20"/>
          <w:szCs w:val="20"/>
        </w:rPr>
        <w:t xml:space="preserve">, Chardin </w:t>
      </w:r>
      <w:proofErr w:type="spellStart"/>
      <w:r w:rsidRPr="00200CE0">
        <w:rPr>
          <w:rFonts w:ascii="Times New Roman" w:hAnsi="Times New Roman"/>
          <w:sz w:val="20"/>
          <w:szCs w:val="20"/>
        </w:rPr>
        <w:t>Wese</w:t>
      </w:r>
      <w:proofErr w:type="spellEnd"/>
      <w:r w:rsidRPr="00200CE0">
        <w:rPr>
          <w:rFonts w:ascii="Times New Roman" w:hAnsi="Times New Roman"/>
          <w:sz w:val="20"/>
          <w:szCs w:val="20"/>
        </w:rPr>
        <w:t xml:space="preserve"> </w:t>
      </w:r>
      <w:proofErr w:type="spellStart"/>
      <w:r w:rsidRPr="00200CE0">
        <w:rPr>
          <w:rFonts w:ascii="Times New Roman" w:hAnsi="Times New Roman"/>
          <w:sz w:val="20"/>
          <w:szCs w:val="20"/>
        </w:rPr>
        <w:t>Simen</w:t>
      </w:r>
      <w:proofErr w:type="spellEnd"/>
      <w:r w:rsidRPr="00200CE0">
        <w:rPr>
          <w:rFonts w:ascii="Times New Roman" w:hAnsi="Times New Roman"/>
          <w:sz w:val="20"/>
          <w:szCs w:val="20"/>
        </w:rPr>
        <w:t xml:space="preserve"> and seminar/conference participants at the Asia-Pacific Association of Derivatives 2012 Conference, Eastern Finance Association 2013 Annual Meeting, University College Dublin, Financial Management Association 2013 Annual Meeting, University of St. Andrews, National University of Ireland </w:t>
      </w:r>
      <w:proofErr w:type="spellStart"/>
      <w:r w:rsidRPr="00200CE0">
        <w:rPr>
          <w:rFonts w:ascii="Times New Roman" w:hAnsi="Times New Roman"/>
          <w:sz w:val="20"/>
          <w:szCs w:val="20"/>
        </w:rPr>
        <w:t>Maynooth</w:t>
      </w:r>
      <w:proofErr w:type="spellEnd"/>
      <w:r w:rsidR="00227E21">
        <w:rPr>
          <w:rFonts w:ascii="Times New Roman" w:hAnsi="Times New Roman"/>
          <w:sz w:val="20"/>
          <w:szCs w:val="20"/>
        </w:rPr>
        <w:t>,</w:t>
      </w:r>
      <w:r w:rsidRPr="00200CE0">
        <w:rPr>
          <w:rFonts w:ascii="Times New Roman" w:hAnsi="Times New Roman"/>
          <w:sz w:val="20"/>
          <w:szCs w:val="20"/>
        </w:rPr>
        <w:t xml:space="preserve"> Midwest Finance Association 2014 Annual Meeting</w:t>
      </w:r>
      <w:r w:rsidR="00227E21">
        <w:rPr>
          <w:rFonts w:ascii="Times New Roman" w:hAnsi="Times New Roman"/>
          <w:sz w:val="20"/>
          <w:szCs w:val="20"/>
        </w:rPr>
        <w:t xml:space="preserve"> and Southern Finance Association 2014 Annual Meeting</w:t>
      </w:r>
      <w:r w:rsidRPr="00200CE0">
        <w:rPr>
          <w:rFonts w:ascii="Times New Roman" w:hAnsi="Times New Roman"/>
          <w:sz w:val="20"/>
          <w:szCs w:val="20"/>
        </w:rPr>
        <w:t xml:space="preserve"> for their helpful comments and suggestions.</w:t>
      </w:r>
    </w:p>
    <w:sectPr w:rsidR="00DA42E4" w:rsidRPr="00200CE0" w:rsidSect="00E9582B">
      <w:footerReference w:type="default" r:id="rId18"/>
      <w:endnotePr>
        <w:numFmt w:val="decimal"/>
      </w:endnotePr>
      <w:pgSz w:w="11907" w:h="16839"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B68D9" w14:textId="77777777" w:rsidR="00AF6B44" w:rsidRPr="00200CE0" w:rsidRDefault="00AF6B44" w:rsidP="00200CE0">
      <w:pPr>
        <w:pStyle w:val="Footer"/>
      </w:pPr>
    </w:p>
  </w:endnote>
  <w:endnote w:type="continuationSeparator" w:id="0">
    <w:p w14:paraId="4063DF9F" w14:textId="77777777" w:rsidR="00AF6B44" w:rsidRDefault="00AF6B44" w:rsidP="00DE74D5">
      <w:pPr>
        <w:spacing w:after="0" w:line="240" w:lineRule="auto"/>
      </w:pPr>
      <w:r>
        <w:continuationSeparator/>
      </w:r>
    </w:p>
    <w:p w14:paraId="52869E18" w14:textId="77777777" w:rsidR="00AF6B44" w:rsidRDefault="00AF6B44"/>
  </w:endnote>
  <w:endnote w:id="1">
    <w:p w14:paraId="3F8900C6" w14:textId="77777777" w:rsidR="00AF6B44" w:rsidRPr="00200CE0" w:rsidRDefault="00AF6B44">
      <w:pPr>
        <w:pStyle w:val="EndnoteText"/>
        <w:rPr>
          <w:rFonts w:ascii="Times New Roman" w:hAnsi="Times New Roman"/>
        </w:rPr>
      </w:pPr>
      <w:r>
        <w:rPr>
          <w:rStyle w:val="EndnoteReference"/>
        </w:rPr>
        <w:endnoteRef/>
      </w:r>
      <w:r>
        <w:t xml:space="preserve"> </w:t>
      </w:r>
      <w:r>
        <w:rPr>
          <w:rFonts w:ascii="Times New Roman" w:hAnsi="Times New Roman"/>
        </w:rPr>
        <w:t>For a very general and non-technical introduction on capital structure arbitrage, see Currie and Morris (2002).</w:t>
      </w:r>
    </w:p>
  </w:endnote>
  <w:endnote w:id="2">
    <w:p w14:paraId="05EF89D2" w14:textId="77777777" w:rsidR="00AF6B44" w:rsidRDefault="00AF6B44">
      <w:pPr>
        <w:pStyle w:val="EndnoteText"/>
      </w:pPr>
      <w:r>
        <w:rPr>
          <w:rStyle w:val="EndnoteReference"/>
        </w:rPr>
        <w:endnoteRef/>
      </w:r>
      <w:r>
        <w:t xml:space="preserve"> </w:t>
      </w:r>
      <w:r w:rsidRPr="005B75FE">
        <w:rPr>
          <w:rFonts w:ascii="Times New Roman" w:hAnsi="Times New Roman"/>
        </w:rPr>
        <w:t xml:space="preserve">Similar results were obtained by </w:t>
      </w:r>
      <w:r>
        <w:rPr>
          <w:rFonts w:ascii="Times New Roman" w:hAnsi="Times New Roman"/>
        </w:rPr>
        <w:t>Duarte et al. (2007) and Cserna and Imbierowicz (2008).</w:t>
      </w:r>
    </w:p>
  </w:endnote>
  <w:endnote w:id="3">
    <w:p w14:paraId="5186E141" w14:textId="77777777" w:rsidR="00AF6B44" w:rsidRDefault="00AF6B44">
      <w:pPr>
        <w:pStyle w:val="EndnoteText"/>
      </w:pPr>
      <w:r>
        <w:rPr>
          <w:rStyle w:val="EndnoteReference"/>
        </w:rPr>
        <w:endnoteRef/>
      </w:r>
      <w:r>
        <w:t xml:space="preserve"> </w:t>
      </w:r>
      <w:r>
        <w:rPr>
          <w:rFonts w:ascii="Times New Roman" w:hAnsi="Times New Roman"/>
        </w:rPr>
        <w:t xml:space="preserve">Another possible reason, according to Das and Hanouna (2009), is that equity hedges can be very expensive when markets become volatile because the hedge ratio varies very quickly </w:t>
      </w:r>
      <w:r w:rsidRPr="008E452B">
        <w:rPr>
          <w:rFonts w:ascii="Times New Roman" w:hAnsi="Times New Roman"/>
        </w:rPr>
        <w:t>and the</w:t>
      </w:r>
      <w:r>
        <w:rPr>
          <w:rFonts w:ascii="Times New Roman" w:hAnsi="Times New Roman"/>
        </w:rPr>
        <w:t xml:space="preserve"> reduction in the liquidity of the equity market becomes </w:t>
      </w:r>
      <w:r w:rsidRPr="00C00533">
        <w:rPr>
          <w:rFonts w:ascii="Times New Roman" w:hAnsi="Times New Roman"/>
        </w:rPr>
        <w:t>a determinant factor</w:t>
      </w:r>
      <w:r>
        <w:rPr>
          <w:rFonts w:ascii="Times New Roman" w:hAnsi="Times New Roman"/>
        </w:rPr>
        <w:t>.</w:t>
      </w:r>
    </w:p>
  </w:endnote>
  <w:endnote w:id="4">
    <w:p w14:paraId="3E7C5BA5" w14:textId="77777777" w:rsidR="00AF6B44" w:rsidRDefault="00AF6B44" w:rsidP="00384138">
      <w:pPr>
        <w:pStyle w:val="EndnoteText"/>
      </w:pPr>
      <w:r>
        <w:rPr>
          <w:rStyle w:val="EndnoteReference"/>
        </w:rPr>
        <w:endnoteRef/>
      </w:r>
      <w:r>
        <w:t xml:space="preserve"> </w:t>
      </w:r>
      <w:r>
        <w:rPr>
          <w:rFonts w:ascii="Times New Roman" w:hAnsi="Times New Roman"/>
        </w:rPr>
        <w:t xml:space="preserve">See CreditGrades Technical Document (2002) for details on the model’s implementation. </w:t>
      </w:r>
    </w:p>
  </w:endnote>
  <w:endnote w:id="5">
    <w:p w14:paraId="43D4AB66" w14:textId="77777777" w:rsidR="00AF6B44" w:rsidRDefault="00AF6B44" w:rsidP="00384138">
      <w:pPr>
        <w:pStyle w:val="EndnoteText"/>
      </w:pPr>
      <w:r>
        <w:rPr>
          <w:rStyle w:val="EndnoteReference"/>
        </w:rPr>
        <w:endnoteRef/>
      </w:r>
      <w:r>
        <w:t xml:space="preserve"> </w:t>
      </w:r>
      <w:r>
        <w:rPr>
          <w:rFonts w:ascii="Times New Roman" w:hAnsi="Times New Roman"/>
        </w:rPr>
        <w:t>Previous studies on the CSA strategy have shown that</w:t>
      </w:r>
      <w:r w:rsidRPr="005F345B">
        <w:rPr>
          <w:rFonts w:ascii="Times New Roman" w:hAnsi="Times New Roman"/>
        </w:rPr>
        <w:t xml:space="preserve"> </w:t>
      </w:r>
      <w:r>
        <w:rPr>
          <w:rFonts w:ascii="Times New Roman" w:hAnsi="Times New Roman"/>
        </w:rPr>
        <w:t>its profitability</w:t>
      </w:r>
      <w:r w:rsidRPr="005F345B">
        <w:rPr>
          <w:rFonts w:ascii="Times New Roman" w:hAnsi="Times New Roman"/>
        </w:rPr>
        <w:t xml:space="preserve"> </w:t>
      </w:r>
      <w:r>
        <w:rPr>
          <w:rFonts w:ascii="Times New Roman" w:hAnsi="Times New Roman"/>
        </w:rPr>
        <w:t xml:space="preserve">is </w:t>
      </w:r>
      <w:r w:rsidRPr="005F345B">
        <w:rPr>
          <w:rFonts w:ascii="Times New Roman" w:hAnsi="Times New Roman"/>
        </w:rPr>
        <w:t>sensitive to the choice of the credit risk model (used to compute implied spreads) and the equity volatility estimation method. Early studies from Jones e</w:t>
      </w:r>
      <w:r>
        <w:rPr>
          <w:rFonts w:ascii="Times New Roman" w:hAnsi="Times New Roman"/>
        </w:rPr>
        <w:t>t al. (1984), Eom et al. (2004) and</w:t>
      </w:r>
      <w:r w:rsidRPr="005F345B">
        <w:rPr>
          <w:rFonts w:ascii="Times New Roman" w:hAnsi="Times New Roman"/>
        </w:rPr>
        <w:t xml:space="preserve"> Huang and Huang (20</w:t>
      </w:r>
      <w:r>
        <w:rPr>
          <w:rFonts w:ascii="Times New Roman" w:hAnsi="Times New Roman"/>
        </w:rPr>
        <w:t>12</w:t>
      </w:r>
      <w:r w:rsidRPr="005F345B">
        <w:rPr>
          <w:rFonts w:ascii="Times New Roman" w:hAnsi="Times New Roman"/>
        </w:rPr>
        <w:t>) focused on credit spreads obt</w:t>
      </w:r>
      <w:r>
        <w:rPr>
          <w:rFonts w:ascii="Times New Roman" w:hAnsi="Times New Roman"/>
        </w:rPr>
        <w:t>ained from bonds and found that</w:t>
      </w:r>
      <w:r w:rsidRPr="005F345B">
        <w:rPr>
          <w:rFonts w:ascii="Times New Roman" w:hAnsi="Times New Roman"/>
        </w:rPr>
        <w:t xml:space="preserve"> credit risk models under-predict spreads. However, Ericsson et al. (2007) showed that credit risk models seem to perform better when applied to CDS spreads. Similarly, Schaefer and Strebulaev (2008) obtained evidence of good prediction of equity-to-debt hedge ratios using structural models</w:t>
      </w:r>
      <w:r>
        <w:rPr>
          <w:rFonts w:ascii="Times New Roman" w:hAnsi="Times New Roman"/>
        </w:rPr>
        <w:t xml:space="preserve">. </w:t>
      </w:r>
      <w:r w:rsidRPr="005F345B">
        <w:rPr>
          <w:rFonts w:ascii="Times New Roman" w:hAnsi="Times New Roman"/>
        </w:rPr>
        <w:t>Bajlum and Larsen (2008) found that using option-implied</w:t>
      </w:r>
      <w:r>
        <w:rPr>
          <w:rFonts w:ascii="Times New Roman" w:hAnsi="Times New Roman"/>
        </w:rPr>
        <w:t xml:space="preserve"> </w:t>
      </w:r>
      <w:r w:rsidRPr="005F345B">
        <w:rPr>
          <w:rFonts w:ascii="Times New Roman" w:hAnsi="Times New Roman"/>
        </w:rPr>
        <w:t>(rather than historical) volatility generates higher excess returns. Also, they conclude</w:t>
      </w:r>
      <w:r>
        <w:rPr>
          <w:rFonts w:ascii="Times New Roman" w:hAnsi="Times New Roman"/>
        </w:rPr>
        <w:t>d</w:t>
      </w:r>
      <w:r w:rsidRPr="005F345B">
        <w:rPr>
          <w:rFonts w:ascii="Times New Roman" w:hAnsi="Times New Roman"/>
        </w:rPr>
        <w:t xml:space="preserve"> that the choice of the credit risk model is of secondary importance and does not affect returns significantly</w:t>
      </w:r>
      <w:r>
        <w:rPr>
          <w:rFonts w:ascii="Times New Roman" w:hAnsi="Times New Roman"/>
        </w:rPr>
        <w:t>.</w:t>
      </w:r>
    </w:p>
  </w:endnote>
  <w:endnote w:id="6">
    <w:p w14:paraId="50C03574" w14:textId="77777777" w:rsidR="00AF6B44" w:rsidRDefault="00AF6B44">
      <w:pPr>
        <w:pStyle w:val="EndnoteText"/>
      </w:pPr>
      <w:r>
        <w:rPr>
          <w:rStyle w:val="EndnoteReference"/>
        </w:rPr>
        <w:endnoteRef/>
      </w:r>
      <w:r>
        <w:t xml:space="preserve"> </w:t>
      </w:r>
      <w:r w:rsidRPr="000E00E1">
        <w:rPr>
          <w:rFonts w:ascii="Times New Roman" w:hAnsi="Times New Roman"/>
        </w:rPr>
        <w:t>A different way to obtain daily estimates of price discovery would be based on intraday prices</w:t>
      </w:r>
      <w:r>
        <w:rPr>
          <w:rFonts w:ascii="Times New Roman" w:hAnsi="Times New Roman"/>
        </w:rPr>
        <w:t>.</w:t>
      </w:r>
      <w:r w:rsidRPr="000E00E1">
        <w:rPr>
          <w:rFonts w:ascii="Times New Roman" w:hAnsi="Times New Roman"/>
        </w:rPr>
        <w:t xml:space="preserve"> However, for the CDS market</w:t>
      </w:r>
      <w:r>
        <w:rPr>
          <w:rFonts w:ascii="Times New Roman" w:hAnsi="Times New Roman"/>
        </w:rPr>
        <w:t>,</w:t>
      </w:r>
      <w:r w:rsidRPr="000E00E1">
        <w:rPr>
          <w:rFonts w:ascii="Times New Roman" w:hAnsi="Times New Roman"/>
        </w:rPr>
        <w:t xml:space="preserve"> high frequency trading is still</w:t>
      </w:r>
      <w:r>
        <w:rPr>
          <w:rFonts w:ascii="Times New Roman" w:hAnsi="Times New Roman"/>
        </w:rPr>
        <w:t xml:space="preserve"> in its infancy</w:t>
      </w:r>
      <w:r w:rsidRPr="000E00E1">
        <w:rPr>
          <w:rFonts w:ascii="Times New Roman" w:hAnsi="Times New Roman"/>
        </w:rPr>
        <w:t>.</w:t>
      </w:r>
    </w:p>
  </w:endnote>
  <w:endnote w:id="7">
    <w:p w14:paraId="78CF9554" w14:textId="77777777" w:rsidR="00AF6B44" w:rsidRDefault="00AF6B44">
      <w:pPr>
        <w:pStyle w:val="EndnoteText"/>
      </w:pPr>
      <w:r>
        <w:rPr>
          <w:rStyle w:val="EndnoteReference"/>
        </w:rPr>
        <w:endnoteRef/>
      </w:r>
      <w:r>
        <w:t xml:space="preserve"> </w:t>
      </w:r>
      <w:r>
        <w:rPr>
          <w:rFonts w:ascii="Times New Roman" w:hAnsi="Times New Roman"/>
        </w:rPr>
        <w:t xml:space="preserve">A careful observer may accuse us of “look-ahead bias” because we are using the future values of the spreads to detect the presence of cointegration. However, testing for cointegration requires many years of data, and a long run </w:t>
      </w:r>
      <w:r w:rsidRPr="00C35072">
        <w:rPr>
          <w:rFonts w:ascii="Times New Roman" w:hAnsi="Times New Roman"/>
        </w:rPr>
        <w:t>relationship between the two markets is very likely to exist (and we find it for the majority of the companies) because they are pricing the same risk, even though the</w:t>
      </w:r>
      <w:r>
        <w:rPr>
          <w:rFonts w:ascii="Times New Roman" w:hAnsi="Times New Roman"/>
        </w:rPr>
        <w:t>ir</w:t>
      </w:r>
      <w:r w:rsidRPr="00C35072">
        <w:rPr>
          <w:rFonts w:ascii="Times New Roman" w:hAnsi="Times New Roman"/>
        </w:rPr>
        <w:t xml:space="preserve"> Pearson correlation is low.</w:t>
      </w:r>
    </w:p>
  </w:endnote>
  <w:endnote w:id="8">
    <w:p w14:paraId="4EA0B0D3" w14:textId="77777777" w:rsidR="00AF6B44" w:rsidRDefault="00AF6B44">
      <w:pPr>
        <w:pStyle w:val="EndnoteText"/>
      </w:pPr>
      <w:r>
        <w:rPr>
          <w:rStyle w:val="EndnoteReference"/>
        </w:rPr>
        <w:endnoteRef/>
      </w:r>
      <w:r>
        <w:t xml:space="preserve"> </w:t>
      </w:r>
      <w:r>
        <w:rPr>
          <w:rFonts w:ascii="Times New Roman" w:hAnsi="Times New Roman"/>
        </w:rPr>
        <w:t>(</w:t>
      </w:r>
      <w:r w:rsidRPr="00C35072">
        <w:rPr>
          <w:rFonts w:ascii="Times New Roman" w:hAnsi="Times New Roman"/>
        </w:rPr>
        <w:t xml:space="preserve">1 – </w:t>
      </w:r>
      <w:r w:rsidRPr="00C35072">
        <w:rPr>
          <w:rFonts w:ascii="Times New Roman" w:hAnsi="Times New Roman"/>
          <w:i/>
        </w:rPr>
        <w:t>IS</w:t>
      </w:r>
      <w:r w:rsidRPr="00C35072">
        <w:rPr>
          <w:rFonts w:ascii="Times New Roman" w:hAnsi="Times New Roman"/>
          <w:i/>
          <w:vertAlign w:val="subscript"/>
        </w:rPr>
        <w:t>cds</w:t>
      </w:r>
      <w:r>
        <w:rPr>
          <w:rFonts w:ascii="Times New Roman" w:hAnsi="Times New Roman"/>
        </w:rPr>
        <w:t xml:space="preserve">) will give the price discovery estimate </w:t>
      </w:r>
      <w:r w:rsidRPr="00C00533">
        <w:rPr>
          <w:rFonts w:ascii="Times New Roman" w:hAnsi="Times New Roman"/>
        </w:rPr>
        <w:t>for the equity market</w:t>
      </w:r>
      <w:r>
        <w:rPr>
          <w:rFonts w:ascii="Times New Roman" w:hAnsi="Times New Roman"/>
        </w:rPr>
        <w:t>.</w:t>
      </w:r>
    </w:p>
  </w:endnote>
  <w:endnote w:id="9">
    <w:p w14:paraId="05AC6B7E" w14:textId="77777777" w:rsidR="00AF6B44" w:rsidRDefault="00AF6B44">
      <w:pPr>
        <w:pStyle w:val="EndnoteText"/>
      </w:pPr>
      <w:r>
        <w:rPr>
          <w:rStyle w:val="EndnoteReference"/>
        </w:rPr>
        <w:endnoteRef/>
      </w:r>
      <w:r>
        <w:t xml:space="preserve"> </w:t>
      </w:r>
      <w:r>
        <w:rPr>
          <w:rFonts w:ascii="Times New Roman" w:hAnsi="Times New Roman"/>
        </w:rPr>
        <w:t xml:space="preserve">For European obligors we assume </w:t>
      </w:r>
      <w:r w:rsidRPr="00C00533">
        <w:rPr>
          <w:rFonts w:ascii="Times New Roman" w:hAnsi="Times New Roman"/>
        </w:rPr>
        <w:t>EUR</w:t>
      </w:r>
      <w:r>
        <w:rPr>
          <w:rFonts w:ascii="Times New Roman" w:hAnsi="Times New Roman"/>
        </w:rPr>
        <w:t xml:space="preserve"> 1 of notional for the CDS contract.</w:t>
      </w:r>
    </w:p>
  </w:endnote>
  <w:endnote w:id="10">
    <w:p w14:paraId="42A47646" w14:textId="77777777" w:rsidR="00AF6B44" w:rsidRPr="00370208" w:rsidRDefault="00AF6B44">
      <w:pPr>
        <w:pStyle w:val="EndnoteText"/>
        <w:rPr>
          <w:rFonts w:ascii="Times New Roman" w:hAnsi="Times New Roman"/>
        </w:rPr>
      </w:pPr>
      <w:r>
        <w:rPr>
          <w:rStyle w:val="EndnoteReference"/>
        </w:rPr>
        <w:endnoteRef/>
      </w:r>
      <w:r>
        <w:t xml:space="preserve"> </w:t>
      </w:r>
      <w:r>
        <w:rPr>
          <w:rFonts w:ascii="Times New Roman" w:hAnsi="Times New Roman"/>
        </w:rPr>
        <w:t xml:space="preserve">In this paper, a “strong” evidence of a market leading the price discovery would occur when the estimated IS measure for that market is greater than 80%. </w:t>
      </w:r>
    </w:p>
  </w:endnote>
  <w:endnote w:id="11">
    <w:p w14:paraId="3A5A296E" w14:textId="77777777" w:rsidR="00AF6B44" w:rsidRDefault="00AF6B44">
      <w:pPr>
        <w:pStyle w:val="EndnoteText"/>
      </w:pPr>
      <w:r>
        <w:rPr>
          <w:rStyle w:val="EndnoteReference"/>
        </w:rPr>
        <w:endnoteRef/>
      </w:r>
      <w:r>
        <w:t xml:space="preserve"> </w:t>
      </w:r>
      <w:r>
        <w:rPr>
          <w:rFonts w:ascii="Times New Roman" w:hAnsi="Times New Roman"/>
        </w:rPr>
        <w:t xml:space="preserve">According to Mayordomo et al. (2013), CMA data on CDS lead the price discovery process if compared with other CDS databases such as GFI, Fenics, Markit, JP Morgan </w:t>
      </w:r>
      <w:r w:rsidRPr="00A406DE">
        <w:rPr>
          <w:rFonts w:ascii="Times New Roman" w:hAnsi="Times New Roman"/>
        </w:rPr>
        <w:t>and</w:t>
      </w:r>
      <w:r>
        <w:rPr>
          <w:rFonts w:ascii="Times New Roman" w:hAnsi="Times New Roman"/>
        </w:rPr>
        <w:t xml:space="preserve"> Reuters EOD.</w:t>
      </w:r>
    </w:p>
  </w:endnote>
  <w:endnote w:id="12">
    <w:p w14:paraId="2FF43E2C" w14:textId="77777777" w:rsidR="00AF6B44" w:rsidRPr="00370208" w:rsidRDefault="00AF6B44">
      <w:pPr>
        <w:pStyle w:val="EndnoteText"/>
        <w:rPr>
          <w:rFonts w:ascii="Times New Roman" w:hAnsi="Times New Roman"/>
        </w:rPr>
      </w:pPr>
      <w:r>
        <w:rPr>
          <w:rStyle w:val="EndnoteReference"/>
        </w:rPr>
        <w:endnoteRef/>
      </w:r>
      <w:r>
        <w:t xml:space="preserve"> </w:t>
      </w:r>
      <w:r>
        <w:rPr>
          <w:rFonts w:ascii="Times New Roman" w:hAnsi="Times New Roman"/>
        </w:rPr>
        <w:t>See Moody’s (2011).</w:t>
      </w:r>
    </w:p>
  </w:endnote>
  <w:endnote w:id="13">
    <w:p w14:paraId="4801F653" w14:textId="77777777" w:rsidR="00AF6B44" w:rsidRDefault="00AF6B44">
      <w:pPr>
        <w:pStyle w:val="EndnoteText"/>
      </w:pPr>
      <w:r>
        <w:rPr>
          <w:rStyle w:val="EndnoteReference"/>
        </w:rPr>
        <w:endnoteRef/>
      </w:r>
      <w:r>
        <w:t xml:space="preserve"> </w:t>
      </w:r>
      <w:r>
        <w:rPr>
          <w:rFonts w:ascii="Times New Roman" w:hAnsi="Times New Roman"/>
        </w:rPr>
        <w:t xml:space="preserve">For European entities, we assume </w:t>
      </w:r>
      <w:r w:rsidRPr="00F47DE9">
        <w:rPr>
          <w:rFonts w:ascii="Times New Roman" w:hAnsi="Times New Roman"/>
        </w:rPr>
        <w:t>EUR</w:t>
      </w:r>
      <w:r>
        <w:rPr>
          <w:rFonts w:ascii="Times New Roman" w:hAnsi="Times New Roman"/>
        </w:rPr>
        <w:t xml:space="preserve"> 0.5 initial capital.</w:t>
      </w:r>
    </w:p>
  </w:endnote>
  <w:endnote w:id="14">
    <w:p w14:paraId="0E53ADEA" w14:textId="77777777" w:rsidR="00AF6B44" w:rsidRDefault="00AF6B44">
      <w:pPr>
        <w:pStyle w:val="EndnoteText"/>
      </w:pPr>
      <w:r>
        <w:rPr>
          <w:rStyle w:val="EndnoteReference"/>
        </w:rPr>
        <w:endnoteRef/>
      </w:r>
      <w:r>
        <w:t xml:space="preserve"> </w:t>
      </w:r>
      <w:r>
        <w:rPr>
          <w:rFonts w:ascii="Times New Roman" w:hAnsi="Times New Roman"/>
        </w:rPr>
        <w:t xml:space="preserve">As we are comparing the profitability of different trading strategies, the magnitude of transaction costs used is not </w:t>
      </w:r>
      <w:r w:rsidRPr="00F47DE9">
        <w:rPr>
          <w:rFonts w:ascii="Times New Roman" w:hAnsi="Times New Roman"/>
        </w:rPr>
        <w:t>that</w:t>
      </w:r>
      <w:r>
        <w:rPr>
          <w:rFonts w:ascii="Times New Roman" w:hAnsi="Times New Roman"/>
        </w:rPr>
        <w:t xml:space="preserve"> important as long as </w:t>
      </w:r>
      <w:r w:rsidRPr="00F47DE9">
        <w:rPr>
          <w:rFonts w:ascii="Times New Roman" w:hAnsi="Times New Roman"/>
        </w:rPr>
        <w:t>similar</w:t>
      </w:r>
      <w:r>
        <w:rPr>
          <w:rFonts w:ascii="Times New Roman" w:hAnsi="Times New Roman"/>
        </w:rPr>
        <w:t xml:space="preserve"> transaction costs are assumed for each strategy. Taking equity transaction costs into account would favour the strategies which trade less, especially Strategy 4.</w:t>
      </w:r>
    </w:p>
  </w:endnote>
  <w:endnote w:id="15">
    <w:p w14:paraId="3B43A2BB" w14:textId="77777777" w:rsidR="00AF6B44" w:rsidRPr="005B2D2B" w:rsidRDefault="00AF6B44">
      <w:pPr>
        <w:pStyle w:val="EndnoteText"/>
      </w:pPr>
      <w:r>
        <w:rPr>
          <w:rStyle w:val="EndnoteReference"/>
        </w:rPr>
        <w:endnoteRef/>
      </w:r>
      <w:r>
        <w:t xml:space="preserve"> </w:t>
      </w:r>
      <w:r w:rsidRPr="00370208">
        <w:rPr>
          <w:rFonts w:ascii="Times New Roman" w:hAnsi="Times New Roman"/>
        </w:rPr>
        <w:t>A solution</w:t>
      </w:r>
      <w:r>
        <w:rPr>
          <w:rFonts w:ascii="Times New Roman" w:hAnsi="Times New Roman"/>
        </w:rPr>
        <w:t xml:space="preserve"> which would allow a full hedge</w:t>
      </w:r>
      <w:r w:rsidRPr="00370208">
        <w:rPr>
          <w:rFonts w:ascii="Times New Roman" w:hAnsi="Times New Roman"/>
        </w:rPr>
        <w:t xml:space="preserve"> </w:t>
      </w:r>
      <w:r>
        <w:rPr>
          <w:rFonts w:ascii="Times New Roman" w:hAnsi="Times New Roman"/>
        </w:rPr>
        <w:t>(</w:t>
      </w:r>
      <w:r w:rsidRPr="00370208">
        <w:rPr>
          <w:rFonts w:ascii="Times New Roman" w:hAnsi="Times New Roman"/>
        </w:rPr>
        <w:t>not explored in this paper</w:t>
      </w:r>
      <w:r>
        <w:rPr>
          <w:rFonts w:ascii="Times New Roman" w:hAnsi="Times New Roman"/>
        </w:rPr>
        <w:t>)</w:t>
      </w:r>
      <w:r w:rsidRPr="00370208">
        <w:rPr>
          <w:rFonts w:ascii="Times New Roman" w:hAnsi="Times New Roman"/>
        </w:rPr>
        <w:t xml:space="preserve"> would consist in trading CDS contracts on smaller amounts of notional making sure that a given percentage (such as 10%) of the notional is deposited in a margin account.</w:t>
      </w:r>
    </w:p>
  </w:endnote>
  <w:endnote w:id="16">
    <w:p w14:paraId="2CC6A6AB" w14:textId="77777777" w:rsidR="00AF6B44" w:rsidRDefault="00AF6B44">
      <w:pPr>
        <w:pStyle w:val="EndnoteText"/>
      </w:pPr>
      <w:r>
        <w:rPr>
          <w:rStyle w:val="EndnoteReference"/>
        </w:rPr>
        <w:endnoteRef/>
      </w:r>
      <w:r>
        <w:t xml:space="preserve"> </w:t>
      </w:r>
      <w:r>
        <w:rPr>
          <w:rFonts w:ascii="Times New Roman" w:hAnsi="Times New Roman"/>
        </w:rPr>
        <w:t xml:space="preserve">This means that, for the strategies which require hedging (Strategy 1 and Strategy 2), we can buy shares for a maximum amount of </w:t>
      </w:r>
      <w:r w:rsidRPr="00F47DE9">
        <w:rPr>
          <w:rFonts w:ascii="Times New Roman" w:hAnsi="Times New Roman"/>
        </w:rPr>
        <w:t>USD</w:t>
      </w:r>
      <w:r>
        <w:rPr>
          <w:rFonts w:ascii="Times New Roman" w:hAnsi="Times New Roman"/>
        </w:rPr>
        <w:t xml:space="preserve"> 0.4.</w:t>
      </w:r>
    </w:p>
  </w:endnote>
  <w:endnote w:id="17">
    <w:p w14:paraId="5BF4B394" w14:textId="77777777" w:rsidR="00AF6B44" w:rsidRPr="00573FAC" w:rsidRDefault="00AF6B44">
      <w:pPr>
        <w:pStyle w:val="EndnoteText"/>
        <w:rPr>
          <w:rFonts w:ascii="Times New Roman" w:hAnsi="Times New Roman"/>
        </w:rPr>
      </w:pPr>
      <w:r w:rsidRPr="00573FAC">
        <w:rPr>
          <w:rStyle w:val="EndnoteReference"/>
          <w:rFonts w:ascii="Times New Roman" w:hAnsi="Times New Roman"/>
        </w:rPr>
        <w:endnoteRef/>
      </w:r>
      <w:r w:rsidRPr="00573FAC">
        <w:rPr>
          <w:rFonts w:ascii="Times New Roman" w:hAnsi="Times New Roman"/>
        </w:rPr>
        <w:t xml:space="preserve"> We also impleme</w:t>
      </w:r>
      <w:r>
        <w:rPr>
          <w:rFonts w:ascii="Times New Roman" w:hAnsi="Times New Roman"/>
        </w:rPr>
        <w:t>nted the strategies using a 30-day holding period (available from authors). Our results are quantitatively similar to the 180-day holding period results.</w:t>
      </w:r>
    </w:p>
  </w:endnote>
  <w:endnote w:id="18">
    <w:p w14:paraId="559A1D37" w14:textId="77777777" w:rsidR="00AF6B44" w:rsidRDefault="00AF6B44">
      <w:pPr>
        <w:pStyle w:val="EndnoteText"/>
      </w:pPr>
      <w:r>
        <w:rPr>
          <w:rStyle w:val="EndnoteReference"/>
        </w:rPr>
        <w:endnoteRef/>
      </w:r>
      <w:r>
        <w:t xml:space="preserve"> </w:t>
      </w:r>
      <w:r>
        <w:rPr>
          <w:rFonts w:ascii="Times New Roman" w:hAnsi="Times New Roman"/>
        </w:rPr>
        <w:t xml:space="preserve">See </w:t>
      </w:r>
      <w:hyperlink r:id="rId1" w:history="1">
        <w:r w:rsidRPr="00B01CEF">
          <w:rPr>
            <w:rStyle w:val="Hyperlink"/>
            <w:rFonts w:ascii="Times New Roman" w:hAnsi="Times New Roman"/>
          </w:rPr>
          <w:t>www.hedgeindex.com</w:t>
        </w:r>
      </w:hyperlink>
      <w:r>
        <w:rPr>
          <w:rFonts w:ascii="Times New Roman" w:hAnsi="Times New Roman"/>
        </w:rPr>
        <w:t xml:space="preserve"> for more details on the construction of the index.</w:t>
      </w:r>
    </w:p>
  </w:endnote>
  <w:endnote w:id="19">
    <w:p w14:paraId="145FA8C4" w14:textId="77777777" w:rsidR="00AF6B44" w:rsidRDefault="00AF6B44">
      <w:pPr>
        <w:pStyle w:val="EndnoteText"/>
      </w:pPr>
      <w:r>
        <w:rPr>
          <w:rStyle w:val="EndnoteReference"/>
        </w:rPr>
        <w:endnoteRef/>
      </w:r>
      <w:r>
        <w:t xml:space="preserve"> </w:t>
      </w:r>
      <w:r>
        <w:rPr>
          <w:rFonts w:ascii="Times New Roman" w:hAnsi="Times New Roman"/>
        </w:rPr>
        <w:t>The Fama-French global factors are downloaded from Kenneth French’s website.</w:t>
      </w:r>
    </w:p>
  </w:endnote>
  <w:endnote w:id="20">
    <w:p w14:paraId="34DA1C41" w14:textId="77777777" w:rsidR="00AF6B44" w:rsidRDefault="00AF6B44">
      <w:pPr>
        <w:pStyle w:val="EndnoteText"/>
      </w:pPr>
      <w:r>
        <w:rPr>
          <w:rStyle w:val="EndnoteReference"/>
        </w:rPr>
        <w:endnoteRef/>
      </w:r>
      <w:r>
        <w:t xml:space="preserve"> </w:t>
      </w:r>
      <w:r>
        <w:rPr>
          <w:rFonts w:ascii="Times New Roman" w:hAnsi="Times New Roman"/>
        </w:rPr>
        <w:t>The closing prices of the remaining European e</w:t>
      </w:r>
      <w:r w:rsidRPr="00957F91">
        <w:rPr>
          <w:rFonts w:ascii="Times New Roman" w:hAnsi="Times New Roman"/>
        </w:rPr>
        <w:t>quity</w:t>
      </w:r>
      <w:r>
        <w:rPr>
          <w:rFonts w:ascii="Times New Roman" w:hAnsi="Times New Roman"/>
        </w:rPr>
        <w:t xml:space="preserve"> markets</w:t>
      </w:r>
      <w:r w:rsidRPr="00957F91">
        <w:rPr>
          <w:rFonts w:ascii="Times New Roman" w:hAnsi="Times New Roman"/>
        </w:rPr>
        <w:t xml:space="preserve"> for the firms in our sample are recorded at 16:35 from the London Stock Exchange, the Paris Stock Exchange, the Madrid Stock Exchange and the Amsterdam Stock Exchange. Lastly, the Frankfurt Stock Exchange records closing prices at 19:00 (London time).</w:t>
      </w:r>
    </w:p>
  </w:endnote>
  <w:endnote w:id="21">
    <w:p w14:paraId="2E7AB42B" w14:textId="77777777" w:rsidR="00AF6B44" w:rsidRDefault="00AF6B44">
      <w:pPr>
        <w:pStyle w:val="EndnoteText"/>
      </w:pPr>
      <w:r>
        <w:rPr>
          <w:rStyle w:val="EndnoteReference"/>
        </w:rPr>
        <w:endnoteRef/>
      </w:r>
      <w:r>
        <w:t xml:space="preserve"> </w:t>
      </w:r>
      <w:r w:rsidRPr="0089103F">
        <w:rPr>
          <w:rFonts w:ascii="Times New Roman" w:hAnsi="Times New Roman"/>
        </w:rPr>
        <w:t xml:space="preserve">Our choice of 100 updates is arbitrary, </w:t>
      </w:r>
      <w:r>
        <w:rPr>
          <w:rFonts w:ascii="Times New Roman" w:hAnsi="Times New Roman"/>
        </w:rPr>
        <w:t>and</w:t>
      </w:r>
      <w:r w:rsidRPr="0089103F">
        <w:rPr>
          <w:rFonts w:ascii="Times New Roman" w:hAnsi="Times New Roman"/>
        </w:rPr>
        <w:t xml:space="preserve"> results confirm</w:t>
      </w:r>
      <w:r>
        <w:rPr>
          <w:rFonts w:ascii="Times New Roman" w:hAnsi="Times New Roman"/>
        </w:rPr>
        <w:t xml:space="preserve"> that</w:t>
      </w:r>
      <w:r w:rsidRPr="0089103F">
        <w:rPr>
          <w:rFonts w:ascii="Times New Roman" w:hAnsi="Times New Roman"/>
        </w:rPr>
        <w:t xml:space="preserve"> choosing a lower or higher threshold would not affect the strategies’ profitability. </w:t>
      </w:r>
      <w:r>
        <w:rPr>
          <w:rFonts w:ascii="Times New Roman" w:hAnsi="Times New Roman"/>
        </w:rPr>
        <w:t>However, a</w:t>
      </w:r>
      <w:r w:rsidRPr="0089103F">
        <w:rPr>
          <w:rFonts w:ascii="Times New Roman" w:hAnsi="Times New Roman"/>
        </w:rPr>
        <w:t>synchronous trading would constitute a major issue for capital structure arbitrageurs as high frequency CDS trading develops.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0250A" w14:textId="77777777" w:rsidR="00AF6B44" w:rsidRDefault="00AF6B44">
    <w:pPr>
      <w:pStyle w:val="Footer"/>
      <w:jc w:val="right"/>
    </w:pPr>
    <w:r>
      <w:fldChar w:fldCharType="begin"/>
    </w:r>
    <w:r>
      <w:instrText xml:space="preserve"> PAGE   \* MERGEFORMAT </w:instrText>
    </w:r>
    <w:r>
      <w:fldChar w:fldCharType="separate"/>
    </w:r>
    <w:r>
      <w:rPr>
        <w:noProof/>
      </w:rPr>
      <w:t>20</w:t>
    </w:r>
    <w:r>
      <w:rPr>
        <w:noProof/>
      </w:rPr>
      <w:fldChar w:fldCharType="end"/>
    </w:r>
  </w:p>
  <w:p w14:paraId="0CB9AA42" w14:textId="77777777" w:rsidR="00AF6B44" w:rsidRDefault="00AF6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DAB03" w14:textId="77777777" w:rsidR="00AF6B44" w:rsidRDefault="00AF6B44" w:rsidP="00272FDC">
      <w:pPr>
        <w:spacing w:after="0" w:line="240" w:lineRule="auto"/>
      </w:pPr>
      <w:r>
        <w:separator/>
      </w:r>
    </w:p>
  </w:footnote>
  <w:footnote w:type="continuationSeparator" w:id="0">
    <w:p w14:paraId="37FFC095" w14:textId="77777777" w:rsidR="00AF6B44" w:rsidRDefault="00AF6B44" w:rsidP="00DE74D5">
      <w:pPr>
        <w:spacing w:after="0" w:line="240" w:lineRule="auto"/>
      </w:pPr>
      <w:r>
        <w:continuationSeparator/>
      </w:r>
    </w:p>
    <w:p w14:paraId="698BE174" w14:textId="77777777" w:rsidR="00AF6B44" w:rsidRDefault="00AF6B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C4E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DA37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5E51D2"/>
    <w:multiLevelType w:val="hybridMultilevel"/>
    <w:tmpl w:val="FB00E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D6008D"/>
    <w:multiLevelType w:val="hybridMultilevel"/>
    <w:tmpl w:val="638C71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1297F6F"/>
    <w:multiLevelType w:val="hybridMultilevel"/>
    <w:tmpl w:val="A590386A"/>
    <w:lvl w:ilvl="0" w:tplc="515E1504">
      <w:start w:val="5"/>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E6967DB"/>
    <w:multiLevelType w:val="hybridMultilevel"/>
    <w:tmpl w:val="124896E0"/>
    <w:lvl w:ilvl="0" w:tplc="0809000F">
      <w:start w:val="1"/>
      <w:numFmt w:val="decimal"/>
      <w:lvlText w:val="%1."/>
      <w:lvlJc w:val="left"/>
      <w:pPr>
        <w:ind w:left="780" w:hanging="360"/>
      </w:pPr>
      <w:rPr>
        <w:rFonts w:cs="Times New Roman"/>
      </w:rPr>
    </w:lvl>
    <w:lvl w:ilvl="1" w:tplc="08090019" w:tentative="1">
      <w:start w:val="1"/>
      <w:numFmt w:val="lowerLetter"/>
      <w:lvlText w:val="%2."/>
      <w:lvlJc w:val="left"/>
      <w:pPr>
        <w:ind w:left="1500" w:hanging="360"/>
      </w:pPr>
      <w:rPr>
        <w:rFonts w:cs="Times New Roman"/>
      </w:rPr>
    </w:lvl>
    <w:lvl w:ilvl="2" w:tplc="0809001B" w:tentative="1">
      <w:start w:val="1"/>
      <w:numFmt w:val="lowerRoman"/>
      <w:lvlText w:val="%3."/>
      <w:lvlJc w:val="right"/>
      <w:pPr>
        <w:ind w:left="2220" w:hanging="180"/>
      </w:pPr>
      <w:rPr>
        <w:rFonts w:cs="Times New Roman"/>
      </w:rPr>
    </w:lvl>
    <w:lvl w:ilvl="3" w:tplc="0809000F" w:tentative="1">
      <w:start w:val="1"/>
      <w:numFmt w:val="decimal"/>
      <w:lvlText w:val="%4."/>
      <w:lvlJc w:val="left"/>
      <w:pPr>
        <w:ind w:left="2940" w:hanging="360"/>
      </w:pPr>
      <w:rPr>
        <w:rFonts w:cs="Times New Roman"/>
      </w:rPr>
    </w:lvl>
    <w:lvl w:ilvl="4" w:tplc="08090019" w:tentative="1">
      <w:start w:val="1"/>
      <w:numFmt w:val="lowerLetter"/>
      <w:lvlText w:val="%5."/>
      <w:lvlJc w:val="left"/>
      <w:pPr>
        <w:ind w:left="3660" w:hanging="360"/>
      </w:pPr>
      <w:rPr>
        <w:rFonts w:cs="Times New Roman"/>
      </w:rPr>
    </w:lvl>
    <w:lvl w:ilvl="5" w:tplc="0809001B" w:tentative="1">
      <w:start w:val="1"/>
      <w:numFmt w:val="lowerRoman"/>
      <w:lvlText w:val="%6."/>
      <w:lvlJc w:val="right"/>
      <w:pPr>
        <w:ind w:left="4380" w:hanging="180"/>
      </w:pPr>
      <w:rPr>
        <w:rFonts w:cs="Times New Roman"/>
      </w:rPr>
    </w:lvl>
    <w:lvl w:ilvl="6" w:tplc="0809000F" w:tentative="1">
      <w:start w:val="1"/>
      <w:numFmt w:val="decimal"/>
      <w:lvlText w:val="%7."/>
      <w:lvlJc w:val="left"/>
      <w:pPr>
        <w:ind w:left="5100" w:hanging="360"/>
      </w:pPr>
      <w:rPr>
        <w:rFonts w:cs="Times New Roman"/>
      </w:rPr>
    </w:lvl>
    <w:lvl w:ilvl="7" w:tplc="08090019" w:tentative="1">
      <w:start w:val="1"/>
      <w:numFmt w:val="lowerLetter"/>
      <w:lvlText w:val="%8."/>
      <w:lvlJc w:val="left"/>
      <w:pPr>
        <w:ind w:left="5820" w:hanging="360"/>
      </w:pPr>
      <w:rPr>
        <w:rFonts w:cs="Times New Roman"/>
      </w:rPr>
    </w:lvl>
    <w:lvl w:ilvl="8" w:tplc="0809001B" w:tentative="1">
      <w:start w:val="1"/>
      <w:numFmt w:val="lowerRoman"/>
      <w:lvlText w:val="%9."/>
      <w:lvlJc w:val="right"/>
      <w:pPr>
        <w:ind w:left="6540" w:hanging="180"/>
      </w:pPr>
      <w:rPr>
        <w:rFonts w:cs="Times New Roman"/>
      </w:rPr>
    </w:lvl>
  </w:abstractNum>
  <w:abstractNum w:abstractNumId="6" w15:restartNumberingAfterBreak="0">
    <w:nsid w:val="288A6381"/>
    <w:multiLevelType w:val="hybridMultilevel"/>
    <w:tmpl w:val="7E2CEA5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F550763"/>
    <w:multiLevelType w:val="hybridMultilevel"/>
    <w:tmpl w:val="63DC5BD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CC05D26"/>
    <w:multiLevelType w:val="hybridMultilevel"/>
    <w:tmpl w:val="7C9E4D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411CEC"/>
    <w:multiLevelType w:val="hybridMultilevel"/>
    <w:tmpl w:val="028CF8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ED74E8"/>
    <w:multiLevelType w:val="hybridMultilevel"/>
    <w:tmpl w:val="5B24D128"/>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42045DCB"/>
    <w:multiLevelType w:val="hybridMultilevel"/>
    <w:tmpl w:val="71A8BCBC"/>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497C701D"/>
    <w:multiLevelType w:val="hybridMultilevel"/>
    <w:tmpl w:val="B25275DA"/>
    <w:lvl w:ilvl="0" w:tplc="0809000F">
      <w:start w:val="1"/>
      <w:numFmt w:val="decimal"/>
      <w:lvlText w:val="%1."/>
      <w:lvlJc w:val="left"/>
      <w:pPr>
        <w:ind w:left="840" w:hanging="360"/>
      </w:pPr>
      <w:rPr>
        <w:rFonts w:cs="Times New Roman"/>
      </w:rPr>
    </w:lvl>
    <w:lvl w:ilvl="1" w:tplc="08090019" w:tentative="1">
      <w:start w:val="1"/>
      <w:numFmt w:val="lowerLetter"/>
      <w:lvlText w:val="%2."/>
      <w:lvlJc w:val="left"/>
      <w:pPr>
        <w:ind w:left="1560" w:hanging="360"/>
      </w:pPr>
      <w:rPr>
        <w:rFonts w:cs="Times New Roman"/>
      </w:rPr>
    </w:lvl>
    <w:lvl w:ilvl="2" w:tplc="0809001B" w:tentative="1">
      <w:start w:val="1"/>
      <w:numFmt w:val="lowerRoman"/>
      <w:lvlText w:val="%3."/>
      <w:lvlJc w:val="right"/>
      <w:pPr>
        <w:ind w:left="2280" w:hanging="180"/>
      </w:pPr>
      <w:rPr>
        <w:rFonts w:cs="Times New Roman"/>
      </w:rPr>
    </w:lvl>
    <w:lvl w:ilvl="3" w:tplc="0809000F" w:tentative="1">
      <w:start w:val="1"/>
      <w:numFmt w:val="decimal"/>
      <w:lvlText w:val="%4."/>
      <w:lvlJc w:val="left"/>
      <w:pPr>
        <w:ind w:left="3000" w:hanging="360"/>
      </w:pPr>
      <w:rPr>
        <w:rFonts w:cs="Times New Roman"/>
      </w:rPr>
    </w:lvl>
    <w:lvl w:ilvl="4" w:tplc="08090019" w:tentative="1">
      <w:start w:val="1"/>
      <w:numFmt w:val="lowerLetter"/>
      <w:lvlText w:val="%5."/>
      <w:lvlJc w:val="left"/>
      <w:pPr>
        <w:ind w:left="3720" w:hanging="360"/>
      </w:pPr>
      <w:rPr>
        <w:rFonts w:cs="Times New Roman"/>
      </w:rPr>
    </w:lvl>
    <w:lvl w:ilvl="5" w:tplc="0809001B" w:tentative="1">
      <w:start w:val="1"/>
      <w:numFmt w:val="lowerRoman"/>
      <w:lvlText w:val="%6."/>
      <w:lvlJc w:val="right"/>
      <w:pPr>
        <w:ind w:left="4440" w:hanging="180"/>
      </w:pPr>
      <w:rPr>
        <w:rFonts w:cs="Times New Roman"/>
      </w:rPr>
    </w:lvl>
    <w:lvl w:ilvl="6" w:tplc="0809000F" w:tentative="1">
      <w:start w:val="1"/>
      <w:numFmt w:val="decimal"/>
      <w:lvlText w:val="%7."/>
      <w:lvlJc w:val="left"/>
      <w:pPr>
        <w:ind w:left="5160" w:hanging="360"/>
      </w:pPr>
      <w:rPr>
        <w:rFonts w:cs="Times New Roman"/>
      </w:rPr>
    </w:lvl>
    <w:lvl w:ilvl="7" w:tplc="08090019" w:tentative="1">
      <w:start w:val="1"/>
      <w:numFmt w:val="lowerLetter"/>
      <w:lvlText w:val="%8."/>
      <w:lvlJc w:val="left"/>
      <w:pPr>
        <w:ind w:left="5880" w:hanging="360"/>
      </w:pPr>
      <w:rPr>
        <w:rFonts w:cs="Times New Roman"/>
      </w:rPr>
    </w:lvl>
    <w:lvl w:ilvl="8" w:tplc="0809001B" w:tentative="1">
      <w:start w:val="1"/>
      <w:numFmt w:val="lowerRoman"/>
      <w:lvlText w:val="%9."/>
      <w:lvlJc w:val="right"/>
      <w:pPr>
        <w:ind w:left="6600" w:hanging="180"/>
      </w:pPr>
      <w:rPr>
        <w:rFonts w:cs="Times New Roman"/>
      </w:rPr>
    </w:lvl>
  </w:abstractNum>
  <w:abstractNum w:abstractNumId="13" w15:restartNumberingAfterBreak="0">
    <w:nsid w:val="4BFA6EB6"/>
    <w:multiLevelType w:val="hybridMultilevel"/>
    <w:tmpl w:val="DD709B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4D7C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254A4B"/>
    <w:multiLevelType w:val="hybridMultilevel"/>
    <w:tmpl w:val="59F21C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2266D4"/>
    <w:multiLevelType w:val="hybridMultilevel"/>
    <w:tmpl w:val="D3B8E432"/>
    <w:lvl w:ilvl="0" w:tplc="3BC2038E">
      <w:start w:val="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4B6CAA"/>
    <w:multiLevelType w:val="hybridMultilevel"/>
    <w:tmpl w:val="2A7C595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6CC461AF"/>
    <w:multiLevelType w:val="hybridMultilevel"/>
    <w:tmpl w:val="A69C1B92"/>
    <w:lvl w:ilvl="0" w:tplc="ADE47040">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4100A6"/>
    <w:multiLevelType w:val="hybridMultilevel"/>
    <w:tmpl w:val="24F2C6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11"/>
  </w:num>
  <w:num w:numId="5">
    <w:abstractNumId w:val="10"/>
  </w:num>
  <w:num w:numId="6">
    <w:abstractNumId w:val="17"/>
  </w:num>
  <w:num w:numId="7">
    <w:abstractNumId w:val="12"/>
  </w:num>
  <w:num w:numId="8">
    <w:abstractNumId w:val="6"/>
  </w:num>
  <w:num w:numId="9">
    <w:abstractNumId w:val="4"/>
  </w:num>
  <w:num w:numId="10">
    <w:abstractNumId w:val="16"/>
  </w:num>
  <w:num w:numId="11">
    <w:abstractNumId w:val="18"/>
  </w:num>
  <w:num w:numId="12">
    <w:abstractNumId w:val="15"/>
  </w:num>
  <w:num w:numId="13">
    <w:abstractNumId w:val="19"/>
  </w:num>
  <w:num w:numId="14">
    <w:abstractNumId w:val="8"/>
  </w:num>
  <w:num w:numId="15">
    <w:abstractNumId w:val="13"/>
  </w:num>
  <w:num w:numId="16">
    <w:abstractNumId w:val="2"/>
  </w:num>
  <w:num w:numId="17">
    <w:abstractNumId w:val="9"/>
  </w:num>
  <w:num w:numId="18">
    <w:abstractNumId w:val="0"/>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061"/>
    <w:rsid w:val="000009E3"/>
    <w:rsid w:val="00001477"/>
    <w:rsid w:val="00003A6B"/>
    <w:rsid w:val="00003E09"/>
    <w:rsid w:val="00003EC3"/>
    <w:rsid w:val="00004127"/>
    <w:rsid w:val="00005456"/>
    <w:rsid w:val="0000683A"/>
    <w:rsid w:val="0001056E"/>
    <w:rsid w:val="000106CB"/>
    <w:rsid w:val="0001070E"/>
    <w:rsid w:val="00010910"/>
    <w:rsid w:val="0001124C"/>
    <w:rsid w:val="00011633"/>
    <w:rsid w:val="0001272D"/>
    <w:rsid w:val="000128CF"/>
    <w:rsid w:val="00012EB1"/>
    <w:rsid w:val="00013043"/>
    <w:rsid w:val="0001315B"/>
    <w:rsid w:val="000153E0"/>
    <w:rsid w:val="00015505"/>
    <w:rsid w:val="00015A2E"/>
    <w:rsid w:val="00015CA6"/>
    <w:rsid w:val="000168F1"/>
    <w:rsid w:val="000169B6"/>
    <w:rsid w:val="000174B6"/>
    <w:rsid w:val="000174F3"/>
    <w:rsid w:val="00017DAD"/>
    <w:rsid w:val="00017E06"/>
    <w:rsid w:val="00017EE9"/>
    <w:rsid w:val="00020099"/>
    <w:rsid w:val="0002056F"/>
    <w:rsid w:val="00020E7C"/>
    <w:rsid w:val="00021700"/>
    <w:rsid w:val="0002224A"/>
    <w:rsid w:val="00022BA6"/>
    <w:rsid w:val="00024ABB"/>
    <w:rsid w:val="000252B4"/>
    <w:rsid w:val="0002596F"/>
    <w:rsid w:val="00025981"/>
    <w:rsid w:val="00025AD3"/>
    <w:rsid w:val="0002680F"/>
    <w:rsid w:val="00026E07"/>
    <w:rsid w:val="0002761D"/>
    <w:rsid w:val="00030C5E"/>
    <w:rsid w:val="00030D8A"/>
    <w:rsid w:val="00031A86"/>
    <w:rsid w:val="00031CBF"/>
    <w:rsid w:val="00032587"/>
    <w:rsid w:val="00032A36"/>
    <w:rsid w:val="00032A98"/>
    <w:rsid w:val="0003321D"/>
    <w:rsid w:val="00033A04"/>
    <w:rsid w:val="00033EB3"/>
    <w:rsid w:val="000341C1"/>
    <w:rsid w:val="000341D0"/>
    <w:rsid w:val="000351D5"/>
    <w:rsid w:val="00036121"/>
    <w:rsid w:val="000361EC"/>
    <w:rsid w:val="00036E60"/>
    <w:rsid w:val="0003783E"/>
    <w:rsid w:val="00042900"/>
    <w:rsid w:val="00042BC4"/>
    <w:rsid w:val="0004310F"/>
    <w:rsid w:val="000435D0"/>
    <w:rsid w:val="00043E36"/>
    <w:rsid w:val="000440C9"/>
    <w:rsid w:val="00044158"/>
    <w:rsid w:val="000446F2"/>
    <w:rsid w:val="00044ECE"/>
    <w:rsid w:val="00044F51"/>
    <w:rsid w:val="000456A4"/>
    <w:rsid w:val="00045F43"/>
    <w:rsid w:val="000462BF"/>
    <w:rsid w:val="00046B0B"/>
    <w:rsid w:val="00047894"/>
    <w:rsid w:val="00050A6B"/>
    <w:rsid w:val="00051306"/>
    <w:rsid w:val="0005146B"/>
    <w:rsid w:val="00051A20"/>
    <w:rsid w:val="00051B0C"/>
    <w:rsid w:val="00052141"/>
    <w:rsid w:val="00052E05"/>
    <w:rsid w:val="00053538"/>
    <w:rsid w:val="00053691"/>
    <w:rsid w:val="000543A6"/>
    <w:rsid w:val="000546E7"/>
    <w:rsid w:val="0005477E"/>
    <w:rsid w:val="00054AFC"/>
    <w:rsid w:val="0005527F"/>
    <w:rsid w:val="00055377"/>
    <w:rsid w:val="00056439"/>
    <w:rsid w:val="00056655"/>
    <w:rsid w:val="00056B76"/>
    <w:rsid w:val="000576B8"/>
    <w:rsid w:val="0006037C"/>
    <w:rsid w:val="00060786"/>
    <w:rsid w:val="00060E24"/>
    <w:rsid w:val="00060EC7"/>
    <w:rsid w:val="0006111B"/>
    <w:rsid w:val="00061292"/>
    <w:rsid w:val="00061CA2"/>
    <w:rsid w:val="00061F00"/>
    <w:rsid w:val="00062501"/>
    <w:rsid w:val="00063311"/>
    <w:rsid w:val="0006453C"/>
    <w:rsid w:val="00064D7F"/>
    <w:rsid w:val="000654DA"/>
    <w:rsid w:val="00065555"/>
    <w:rsid w:val="000655B0"/>
    <w:rsid w:val="00065B99"/>
    <w:rsid w:val="00065C1E"/>
    <w:rsid w:val="00065FD8"/>
    <w:rsid w:val="00066189"/>
    <w:rsid w:val="000661E5"/>
    <w:rsid w:val="000662E4"/>
    <w:rsid w:val="00066605"/>
    <w:rsid w:val="00066BC5"/>
    <w:rsid w:val="00067730"/>
    <w:rsid w:val="00067BDB"/>
    <w:rsid w:val="00071F55"/>
    <w:rsid w:val="000726BD"/>
    <w:rsid w:val="00072CC2"/>
    <w:rsid w:val="000738BE"/>
    <w:rsid w:val="0007406B"/>
    <w:rsid w:val="00074C40"/>
    <w:rsid w:val="000751E2"/>
    <w:rsid w:val="00075A4C"/>
    <w:rsid w:val="00075ABF"/>
    <w:rsid w:val="00075ED3"/>
    <w:rsid w:val="000770F1"/>
    <w:rsid w:val="0007752A"/>
    <w:rsid w:val="00077EC8"/>
    <w:rsid w:val="00080A53"/>
    <w:rsid w:val="00080BD1"/>
    <w:rsid w:val="00081A2C"/>
    <w:rsid w:val="000824E9"/>
    <w:rsid w:val="000829A0"/>
    <w:rsid w:val="00082C35"/>
    <w:rsid w:val="00082EA6"/>
    <w:rsid w:val="00083459"/>
    <w:rsid w:val="000835A9"/>
    <w:rsid w:val="00083AC5"/>
    <w:rsid w:val="0008406C"/>
    <w:rsid w:val="00084773"/>
    <w:rsid w:val="000849AB"/>
    <w:rsid w:val="00084ABE"/>
    <w:rsid w:val="000850AF"/>
    <w:rsid w:val="00085359"/>
    <w:rsid w:val="000854B9"/>
    <w:rsid w:val="000861AF"/>
    <w:rsid w:val="000871EA"/>
    <w:rsid w:val="00087293"/>
    <w:rsid w:val="0008781B"/>
    <w:rsid w:val="00087836"/>
    <w:rsid w:val="00087853"/>
    <w:rsid w:val="00090FA2"/>
    <w:rsid w:val="00091B48"/>
    <w:rsid w:val="00092483"/>
    <w:rsid w:val="00092DD9"/>
    <w:rsid w:val="00093481"/>
    <w:rsid w:val="000938AB"/>
    <w:rsid w:val="00093B5F"/>
    <w:rsid w:val="00093C7E"/>
    <w:rsid w:val="000945A6"/>
    <w:rsid w:val="00094C35"/>
    <w:rsid w:val="0009530F"/>
    <w:rsid w:val="000953A9"/>
    <w:rsid w:val="0009557D"/>
    <w:rsid w:val="00095652"/>
    <w:rsid w:val="00095914"/>
    <w:rsid w:val="00095A47"/>
    <w:rsid w:val="0009649E"/>
    <w:rsid w:val="0009651F"/>
    <w:rsid w:val="000976E9"/>
    <w:rsid w:val="000A033F"/>
    <w:rsid w:val="000A0692"/>
    <w:rsid w:val="000A1790"/>
    <w:rsid w:val="000A37FB"/>
    <w:rsid w:val="000A38FB"/>
    <w:rsid w:val="000A57F4"/>
    <w:rsid w:val="000A5BAE"/>
    <w:rsid w:val="000A5DA9"/>
    <w:rsid w:val="000A6ADC"/>
    <w:rsid w:val="000A7EC5"/>
    <w:rsid w:val="000B05A3"/>
    <w:rsid w:val="000B13D5"/>
    <w:rsid w:val="000B14BF"/>
    <w:rsid w:val="000B1A1E"/>
    <w:rsid w:val="000B1C27"/>
    <w:rsid w:val="000B264A"/>
    <w:rsid w:val="000B2667"/>
    <w:rsid w:val="000B2E08"/>
    <w:rsid w:val="000B396B"/>
    <w:rsid w:val="000B3A47"/>
    <w:rsid w:val="000B4137"/>
    <w:rsid w:val="000B4420"/>
    <w:rsid w:val="000B55C7"/>
    <w:rsid w:val="000B6E92"/>
    <w:rsid w:val="000B74A2"/>
    <w:rsid w:val="000B78BF"/>
    <w:rsid w:val="000C27AA"/>
    <w:rsid w:val="000C2B8E"/>
    <w:rsid w:val="000C44F4"/>
    <w:rsid w:val="000C480A"/>
    <w:rsid w:val="000C502B"/>
    <w:rsid w:val="000C5E80"/>
    <w:rsid w:val="000C612F"/>
    <w:rsid w:val="000C66EB"/>
    <w:rsid w:val="000C6943"/>
    <w:rsid w:val="000C7311"/>
    <w:rsid w:val="000C77FB"/>
    <w:rsid w:val="000D0030"/>
    <w:rsid w:val="000D0236"/>
    <w:rsid w:val="000D02A7"/>
    <w:rsid w:val="000D031D"/>
    <w:rsid w:val="000D10E9"/>
    <w:rsid w:val="000D1264"/>
    <w:rsid w:val="000D131D"/>
    <w:rsid w:val="000D1B41"/>
    <w:rsid w:val="000D2427"/>
    <w:rsid w:val="000D27E4"/>
    <w:rsid w:val="000D2B10"/>
    <w:rsid w:val="000D2BD8"/>
    <w:rsid w:val="000D2E55"/>
    <w:rsid w:val="000D40A1"/>
    <w:rsid w:val="000D645B"/>
    <w:rsid w:val="000D645D"/>
    <w:rsid w:val="000D6E04"/>
    <w:rsid w:val="000E00E1"/>
    <w:rsid w:val="000E05A5"/>
    <w:rsid w:val="000E0A2F"/>
    <w:rsid w:val="000E0B5E"/>
    <w:rsid w:val="000E18FA"/>
    <w:rsid w:val="000E1C70"/>
    <w:rsid w:val="000E1EA1"/>
    <w:rsid w:val="000E34D0"/>
    <w:rsid w:val="000E4436"/>
    <w:rsid w:val="000E4603"/>
    <w:rsid w:val="000E4A7B"/>
    <w:rsid w:val="000E4D55"/>
    <w:rsid w:val="000E4FCA"/>
    <w:rsid w:val="000E554B"/>
    <w:rsid w:val="000E5743"/>
    <w:rsid w:val="000E5E43"/>
    <w:rsid w:val="000E7E0C"/>
    <w:rsid w:val="000E7EDA"/>
    <w:rsid w:val="000E7FDD"/>
    <w:rsid w:val="000F00CF"/>
    <w:rsid w:val="000F06F8"/>
    <w:rsid w:val="000F0758"/>
    <w:rsid w:val="000F07B0"/>
    <w:rsid w:val="000F106D"/>
    <w:rsid w:val="000F1F76"/>
    <w:rsid w:val="000F21C2"/>
    <w:rsid w:val="000F263F"/>
    <w:rsid w:val="000F2F0B"/>
    <w:rsid w:val="000F4391"/>
    <w:rsid w:val="000F48EE"/>
    <w:rsid w:val="000F4C7A"/>
    <w:rsid w:val="000F52A1"/>
    <w:rsid w:val="000F5732"/>
    <w:rsid w:val="000F663B"/>
    <w:rsid w:val="000F68D0"/>
    <w:rsid w:val="000F72C9"/>
    <w:rsid w:val="000F7433"/>
    <w:rsid w:val="000F74C1"/>
    <w:rsid w:val="0010158E"/>
    <w:rsid w:val="00101C9C"/>
    <w:rsid w:val="00101FFC"/>
    <w:rsid w:val="001032F4"/>
    <w:rsid w:val="0010410F"/>
    <w:rsid w:val="001045F9"/>
    <w:rsid w:val="00104D5E"/>
    <w:rsid w:val="001052B1"/>
    <w:rsid w:val="0010553D"/>
    <w:rsid w:val="0010576E"/>
    <w:rsid w:val="001063AF"/>
    <w:rsid w:val="00107574"/>
    <w:rsid w:val="00107E75"/>
    <w:rsid w:val="001105F7"/>
    <w:rsid w:val="00110F01"/>
    <w:rsid w:val="001112DF"/>
    <w:rsid w:val="00111715"/>
    <w:rsid w:val="00111D46"/>
    <w:rsid w:val="001126F7"/>
    <w:rsid w:val="00112B15"/>
    <w:rsid w:val="00113417"/>
    <w:rsid w:val="00113BEF"/>
    <w:rsid w:val="00116E78"/>
    <w:rsid w:val="00116FCA"/>
    <w:rsid w:val="00117018"/>
    <w:rsid w:val="00117690"/>
    <w:rsid w:val="00117746"/>
    <w:rsid w:val="001213EA"/>
    <w:rsid w:val="00121E93"/>
    <w:rsid w:val="00122643"/>
    <w:rsid w:val="001226EA"/>
    <w:rsid w:val="00122D15"/>
    <w:rsid w:val="00122FC3"/>
    <w:rsid w:val="00123B63"/>
    <w:rsid w:val="0012407A"/>
    <w:rsid w:val="001245C7"/>
    <w:rsid w:val="00124863"/>
    <w:rsid w:val="0012558F"/>
    <w:rsid w:val="00125884"/>
    <w:rsid w:val="00125A7A"/>
    <w:rsid w:val="0012759D"/>
    <w:rsid w:val="001304F9"/>
    <w:rsid w:val="0013152B"/>
    <w:rsid w:val="001319B4"/>
    <w:rsid w:val="0013435C"/>
    <w:rsid w:val="00134865"/>
    <w:rsid w:val="001355A5"/>
    <w:rsid w:val="0013602D"/>
    <w:rsid w:val="00136A50"/>
    <w:rsid w:val="00136A98"/>
    <w:rsid w:val="001372EF"/>
    <w:rsid w:val="001376EF"/>
    <w:rsid w:val="00137D98"/>
    <w:rsid w:val="00140339"/>
    <w:rsid w:val="00140FC3"/>
    <w:rsid w:val="00141588"/>
    <w:rsid w:val="0014243F"/>
    <w:rsid w:val="001426D9"/>
    <w:rsid w:val="001426F7"/>
    <w:rsid w:val="00142BB1"/>
    <w:rsid w:val="0014318E"/>
    <w:rsid w:val="00143226"/>
    <w:rsid w:val="00143498"/>
    <w:rsid w:val="00143A9E"/>
    <w:rsid w:val="00144887"/>
    <w:rsid w:val="001456A2"/>
    <w:rsid w:val="001462DA"/>
    <w:rsid w:val="00147C6A"/>
    <w:rsid w:val="00150E00"/>
    <w:rsid w:val="00151296"/>
    <w:rsid w:val="00151AF9"/>
    <w:rsid w:val="0015200E"/>
    <w:rsid w:val="00152DAF"/>
    <w:rsid w:val="00152EE6"/>
    <w:rsid w:val="00153442"/>
    <w:rsid w:val="00153BF5"/>
    <w:rsid w:val="00154529"/>
    <w:rsid w:val="0015463D"/>
    <w:rsid w:val="00154DAF"/>
    <w:rsid w:val="001557A1"/>
    <w:rsid w:val="00156AC6"/>
    <w:rsid w:val="00157068"/>
    <w:rsid w:val="001574D4"/>
    <w:rsid w:val="0015772B"/>
    <w:rsid w:val="0016076C"/>
    <w:rsid w:val="001608D7"/>
    <w:rsid w:val="00160BC2"/>
    <w:rsid w:val="00160CA2"/>
    <w:rsid w:val="0016236C"/>
    <w:rsid w:val="001624FE"/>
    <w:rsid w:val="001636FF"/>
    <w:rsid w:val="00163E51"/>
    <w:rsid w:val="00164645"/>
    <w:rsid w:val="001649A4"/>
    <w:rsid w:val="0016534D"/>
    <w:rsid w:val="001658C9"/>
    <w:rsid w:val="00166DA2"/>
    <w:rsid w:val="00166EE9"/>
    <w:rsid w:val="00167B2B"/>
    <w:rsid w:val="001703DE"/>
    <w:rsid w:val="001707CF"/>
    <w:rsid w:val="00171198"/>
    <w:rsid w:val="00171774"/>
    <w:rsid w:val="001725D5"/>
    <w:rsid w:val="001726E1"/>
    <w:rsid w:val="001727DB"/>
    <w:rsid w:val="00172A75"/>
    <w:rsid w:val="00172A92"/>
    <w:rsid w:val="00173B3C"/>
    <w:rsid w:val="00175FB8"/>
    <w:rsid w:val="0017681B"/>
    <w:rsid w:val="00176D69"/>
    <w:rsid w:val="00176DB4"/>
    <w:rsid w:val="00176E7D"/>
    <w:rsid w:val="0017763C"/>
    <w:rsid w:val="00177765"/>
    <w:rsid w:val="00177B63"/>
    <w:rsid w:val="0018084E"/>
    <w:rsid w:val="0018144B"/>
    <w:rsid w:val="0018182A"/>
    <w:rsid w:val="0018219E"/>
    <w:rsid w:val="00182F51"/>
    <w:rsid w:val="00184497"/>
    <w:rsid w:val="001851F5"/>
    <w:rsid w:val="00186217"/>
    <w:rsid w:val="00186FC4"/>
    <w:rsid w:val="00186FDD"/>
    <w:rsid w:val="00187061"/>
    <w:rsid w:val="001871D8"/>
    <w:rsid w:val="0018756F"/>
    <w:rsid w:val="00187DC8"/>
    <w:rsid w:val="00190765"/>
    <w:rsid w:val="0019118F"/>
    <w:rsid w:val="00191555"/>
    <w:rsid w:val="0019214D"/>
    <w:rsid w:val="001923AA"/>
    <w:rsid w:val="0019476B"/>
    <w:rsid w:val="00194D07"/>
    <w:rsid w:val="001962C4"/>
    <w:rsid w:val="001972C3"/>
    <w:rsid w:val="001A0A9D"/>
    <w:rsid w:val="001A0C55"/>
    <w:rsid w:val="001A0E9C"/>
    <w:rsid w:val="001A1C94"/>
    <w:rsid w:val="001A1F6B"/>
    <w:rsid w:val="001A27F7"/>
    <w:rsid w:val="001A2B45"/>
    <w:rsid w:val="001A32D5"/>
    <w:rsid w:val="001A43F0"/>
    <w:rsid w:val="001A55E1"/>
    <w:rsid w:val="001A63B2"/>
    <w:rsid w:val="001A6B85"/>
    <w:rsid w:val="001A6F38"/>
    <w:rsid w:val="001B0B64"/>
    <w:rsid w:val="001B0BF2"/>
    <w:rsid w:val="001B1238"/>
    <w:rsid w:val="001B1BB1"/>
    <w:rsid w:val="001B2053"/>
    <w:rsid w:val="001B2796"/>
    <w:rsid w:val="001B298D"/>
    <w:rsid w:val="001B2D32"/>
    <w:rsid w:val="001B39CC"/>
    <w:rsid w:val="001B3AF5"/>
    <w:rsid w:val="001B3B3A"/>
    <w:rsid w:val="001B3CBC"/>
    <w:rsid w:val="001B3D34"/>
    <w:rsid w:val="001B49BC"/>
    <w:rsid w:val="001B5039"/>
    <w:rsid w:val="001B53DF"/>
    <w:rsid w:val="001B5663"/>
    <w:rsid w:val="001B67E8"/>
    <w:rsid w:val="001B6D32"/>
    <w:rsid w:val="001B7AA4"/>
    <w:rsid w:val="001B7BE3"/>
    <w:rsid w:val="001C0A04"/>
    <w:rsid w:val="001C0F7F"/>
    <w:rsid w:val="001C11C5"/>
    <w:rsid w:val="001C200A"/>
    <w:rsid w:val="001C20F7"/>
    <w:rsid w:val="001C2490"/>
    <w:rsid w:val="001C2AE3"/>
    <w:rsid w:val="001C2D48"/>
    <w:rsid w:val="001C34C1"/>
    <w:rsid w:val="001C360A"/>
    <w:rsid w:val="001C37BD"/>
    <w:rsid w:val="001C3A07"/>
    <w:rsid w:val="001C40AA"/>
    <w:rsid w:val="001C63F4"/>
    <w:rsid w:val="001C6BC9"/>
    <w:rsid w:val="001C76B7"/>
    <w:rsid w:val="001C7780"/>
    <w:rsid w:val="001D09DF"/>
    <w:rsid w:val="001D0D30"/>
    <w:rsid w:val="001D0E19"/>
    <w:rsid w:val="001D21B9"/>
    <w:rsid w:val="001D231C"/>
    <w:rsid w:val="001D37FD"/>
    <w:rsid w:val="001D3C0E"/>
    <w:rsid w:val="001D3CB9"/>
    <w:rsid w:val="001D42B3"/>
    <w:rsid w:val="001D4788"/>
    <w:rsid w:val="001D4C71"/>
    <w:rsid w:val="001D5381"/>
    <w:rsid w:val="001D61CA"/>
    <w:rsid w:val="001D62F4"/>
    <w:rsid w:val="001D705B"/>
    <w:rsid w:val="001D7EF9"/>
    <w:rsid w:val="001E028C"/>
    <w:rsid w:val="001E1385"/>
    <w:rsid w:val="001E1792"/>
    <w:rsid w:val="001E2D99"/>
    <w:rsid w:val="001E2F60"/>
    <w:rsid w:val="001E3EC4"/>
    <w:rsid w:val="001E418B"/>
    <w:rsid w:val="001E4342"/>
    <w:rsid w:val="001E5EE4"/>
    <w:rsid w:val="001E6058"/>
    <w:rsid w:val="001E6C0E"/>
    <w:rsid w:val="001E6F58"/>
    <w:rsid w:val="001E7015"/>
    <w:rsid w:val="001F0167"/>
    <w:rsid w:val="001F03B5"/>
    <w:rsid w:val="001F0996"/>
    <w:rsid w:val="001F1296"/>
    <w:rsid w:val="001F1ABB"/>
    <w:rsid w:val="001F1D67"/>
    <w:rsid w:val="001F267D"/>
    <w:rsid w:val="001F2E9C"/>
    <w:rsid w:val="001F3356"/>
    <w:rsid w:val="001F42C1"/>
    <w:rsid w:val="001F4A64"/>
    <w:rsid w:val="001F4B17"/>
    <w:rsid w:val="001F4D11"/>
    <w:rsid w:val="001F502B"/>
    <w:rsid w:val="001F5D87"/>
    <w:rsid w:val="001F60A2"/>
    <w:rsid w:val="001F627B"/>
    <w:rsid w:val="001F751A"/>
    <w:rsid w:val="001F7995"/>
    <w:rsid w:val="002000B6"/>
    <w:rsid w:val="00200AA8"/>
    <w:rsid w:val="00200CE0"/>
    <w:rsid w:val="00201560"/>
    <w:rsid w:val="00201EC0"/>
    <w:rsid w:val="00202C29"/>
    <w:rsid w:val="00202E00"/>
    <w:rsid w:val="00202EF7"/>
    <w:rsid w:val="00203EE6"/>
    <w:rsid w:val="00204310"/>
    <w:rsid w:val="002043B2"/>
    <w:rsid w:val="00204542"/>
    <w:rsid w:val="00204D1A"/>
    <w:rsid w:val="00204D8E"/>
    <w:rsid w:val="002053A0"/>
    <w:rsid w:val="002064DD"/>
    <w:rsid w:val="00206630"/>
    <w:rsid w:val="00207DE1"/>
    <w:rsid w:val="00210365"/>
    <w:rsid w:val="002106CA"/>
    <w:rsid w:val="00211428"/>
    <w:rsid w:val="00212A05"/>
    <w:rsid w:val="00213C3D"/>
    <w:rsid w:val="0021477B"/>
    <w:rsid w:val="002165EC"/>
    <w:rsid w:val="002173C6"/>
    <w:rsid w:val="002173EB"/>
    <w:rsid w:val="002179DA"/>
    <w:rsid w:val="00220F61"/>
    <w:rsid w:val="00221846"/>
    <w:rsid w:val="00221BDF"/>
    <w:rsid w:val="00221CF9"/>
    <w:rsid w:val="00222EBE"/>
    <w:rsid w:val="00222FB7"/>
    <w:rsid w:val="0022321A"/>
    <w:rsid w:val="002239A9"/>
    <w:rsid w:val="00224124"/>
    <w:rsid w:val="002241CB"/>
    <w:rsid w:val="002242AE"/>
    <w:rsid w:val="0022437C"/>
    <w:rsid w:val="00224673"/>
    <w:rsid w:val="00224DC8"/>
    <w:rsid w:val="002252F6"/>
    <w:rsid w:val="002254A1"/>
    <w:rsid w:val="00226BF1"/>
    <w:rsid w:val="00227E21"/>
    <w:rsid w:val="00230DC3"/>
    <w:rsid w:val="00231190"/>
    <w:rsid w:val="00231927"/>
    <w:rsid w:val="00232246"/>
    <w:rsid w:val="002331E9"/>
    <w:rsid w:val="0023344B"/>
    <w:rsid w:val="002349A2"/>
    <w:rsid w:val="0023525D"/>
    <w:rsid w:val="00235560"/>
    <w:rsid w:val="00235B9B"/>
    <w:rsid w:val="00235F32"/>
    <w:rsid w:val="0023779F"/>
    <w:rsid w:val="002407D7"/>
    <w:rsid w:val="00240B0D"/>
    <w:rsid w:val="0024127B"/>
    <w:rsid w:val="00242009"/>
    <w:rsid w:val="00242134"/>
    <w:rsid w:val="00242B53"/>
    <w:rsid w:val="00243164"/>
    <w:rsid w:val="00243A00"/>
    <w:rsid w:val="002455F9"/>
    <w:rsid w:val="00245D88"/>
    <w:rsid w:val="002461E9"/>
    <w:rsid w:val="002463C4"/>
    <w:rsid w:val="002508BF"/>
    <w:rsid w:val="00250CBF"/>
    <w:rsid w:val="0025163B"/>
    <w:rsid w:val="00254C05"/>
    <w:rsid w:val="002550EE"/>
    <w:rsid w:val="00256353"/>
    <w:rsid w:val="002570E5"/>
    <w:rsid w:val="00257A95"/>
    <w:rsid w:val="002604A6"/>
    <w:rsid w:val="0026118E"/>
    <w:rsid w:val="0026299F"/>
    <w:rsid w:val="002644FD"/>
    <w:rsid w:val="00264E38"/>
    <w:rsid w:val="0026516B"/>
    <w:rsid w:val="00265819"/>
    <w:rsid w:val="00265A12"/>
    <w:rsid w:val="00265B6B"/>
    <w:rsid w:val="00266618"/>
    <w:rsid w:val="00266BD0"/>
    <w:rsid w:val="002702E6"/>
    <w:rsid w:val="00270B3A"/>
    <w:rsid w:val="00270C94"/>
    <w:rsid w:val="00270D12"/>
    <w:rsid w:val="00271CFB"/>
    <w:rsid w:val="0027212D"/>
    <w:rsid w:val="00272850"/>
    <w:rsid w:val="00272F04"/>
    <w:rsid w:val="00272F37"/>
    <w:rsid w:val="00272FDC"/>
    <w:rsid w:val="00272FF6"/>
    <w:rsid w:val="0027336B"/>
    <w:rsid w:val="00273557"/>
    <w:rsid w:val="002735FB"/>
    <w:rsid w:val="00273D72"/>
    <w:rsid w:val="00274F6F"/>
    <w:rsid w:val="00275AB2"/>
    <w:rsid w:val="00276A38"/>
    <w:rsid w:val="0027720B"/>
    <w:rsid w:val="00277216"/>
    <w:rsid w:val="0027725A"/>
    <w:rsid w:val="00277598"/>
    <w:rsid w:val="002776EB"/>
    <w:rsid w:val="00280404"/>
    <w:rsid w:val="00280BE9"/>
    <w:rsid w:val="00280BEB"/>
    <w:rsid w:val="00280D99"/>
    <w:rsid w:val="00280F1A"/>
    <w:rsid w:val="0028117B"/>
    <w:rsid w:val="002811DC"/>
    <w:rsid w:val="00281A99"/>
    <w:rsid w:val="00282246"/>
    <w:rsid w:val="00282E12"/>
    <w:rsid w:val="0028313C"/>
    <w:rsid w:val="002837AC"/>
    <w:rsid w:val="0028441F"/>
    <w:rsid w:val="00284B52"/>
    <w:rsid w:val="00284D81"/>
    <w:rsid w:val="00286FF4"/>
    <w:rsid w:val="00287934"/>
    <w:rsid w:val="00287FF4"/>
    <w:rsid w:val="0029035F"/>
    <w:rsid w:val="00290528"/>
    <w:rsid w:val="00290848"/>
    <w:rsid w:val="00293438"/>
    <w:rsid w:val="00294115"/>
    <w:rsid w:val="00295191"/>
    <w:rsid w:val="0029565E"/>
    <w:rsid w:val="002957CA"/>
    <w:rsid w:val="00295D0D"/>
    <w:rsid w:val="00295F25"/>
    <w:rsid w:val="00296761"/>
    <w:rsid w:val="00296938"/>
    <w:rsid w:val="00296DA1"/>
    <w:rsid w:val="00296EE2"/>
    <w:rsid w:val="00296F11"/>
    <w:rsid w:val="00297076"/>
    <w:rsid w:val="002973A3"/>
    <w:rsid w:val="00297769"/>
    <w:rsid w:val="00297888"/>
    <w:rsid w:val="00297EAC"/>
    <w:rsid w:val="002A059C"/>
    <w:rsid w:val="002A18EC"/>
    <w:rsid w:val="002A19FB"/>
    <w:rsid w:val="002A1E2A"/>
    <w:rsid w:val="002A2421"/>
    <w:rsid w:val="002A2599"/>
    <w:rsid w:val="002A39AA"/>
    <w:rsid w:val="002A694C"/>
    <w:rsid w:val="002A7A8B"/>
    <w:rsid w:val="002B0E64"/>
    <w:rsid w:val="002B1812"/>
    <w:rsid w:val="002B1BDF"/>
    <w:rsid w:val="002B1CF9"/>
    <w:rsid w:val="002B2C92"/>
    <w:rsid w:val="002B324D"/>
    <w:rsid w:val="002B3306"/>
    <w:rsid w:val="002B3C7D"/>
    <w:rsid w:val="002B3D05"/>
    <w:rsid w:val="002B4412"/>
    <w:rsid w:val="002B441D"/>
    <w:rsid w:val="002B48DE"/>
    <w:rsid w:val="002B5053"/>
    <w:rsid w:val="002B549B"/>
    <w:rsid w:val="002B5506"/>
    <w:rsid w:val="002B6B6F"/>
    <w:rsid w:val="002C1AB3"/>
    <w:rsid w:val="002C1DAB"/>
    <w:rsid w:val="002C2A63"/>
    <w:rsid w:val="002C30A0"/>
    <w:rsid w:val="002C3A24"/>
    <w:rsid w:val="002C46A4"/>
    <w:rsid w:val="002C4808"/>
    <w:rsid w:val="002C4E3E"/>
    <w:rsid w:val="002C4F72"/>
    <w:rsid w:val="002C5418"/>
    <w:rsid w:val="002C6942"/>
    <w:rsid w:val="002C6BB8"/>
    <w:rsid w:val="002C7224"/>
    <w:rsid w:val="002D02C9"/>
    <w:rsid w:val="002D0768"/>
    <w:rsid w:val="002D0E34"/>
    <w:rsid w:val="002D2290"/>
    <w:rsid w:val="002D22BA"/>
    <w:rsid w:val="002D2670"/>
    <w:rsid w:val="002D2964"/>
    <w:rsid w:val="002D394F"/>
    <w:rsid w:val="002D39B1"/>
    <w:rsid w:val="002D3CB4"/>
    <w:rsid w:val="002D3D06"/>
    <w:rsid w:val="002D42F9"/>
    <w:rsid w:val="002D4479"/>
    <w:rsid w:val="002D6365"/>
    <w:rsid w:val="002D6A3A"/>
    <w:rsid w:val="002E0E96"/>
    <w:rsid w:val="002E11B8"/>
    <w:rsid w:val="002E1961"/>
    <w:rsid w:val="002E1CD7"/>
    <w:rsid w:val="002E228F"/>
    <w:rsid w:val="002E2592"/>
    <w:rsid w:val="002E30AA"/>
    <w:rsid w:val="002E31A9"/>
    <w:rsid w:val="002E3293"/>
    <w:rsid w:val="002E341D"/>
    <w:rsid w:val="002E37D4"/>
    <w:rsid w:val="002E3B59"/>
    <w:rsid w:val="002E3CC0"/>
    <w:rsid w:val="002E3DDF"/>
    <w:rsid w:val="002E47A3"/>
    <w:rsid w:val="002E4CB8"/>
    <w:rsid w:val="002E4DCD"/>
    <w:rsid w:val="002E5EAD"/>
    <w:rsid w:val="002E6D42"/>
    <w:rsid w:val="002E769A"/>
    <w:rsid w:val="002E76A9"/>
    <w:rsid w:val="002E772C"/>
    <w:rsid w:val="002F0D40"/>
    <w:rsid w:val="002F191F"/>
    <w:rsid w:val="002F1A0F"/>
    <w:rsid w:val="002F1B2D"/>
    <w:rsid w:val="002F1D1E"/>
    <w:rsid w:val="002F2231"/>
    <w:rsid w:val="002F241E"/>
    <w:rsid w:val="002F27D2"/>
    <w:rsid w:val="002F29C9"/>
    <w:rsid w:val="002F2A2A"/>
    <w:rsid w:val="002F2EC2"/>
    <w:rsid w:val="002F38C6"/>
    <w:rsid w:val="002F5238"/>
    <w:rsid w:val="002F5239"/>
    <w:rsid w:val="002F5DD5"/>
    <w:rsid w:val="00300B42"/>
    <w:rsid w:val="00302373"/>
    <w:rsid w:val="00302EEC"/>
    <w:rsid w:val="00303045"/>
    <w:rsid w:val="0030346D"/>
    <w:rsid w:val="00303ED4"/>
    <w:rsid w:val="003048E1"/>
    <w:rsid w:val="00306318"/>
    <w:rsid w:val="00306829"/>
    <w:rsid w:val="00306A7B"/>
    <w:rsid w:val="003074F4"/>
    <w:rsid w:val="003075D2"/>
    <w:rsid w:val="00307A78"/>
    <w:rsid w:val="00310703"/>
    <w:rsid w:val="00310DD8"/>
    <w:rsid w:val="00310EB4"/>
    <w:rsid w:val="0031158D"/>
    <w:rsid w:val="003118D1"/>
    <w:rsid w:val="003119F1"/>
    <w:rsid w:val="00311A65"/>
    <w:rsid w:val="00312DC6"/>
    <w:rsid w:val="00312FBC"/>
    <w:rsid w:val="00313320"/>
    <w:rsid w:val="00313654"/>
    <w:rsid w:val="00313721"/>
    <w:rsid w:val="00314137"/>
    <w:rsid w:val="00314717"/>
    <w:rsid w:val="003150C4"/>
    <w:rsid w:val="00316BFE"/>
    <w:rsid w:val="00316CD6"/>
    <w:rsid w:val="003178F7"/>
    <w:rsid w:val="00317D15"/>
    <w:rsid w:val="00320D3B"/>
    <w:rsid w:val="0032184D"/>
    <w:rsid w:val="00322342"/>
    <w:rsid w:val="00322FBF"/>
    <w:rsid w:val="0032481C"/>
    <w:rsid w:val="003260F4"/>
    <w:rsid w:val="0032652C"/>
    <w:rsid w:val="003271D6"/>
    <w:rsid w:val="00327AD9"/>
    <w:rsid w:val="003301D8"/>
    <w:rsid w:val="00330E13"/>
    <w:rsid w:val="003315BB"/>
    <w:rsid w:val="003318FF"/>
    <w:rsid w:val="00331DC5"/>
    <w:rsid w:val="0033236C"/>
    <w:rsid w:val="003339B9"/>
    <w:rsid w:val="0033412A"/>
    <w:rsid w:val="0033418B"/>
    <w:rsid w:val="00334404"/>
    <w:rsid w:val="00334687"/>
    <w:rsid w:val="0033508F"/>
    <w:rsid w:val="00335AA1"/>
    <w:rsid w:val="00336572"/>
    <w:rsid w:val="00336DB1"/>
    <w:rsid w:val="00337254"/>
    <w:rsid w:val="00337C5E"/>
    <w:rsid w:val="00343466"/>
    <w:rsid w:val="00343B00"/>
    <w:rsid w:val="00343E55"/>
    <w:rsid w:val="00343ED0"/>
    <w:rsid w:val="00343F9A"/>
    <w:rsid w:val="00345F16"/>
    <w:rsid w:val="0034695A"/>
    <w:rsid w:val="00347081"/>
    <w:rsid w:val="0034726F"/>
    <w:rsid w:val="00347A9B"/>
    <w:rsid w:val="00350145"/>
    <w:rsid w:val="00350DE4"/>
    <w:rsid w:val="00351CEA"/>
    <w:rsid w:val="003523F4"/>
    <w:rsid w:val="0035252B"/>
    <w:rsid w:val="0035496F"/>
    <w:rsid w:val="00354E60"/>
    <w:rsid w:val="003555A5"/>
    <w:rsid w:val="003563D9"/>
    <w:rsid w:val="00357833"/>
    <w:rsid w:val="00357854"/>
    <w:rsid w:val="003602BC"/>
    <w:rsid w:val="00360B00"/>
    <w:rsid w:val="00360D10"/>
    <w:rsid w:val="00360D33"/>
    <w:rsid w:val="00361114"/>
    <w:rsid w:val="0036126B"/>
    <w:rsid w:val="003617D4"/>
    <w:rsid w:val="00361822"/>
    <w:rsid w:val="003619AA"/>
    <w:rsid w:val="00361B2B"/>
    <w:rsid w:val="00361EDB"/>
    <w:rsid w:val="00362548"/>
    <w:rsid w:val="00362DD9"/>
    <w:rsid w:val="00363324"/>
    <w:rsid w:val="0036368D"/>
    <w:rsid w:val="00363DDA"/>
    <w:rsid w:val="00364D80"/>
    <w:rsid w:val="00365635"/>
    <w:rsid w:val="00365D31"/>
    <w:rsid w:val="0036640A"/>
    <w:rsid w:val="00366808"/>
    <w:rsid w:val="003669FF"/>
    <w:rsid w:val="00366D7C"/>
    <w:rsid w:val="003671D4"/>
    <w:rsid w:val="0036745A"/>
    <w:rsid w:val="003676DC"/>
    <w:rsid w:val="00367A5B"/>
    <w:rsid w:val="00370208"/>
    <w:rsid w:val="003706D7"/>
    <w:rsid w:val="00371A79"/>
    <w:rsid w:val="00371AFE"/>
    <w:rsid w:val="003725B8"/>
    <w:rsid w:val="00372718"/>
    <w:rsid w:val="003736B1"/>
    <w:rsid w:val="003737D6"/>
    <w:rsid w:val="00374EAB"/>
    <w:rsid w:val="00375D84"/>
    <w:rsid w:val="00376D0A"/>
    <w:rsid w:val="00377493"/>
    <w:rsid w:val="003776F6"/>
    <w:rsid w:val="00377824"/>
    <w:rsid w:val="00377996"/>
    <w:rsid w:val="003808D8"/>
    <w:rsid w:val="00380DAE"/>
    <w:rsid w:val="00380FBD"/>
    <w:rsid w:val="003810BE"/>
    <w:rsid w:val="00381711"/>
    <w:rsid w:val="003820BE"/>
    <w:rsid w:val="0038212E"/>
    <w:rsid w:val="003825B0"/>
    <w:rsid w:val="00382A05"/>
    <w:rsid w:val="00384138"/>
    <w:rsid w:val="00387E12"/>
    <w:rsid w:val="00390699"/>
    <w:rsid w:val="00390F2F"/>
    <w:rsid w:val="00391F92"/>
    <w:rsid w:val="003921C4"/>
    <w:rsid w:val="00392320"/>
    <w:rsid w:val="00392F2F"/>
    <w:rsid w:val="00393180"/>
    <w:rsid w:val="00393676"/>
    <w:rsid w:val="00393BE4"/>
    <w:rsid w:val="00394878"/>
    <w:rsid w:val="00394F08"/>
    <w:rsid w:val="00395254"/>
    <w:rsid w:val="0039589E"/>
    <w:rsid w:val="00395B8D"/>
    <w:rsid w:val="00395E8A"/>
    <w:rsid w:val="003965ED"/>
    <w:rsid w:val="00396C59"/>
    <w:rsid w:val="003977AC"/>
    <w:rsid w:val="00397968"/>
    <w:rsid w:val="00397CA8"/>
    <w:rsid w:val="003A068D"/>
    <w:rsid w:val="003A0AD8"/>
    <w:rsid w:val="003A0FE2"/>
    <w:rsid w:val="003A2572"/>
    <w:rsid w:val="003A28B6"/>
    <w:rsid w:val="003A2BFB"/>
    <w:rsid w:val="003A2FB8"/>
    <w:rsid w:val="003A311A"/>
    <w:rsid w:val="003A424D"/>
    <w:rsid w:val="003A4838"/>
    <w:rsid w:val="003A48AC"/>
    <w:rsid w:val="003A4D14"/>
    <w:rsid w:val="003A5074"/>
    <w:rsid w:val="003A5407"/>
    <w:rsid w:val="003A5465"/>
    <w:rsid w:val="003A5F22"/>
    <w:rsid w:val="003A60EE"/>
    <w:rsid w:val="003A6228"/>
    <w:rsid w:val="003A679F"/>
    <w:rsid w:val="003A685D"/>
    <w:rsid w:val="003A6B64"/>
    <w:rsid w:val="003B11AF"/>
    <w:rsid w:val="003B1578"/>
    <w:rsid w:val="003B165B"/>
    <w:rsid w:val="003B1F2B"/>
    <w:rsid w:val="003B20ED"/>
    <w:rsid w:val="003B227F"/>
    <w:rsid w:val="003B2449"/>
    <w:rsid w:val="003B25C5"/>
    <w:rsid w:val="003B2A14"/>
    <w:rsid w:val="003B3594"/>
    <w:rsid w:val="003B4763"/>
    <w:rsid w:val="003B6163"/>
    <w:rsid w:val="003B7D1B"/>
    <w:rsid w:val="003C07AD"/>
    <w:rsid w:val="003C0B91"/>
    <w:rsid w:val="003C0C1E"/>
    <w:rsid w:val="003C0CCD"/>
    <w:rsid w:val="003C0E02"/>
    <w:rsid w:val="003C0F72"/>
    <w:rsid w:val="003C1611"/>
    <w:rsid w:val="003C2000"/>
    <w:rsid w:val="003C22A5"/>
    <w:rsid w:val="003C27C3"/>
    <w:rsid w:val="003C2B77"/>
    <w:rsid w:val="003C487D"/>
    <w:rsid w:val="003C4E28"/>
    <w:rsid w:val="003C53C1"/>
    <w:rsid w:val="003C5439"/>
    <w:rsid w:val="003C5784"/>
    <w:rsid w:val="003C590E"/>
    <w:rsid w:val="003C7A34"/>
    <w:rsid w:val="003D02EC"/>
    <w:rsid w:val="003D058C"/>
    <w:rsid w:val="003D0DE4"/>
    <w:rsid w:val="003D12FD"/>
    <w:rsid w:val="003D1544"/>
    <w:rsid w:val="003D1A4D"/>
    <w:rsid w:val="003D1ADD"/>
    <w:rsid w:val="003D1DF2"/>
    <w:rsid w:val="003D2E50"/>
    <w:rsid w:val="003D3EB0"/>
    <w:rsid w:val="003D4ECA"/>
    <w:rsid w:val="003D4F9C"/>
    <w:rsid w:val="003D540A"/>
    <w:rsid w:val="003D5735"/>
    <w:rsid w:val="003D5806"/>
    <w:rsid w:val="003D5A64"/>
    <w:rsid w:val="003D5BE1"/>
    <w:rsid w:val="003D6760"/>
    <w:rsid w:val="003D6E6B"/>
    <w:rsid w:val="003D7C94"/>
    <w:rsid w:val="003E09F3"/>
    <w:rsid w:val="003E0BFC"/>
    <w:rsid w:val="003E1798"/>
    <w:rsid w:val="003E258B"/>
    <w:rsid w:val="003E28C1"/>
    <w:rsid w:val="003E2DB4"/>
    <w:rsid w:val="003E3C5A"/>
    <w:rsid w:val="003E3F19"/>
    <w:rsid w:val="003E49BE"/>
    <w:rsid w:val="003E5570"/>
    <w:rsid w:val="003E57EC"/>
    <w:rsid w:val="003E59EC"/>
    <w:rsid w:val="003E6EEA"/>
    <w:rsid w:val="003F0D1B"/>
    <w:rsid w:val="003F154B"/>
    <w:rsid w:val="003F1CC6"/>
    <w:rsid w:val="003F2B73"/>
    <w:rsid w:val="003F3367"/>
    <w:rsid w:val="003F3975"/>
    <w:rsid w:val="003F4439"/>
    <w:rsid w:val="003F4B2C"/>
    <w:rsid w:val="003F5B94"/>
    <w:rsid w:val="003F6526"/>
    <w:rsid w:val="003F6C5F"/>
    <w:rsid w:val="003F78A2"/>
    <w:rsid w:val="0040091E"/>
    <w:rsid w:val="00400DFF"/>
    <w:rsid w:val="00401052"/>
    <w:rsid w:val="0040108A"/>
    <w:rsid w:val="00401DCD"/>
    <w:rsid w:val="00401FF3"/>
    <w:rsid w:val="0040238E"/>
    <w:rsid w:val="004028C5"/>
    <w:rsid w:val="0040319F"/>
    <w:rsid w:val="004031EF"/>
    <w:rsid w:val="00403614"/>
    <w:rsid w:val="00403CEE"/>
    <w:rsid w:val="00403D68"/>
    <w:rsid w:val="00404D24"/>
    <w:rsid w:val="0040500F"/>
    <w:rsid w:val="004052A0"/>
    <w:rsid w:val="00405F45"/>
    <w:rsid w:val="004066D3"/>
    <w:rsid w:val="00406B0F"/>
    <w:rsid w:val="004071E4"/>
    <w:rsid w:val="00407221"/>
    <w:rsid w:val="004079B5"/>
    <w:rsid w:val="00407A84"/>
    <w:rsid w:val="0041033A"/>
    <w:rsid w:val="00410A11"/>
    <w:rsid w:val="004110B9"/>
    <w:rsid w:val="00411DBB"/>
    <w:rsid w:val="00411E2E"/>
    <w:rsid w:val="00412BE4"/>
    <w:rsid w:val="004130E4"/>
    <w:rsid w:val="00413329"/>
    <w:rsid w:val="004134B1"/>
    <w:rsid w:val="00413BD5"/>
    <w:rsid w:val="00413F3F"/>
    <w:rsid w:val="00414CC3"/>
    <w:rsid w:val="004153C7"/>
    <w:rsid w:val="0041586C"/>
    <w:rsid w:val="00415C6B"/>
    <w:rsid w:val="00416BD4"/>
    <w:rsid w:val="00417E65"/>
    <w:rsid w:val="00420DC8"/>
    <w:rsid w:val="00421E5D"/>
    <w:rsid w:val="00423850"/>
    <w:rsid w:val="00423D82"/>
    <w:rsid w:val="00423F59"/>
    <w:rsid w:val="00424101"/>
    <w:rsid w:val="004250C7"/>
    <w:rsid w:val="00425469"/>
    <w:rsid w:val="00425600"/>
    <w:rsid w:val="00425639"/>
    <w:rsid w:val="00425D18"/>
    <w:rsid w:val="004266E2"/>
    <w:rsid w:val="0042681B"/>
    <w:rsid w:val="00427530"/>
    <w:rsid w:val="00427C6C"/>
    <w:rsid w:val="00430191"/>
    <w:rsid w:val="0043031D"/>
    <w:rsid w:val="004303A3"/>
    <w:rsid w:val="00430492"/>
    <w:rsid w:val="004305B0"/>
    <w:rsid w:val="0043072C"/>
    <w:rsid w:val="004322E8"/>
    <w:rsid w:val="00432CDF"/>
    <w:rsid w:val="00433EA2"/>
    <w:rsid w:val="004342F2"/>
    <w:rsid w:val="0043482F"/>
    <w:rsid w:val="00434DA3"/>
    <w:rsid w:val="00440819"/>
    <w:rsid w:val="00440F03"/>
    <w:rsid w:val="0044149E"/>
    <w:rsid w:val="00441D66"/>
    <w:rsid w:val="004432DB"/>
    <w:rsid w:val="00443314"/>
    <w:rsid w:val="00443765"/>
    <w:rsid w:val="00443D32"/>
    <w:rsid w:val="00443FF6"/>
    <w:rsid w:val="004441DC"/>
    <w:rsid w:val="00444A38"/>
    <w:rsid w:val="00444AD1"/>
    <w:rsid w:val="00444BB8"/>
    <w:rsid w:val="00444C3D"/>
    <w:rsid w:val="00444DF7"/>
    <w:rsid w:val="0044533A"/>
    <w:rsid w:val="00445825"/>
    <w:rsid w:val="00446BEB"/>
    <w:rsid w:val="004472E8"/>
    <w:rsid w:val="00447794"/>
    <w:rsid w:val="004477CA"/>
    <w:rsid w:val="00447B65"/>
    <w:rsid w:val="00450676"/>
    <w:rsid w:val="0045093E"/>
    <w:rsid w:val="00450EF7"/>
    <w:rsid w:val="00451BAA"/>
    <w:rsid w:val="00451F36"/>
    <w:rsid w:val="004529D9"/>
    <w:rsid w:val="004534BF"/>
    <w:rsid w:val="0045389F"/>
    <w:rsid w:val="00454218"/>
    <w:rsid w:val="004542F3"/>
    <w:rsid w:val="00455C93"/>
    <w:rsid w:val="00456350"/>
    <w:rsid w:val="0045679B"/>
    <w:rsid w:val="00457383"/>
    <w:rsid w:val="004574B2"/>
    <w:rsid w:val="0045760B"/>
    <w:rsid w:val="004576CD"/>
    <w:rsid w:val="00457B4C"/>
    <w:rsid w:val="00460755"/>
    <w:rsid w:val="00460C69"/>
    <w:rsid w:val="00460F5E"/>
    <w:rsid w:val="00461075"/>
    <w:rsid w:val="00461D3E"/>
    <w:rsid w:val="004627A7"/>
    <w:rsid w:val="00462B90"/>
    <w:rsid w:val="00462FD9"/>
    <w:rsid w:val="004638A1"/>
    <w:rsid w:val="00463F84"/>
    <w:rsid w:val="0046410B"/>
    <w:rsid w:val="0046467E"/>
    <w:rsid w:val="00464990"/>
    <w:rsid w:val="00464DDE"/>
    <w:rsid w:val="00465867"/>
    <w:rsid w:val="00465EA3"/>
    <w:rsid w:val="00465EB5"/>
    <w:rsid w:val="00466CED"/>
    <w:rsid w:val="00466CF9"/>
    <w:rsid w:val="004672DD"/>
    <w:rsid w:val="004673DB"/>
    <w:rsid w:val="0046779A"/>
    <w:rsid w:val="00467DD6"/>
    <w:rsid w:val="004709C3"/>
    <w:rsid w:val="00470A95"/>
    <w:rsid w:val="0047100A"/>
    <w:rsid w:val="00471369"/>
    <w:rsid w:val="00471A7F"/>
    <w:rsid w:val="00471CCE"/>
    <w:rsid w:val="00471DE6"/>
    <w:rsid w:val="00472A60"/>
    <w:rsid w:val="00472F37"/>
    <w:rsid w:val="00473A69"/>
    <w:rsid w:val="004745B9"/>
    <w:rsid w:val="004747A0"/>
    <w:rsid w:val="00474E88"/>
    <w:rsid w:val="00476058"/>
    <w:rsid w:val="00476B1F"/>
    <w:rsid w:val="0047727E"/>
    <w:rsid w:val="00477706"/>
    <w:rsid w:val="004779CE"/>
    <w:rsid w:val="00477C22"/>
    <w:rsid w:val="00481169"/>
    <w:rsid w:val="00481495"/>
    <w:rsid w:val="0048198E"/>
    <w:rsid w:val="00481F8B"/>
    <w:rsid w:val="004822B2"/>
    <w:rsid w:val="004823E0"/>
    <w:rsid w:val="0048246A"/>
    <w:rsid w:val="004830EF"/>
    <w:rsid w:val="004835E4"/>
    <w:rsid w:val="00483A3C"/>
    <w:rsid w:val="00483C27"/>
    <w:rsid w:val="00484247"/>
    <w:rsid w:val="004842B0"/>
    <w:rsid w:val="004842D0"/>
    <w:rsid w:val="00484A08"/>
    <w:rsid w:val="00484F7C"/>
    <w:rsid w:val="00485315"/>
    <w:rsid w:val="0048552B"/>
    <w:rsid w:val="004859BC"/>
    <w:rsid w:val="00485FC0"/>
    <w:rsid w:val="004873E7"/>
    <w:rsid w:val="00487A08"/>
    <w:rsid w:val="004903D0"/>
    <w:rsid w:val="00490899"/>
    <w:rsid w:val="004908CE"/>
    <w:rsid w:val="00490C8D"/>
    <w:rsid w:val="0049217B"/>
    <w:rsid w:val="00493034"/>
    <w:rsid w:val="0049349D"/>
    <w:rsid w:val="00493505"/>
    <w:rsid w:val="004937E1"/>
    <w:rsid w:val="004939E7"/>
    <w:rsid w:val="004941BA"/>
    <w:rsid w:val="0049426D"/>
    <w:rsid w:val="00494366"/>
    <w:rsid w:val="0049617C"/>
    <w:rsid w:val="00496452"/>
    <w:rsid w:val="0049664C"/>
    <w:rsid w:val="004968BE"/>
    <w:rsid w:val="00496D50"/>
    <w:rsid w:val="00496FBE"/>
    <w:rsid w:val="00497708"/>
    <w:rsid w:val="00497CA9"/>
    <w:rsid w:val="00497EF8"/>
    <w:rsid w:val="004A0435"/>
    <w:rsid w:val="004A1EF7"/>
    <w:rsid w:val="004A20B8"/>
    <w:rsid w:val="004A289D"/>
    <w:rsid w:val="004A4441"/>
    <w:rsid w:val="004A4ED1"/>
    <w:rsid w:val="004A5FDD"/>
    <w:rsid w:val="004A623C"/>
    <w:rsid w:val="004A65D9"/>
    <w:rsid w:val="004A6C78"/>
    <w:rsid w:val="004A715B"/>
    <w:rsid w:val="004A761B"/>
    <w:rsid w:val="004A76A1"/>
    <w:rsid w:val="004A7F6B"/>
    <w:rsid w:val="004B08DC"/>
    <w:rsid w:val="004B09E2"/>
    <w:rsid w:val="004B0BBF"/>
    <w:rsid w:val="004B1888"/>
    <w:rsid w:val="004B1898"/>
    <w:rsid w:val="004B1A69"/>
    <w:rsid w:val="004B1A93"/>
    <w:rsid w:val="004B1C45"/>
    <w:rsid w:val="004B32F0"/>
    <w:rsid w:val="004B42EA"/>
    <w:rsid w:val="004B4680"/>
    <w:rsid w:val="004B49CB"/>
    <w:rsid w:val="004B4A67"/>
    <w:rsid w:val="004B518E"/>
    <w:rsid w:val="004B572C"/>
    <w:rsid w:val="004B5744"/>
    <w:rsid w:val="004B644D"/>
    <w:rsid w:val="004B6546"/>
    <w:rsid w:val="004B6CA3"/>
    <w:rsid w:val="004B6F56"/>
    <w:rsid w:val="004B7704"/>
    <w:rsid w:val="004C108E"/>
    <w:rsid w:val="004C164F"/>
    <w:rsid w:val="004C16D9"/>
    <w:rsid w:val="004C197A"/>
    <w:rsid w:val="004C2AF2"/>
    <w:rsid w:val="004C2F8C"/>
    <w:rsid w:val="004C323E"/>
    <w:rsid w:val="004C45D2"/>
    <w:rsid w:val="004C5440"/>
    <w:rsid w:val="004C5617"/>
    <w:rsid w:val="004C607F"/>
    <w:rsid w:val="004C6B37"/>
    <w:rsid w:val="004C6C1D"/>
    <w:rsid w:val="004C796D"/>
    <w:rsid w:val="004C7B9C"/>
    <w:rsid w:val="004D16F5"/>
    <w:rsid w:val="004D2043"/>
    <w:rsid w:val="004D388D"/>
    <w:rsid w:val="004D622F"/>
    <w:rsid w:val="004D6416"/>
    <w:rsid w:val="004D651B"/>
    <w:rsid w:val="004D7428"/>
    <w:rsid w:val="004D7845"/>
    <w:rsid w:val="004D7C49"/>
    <w:rsid w:val="004E002E"/>
    <w:rsid w:val="004E045A"/>
    <w:rsid w:val="004E0867"/>
    <w:rsid w:val="004E1851"/>
    <w:rsid w:val="004E18A8"/>
    <w:rsid w:val="004E19E8"/>
    <w:rsid w:val="004E205A"/>
    <w:rsid w:val="004E3D50"/>
    <w:rsid w:val="004E40F7"/>
    <w:rsid w:val="004E44DB"/>
    <w:rsid w:val="004E4A6C"/>
    <w:rsid w:val="004E5859"/>
    <w:rsid w:val="004E58D7"/>
    <w:rsid w:val="004E65B6"/>
    <w:rsid w:val="004E6C42"/>
    <w:rsid w:val="004F09EB"/>
    <w:rsid w:val="004F1E6F"/>
    <w:rsid w:val="004F225E"/>
    <w:rsid w:val="004F23C8"/>
    <w:rsid w:val="004F24B4"/>
    <w:rsid w:val="004F2C67"/>
    <w:rsid w:val="004F31C9"/>
    <w:rsid w:val="004F4D19"/>
    <w:rsid w:val="004F5998"/>
    <w:rsid w:val="004F6363"/>
    <w:rsid w:val="004F65F5"/>
    <w:rsid w:val="004F70DF"/>
    <w:rsid w:val="004F7D00"/>
    <w:rsid w:val="004F7F53"/>
    <w:rsid w:val="004F7F5F"/>
    <w:rsid w:val="004F7FBD"/>
    <w:rsid w:val="00500014"/>
    <w:rsid w:val="005003D2"/>
    <w:rsid w:val="00501BBF"/>
    <w:rsid w:val="00501BFA"/>
    <w:rsid w:val="00501C47"/>
    <w:rsid w:val="00501F58"/>
    <w:rsid w:val="00502063"/>
    <w:rsid w:val="00503799"/>
    <w:rsid w:val="00503D1C"/>
    <w:rsid w:val="00504920"/>
    <w:rsid w:val="00505425"/>
    <w:rsid w:val="00506B35"/>
    <w:rsid w:val="005070E2"/>
    <w:rsid w:val="00507461"/>
    <w:rsid w:val="005078A0"/>
    <w:rsid w:val="00507D5C"/>
    <w:rsid w:val="00507EF8"/>
    <w:rsid w:val="00510526"/>
    <w:rsid w:val="00511B53"/>
    <w:rsid w:val="00511B94"/>
    <w:rsid w:val="00511E27"/>
    <w:rsid w:val="00512543"/>
    <w:rsid w:val="0051346C"/>
    <w:rsid w:val="00513E06"/>
    <w:rsid w:val="00513FB0"/>
    <w:rsid w:val="005151BE"/>
    <w:rsid w:val="00515D05"/>
    <w:rsid w:val="00516126"/>
    <w:rsid w:val="005161C4"/>
    <w:rsid w:val="00516BF2"/>
    <w:rsid w:val="00516DCC"/>
    <w:rsid w:val="00516F6C"/>
    <w:rsid w:val="00517BE5"/>
    <w:rsid w:val="005206AF"/>
    <w:rsid w:val="00520B2C"/>
    <w:rsid w:val="00520EE9"/>
    <w:rsid w:val="00521EA8"/>
    <w:rsid w:val="0052238B"/>
    <w:rsid w:val="0052308E"/>
    <w:rsid w:val="00523718"/>
    <w:rsid w:val="00523AC6"/>
    <w:rsid w:val="00523BC9"/>
    <w:rsid w:val="00523EF8"/>
    <w:rsid w:val="00523F29"/>
    <w:rsid w:val="00524269"/>
    <w:rsid w:val="005255DF"/>
    <w:rsid w:val="005305F0"/>
    <w:rsid w:val="00530744"/>
    <w:rsid w:val="0053110D"/>
    <w:rsid w:val="00531780"/>
    <w:rsid w:val="00531909"/>
    <w:rsid w:val="00531EB8"/>
    <w:rsid w:val="00532CB2"/>
    <w:rsid w:val="0053356C"/>
    <w:rsid w:val="00533F39"/>
    <w:rsid w:val="00536006"/>
    <w:rsid w:val="0053605F"/>
    <w:rsid w:val="00536974"/>
    <w:rsid w:val="00536D2E"/>
    <w:rsid w:val="0053757D"/>
    <w:rsid w:val="0054135A"/>
    <w:rsid w:val="0054171A"/>
    <w:rsid w:val="005418B4"/>
    <w:rsid w:val="005424F7"/>
    <w:rsid w:val="0054281C"/>
    <w:rsid w:val="005430A7"/>
    <w:rsid w:val="00543704"/>
    <w:rsid w:val="0054473C"/>
    <w:rsid w:val="005453FD"/>
    <w:rsid w:val="00545594"/>
    <w:rsid w:val="00545613"/>
    <w:rsid w:val="0054576F"/>
    <w:rsid w:val="005459E7"/>
    <w:rsid w:val="00545A94"/>
    <w:rsid w:val="00545AB1"/>
    <w:rsid w:val="00546A4B"/>
    <w:rsid w:val="00546D40"/>
    <w:rsid w:val="00547B48"/>
    <w:rsid w:val="00547C59"/>
    <w:rsid w:val="00547DFE"/>
    <w:rsid w:val="00551543"/>
    <w:rsid w:val="00551BF7"/>
    <w:rsid w:val="00551DAD"/>
    <w:rsid w:val="005520FF"/>
    <w:rsid w:val="0055245A"/>
    <w:rsid w:val="0055269D"/>
    <w:rsid w:val="005526CA"/>
    <w:rsid w:val="00552972"/>
    <w:rsid w:val="00553772"/>
    <w:rsid w:val="0055457F"/>
    <w:rsid w:val="005549AF"/>
    <w:rsid w:val="00555255"/>
    <w:rsid w:val="00555B7A"/>
    <w:rsid w:val="00555C92"/>
    <w:rsid w:val="00555F72"/>
    <w:rsid w:val="0055609F"/>
    <w:rsid w:val="0055630B"/>
    <w:rsid w:val="00556A17"/>
    <w:rsid w:val="00556E06"/>
    <w:rsid w:val="0055777B"/>
    <w:rsid w:val="00557F96"/>
    <w:rsid w:val="00560098"/>
    <w:rsid w:val="005602A0"/>
    <w:rsid w:val="005602EF"/>
    <w:rsid w:val="00560352"/>
    <w:rsid w:val="00560FF0"/>
    <w:rsid w:val="005616B4"/>
    <w:rsid w:val="00561D94"/>
    <w:rsid w:val="005626D1"/>
    <w:rsid w:val="00562975"/>
    <w:rsid w:val="00563094"/>
    <w:rsid w:val="00563574"/>
    <w:rsid w:val="0056454A"/>
    <w:rsid w:val="00564557"/>
    <w:rsid w:val="00564D6C"/>
    <w:rsid w:val="0056513E"/>
    <w:rsid w:val="00565208"/>
    <w:rsid w:val="00565B4B"/>
    <w:rsid w:val="00566E64"/>
    <w:rsid w:val="00567197"/>
    <w:rsid w:val="00567F47"/>
    <w:rsid w:val="00570618"/>
    <w:rsid w:val="005725BF"/>
    <w:rsid w:val="005729AD"/>
    <w:rsid w:val="00572CE6"/>
    <w:rsid w:val="005732E3"/>
    <w:rsid w:val="0057341C"/>
    <w:rsid w:val="00573A15"/>
    <w:rsid w:val="00573DF6"/>
    <w:rsid w:val="00573FAC"/>
    <w:rsid w:val="005745A7"/>
    <w:rsid w:val="00574EF4"/>
    <w:rsid w:val="00576C93"/>
    <w:rsid w:val="005773E5"/>
    <w:rsid w:val="00577B06"/>
    <w:rsid w:val="00580643"/>
    <w:rsid w:val="00580C26"/>
    <w:rsid w:val="00581270"/>
    <w:rsid w:val="00581644"/>
    <w:rsid w:val="005816FF"/>
    <w:rsid w:val="005843C7"/>
    <w:rsid w:val="00585317"/>
    <w:rsid w:val="00585D31"/>
    <w:rsid w:val="00586FD0"/>
    <w:rsid w:val="00587243"/>
    <w:rsid w:val="005874A8"/>
    <w:rsid w:val="00587580"/>
    <w:rsid w:val="005877EC"/>
    <w:rsid w:val="005905FC"/>
    <w:rsid w:val="00590A47"/>
    <w:rsid w:val="00591359"/>
    <w:rsid w:val="00592636"/>
    <w:rsid w:val="00592B31"/>
    <w:rsid w:val="005937AF"/>
    <w:rsid w:val="00594386"/>
    <w:rsid w:val="005949C2"/>
    <w:rsid w:val="005949F5"/>
    <w:rsid w:val="00594D4F"/>
    <w:rsid w:val="0059683B"/>
    <w:rsid w:val="005969C2"/>
    <w:rsid w:val="00596B12"/>
    <w:rsid w:val="005972F3"/>
    <w:rsid w:val="00597862"/>
    <w:rsid w:val="0059797F"/>
    <w:rsid w:val="005A0BF2"/>
    <w:rsid w:val="005A17EB"/>
    <w:rsid w:val="005A17F7"/>
    <w:rsid w:val="005A2543"/>
    <w:rsid w:val="005A2822"/>
    <w:rsid w:val="005A2F68"/>
    <w:rsid w:val="005A4A04"/>
    <w:rsid w:val="005A4B70"/>
    <w:rsid w:val="005A4FE7"/>
    <w:rsid w:val="005A52D1"/>
    <w:rsid w:val="005A6F96"/>
    <w:rsid w:val="005A7F21"/>
    <w:rsid w:val="005B0073"/>
    <w:rsid w:val="005B00C9"/>
    <w:rsid w:val="005B13B9"/>
    <w:rsid w:val="005B17BB"/>
    <w:rsid w:val="005B289F"/>
    <w:rsid w:val="005B2D2B"/>
    <w:rsid w:val="005B38CF"/>
    <w:rsid w:val="005B3D5F"/>
    <w:rsid w:val="005B4540"/>
    <w:rsid w:val="005B4F85"/>
    <w:rsid w:val="005B5074"/>
    <w:rsid w:val="005B5548"/>
    <w:rsid w:val="005B5993"/>
    <w:rsid w:val="005B5C8A"/>
    <w:rsid w:val="005B5FDE"/>
    <w:rsid w:val="005B7004"/>
    <w:rsid w:val="005B7447"/>
    <w:rsid w:val="005C0641"/>
    <w:rsid w:val="005C0710"/>
    <w:rsid w:val="005C2383"/>
    <w:rsid w:val="005C278A"/>
    <w:rsid w:val="005C4890"/>
    <w:rsid w:val="005C491E"/>
    <w:rsid w:val="005C4AFB"/>
    <w:rsid w:val="005C5096"/>
    <w:rsid w:val="005C5A90"/>
    <w:rsid w:val="005C5BE4"/>
    <w:rsid w:val="005C6654"/>
    <w:rsid w:val="005C683D"/>
    <w:rsid w:val="005C7141"/>
    <w:rsid w:val="005C78EB"/>
    <w:rsid w:val="005D026F"/>
    <w:rsid w:val="005D052E"/>
    <w:rsid w:val="005D0693"/>
    <w:rsid w:val="005D0A7A"/>
    <w:rsid w:val="005D10E4"/>
    <w:rsid w:val="005D22CD"/>
    <w:rsid w:val="005D2BAA"/>
    <w:rsid w:val="005D2E4A"/>
    <w:rsid w:val="005D2F2C"/>
    <w:rsid w:val="005D30A6"/>
    <w:rsid w:val="005D3824"/>
    <w:rsid w:val="005D39D0"/>
    <w:rsid w:val="005D3BF5"/>
    <w:rsid w:val="005D4A16"/>
    <w:rsid w:val="005D4EAC"/>
    <w:rsid w:val="005D4FA7"/>
    <w:rsid w:val="005D5617"/>
    <w:rsid w:val="005D5A68"/>
    <w:rsid w:val="005D5D35"/>
    <w:rsid w:val="005D60C8"/>
    <w:rsid w:val="005D6ACF"/>
    <w:rsid w:val="005E1FD7"/>
    <w:rsid w:val="005E36D8"/>
    <w:rsid w:val="005E4171"/>
    <w:rsid w:val="005E41ED"/>
    <w:rsid w:val="005E510C"/>
    <w:rsid w:val="005E5B6E"/>
    <w:rsid w:val="005E6675"/>
    <w:rsid w:val="005E6873"/>
    <w:rsid w:val="005E6F58"/>
    <w:rsid w:val="005E73F8"/>
    <w:rsid w:val="005E773C"/>
    <w:rsid w:val="005E7933"/>
    <w:rsid w:val="005F05C3"/>
    <w:rsid w:val="005F0718"/>
    <w:rsid w:val="005F0A3E"/>
    <w:rsid w:val="005F0F02"/>
    <w:rsid w:val="005F1D1D"/>
    <w:rsid w:val="005F345B"/>
    <w:rsid w:val="005F34E6"/>
    <w:rsid w:val="005F41D5"/>
    <w:rsid w:val="005F5534"/>
    <w:rsid w:val="005F5B12"/>
    <w:rsid w:val="005F73BA"/>
    <w:rsid w:val="005F7456"/>
    <w:rsid w:val="005F7528"/>
    <w:rsid w:val="005F75D3"/>
    <w:rsid w:val="005F7933"/>
    <w:rsid w:val="006000A0"/>
    <w:rsid w:val="00600AF3"/>
    <w:rsid w:val="0060148E"/>
    <w:rsid w:val="006017A7"/>
    <w:rsid w:val="00601E10"/>
    <w:rsid w:val="006021F4"/>
    <w:rsid w:val="00602864"/>
    <w:rsid w:val="006033D8"/>
    <w:rsid w:val="00603F41"/>
    <w:rsid w:val="006042BF"/>
    <w:rsid w:val="0060489B"/>
    <w:rsid w:val="00605035"/>
    <w:rsid w:val="00605ED1"/>
    <w:rsid w:val="006061C3"/>
    <w:rsid w:val="006066D6"/>
    <w:rsid w:val="00606917"/>
    <w:rsid w:val="00606C9C"/>
    <w:rsid w:val="00606E3A"/>
    <w:rsid w:val="0060774F"/>
    <w:rsid w:val="00607E18"/>
    <w:rsid w:val="00607ED9"/>
    <w:rsid w:val="00607F4D"/>
    <w:rsid w:val="00610A70"/>
    <w:rsid w:val="00610C9A"/>
    <w:rsid w:val="00611B41"/>
    <w:rsid w:val="006125B8"/>
    <w:rsid w:val="00612C04"/>
    <w:rsid w:val="006130F2"/>
    <w:rsid w:val="00613A24"/>
    <w:rsid w:val="00614304"/>
    <w:rsid w:val="006149F8"/>
    <w:rsid w:val="00614A57"/>
    <w:rsid w:val="00614B9D"/>
    <w:rsid w:val="0061502E"/>
    <w:rsid w:val="00615624"/>
    <w:rsid w:val="00615BC7"/>
    <w:rsid w:val="00615CFA"/>
    <w:rsid w:val="00616560"/>
    <w:rsid w:val="00616916"/>
    <w:rsid w:val="00616E51"/>
    <w:rsid w:val="00617216"/>
    <w:rsid w:val="00620668"/>
    <w:rsid w:val="0062103B"/>
    <w:rsid w:val="00621919"/>
    <w:rsid w:val="00621D8E"/>
    <w:rsid w:val="00621ED4"/>
    <w:rsid w:val="00622611"/>
    <w:rsid w:val="006231BF"/>
    <w:rsid w:val="006232BD"/>
    <w:rsid w:val="00623608"/>
    <w:rsid w:val="006249F0"/>
    <w:rsid w:val="00624AC8"/>
    <w:rsid w:val="0062507C"/>
    <w:rsid w:val="006251C5"/>
    <w:rsid w:val="006257DB"/>
    <w:rsid w:val="00625E32"/>
    <w:rsid w:val="006273C3"/>
    <w:rsid w:val="00627447"/>
    <w:rsid w:val="00627A51"/>
    <w:rsid w:val="006300D1"/>
    <w:rsid w:val="006303F4"/>
    <w:rsid w:val="00630410"/>
    <w:rsid w:val="00630E49"/>
    <w:rsid w:val="00631218"/>
    <w:rsid w:val="00632466"/>
    <w:rsid w:val="00633412"/>
    <w:rsid w:val="00633DF0"/>
    <w:rsid w:val="0063453D"/>
    <w:rsid w:val="006346DA"/>
    <w:rsid w:val="006348F0"/>
    <w:rsid w:val="00634E2B"/>
    <w:rsid w:val="006351B7"/>
    <w:rsid w:val="00635C97"/>
    <w:rsid w:val="00636348"/>
    <w:rsid w:val="0063641A"/>
    <w:rsid w:val="00636A2B"/>
    <w:rsid w:val="00636BBA"/>
    <w:rsid w:val="006374AA"/>
    <w:rsid w:val="00637AD8"/>
    <w:rsid w:val="00637FBF"/>
    <w:rsid w:val="00641178"/>
    <w:rsid w:val="0064162C"/>
    <w:rsid w:val="00642963"/>
    <w:rsid w:val="00643918"/>
    <w:rsid w:val="00643A4B"/>
    <w:rsid w:val="00643D62"/>
    <w:rsid w:val="00643E67"/>
    <w:rsid w:val="00646486"/>
    <w:rsid w:val="00646933"/>
    <w:rsid w:val="0064698F"/>
    <w:rsid w:val="00650508"/>
    <w:rsid w:val="00650FBA"/>
    <w:rsid w:val="00651405"/>
    <w:rsid w:val="00651719"/>
    <w:rsid w:val="006519AC"/>
    <w:rsid w:val="00651ADD"/>
    <w:rsid w:val="006521C1"/>
    <w:rsid w:val="00653671"/>
    <w:rsid w:val="006544DC"/>
    <w:rsid w:val="0065475B"/>
    <w:rsid w:val="00655046"/>
    <w:rsid w:val="0065696F"/>
    <w:rsid w:val="00656D05"/>
    <w:rsid w:val="00656DBB"/>
    <w:rsid w:val="006573AB"/>
    <w:rsid w:val="006606F1"/>
    <w:rsid w:val="00660876"/>
    <w:rsid w:val="0066189F"/>
    <w:rsid w:val="00661F65"/>
    <w:rsid w:val="00662129"/>
    <w:rsid w:val="00662938"/>
    <w:rsid w:val="00663A83"/>
    <w:rsid w:val="00664C58"/>
    <w:rsid w:val="00664EA6"/>
    <w:rsid w:val="006656AF"/>
    <w:rsid w:val="00666183"/>
    <w:rsid w:val="0066629F"/>
    <w:rsid w:val="00666845"/>
    <w:rsid w:val="00666973"/>
    <w:rsid w:val="00667E8C"/>
    <w:rsid w:val="006715CD"/>
    <w:rsid w:val="00671923"/>
    <w:rsid w:val="00671F20"/>
    <w:rsid w:val="006728FA"/>
    <w:rsid w:val="0067342A"/>
    <w:rsid w:val="006748EF"/>
    <w:rsid w:val="00674A54"/>
    <w:rsid w:val="00674DAF"/>
    <w:rsid w:val="00676D52"/>
    <w:rsid w:val="006777C5"/>
    <w:rsid w:val="00677C2F"/>
    <w:rsid w:val="006808E0"/>
    <w:rsid w:val="00680AFA"/>
    <w:rsid w:val="0068105A"/>
    <w:rsid w:val="00681892"/>
    <w:rsid w:val="00681F55"/>
    <w:rsid w:val="006827E2"/>
    <w:rsid w:val="00682CDA"/>
    <w:rsid w:val="006833EE"/>
    <w:rsid w:val="00683C09"/>
    <w:rsid w:val="00684007"/>
    <w:rsid w:val="006844C6"/>
    <w:rsid w:val="006864A6"/>
    <w:rsid w:val="0068697D"/>
    <w:rsid w:val="00687709"/>
    <w:rsid w:val="006900DD"/>
    <w:rsid w:val="00690999"/>
    <w:rsid w:val="00690B15"/>
    <w:rsid w:val="00690C28"/>
    <w:rsid w:val="006919AE"/>
    <w:rsid w:val="00691E75"/>
    <w:rsid w:val="00692C24"/>
    <w:rsid w:val="0069374E"/>
    <w:rsid w:val="00693A26"/>
    <w:rsid w:val="00694C36"/>
    <w:rsid w:val="00694CA6"/>
    <w:rsid w:val="00695153"/>
    <w:rsid w:val="00695252"/>
    <w:rsid w:val="006952D3"/>
    <w:rsid w:val="0069615E"/>
    <w:rsid w:val="00696180"/>
    <w:rsid w:val="006963EC"/>
    <w:rsid w:val="006967CF"/>
    <w:rsid w:val="006978C0"/>
    <w:rsid w:val="00697C8D"/>
    <w:rsid w:val="006A0CAC"/>
    <w:rsid w:val="006A0F4E"/>
    <w:rsid w:val="006A13F6"/>
    <w:rsid w:val="006A2603"/>
    <w:rsid w:val="006A31A3"/>
    <w:rsid w:val="006A33A1"/>
    <w:rsid w:val="006A3822"/>
    <w:rsid w:val="006A387B"/>
    <w:rsid w:val="006A4C2A"/>
    <w:rsid w:val="006A53AD"/>
    <w:rsid w:val="006A5457"/>
    <w:rsid w:val="006A6027"/>
    <w:rsid w:val="006A788A"/>
    <w:rsid w:val="006A7DD0"/>
    <w:rsid w:val="006A7F7C"/>
    <w:rsid w:val="006B092E"/>
    <w:rsid w:val="006B09EC"/>
    <w:rsid w:val="006B0E15"/>
    <w:rsid w:val="006B1503"/>
    <w:rsid w:val="006B1578"/>
    <w:rsid w:val="006B1F82"/>
    <w:rsid w:val="006B2072"/>
    <w:rsid w:val="006B2435"/>
    <w:rsid w:val="006B2B6D"/>
    <w:rsid w:val="006B2C79"/>
    <w:rsid w:val="006B2D31"/>
    <w:rsid w:val="006B3652"/>
    <w:rsid w:val="006B3AC9"/>
    <w:rsid w:val="006B405D"/>
    <w:rsid w:val="006B4621"/>
    <w:rsid w:val="006B4F97"/>
    <w:rsid w:val="006B50F7"/>
    <w:rsid w:val="006B5D95"/>
    <w:rsid w:val="006B6516"/>
    <w:rsid w:val="006B68B3"/>
    <w:rsid w:val="006B7CE2"/>
    <w:rsid w:val="006C08EF"/>
    <w:rsid w:val="006C0EF1"/>
    <w:rsid w:val="006C368C"/>
    <w:rsid w:val="006C431A"/>
    <w:rsid w:val="006C44A5"/>
    <w:rsid w:val="006C4F9D"/>
    <w:rsid w:val="006C592F"/>
    <w:rsid w:val="006C5A83"/>
    <w:rsid w:val="006C5F05"/>
    <w:rsid w:val="006C6074"/>
    <w:rsid w:val="006D03F2"/>
    <w:rsid w:val="006D076D"/>
    <w:rsid w:val="006D0888"/>
    <w:rsid w:val="006D1099"/>
    <w:rsid w:val="006D1672"/>
    <w:rsid w:val="006D21CC"/>
    <w:rsid w:val="006D2469"/>
    <w:rsid w:val="006D27AB"/>
    <w:rsid w:val="006D2A1C"/>
    <w:rsid w:val="006D2EE3"/>
    <w:rsid w:val="006D355A"/>
    <w:rsid w:val="006D4B00"/>
    <w:rsid w:val="006D4D49"/>
    <w:rsid w:val="006D57F7"/>
    <w:rsid w:val="006D6125"/>
    <w:rsid w:val="006D6165"/>
    <w:rsid w:val="006D62C5"/>
    <w:rsid w:val="006D680A"/>
    <w:rsid w:val="006D6E15"/>
    <w:rsid w:val="006D79C8"/>
    <w:rsid w:val="006D7F10"/>
    <w:rsid w:val="006D7F8E"/>
    <w:rsid w:val="006E02A3"/>
    <w:rsid w:val="006E1F2B"/>
    <w:rsid w:val="006E23C0"/>
    <w:rsid w:val="006E243A"/>
    <w:rsid w:val="006E2CEC"/>
    <w:rsid w:val="006E2DA3"/>
    <w:rsid w:val="006E4FD4"/>
    <w:rsid w:val="006E5039"/>
    <w:rsid w:val="006E5255"/>
    <w:rsid w:val="006E6DAC"/>
    <w:rsid w:val="006E7099"/>
    <w:rsid w:val="006E7C89"/>
    <w:rsid w:val="006E7CF6"/>
    <w:rsid w:val="006F0873"/>
    <w:rsid w:val="006F0882"/>
    <w:rsid w:val="006F15C8"/>
    <w:rsid w:val="006F23A7"/>
    <w:rsid w:val="006F263D"/>
    <w:rsid w:val="006F2773"/>
    <w:rsid w:val="006F309E"/>
    <w:rsid w:val="006F4355"/>
    <w:rsid w:val="006F4BAC"/>
    <w:rsid w:val="006F4C47"/>
    <w:rsid w:val="006F53FC"/>
    <w:rsid w:val="006F55B3"/>
    <w:rsid w:val="006F5C44"/>
    <w:rsid w:val="006F5CF3"/>
    <w:rsid w:val="006F5D73"/>
    <w:rsid w:val="006F79A0"/>
    <w:rsid w:val="006F7DE2"/>
    <w:rsid w:val="007011CA"/>
    <w:rsid w:val="0070252D"/>
    <w:rsid w:val="007033EE"/>
    <w:rsid w:val="00703A3F"/>
    <w:rsid w:val="00703B28"/>
    <w:rsid w:val="00703F24"/>
    <w:rsid w:val="0070404A"/>
    <w:rsid w:val="0070487E"/>
    <w:rsid w:val="00706E1B"/>
    <w:rsid w:val="007075D5"/>
    <w:rsid w:val="00711467"/>
    <w:rsid w:val="00711558"/>
    <w:rsid w:val="00712DF8"/>
    <w:rsid w:val="00712F7B"/>
    <w:rsid w:val="007137A0"/>
    <w:rsid w:val="007137FA"/>
    <w:rsid w:val="00713C40"/>
    <w:rsid w:val="00714D2D"/>
    <w:rsid w:val="00716F98"/>
    <w:rsid w:val="007173B7"/>
    <w:rsid w:val="007174E4"/>
    <w:rsid w:val="007213E0"/>
    <w:rsid w:val="00721648"/>
    <w:rsid w:val="007221DA"/>
    <w:rsid w:val="007225A3"/>
    <w:rsid w:val="00723D51"/>
    <w:rsid w:val="00723FA4"/>
    <w:rsid w:val="007241F1"/>
    <w:rsid w:val="0072592D"/>
    <w:rsid w:val="00725CF4"/>
    <w:rsid w:val="00725E03"/>
    <w:rsid w:val="00726433"/>
    <w:rsid w:val="00726E69"/>
    <w:rsid w:val="00726F8B"/>
    <w:rsid w:val="0072733E"/>
    <w:rsid w:val="00730402"/>
    <w:rsid w:val="00730DAD"/>
    <w:rsid w:val="007310B7"/>
    <w:rsid w:val="00731211"/>
    <w:rsid w:val="00731D48"/>
    <w:rsid w:val="007328B7"/>
    <w:rsid w:val="007337BA"/>
    <w:rsid w:val="00733B4C"/>
    <w:rsid w:val="00733FF3"/>
    <w:rsid w:val="007342E2"/>
    <w:rsid w:val="00734AF7"/>
    <w:rsid w:val="00734AFE"/>
    <w:rsid w:val="00734EE4"/>
    <w:rsid w:val="00735BEB"/>
    <w:rsid w:val="00736833"/>
    <w:rsid w:val="007372FD"/>
    <w:rsid w:val="0073758A"/>
    <w:rsid w:val="0074136B"/>
    <w:rsid w:val="00742C06"/>
    <w:rsid w:val="00742F02"/>
    <w:rsid w:val="00743193"/>
    <w:rsid w:val="007434F9"/>
    <w:rsid w:val="007439B2"/>
    <w:rsid w:val="007449EF"/>
    <w:rsid w:val="00744B7B"/>
    <w:rsid w:val="007450B1"/>
    <w:rsid w:val="00745DED"/>
    <w:rsid w:val="0074621A"/>
    <w:rsid w:val="00750755"/>
    <w:rsid w:val="00750C37"/>
    <w:rsid w:val="00751042"/>
    <w:rsid w:val="00751478"/>
    <w:rsid w:val="007517FE"/>
    <w:rsid w:val="00753211"/>
    <w:rsid w:val="007544D2"/>
    <w:rsid w:val="00754AF2"/>
    <w:rsid w:val="00754DFF"/>
    <w:rsid w:val="00756C4B"/>
    <w:rsid w:val="00756FC2"/>
    <w:rsid w:val="00757276"/>
    <w:rsid w:val="007572EE"/>
    <w:rsid w:val="007575B3"/>
    <w:rsid w:val="0075784A"/>
    <w:rsid w:val="00757A23"/>
    <w:rsid w:val="007602ED"/>
    <w:rsid w:val="007608B6"/>
    <w:rsid w:val="007614A9"/>
    <w:rsid w:val="00761CC1"/>
    <w:rsid w:val="007623E4"/>
    <w:rsid w:val="00762C26"/>
    <w:rsid w:val="0076417E"/>
    <w:rsid w:val="007648C4"/>
    <w:rsid w:val="00764921"/>
    <w:rsid w:val="00764F33"/>
    <w:rsid w:val="007676CF"/>
    <w:rsid w:val="00770F98"/>
    <w:rsid w:val="007712EE"/>
    <w:rsid w:val="007715C1"/>
    <w:rsid w:val="00771631"/>
    <w:rsid w:val="00771D88"/>
    <w:rsid w:val="00772DB0"/>
    <w:rsid w:val="007731D9"/>
    <w:rsid w:val="0077349B"/>
    <w:rsid w:val="00774EEB"/>
    <w:rsid w:val="00775242"/>
    <w:rsid w:val="00775BCC"/>
    <w:rsid w:val="00775D00"/>
    <w:rsid w:val="00775E19"/>
    <w:rsid w:val="007766EA"/>
    <w:rsid w:val="0077771A"/>
    <w:rsid w:val="007803E1"/>
    <w:rsid w:val="00780F3A"/>
    <w:rsid w:val="00780FA6"/>
    <w:rsid w:val="0078110C"/>
    <w:rsid w:val="00781E02"/>
    <w:rsid w:val="00782507"/>
    <w:rsid w:val="00782BE1"/>
    <w:rsid w:val="00782CE2"/>
    <w:rsid w:val="007836D5"/>
    <w:rsid w:val="00783976"/>
    <w:rsid w:val="00783DFC"/>
    <w:rsid w:val="0078422F"/>
    <w:rsid w:val="00784769"/>
    <w:rsid w:val="00784DC2"/>
    <w:rsid w:val="007855D2"/>
    <w:rsid w:val="0078572C"/>
    <w:rsid w:val="00785A4A"/>
    <w:rsid w:val="007877C5"/>
    <w:rsid w:val="007878A8"/>
    <w:rsid w:val="007879DC"/>
    <w:rsid w:val="00787B52"/>
    <w:rsid w:val="007901AE"/>
    <w:rsid w:val="00790C81"/>
    <w:rsid w:val="007910DC"/>
    <w:rsid w:val="007926FD"/>
    <w:rsid w:val="00792B6B"/>
    <w:rsid w:val="007948B5"/>
    <w:rsid w:val="0079545F"/>
    <w:rsid w:val="00796103"/>
    <w:rsid w:val="00796FED"/>
    <w:rsid w:val="007973D1"/>
    <w:rsid w:val="00797CAD"/>
    <w:rsid w:val="00797D84"/>
    <w:rsid w:val="00797F9B"/>
    <w:rsid w:val="007A01D2"/>
    <w:rsid w:val="007A0255"/>
    <w:rsid w:val="007A2FF6"/>
    <w:rsid w:val="007A38E5"/>
    <w:rsid w:val="007A3C95"/>
    <w:rsid w:val="007A4BCF"/>
    <w:rsid w:val="007A5399"/>
    <w:rsid w:val="007A5EA8"/>
    <w:rsid w:val="007A648F"/>
    <w:rsid w:val="007A6CAA"/>
    <w:rsid w:val="007A6DF2"/>
    <w:rsid w:val="007A6E2E"/>
    <w:rsid w:val="007A761C"/>
    <w:rsid w:val="007A7FE6"/>
    <w:rsid w:val="007B0225"/>
    <w:rsid w:val="007B1498"/>
    <w:rsid w:val="007B1993"/>
    <w:rsid w:val="007B19BD"/>
    <w:rsid w:val="007B1A5B"/>
    <w:rsid w:val="007B2609"/>
    <w:rsid w:val="007B28AE"/>
    <w:rsid w:val="007B3A30"/>
    <w:rsid w:val="007B3F28"/>
    <w:rsid w:val="007B3FC5"/>
    <w:rsid w:val="007B4CC7"/>
    <w:rsid w:val="007B4CE9"/>
    <w:rsid w:val="007B4E65"/>
    <w:rsid w:val="007B5166"/>
    <w:rsid w:val="007B53CC"/>
    <w:rsid w:val="007B6D47"/>
    <w:rsid w:val="007B776C"/>
    <w:rsid w:val="007C0AED"/>
    <w:rsid w:val="007C1A7D"/>
    <w:rsid w:val="007C2F8C"/>
    <w:rsid w:val="007C38F5"/>
    <w:rsid w:val="007C3B64"/>
    <w:rsid w:val="007C4892"/>
    <w:rsid w:val="007C51C9"/>
    <w:rsid w:val="007C59B3"/>
    <w:rsid w:val="007C59C8"/>
    <w:rsid w:val="007C5D27"/>
    <w:rsid w:val="007C5DEA"/>
    <w:rsid w:val="007C6279"/>
    <w:rsid w:val="007C6664"/>
    <w:rsid w:val="007C6EA8"/>
    <w:rsid w:val="007C7549"/>
    <w:rsid w:val="007C7631"/>
    <w:rsid w:val="007C78AA"/>
    <w:rsid w:val="007C7C64"/>
    <w:rsid w:val="007D0396"/>
    <w:rsid w:val="007D0707"/>
    <w:rsid w:val="007D10FE"/>
    <w:rsid w:val="007D1B22"/>
    <w:rsid w:val="007D1C17"/>
    <w:rsid w:val="007D2559"/>
    <w:rsid w:val="007D2587"/>
    <w:rsid w:val="007D2C97"/>
    <w:rsid w:val="007D2FA2"/>
    <w:rsid w:val="007D3D6E"/>
    <w:rsid w:val="007D455D"/>
    <w:rsid w:val="007E0451"/>
    <w:rsid w:val="007E1496"/>
    <w:rsid w:val="007E1887"/>
    <w:rsid w:val="007E18DE"/>
    <w:rsid w:val="007E1A87"/>
    <w:rsid w:val="007E2CCD"/>
    <w:rsid w:val="007E3854"/>
    <w:rsid w:val="007E3D27"/>
    <w:rsid w:val="007E3FD0"/>
    <w:rsid w:val="007E40A8"/>
    <w:rsid w:val="007E434D"/>
    <w:rsid w:val="007E4AAD"/>
    <w:rsid w:val="007E4F34"/>
    <w:rsid w:val="007E50BF"/>
    <w:rsid w:val="007E50E5"/>
    <w:rsid w:val="007E5652"/>
    <w:rsid w:val="007E578F"/>
    <w:rsid w:val="007E5965"/>
    <w:rsid w:val="007E6BF8"/>
    <w:rsid w:val="007E78F7"/>
    <w:rsid w:val="007E7E5D"/>
    <w:rsid w:val="007E7FF7"/>
    <w:rsid w:val="007F0538"/>
    <w:rsid w:val="007F0F1C"/>
    <w:rsid w:val="007F258F"/>
    <w:rsid w:val="007F25AE"/>
    <w:rsid w:val="007F29DA"/>
    <w:rsid w:val="007F2A77"/>
    <w:rsid w:val="007F2AB8"/>
    <w:rsid w:val="007F2AC8"/>
    <w:rsid w:val="007F2E81"/>
    <w:rsid w:val="007F3ACE"/>
    <w:rsid w:val="007F497C"/>
    <w:rsid w:val="007F50E9"/>
    <w:rsid w:val="007F522E"/>
    <w:rsid w:val="007F751D"/>
    <w:rsid w:val="0080013A"/>
    <w:rsid w:val="00800688"/>
    <w:rsid w:val="00800B92"/>
    <w:rsid w:val="00802183"/>
    <w:rsid w:val="00802941"/>
    <w:rsid w:val="008029E3"/>
    <w:rsid w:val="008034AC"/>
    <w:rsid w:val="008035E7"/>
    <w:rsid w:val="008040F3"/>
    <w:rsid w:val="008042EB"/>
    <w:rsid w:val="00805F9B"/>
    <w:rsid w:val="0080610A"/>
    <w:rsid w:val="008100B6"/>
    <w:rsid w:val="00810C53"/>
    <w:rsid w:val="00810D8D"/>
    <w:rsid w:val="0081101F"/>
    <w:rsid w:val="00811B6D"/>
    <w:rsid w:val="0081284C"/>
    <w:rsid w:val="00812950"/>
    <w:rsid w:val="00813352"/>
    <w:rsid w:val="0081355D"/>
    <w:rsid w:val="00813681"/>
    <w:rsid w:val="00813C27"/>
    <w:rsid w:val="00813D88"/>
    <w:rsid w:val="008142C9"/>
    <w:rsid w:val="0081465C"/>
    <w:rsid w:val="00814BBD"/>
    <w:rsid w:val="008150FB"/>
    <w:rsid w:val="008151D0"/>
    <w:rsid w:val="008153B0"/>
    <w:rsid w:val="00815864"/>
    <w:rsid w:val="0081695F"/>
    <w:rsid w:val="00817256"/>
    <w:rsid w:val="00817394"/>
    <w:rsid w:val="0082006E"/>
    <w:rsid w:val="00820DC1"/>
    <w:rsid w:val="00822496"/>
    <w:rsid w:val="00822DB0"/>
    <w:rsid w:val="008233EB"/>
    <w:rsid w:val="00823B43"/>
    <w:rsid w:val="00823E15"/>
    <w:rsid w:val="00824101"/>
    <w:rsid w:val="00825D2F"/>
    <w:rsid w:val="00826558"/>
    <w:rsid w:val="00826CEB"/>
    <w:rsid w:val="00827105"/>
    <w:rsid w:val="0082744B"/>
    <w:rsid w:val="0082784E"/>
    <w:rsid w:val="00827E47"/>
    <w:rsid w:val="00831E46"/>
    <w:rsid w:val="008321B3"/>
    <w:rsid w:val="00832367"/>
    <w:rsid w:val="00832424"/>
    <w:rsid w:val="0083251F"/>
    <w:rsid w:val="00832699"/>
    <w:rsid w:val="00832D80"/>
    <w:rsid w:val="00834537"/>
    <w:rsid w:val="00834B4F"/>
    <w:rsid w:val="00835006"/>
    <w:rsid w:val="00835D1D"/>
    <w:rsid w:val="00835F87"/>
    <w:rsid w:val="00836EF5"/>
    <w:rsid w:val="00837497"/>
    <w:rsid w:val="00837CF5"/>
    <w:rsid w:val="00837E70"/>
    <w:rsid w:val="00840BBD"/>
    <w:rsid w:val="008418E1"/>
    <w:rsid w:val="008419A2"/>
    <w:rsid w:val="00841C1C"/>
    <w:rsid w:val="00843084"/>
    <w:rsid w:val="00843B8A"/>
    <w:rsid w:val="00843F32"/>
    <w:rsid w:val="0084430D"/>
    <w:rsid w:val="00844311"/>
    <w:rsid w:val="00845465"/>
    <w:rsid w:val="00845D41"/>
    <w:rsid w:val="00845DBD"/>
    <w:rsid w:val="008464BA"/>
    <w:rsid w:val="00846891"/>
    <w:rsid w:val="00846A68"/>
    <w:rsid w:val="00846BB2"/>
    <w:rsid w:val="008474E0"/>
    <w:rsid w:val="00847BAE"/>
    <w:rsid w:val="00851378"/>
    <w:rsid w:val="00851499"/>
    <w:rsid w:val="00851AB1"/>
    <w:rsid w:val="00851DA6"/>
    <w:rsid w:val="00852750"/>
    <w:rsid w:val="00852BCD"/>
    <w:rsid w:val="008535DE"/>
    <w:rsid w:val="00853DDD"/>
    <w:rsid w:val="0085458E"/>
    <w:rsid w:val="00854B9E"/>
    <w:rsid w:val="00856887"/>
    <w:rsid w:val="00856EA1"/>
    <w:rsid w:val="00856F5E"/>
    <w:rsid w:val="008577F4"/>
    <w:rsid w:val="00857912"/>
    <w:rsid w:val="00857A3C"/>
    <w:rsid w:val="00857B2B"/>
    <w:rsid w:val="00857F67"/>
    <w:rsid w:val="008603A2"/>
    <w:rsid w:val="00860574"/>
    <w:rsid w:val="0086083B"/>
    <w:rsid w:val="008608CE"/>
    <w:rsid w:val="008613AB"/>
    <w:rsid w:val="008632E9"/>
    <w:rsid w:val="00863481"/>
    <w:rsid w:val="0086474E"/>
    <w:rsid w:val="008659F4"/>
    <w:rsid w:val="00866370"/>
    <w:rsid w:val="00866EEE"/>
    <w:rsid w:val="008703B9"/>
    <w:rsid w:val="00870806"/>
    <w:rsid w:val="00870A18"/>
    <w:rsid w:val="00870B05"/>
    <w:rsid w:val="008713DD"/>
    <w:rsid w:val="00871CEA"/>
    <w:rsid w:val="00873D0C"/>
    <w:rsid w:val="00874433"/>
    <w:rsid w:val="008749FC"/>
    <w:rsid w:val="00875723"/>
    <w:rsid w:val="00875731"/>
    <w:rsid w:val="00875FA9"/>
    <w:rsid w:val="00876215"/>
    <w:rsid w:val="00876719"/>
    <w:rsid w:val="00876843"/>
    <w:rsid w:val="008770D3"/>
    <w:rsid w:val="008775A5"/>
    <w:rsid w:val="00877744"/>
    <w:rsid w:val="0088031D"/>
    <w:rsid w:val="008809C5"/>
    <w:rsid w:val="008829C7"/>
    <w:rsid w:val="00882B16"/>
    <w:rsid w:val="00882F22"/>
    <w:rsid w:val="00885682"/>
    <w:rsid w:val="00885A5F"/>
    <w:rsid w:val="00885C19"/>
    <w:rsid w:val="00885CB5"/>
    <w:rsid w:val="0088657B"/>
    <w:rsid w:val="00886AC5"/>
    <w:rsid w:val="00886C6E"/>
    <w:rsid w:val="0088700E"/>
    <w:rsid w:val="008877AD"/>
    <w:rsid w:val="008878E6"/>
    <w:rsid w:val="00887C6C"/>
    <w:rsid w:val="008904DA"/>
    <w:rsid w:val="008905B5"/>
    <w:rsid w:val="00890ECA"/>
    <w:rsid w:val="0089103F"/>
    <w:rsid w:val="00891BB2"/>
    <w:rsid w:val="008921C9"/>
    <w:rsid w:val="008929D9"/>
    <w:rsid w:val="00892EBC"/>
    <w:rsid w:val="0089399A"/>
    <w:rsid w:val="00893D95"/>
    <w:rsid w:val="00894E41"/>
    <w:rsid w:val="00895351"/>
    <w:rsid w:val="00895D6F"/>
    <w:rsid w:val="008A1007"/>
    <w:rsid w:val="008A121F"/>
    <w:rsid w:val="008A1525"/>
    <w:rsid w:val="008A226D"/>
    <w:rsid w:val="008A41FD"/>
    <w:rsid w:val="008A47B8"/>
    <w:rsid w:val="008A4CEA"/>
    <w:rsid w:val="008A53A6"/>
    <w:rsid w:val="008A5ABE"/>
    <w:rsid w:val="008A5DCE"/>
    <w:rsid w:val="008A6749"/>
    <w:rsid w:val="008A733E"/>
    <w:rsid w:val="008A76FB"/>
    <w:rsid w:val="008A7D9B"/>
    <w:rsid w:val="008B0015"/>
    <w:rsid w:val="008B0579"/>
    <w:rsid w:val="008B0B54"/>
    <w:rsid w:val="008B0C7C"/>
    <w:rsid w:val="008B0FF3"/>
    <w:rsid w:val="008B124E"/>
    <w:rsid w:val="008B14C3"/>
    <w:rsid w:val="008B15A2"/>
    <w:rsid w:val="008B1D15"/>
    <w:rsid w:val="008B2092"/>
    <w:rsid w:val="008B280C"/>
    <w:rsid w:val="008B2D57"/>
    <w:rsid w:val="008B2DEC"/>
    <w:rsid w:val="008B4BC5"/>
    <w:rsid w:val="008B4F2E"/>
    <w:rsid w:val="008B5665"/>
    <w:rsid w:val="008B58F6"/>
    <w:rsid w:val="008B6047"/>
    <w:rsid w:val="008B6475"/>
    <w:rsid w:val="008B6995"/>
    <w:rsid w:val="008B69D1"/>
    <w:rsid w:val="008B7162"/>
    <w:rsid w:val="008B794B"/>
    <w:rsid w:val="008B7F4A"/>
    <w:rsid w:val="008C1119"/>
    <w:rsid w:val="008C148B"/>
    <w:rsid w:val="008C1C3C"/>
    <w:rsid w:val="008C2260"/>
    <w:rsid w:val="008C2420"/>
    <w:rsid w:val="008C2562"/>
    <w:rsid w:val="008C326F"/>
    <w:rsid w:val="008C3A44"/>
    <w:rsid w:val="008C3AAE"/>
    <w:rsid w:val="008C41A5"/>
    <w:rsid w:val="008C5297"/>
    <w:rsid w:val="008C59F4"/>
    <w:rsid w:val="008C5D40"/>
    <w:rsid w:val="008C6519"/>
    <w:rsid w:val="008C657E"/>
    <w:rsid w:val="008C680D"/>
    <w:rsid w:val="008C6D81"/>
    <w:rsid w:val="008C6DB3"/>
    <w:rsid w:val="008C7040"/>
    <w:rsid w:val="008C73AC"/>
    <w:rsid w:val="008C782A"/>
    <w:rsid w:val="008C7B41"/>
    <w:rsid w:val="008C7BC4"/>
    <w:rsid w:val="008D0895"/>
    <w:rsid w:val="008D094B"/>
    <w:rsid w:val="008D0AE4"/>
    <w:rsid w:val="008D2325"/>
    <w:rsid w:val="008D2E74"/>
    <w:rsid w:val="008D3440"/>
    <w:rsid w:val="008D3626"/>
    <w:rsid w:val="008D44CE"/>
    <w:rsid w:val="008D4FEC"/>
    <w:rsid w:val="008D5562"/>
    <w:rsid w:val="008D564D"/>
    <w:rsid w:val="008D586A"/>
    <w:rsid w:val="008D5C4B"/>
    <w:rsid w:val="008D5C93"/>
    <w:rsid w:val="008D6A62"/>
    <w:rsid w:val="008D728E"/>
    <w:rsid w:val="008D7969"/>
    <w:rsid w:val="008E0113"/>
    <w:rsid w:val="008E08F3"/>
    <w:rsid w:val="008E0B31"/>
    <w:rsid w:val="008E15C8"/>
    <w:rsid w:val="008E2170"/>
    <w:rsid w:val="008E265A"/>
    <w:rsid w:val="008E2B38"/>
    <w:rsid w:val="008E2D94"/>
    <w:rsid w:val="008E3B1E"/>
    <w:rsid w:val="008E3F03"/>
    <w:rsid w:val="008E3F62"/>
    <w:rsid w:val="008E452B"/>
    <w:rsid w:val="008E4F1E"/>
    <w:rsid w:val="008E5083"/>
    <w:rsid w:val="008E5C52"/>
    <w:rsid w:val="008E621F"/>
    <w:rsid w:val="008E7358"/>
    <w:rsid w:val="008E78A3"/>
    <w:rsid w:val="008E7E31"/>
    <w:rsid w:val="008F01EF"/>
    <w:rsid w:val="008F1B60"/>
    <w:rsid w:val="008F1D59"/>
    <w:rsid w:val="008F1D84"/>
    <w:rsid w:val="008F2A9C"/>
    <w:rsid w:val="008F2FC5"/>
    <w:rsid w:val="008F4E17"/>
    <w:rsid w:val="008F5572"/>
    <w:rsid w:val="008F5EA2"/>
    <w:rsid w:val="008F6636"/>
    <w:rsid w:val="008F69FF"/>
    <w:rsid w:val="008F6B9E"/>
    <w:rsid w:val="008F6F8F"/>
    <w:rsid w:val="00901196"/>
    <w:rsid w:val="00901273"/>
    <w:rsid w:val="0090128A"/>
    <w:rsid w:val="00901500"/>
    <w:rsid w:val="00901758"/>
    <w:rsid w:val="00902917"/>
    <w:rsid w:val="00902FD7"/>
    <w:rsid w:val="00903BBE"/>
    <w:rsid w:val="00904229"/>
    <w:rsid w:val="0090530A"/>
    <w:rsid w:val="009065EA"/>
    <w:rsid w:val="00906F26"/>
    <w:rsid w:val="00906FB1"/>
    <w:rsid w:val="009073D4"/>
    <w:rsid w:val="0090784B"/>
    <w:rsid w:val="0090787B"/>
    <w:rsid w:val="00907F65"/>
    <w:rsid w:val="00912829"/>
    <w:rsid w:val="00912A36"/>
    <w:rsid w:val="00913A00"/>
    <w:rsid w:val="00914903"/>
    <w:rsid w:val="00914CD0"/>
    <w:rsid w:val="00915352"/>
    <w:rsid w:val="00916230"/>
    <w:rsid w:val="00916A01"/>
    <w:rsid w:val="00917598"/>
    <w:rsid w:val="00917AC4"/>
    <w:rsid w:val="00917BCA"/>
    <w:rsid w:val="00917BD8"/>
    <w:rsid w:val="00917D82"/>
    <w:rsid w:val="00920285"/>
    <w:rsid w:val="009203C6"/>
    <w:rsid w:val="009208C1"/>
    <w:rsid w:val="00921419"/>
    <w:rsid w:val="009214C8"/>
    <w:rsid w:val="00921551"/>
    <w:rsid w:val="0092196C"/>
    <w:rsid w:val="00921C47"/>
    <w:rsid w:val="00921E96"/>
    <w:rsid w:val="00922051"/>
    <w:rsid w:val="009220BC"/>
    <w:rsid w:val="0092312B"/>
    <w:rsid w:val="00923199"/>
    <w:rsid w:val="0092361B"/>
    <w:rsid w:val="0092370E"/>
    <w:rsid w:val="00924159"/>
    <w:rsid w:val="00924992"/>
    <w:rsid w:val="00924A16"/>
    <w:rsid w:val="009256B1"/>
    <w:rsid w:val="009259A7"/>
    <w:rsid w:val="009271C1"/>
    <w:rsid w:val="00927815"/>
    <w:rsid w:val="0093030A"/>
    <w:rsid w:val="00930310"/>
    <w:rsid w:val="00931A37"/>
    <w:rsid w:val="00932E3A"/>
    <w:rsid w:val="00932E4D"/>
    <w:rsid w:val="009338E2"/>
    <w:rsid w:val="00933DCC"/>
    <w:rsid w:val="00934E27"/>
    <w:rsid w:val="009352A2"/>
    <w:rsid w:val="00935487"/>
    <w:rsid w:val="00935584"/>
    <w:rsid w:val="00935887"/>
    <w:rsid w:val="00935B7A"/>
    <w:rsid w:val="009366EE"/>
    <w:rsid w:val="00937C1D"/>
    <w:rsid w:val="00940291"/>
    <w:rsid w:val="0094107E"/>
    <w:rsid w:val="00941896"/>
    <w:rsid w:val="00941C40"/>
    <w:rsid w:val="00943160"/>
    <w:rsid w:val="009444F9"/>
    <w:rsid w:val="009448BC"/>
    <w:rsid w:val="0094594F"/>
    <w:rsid w:val="00945FB8"/>
    <w:rsid w:val="00946058"/>
    <w:rsid w:val="009464E8"/>
    <w:rsid w:val="00947011"/>
    <w:rsid w:val="00947B87"/>
    <w:rsid w:val="00947D4F"/>
    <w:rsid w:val="00947E4F"/>
    <w:rsid w:val="00950BC6"/>
    <w:rsid w:val="009513F9"/>
    <w:rsid w:val="00951451"/>
    <w:rsid w:val="00952312"/>
    <w:rsid w:val="009538EE"/>
    <w:rsid w:val="009541EC"/>
    <w:rsid w:val="00954383"/>
    <w:rsid w:val="00954C91"/>
    <w:rsid w:val="009557B9"/>
    <w:rsid w:val="0095739C"/>
    <w:rsid w:val="0095750D"/>
    <w:rsid w:val="00957646"/>
    <w:rsid w:val="00957F91"/>
    <w:rsid w:val="00960A8B"/>
    <w:rsid w:val="00960E75"/>
    <w:rsid w:val="00961444"/>
    <w:rsid w:val="0096196B"/>
    <w:rsid w:val="0096383F"/>
    <w:rsid w:val="00963FDE"/>
    <w:rsid w:val="0096421C"/>
    <w:rsid w:val="00964759"/>
    <w:rsid w:val="00964DE8"/>
    <w:rsid w:val="00965229"/>
    <w:rsid w:val="00966223"/>
    <w:rsid w:val="00966B36"/>
    <w:rsid w:val="00967040"/>
    <w:rsid w:val="00967730"/>
    <w:rsid w:val="00970859"/>
    <w:rsid w:val="00970DE0"/>
    <w:rsid w:val="00971210"/>
    <w:rsid w:val="00971C77"/>
    <w:rsid w:val="00972013"/>
    <w:rsid w:val="00972AA4"/>
    <w:rsid w:val="00972AB1"/>
    <w:rsid w:val="009730C2"/>
    <w:rsid w:val="00973143"/>
    <w:rsid w:val="00973EFF"/>
    <w:rsid w:val="00974203"/>
    <w:rsid w:val="009745A1"/>
    <w:rsid w:val="009748B1"/>
    <w:rsid w:val="00974F81"/>
    <w:rsid w:val="00975DDD"/>
    <w:rsid w:val="00977D96"/>
    <w:rsid w:val="0098088B"/>
    <w:rsid w:val="00981111"/>
    <w:rsid w:val="009815F0"/>
    <w:rsid w:val="00981985"/>
    <w:rsid w:val="009832FF"/>
    <w:rsid w:val="00983D48"/>
    <w:rsid w:val="00984D2F"/>
    <w:rsid w:val="009855EC"/>
    <w:rsid w:val="00986220"/>
    <w:rsid w:val="00986567"/>
    <w:rsid w:val="00986607"/>
    <w:rsid w:val="00987070"/>
    <w:rsid w:val="00987511"/>
    <w:rsid w:val="00987E30"/>
    <w:rsid w:val="0099189E"/>
    <w:rsid w:val="009922EF"/>
    <w:rsid w:val="009946C9"/>
    <w:rsid w:val="00995386"/>
    <w:rsid w:val="00997526"/>
    <w:rsid w:val="00997CB8"/>
    <w:rsid w:val="00997F12"/>
    <w:rsid w:val="009A1014"/>
    <w:rsid w:val="009A1379"/>
    <w:rsid w:val="009A14C5"/>
    <w:rsid w:val="009A14D1"/>
    <w:rsid w:val="009A2291"/>
    <w:rsid w:val="009A2B64"/>
    <w:rsid w:val="009A2E3E"/>
    <w:rsid w:val="009A3736"/>
    <w:rsid w:val="009A5ADE"/>
    <w:rsid w:val="009A620D"/>
    <w:rsid w:val="009A69A0"/>
    <w:rsid w:val="009A7AC4"/>
    <w:rsid w:val="009B0C84"/>
    <w:rsid w:val="009B0EEB"/>
    <w:rsid w:val="009B10DF"/>
    <w:rsid w:val="009B1AF2"/>
    <w:rsid w:val="009B1B48"/>
    <w:rsid w:val="009B1DE6"/>
    <w:rsid w:val="009B2FCD"/>
    <w:rsid w:val="009B42EE"/>
    <w:rsid w:val="009B44D2"/>
    <w:rsid w:val="009B65CA"/>
    <w:rsid w:val="009B6EA0"/>
    <w:rsid w:val="009C013E"/>
    <w:rsid w:val="009C01BC"/>
    <w:rsid w:val="009C1F67"/>
    <w:rsid w:val="009C2023"/>
    <w:rsid w:val="009C24D6"/>
    <w:rsid w:val="009C2562"/>
    <w:rsid w:val="009C3EE8"/>
    <w:rsid w:val="009C4536"/>
    <w:rsid w:val="009C4A9D"/>
    <w:rsid w:val="009C557C"/>
    <w:rsid w:val="009C5CE0"/>
    <w:rsid w:val="009C5D48"/>
    <w:rsid w:val="009C6232"/>
    <w:rsid w:val="009C635D"/>
    <w:rsid w:val="009C6607"/>
    <w:rsid w:val="009C661D"/>
    <w:rsid w:val="009C6A08"/>
    <w:rsid w:val="009C6C2C"/>
    <w:rsid w:val="009C73E2"/>
    <w:rsid w:val="009C7C86"/>
    <w:rsid w:val="009C7DAC"/>
    <w:rsid w:val="009D031B"/>
    <w:rsid w:val="009D04F3"/>
    <w:rsid w:val="009D0D10"/>
    <w:rsid w:val="009D106F"/>
    <w:rsid w:val="009D1B47"/>
    <w:rsid w:val="009D1DA4"/>
    <w:rsid w:val="009D250D"/>
    <w:rsid w:val="009D2541"/>
    <w:rsid w:val="009D3334"/>
    <w:rsid w:val="009D3973"/>
    <w:rsid w:val="009D3E75"/>
    <w:rsid w:val="009D3ED9"/>
    <w:rsid w:val="009D41F8"/>
    <w:rsid w:val="009D4DF7"/>
    <w:rsid w:val="009D53DD"/>
    <w:rsid w:val="009D5547"/>
    <w:rsid w:val="009D592F"/>
    <w:rsid w:val="009D6310"/>
    <w:rsid w:val="009D63A1"/>
    <w:rsid w:val="009D6419"/>
    <w:rsid w:val="009D7054"/>
    <w:rsid w:val="009D743C"/>
    <w:rsid w:val="009D75B9"/>
    <w:rsid w:val="009D7675"/>
    <w:rsid w:val="009D7DB6"/>
    <w:rsid w:val="009E0049"/>
    <w:rsid w:val="009E0B28"/>
    <w:rsid w:val="009E1931"/>
    <w:rsid w:val="009E1A66"/>
    <w:rsid w:val="009E1C15"/>
    <w:rsid w:val="009E20F8"/>
    <w:rsid w:val="009E2150"/>
    <w:rsid w:val="009E2967"/>
    <w:rsid w:val="009E339A"/>
    <w:rsid w:val="009E34C1"/>
    <w:rsid w:val="009E438F"/>
    <w:rsid w:val="009E53B7"/>
    <w:rsid w:val="009E53BA"/>
    <w:rsid w:val="009E5941"/>
    <w:rsid w:val="009E6171"/>
    <w:rsid w:val="009E62FB"/>
    <w:rsid w:val="009E6305"/>
    <w:rsid w:val="009E6433"/>
    <w:rsid w:val="009E6599"/>
    <w:rsid w:val="009E6814"/>
    <w:rsid w:val="009E6A25"/>
    <w:rsid w:val="009F0CF7"/>
    <w:rsid w:val="009F212F"/>
    <w:rsid w:val="009F2F65"/>
    <w:rsid w:val="009F3230"/>
    <w:rsid w:val="009F3419"/>
    <w:rsid w:val="009F3CB1"/>
    <w:rsid w:val="009F3CF9"/>
    <w:rsid w:val="009F482B"/>
    <w:rsid w:val="009F5A27"/>
    <w:rsid w:val="009F5D71"/>
    <w:rsid w:val="009F7FC1"/>
    <w:rsid w:val="00A00E86"/>
    <w:rsid w:val="00A01638"/>
    <w:rsid w:val="00A01B70"/>
    <w:rsid w:val="00A01E88"/>
    <w:rsid w:val="00A023C2"/>
    <w:rsid w:val="00A02770"/>
    <w:rsid w:val="00A0285A"/>
    <w:rsid w:val="00A03949"/>
    <w:rsid w:val="00A03B75"/>
    <w:rsid w:val="00A043AD"/>
    <w:rsid w:val="00A04798"/>
    <w:rsid w:val="00A04C90"/>
    <w:rsid w:val="00A04D16"/>
    <w:rsid w:val="00A05AEC"/>
    <w:rsid w:val="00A0641D"/>
    <w:rsid w:val="00A0768E"/>
    <w:rsid w:val="00A1108C"/>
    <w:rsid w:val="00A1129B"/>
    <w:rsid w:val="00A12947"/>
    <w:rsid w:val="00A1304B"/>
    <w:rsid w:val="00A132D6"/>
    <w:rsid w:val="00A13855"/>
    <w:rsid w:val="00A1406E"/>
    <w:rsid w:val="00A14342"/>
    <w:rsid w:val="00A1477E"/>
    <w:rsid w:val="00A14FC3"/>
    <w:rsid w:val="00A1501C"/>
    <w:rsid w:val="00A15398"/>
    <w:rsid w:val="00A16D28"/>
    <w:rsid w:val="00A16D8A"/>
    <w:rsid w:val="00A1713E"/>
    <w:rsid w:val="00A176B7"/>
    <w:rsid w:val="00A17804"/>
    <w:rsid w:val="00A20579"/>
    <w:rsid w:val="00A20754"/>
    <w:rsid w:val="00A20C25"/>
    <w:rsid w:val="00A2160C"/>
    <w:rsid w:val="00A21B74"/>
    <w:rsid w:val="00A22FD3"/>
    <w:rsid w:val="00A23040"/>
    <w:rsid w:val="00A2399F"/>
    <w:rsid w:val="00A23EB8"/>
    <w:rsid w:val="00A247E7"/>
    <w:rsid w:val="00A2492E"/>
    <w:rsid w:val="00A24EEA"/>
    <w:rsid w:val="00A2579D"/>
    <w:rsid w:val="00A25FC3"/>
    <w:rsid w:val="00A263CB"/>
    <w:rsid w:val="00A26427"/>
    <w:rsid w:val="00A27EC5"/>
    <w:rsid w:val="00A27EE4"/>
    <w:rsid w:val="00A3023B"/>
    <w:rsid w:val="00A307C5"/>
    <w:rsid w:val="00A30CFB"/>
    <w:rsid w:val="00A3151C"/>
    <w:rsid w:val="00A31B11"/>
    <w:rsid w:val="00A32057"/>
    <w:rsid w:val="00A32D50"/>
    <w:rsid w:val="00A32E6F"/>
    <w:rsid w:val="00A3348D"/>
    <w:rsid w:val="00A33829"/>
    <w:rsid w:val="00A33B06"/>
    <w:rsid w:val="00A33BF1"/>
    <w:rsid w:val="00A34756"/>
    <w:rsid w:val="00A35394"/>
    <w:rsid w:val="00A35DBE"/>
    <w:rsid w:val="00A35EDD"/>
    <w:rsid w:val="00A36E29"/>
    <w:rsid w:val="00A37957"/>
    <w:rsid w:val="00A37F6C"/>
    <w:rsid w:val="00A406DE"/>
    <w:rsid w:val="00A40D53"/>
    <w:rsid w:val="00A41757"/>
    <w:rsid w:val="00A41C6E"/>
    <w:rsid w:val="00A41E2C"/>
    <w:rsid w:val="00A422D4"/>
    <w:rsid w:val="00A425CF"/>
    <w:rsid w:val="00A42956"/>
    <w:rsid w:val="00A429BC"/>
    <w:rsid w:val="00A42E51"/>
    <w:rsid w:val="00A4396C"/>
    <w:rsid w:val="00A44057"/>
    <w:rsid w:val="00A45249"/>
    <w:rsid w:val="00A454DF"/>
    <w:rsid w:val="00A45DF0"/>
    <w:rsid w:val="00A460C5"/>
    <w:rsid w:val="00A46378"/>
    <w:rsid w:val="00A46ABD"/>
    <w:rsid w:val="00A46C22"/>
    <w:rsid w:val="00A470A0"/>
    <w:rsid w:val="00A470B9"/>
    <w:rsid w:val="00A47342"/>
    <w:rsid w:val="00A4795F"/>
    <w:rsid w:val="00A4799C"/>
    <w:rsid w:val="00A47C60"/>
    <w:rsid w:val="00A50F7C"/>
    <w:rsid w:val="00A50FCB"/>
    <w:rsid w:val="00A5103F"/>
    <w:rsid w:val="00A511E3"/>
    <w:rsid w:val="00A531D7"/>
    <w:rsid w:val="00A54968"/>
    <w:rsid w:val="00A54FF5"/>
    <w:rsid w:val="00A55402"/>
    <w:rsid w:val="00A56944"/>
    <w:rsid w:val="00A56AAB"/>
    <w:rsid w:val="00A606E2"/>
    <w:rsid w:val="00A60B71"/>
    <w:rsid w:val="00A611EF"/>
    <w:rsid w:val="00A61274"/>
    <w:rsid w:val="00A61930"/>
    <w:rsid w:val="00A61B0C"/>
    <w:rsid w:val="00A639DA"/>
    <w:rsid w:val="00A643BA"/>
    <w:rsid w:val="00A64918"/>
    <w:rsid w:val="00A64D98"/>
    <w:rsid w:val="00A65368"/>
    <w:rsid w:val="00A65B2E"/>
    <w:rsid w:val="00A66091"/>
    <w:rsid w:val="00A6627B"/>
    <w:rsid w:val="00A66281"/>
    <w:rsid w:val="00A66D7F"/>
    <w:rsid w:val="00A6736F"/>
    <w:rsid w:val="00A6799C"/>
    <w:rsid w:val="00A700AC"/>
    <w:rsid w:val="00A701BE"/>
    <w:rsid w:val="00A705C4"/>
    <w:rsid w:val="00A7074E"/>
    <w:rsid w:val="00A71936"/>
    <w:rsid w:val="00A71F7A"/>
    <w:rsid w:val="00A72102"/>
    <w:rsid w:val="00A72A85"/>
    <w:rsid w:val="00A72C67"/>
    <w:rsid w:val="00A72F8B"/>
    <w:rsid w:val="00A7492C"/>
    <w:rsid w:val="00A74CCF"/>
    <w:rsid w:val="00A75601"/>
    <w:rsid w:val="00A75CF5"/>
    <w:rsid w:val="00A76272"/>
    <w:rsid w:val="00A76868"/>
    <w:rsid w:val="00A76F3C"/>
    <w:rsid w:val="00A8037A"/>
    <w:rsid w:val="00A803A3"/>
    <w:rsid w:val="00A80770"/>
    <w:rsid w:val="00A80C71"/>
    <w:rsid w:val="00A811BC"/>
    <w:rsid w:val="00A81C65"/>
    <w:rsid w:val="00A81EEC"/>
    <w:rsid w:val="00A8215E"/>
    <w:rsid w:val="00A82B76"/>
    <w:rsid w:val="00A83191"/>
    <w:rsid w:val="00A83405"/>
    <w:rsid w:val="00A8348C"/>
    <w:rsid w:val="00A83620"/>
    <w:rsid w:val="00A839D3"/>
    <w:rsid w:val="00A83A26"/>
    <w:rsid w:val="00A84685"/>
    <w:rsid w:val="00A84AF1"/>
    <w:rsid w:val="00A854CA"/>
    <w:rsid w:val="00A86133"/>
    <w:rsid w:val="00A861AF"/>
    <w:rsid w:val="00A865BF"/>
    <w:rsid w:val="00A86B1F"/>
    <w:rsid w:val="00A87050"/>
    <w:rsid w:val="00A872D0"/>
    <w:rsid w:val="00A8756E"/>
    <w:rsid w:val="00A87920"/>
    <w:rsid w:val="00A9043B"/>
    <w:rsid w:val="00A9243F"/>
    <w:rsid w:val="00A9281E"/>
    <w:rsid w:val="00A93A69"/>
    <w:rsid w:val="00A93FA2"/>
    <w:rsid w:val="00A94096"/>
    <w:rsid w:val="00A9417C"/>
    <w:rsid w:val="00A9492A"/>
    <w:rsid w:val="00A94CEE"/>
    <w:rsid w:val="00A967CD"/>
    <w:rsid w:val="00AA060C"/>
    <w:rsid w:val="00AA0B6A"/>
    <w:rsid w:val="00AA1755"/>
    <w:rsid w:val="00AA18E7"/>
    <w:rsid w:val="00AA1CF5"/>
    <w:rsid w:val="00AA20C4"/>
    <w:rsid w:val="00AA284A"/>
    <w:rsid w:val="00AA3B2D"/>
    <w:rsid w:val="00AA3ED2"/>
    <w:rsid w:val="00AA42C8"/>
    <w:rsid w:val="00AA5276"/>
    <w:rsid w:val="00AA5398"/>
    <w:rsid w:val="00AA5776"/>
    <w:rsid w:val="00AA58E9"/>
    <w:rsid w:val="00AA621C"/>
    <w:rsid w:val="00AA6611"/>
    <w:rsid w:val="00AA662F"/>
    <w:rsid w:val="00AA6CB2"/>
    <w:rsid w:val="00AA74F3"/>
    <w:rsid w:val="00AA7949"/>
    <w:rsid w:val="00AA7A06"/>
    <w:rsid w:val="00AA7B22"/>
    <w:rsid w:val="00AB00D8"/>
    <w:rsid w:val="00AB1B3B"/>
    <w:rsid w:val="00AB1B3F"/>
    <w:rsid w:val="00AB1C99"/>
    <w:rsid w:val="00AB22EB"/>
    <w:rsid w:val="00AB297B"/>
    <w:rsid w:val="00AB2A36"/>
    <w:rsid w:val="00AB35B5"/>
    <w:rsid w:val="00AB363C"/>
    <w:rsid w:val="00AB36A1"/>
    <w:rsid w:val="00AB435F"/>
    <w:rsid w:val="00AB4E94"/>
    <w:rsid w:val="00AB5074"/>
    <w:rsid w:val="00AB5C7B"/>
    <w:rsid w:val="00AB6A38"/>
    <w:rsid w:val="00AB6ACB"/>
    <w:rsid w:val="00AB7666"/>
    <w:rsid w:val="00AB7DAC"/>
    <w:rsid w:val="00AC1BD8"/>
    <w:rsid w:val="00AC21B7"/>
    <w:rsid w:val="00AC359D"/>
    <w:rsid w:val="00AC35EC"/>
    <w:rsid w:val="00AC398A"/>
    <w:rsid w:val="00AC4308"/>
    <w:rsid w:val="00AC488A"/>
    <w:rsid w:val="00AC4CCD"/>
    <w:rsid w:val="00AC622F"/>
    <w:rsid w:val="00AC6FF0"/>
    <w:rsid w:val="00AC7898"/>
    <w:rsid w:val="00AC7F6F"/>
    <w:rsid w:val="00AD0515"/>
    <w:rsid w:val="00AD065E"/>
    <w:rsid w:val="00AD06D3"/>
    <w:rsid w:val="00AD09E9"/>
    <w:rsid w:val="00AD13D1"/>
    <w:rsid w:val="00AD1659"/>
    <w:rsid w:val="00AD17E2"/>
    <w:rsid w:val="00AD2D21"/>
    <w:rsid w:val="00AD31E0"/>
    <w:rsid w:val="00AD3228"/>
    <w:rsid w:val="00AD3C73"/>
    <w:rsid w:val="00AD45AA"/>
    <w:rsid w:val="00AD5077"/>
    <w:rsid w:val="00AD5212"/>
    <w:rsid w:val="00AD5316"/>
    <w:rsid w:val="00AD5611"/>
    <w:rsid w:val="00AD596E"/>
    <w:rsid w:val="00AD604D"/>
    <w:rsid w:val="00AD6139"/>
    <w:rsid w:val="00AD6AE4"/>
    <w:rsid w:val="00AE046E"/>
    <w:rsid w:val="00AE07CC"/>
    <w:rsid w:val="00AE0DCB"/>
    <w:rsid w:val="00AE16E1"/>
    <w:rsid w:val="00AE1701"/>
    <w:rsid w:val="00AE1B5F"/>
    <w:rsid w:val="00AE2424"/>
    <w:rsid w:val="00AE2976"/>
    <w:rsid w:val="00AE3193"/>
    <w:rsid w:val="00AE3DF1"/>
    <w:rsid w:val="00AE3EC8"/>
    <w:rsid w:val="00AE3ED2"/>
    <w:rsid w:val="00AE403E"/>
    <w:rsid w:val="00AE48D5"/>
    <w:rsid w:val="00AE4AD2"/>
    <w:rsid w:val="00AE57D2"/>
    <w:rsid w:val="00AE5B3D"/>
    <w:rsid w:val="00AE620A"/>
    <w:rsid w:val="00AE6647"/>
    <w:rsid w:val="00AE6AD1"/>
    <w:rsid w:val="00AE7701"/>
    <w:rsid w:val="00AE7EC2"/>
    <w:rsid w:val="00AE7F2E"/>
    <w:rsid w:val="00AF1028"/>
    <w:rsid w:val="00AF1EC3"/>
    <w:rsid w:val="00AF2F7A"/>
    <w:rsid w:val="00AF332B"/>
    <w:rsid w:val="00AF3E5B"/>
    <w:rsid w:val="00AF43AA"/>
    <w:rsid w:val="00AF692A"/>
    <w:rsid w:val="00AF6A1F"/>
    <w:rsid w:val="00AF6B44"/>
    <w:rsid w:val="00B0004C"/>
    <w:rsid w:val="00B007F4"/>
    <w:rsid w:val="00B00905"/>
    <w:rsid w:val="00B009B9"/>
    <w:rsid w:val="00B01038"/>
    <w:rsid w:val="00B017C1"/>
    <w:rsid w:val="00B02F42"/>
    <w:rsid w:val="00B0508B"/>
    <w:rsid w:val="00B054E3"/>
    <w:rsid w:val="00B056C9"/>
    <w:rsid w:val="00B05811"/>
    <w:rsid w:val="00B0699B"/>
    <w:rsid w:val="00B06D31"/>
    <w:rsid w:val="00B07319"/>
    <w:rsid w:val="00B07422"/>
    <w:rsid w:val="00B07497"/>
    <w:rsid w:val="00B07565"/>
    <w:rsid w:val="00B0794A"/>
    <w:rsid w:val="00B07A08"/>
    <w:rsid w:val="00B10375"/>
    <w:rsid w:val="00B11649"/>
    <w:rsid w:val="00B12481"/>
    <w:rsid w:val="00B128F0"/>
    <w:rsid w:val="00B13780"/>
    <w:rsid w:val="00B14008"/>
    <w:rsid w:val="00B14107"/>
    <w:rsid w:val="00B1494A"/>
    <w:rsid w:val="00B15EEA"/>
    <w:rsid w:val="00B160B6"/>
    <w:rsid w:val="00B1677B"/>
    <w:rsid w:val="00B168D1"/>
    <w:rsid w:val="00B20FF3"/>
    <w:rsid w:val="00B21438"/>
    <w:rsid w:val="00B22250"/>
    <w:rsid w:val="00B23C83"/>
    <w:rsid w:val="00B247EA"/>
    <w:rsid w:val="00B25554"/>
    <w:rsid w:val="00B25CBA"/>
    <w:rsid w:val="00B2628F"/>
    <w:rsid w:val="00B26905"/>
    <w:rsid w:val="00B3105D"/>
    <w:rsid w:val="00B32187"/>
    <w:rsid w:val="00B3250D"/>
    <w:rsid w:val="00B336A6"/>
    <w:rsid w:val="00B33A10"/>
    <w:rsid w:val="00B34047"/>
    <w:rsid w:val="00B35027"/>
    <w:rsid w:val="00B35CB0"/>
    <w:rsid w:val="00B35F9E"/>
    <w:rsid w:val="00B360B4"/>
    <w:rsid w:val="00B36EBD"/>
    <w:rsid w:val="00B3710D"/>
    <w:rsid w:val="00B37E89"/>
    <w:rsid w:val="00B40CF4"/>
    <w:rsid w:val="00B42326"/>
    <w:rsid w:val="00B426A6"/>
    <w:rsid w:val="00B43B00"/>
    <w:rsid w:val="00B45320"/>
    <w:rsid w:val="00B45580"/>
    <w:rsid w:val="00B45BC1"/>
    <w:rsid w:val="00B4766F"/>
    <w:rsid w:val="00B476D7"/>
    <w:rsid w:val="00B47F0C"/>
    <w:rsid w:val="00B47F47"/>
    <w:rsid w:val="00B50742"/>
    <w:rsid w:val="00B5106B"/>
    <w:rsid w:val="00B51565"/>
    <w:rsid w:val="00B5188B"/>
    <w:rsid w:val="00B51E49"/>
    <w:rsid w:val="00B5281E"/>
    <w:rsid w:val="00B52B46"/>
    <w:rsid w:val="00B546EA"/>
    <w:rsid w:val="00B54A87"/>
    <w:rsid w:val="00B54C0E"/>
    <w:rsid w:val="00B55560"/>
    <w:rsid w:val="00B5578D"/>
    <w:rsid w:val="00B56016"/>
    <w:rsid w:val="00B5695E"/>
    <w:rsid w:val="00B5730E"/>
    <w:rsid w:val="00B57A08"/>
    <w:rsid w:val="00B60101"/>
    <w:rsid w:val="00B60D3C"/>
    <w:rsid w:val="00B61000"/>
    <w:rsid w:val="00B61960"/>
    <w:rsid w:val="00B631C3"/>
    <w:rsid w:val="00B6325D"/>
    <w:rsid w:val="00B635B1"/>
    <w:rsid w:val="00B63622"/>
    <w:rsid w:val="00B63B30"/>
    <w:rsid w:val="00B645DC"/>
    <w:rsid w:val="00B65C3B"/>
    <w:rsid w:val="00B66252"/>
    <w:rsid w:val="00B66C31"/>
    <w:rsid w:val="00B67A1D"/>
    <w:rsid w:val="00B67C51"/>
    <w:rsid w:val="00B67F52"/>
    <w:rsid w:val="00B67F84"/>
    <w:rsid w:val="00B70596"/>
    <w:rsid w:val="00B707F3"/>
    <w:rsid w:val="00B71E67"/>
    <w:rsid w:val="00B72308"/>
    <w:rsid w:val="00B726B6"/>
    <w:rsid w:val="00B72C7E"/>
    <w:rsid w:val="00B73501"/>
    <w:rsid w:val="00B73655"/>
    <w:rsid w:val="00B73D7B"/>
    <w:rsid w:val="00B7547A"/>
    <w:rsid w:val="00B7597C"/>
    <w:rsid w:val="00B764C2"/>
    <w:rsid w:val="00B7752F"/>
    <w:rsid w:val="00B77E4A"/>
    <w:rsid w:val="00B800E5"/>
    <w:rsid w:val="00B802A1"/>
    <w:rsid w:val="00B80C2D"/>
    <w:rsid w:val="00B812CB"/>
    <w:rsid w:val="00B8251C"/>
    <w:rsid w:val="00B82527"/>
    <w:rsid w:val="00B828D1"/>
    <w:rsid w:val="00B82C1D"/>
    <w:rsid w:val="00B82E3B"/>
    <w:rsid w:val="00B840C8"/>
    <w:rsid w:val="00B844EA"/>
    <w:rsid w:val="00B84CBC"/>
    <w:rsid w:val="00B855C9"/>
    <w:rsid w:val="00B85E3E"/>
    <w:rsid w:val="00B864DC"/>
    <w:rsid w:val="00B869EE"/>
    <w:rsid w:val="00B86FF0"/>
    <w:rsid w:val="00B870D4"/>
    <w:rsid w:val="00B87A7F"/>
    <w:rsid w:val="00B908C9"/>
    <w:rsid w:val="00B909C3"/>
    <w:rsid w:val="00B914EC"/>
    <w:rsid w:val="00B91DC2"/>
    <w:rsid w:val="00B92EAC"/>
    <w:rsid w:val="00B93144"/>
    <w:rsid w:val="00B93689"/>
    <w:rsid w:val="00B94766"/>
    <w:rsid w:val="00B95444"/>
    <w:rsid w:val="00B96482"/>
    <w:rsid w:val="00B96C84"/>
    <w:rsid w:val="00B9726D"/>
    <w:rsid w:val="00B975ED"/>
    <w:rsid w:val="00BA04D2"/>
    <w:rsid w:val="00BA10C7"/>
    <w:rsid w:val="00BA132D"/>
    <w:rsid w:val="00BA29DA"/>
    <w:rsid w:val="00BA384F"/>
    <w:rsid w:val="00BA479A"/>
    <w:rsid w:val="00BA4E18"/>
    <w:rsid w:val="00BA565F"/>
    <w:rsid w:val="00BA64B9"/>
    <w:rsid w:val="00BA6C68"/>
    <w:rsid w:val="00BA7033"/>
    <w:rsid w:val="00BA7521"/>
    <w:rsid w:val="00BA78F6"/>
    <w:rsid w:val="00BA7922"/>
    <w:rsid w:val="00BA7B0C"/>
    <w:rsid w:val="00BB08D2"/>
    <w:rsid w:val="00BB0D75"/>
    <w:rsid w:val="00BB0F0E"/>
    <w:rsid w:val="00BB0F49"/>
    <w:rsid w:val="00BB1865"/>
    <w:rsid w:val="00BB1C7E"/>
    <w:rsid w:val="00BB2C3B"/>
    <w:rsid w:val="00BB2D72"/>
    <w:rsid w:val="00BB379D"/>
    <w:rsid w:val="00BB417D"/>
    <w:rsid w:val="00BB4B96"/>
    <w:rsid w:val="00BB500A"/>
    <w:rsid w:val="00BB6073"/>
    <w:rsid w:val="00BB6A05"/>
    <w:rsid w:val="00BB6A37"/>
    <w:rsid w:val="00BB7DB8"/>
    <w:rsid w:val="00BC1D27"/>
    <w:rsid w:val="00BC1ECF"/>
    <w:rsid w:val="00BC25BF"/>
    <w:rsid w:val="00BC2EF5"/>
    <w:rsid w:val="00BC3076"/>
    <w:rsid w:val="00BC3177"/>
    <w:rsid w:val="00BC3DE7"/>
    <w:rsid w:val="00BC4130"/>
    <w:rsid w:val="00BC4D62"/>
    <w:rsid w:val="00BC4D8A"/>
    <w:rsid w:val="00BC60D6"/>
    <w:rsid w:val="00BC6E13"/>
    <w:rsid w:val="00BC7A53"/>
    <w:rsid w:val="00BD0C6A"/>
    <w:rsid w:val="00BD17BA"/>
    <w:rsid w:val="00BD1B6A"/>
    <w:rsid w:val="00BD23E5"/>
    <w:rsid w:val="00BD26D9"/>
    <w:rsid w:val="00BD28DB"/>
    <w:rsid w:val="00BD5021"/>
    <w:rsid w:val="00BD5A2E"/>
    <w:rsid w:val="00BD5B0B"/>
    <w:rsid w:val="00BD5EA1"/>
    <w:rsid w:val="00BD72A3"/>
    <w:rsid w:val="00BD743E"/>
    <w:rsid w:val="00BE02DC"/>
    <w:rsid w:val="00BE0359"/>
    <w:rsid w:val="00BE08BC"/>
    <w:rsid w:val="00BE0CE9"/>
    <w:rsid w:val="00BE1E34"/>
    <w:rsid w:val="00BE1FED"/>
    <w:rsid w:val="00BE28D3"/>
    <w:rsid w:val="00BE28EC"/>
    <w:rsid w:val="00BE2F77"/>
    <w:rsid w:val="00BE4A44"/>
    <w:rsid w:val="00BE4E57"/>
    <w:rsid w:val="00BE4EB8"/>
    <w:rsid w:val="00BE550C"/>
    <w:rsid w:val="00BE5F0A"/>
    <w:rsid w:val="00BE70FA"/>
    <w:rsid w:val="00BE759A"/>
    <w:rsid w:val="00BF0425"/>
    <w:rsid w:val="00BF09CD"/>
    <w:rsid w:val="00BF14CF"/>
    <w:rsid w:val="00BF1637"/>
    <w:rsid w:val="00BF16FA"/>
    <w:rsid w:val="00BF1CE9"/>
    <w:rsid w:val="00BF1F91"/>
    <w:rsid w:val="00BF22E5"/>
    <w:rsid w:val="00BF232A"/>
    <w:rsid w:val="00BF2925"/>
    <w:rsid w:val="00BF3991"/>
    <w:rsid w:val="00BF3A61"/>
    <w:rsid w:val="00BF3A77"/>
    <w:rsid w:val="00BF47B6"/>
    <w:rsid w:val="00BF5259"/>
    <w:rsid w:val="00BF530A"/>
    <w:rsid w:val="00BF5535"/>
    <w:rsid w:val="00BF6094"/>
    <w:rsid w:val="00BF6F9E"/>
    <w:rsid w:val="00BF75FA"/>
    <w:rsid w:val="00BF76B1"/>
    <w:rsid w:val="00C000AB"/>
    <w:rsid w:val="00C00533"/>
    <w:rsid w:val="00C00BC3"/>
    <w:rsid w:val="00C00CB0"/>
    <w:rsid w:val="00C00F34"/>
    <w:rsid w:val="00C0164C"/>
    <w:rsid w:val="00C021AB"/>
    <w:rsid w:val="00C02739"/>
    <w:rsid w:val="00C02A55"/>
    <w:rsid w:val="00C03231"/>
    <w:rsid w:val="00C040BB"/>
    <w:rsid w:val="00C04201"/>
    <w:rsid w:val="00C046B0"/>
    <w:rsid w:val="00C05232"/>
    <w:rsid w:val="00C05283"/>
    <w:rsid w:val="00C058CC"/>
    <w:rsid w:val="00C0674C"/>
    <w:rsid w:val="00C06850"/>
    <w:rsid w:val="00C0755C"/>
    <w:rsid w:val="00C0775D"/>
    <w:rsid w:val="00C107CD"/>
    <w:rsid w:val="00C1169D"/>
    <w:rsid w:val="00C1226F"/>
    <w:rsid w:val="00C13943"/>
    <w:rsid w:val="00C139DF"/>
    <w:rsid w:val="00C13B25"/>
    <w:rsid w:val="00C14F2C"/>
    <w:rsid w:val="00C1548D"/>
    <w:rsid w:val="00C15AAC"/>
    <w:rsid w:val="00C169AB"/>
    <w:rsid w:val="00C173CD"/>
    <w:rsid w:val="00C17973"/>
    <w:rsid w:val="00C17AE7"/>
    <w:rsid w:val="00C20C47"/>
    <w:rsid w:val="00C216AE"/>
    <w:rsid w:val="00C216E3"/>
    <w:rsid w:val="00C227E0"/>
    <w:rsid w:val="00C229CF"/>
    <w:rsid w:val="00C233A5"/>
    <w:rsid w:val="00C234B8"/>
    <w:rsid w:val="00C234F7"/>
    <w:rsid w:val="00C2402F"/>
    <w:rsid w:val="00C2418D"/>
    <w:rsid w:val="00C25498"/>
    <w:rsid w:val="00C2579C"/>
    <w:rsid w:val="00C25832"/>
    <w:rsid w:val="00C26334"/>
    <w:rsid w:val="00C26699"/>
    <w:rsid w:val="00C26F07"/>
    <w:rsid w:val="00C275CB"/>
    <w:rsid w:val="00C27D7C"/>
    <w:rsid w:val="00C301CE"/>
    <w:rsid w:val="00C30DCB"/>
    <w:rsid w:val="00C313B2"/>
    <w:rsid w:val="00C31ECB"/>
    <w:rsid w:val="00C31F9A"/>
    <w:rsid w:val="00C32388"/>
    <w:rsid w:val="00C326A3"/>
    <w:rsid w:val="00C32881"/>
    <w:rsid w:val="00C333AC"/>
    <w:rsid w:val="00C338EC"/>
    <w:rsid w:val="00C33F0E"/>
    <w:rsid w:val="00C3468C"/>
    <w:rsid w:val="00C34BEB"/>
    <w:rsid w:val="00C35072"/>
    <w:rsid w:val="00C35609"/>
    <w:rsid w:val="00C35C90"/>
    <w:rsid w:val="00C35EED"/>
    <w:rsid w:val="00C36A5C"/>
    <w:rsid w:val="00C36BB5"/>
    <w:rsid w:val="00C409C5"/>
    <w:rsid w:val="00C41055"/>
    <w:rsid w:val="00C41C32"/>
    <w:rsid w:val="00C41FFB"/>
    <w:rsid w:val="00C42701"/>
    <w:rsid w:val="00C43150"/>
    <w:rsid w:val="00C43879"/>
    <w:rsid w:val="00C43D7F"/>
    <w:rsid w:val="00C44CEE"/>
    <w:rsid w:val="00C45121"/>
    <w:rsid w:val="00C45588"/>
    <w:rsid w:val="00C45CBA"/>
    <w:rsid w:val="00C469A4"/>
    <w:rsid w:val="00C46AAB"/>
    <w:rsid w:val="00C47672"/>
    <w:rsid w:val="00C47FC4"/>
    <w:rsid w:val="00C50ABE"/>
    <w:rsid w:val="00C51AEE"/>
    <w:rsid w:val="00C51CB8"/>
    <w:rsid w:val="00C52EF3"/>
    <w:rsid w:val="00C53C48"/>
    <w:rsid w:val="00C53CA9"/>
    <w:rsid w:val="00C600FF"/>
    <w:rsid w:val="00C60147"/>
    <w:rsid w:val="00C6017A"/>
    <w:rsid w:val="00C602EA"/>
    <w:rsid w:val="00C6158B"/>
    <w:rsid w:val="00C61C0E"/>
    <w:rsid w:val="00C626A6"/>
    <w:rsid w:val="00C62C58"/>
    <w:rsid w:val="00C634F8"/>
    <w:rsid w:val="00C64E8C"/>
    <w:rsid w:val="00C65641"/>
    <w:rsid w:val="00C6715D"/>
    <w:rsid w:val="00C67A10"/>
    <w:rsid w:val="00C67E0A"/>
    <w:rsid w:val="00C70DA5"/>
    <w:rsid w:val="00C70DCC"/>
    <w:rsid w:val="00C71572"/>
    <w:rsid w:val="00C71A95"/>
    <w:rsid w:val="00C71EE9"/>
    <w:rsid w:val="00C72536"/>
    <w:rsid w:val="00C7288E"/>
    <w:rsid w:val="00C73698"/>
    <w:rsid w:val="00C74962"/>
    <w:rsid w:val="00C75625"/>
    <w:rsid w:val="00C7574E"/>
    <w:rsid w:val="00C758B2"/>
    <w:rsid w:val="00C76927"/>
    <w:rsid w:val="00C774E0"/>
    <w:rsid w:val="00C80747"/>
    <w:rsid w:val="00C81012"/>
    <w:rsid w:val="00C8172B"/>
    <w:rsid w:val="00C81F3B"/>
    <w:rsid w:val="00C828C7"/>
    <w:rsid w:val="00C828D1"/>
    <w:rsid w:val="00C82ABD"/>
    <w:rsid w:val="00C83300"/>
    <w:rsid w:val="00C83575"/>
    <w:rsid w:val="00C83BA8"/>
    <w:rsid w:val="00C83DFC"/>
    <w:rsid w:val="00C84003"/>
    <w:rsid w:val="00C855B2"/>
    <w:rsid w:val="00C85D14"/>
    <w:rsid w:val="00C86034"/>
    <w:rsid w:val="00C86209"/>
    <w:rsid w:val="00C87244"/>
    <w:rsid w:val="00C872CA"/>
    <w:rsid w:val="00C87461"/>
    <w:rsid w:val="00C875AE"/>
    <w:rsid w:val="00C90512"/>
    <w:rsid w:val="00C90805"/>
    <w:rsid w:val="00C90A0A"/>
    <w:rsid w:val="00C91B89"/>
    <w:rsid w:val="00C928E2"/>
    <w:rsid w:val="00C934C5"/>
    <w:rsid w:val="00C9539F"/>
    <w:rsid w:val="00C9590C"/>
    <w:rsid w:val="00C95DA0"/>
    <w:rsid w:val="00C96606"/>
    <w:rsid w:val="00C96DFD"/>
    <w:rsid w:val="00C970A7"/>
    <w:rsid w:val="00C9733B"/>
    <w:rsid w:val="00C974A4"/>
    <w:rsid w:val="00C9797D"/>
    <w:rsid w:val="00CA082F"/>
    <w:rsid w:val="00CA0D1E"/>
    <w:rsid w:val="00CA1812"/>
    <w:rsid w:val="00CA1B44"/>
    <w:rsid w:val="00CA1EDB"/>
    <w:rsid w:val="00CA3900"/>
    <w:rsid w:val="00CA3F7E"/>
    <w:rsid w:val="00CA5155"/>
    <w:rsid w:val="00CA61BD"/>
    <w:rsid w:val="00CA732A"/>
    <w:rsid w:val="00CA7672"/>
    <w:rsid w:val="00CA771C"/>
    <w:rsid w:val="00CA7B89"/>
    <w:rsid w:val="00CB0901"/>
    <w:rsid w:val="00CB0DDA"/>
    <w:rsid w:val="00CB103A"/>
    <w:rsid w:val="00CB109D"/>
    <w:rsid w:val="00CB109E"/>
    <w:rsid w:val="00CB1A7C"/>
    <w:rsid w:val="00CB1B0B"/>
    <w:rsid w:val="00CB28F0"/>
    <w:rsid w:val="00CB2E22"/>
    <w:rsid w:val="00CB4955"/>
    <w:rsid w:val="00CB4A15"/>
    <w:rsid w:val="00CB4E12"/>
    <w:rsid w:val="00CB5943"/>
    <w:rsid w:val="00CB5BED"/>
    <w:rsid w:val="00CB5D02"/>
    <w:rsid w:val="00CB5E5D"/>
    <w:rsid w:val="00CB6FEA"/>
    <w:rsid w:val="00CB709A"/>
    <w:rsid w:val="00CC0182"/>
    <w:rsid w:val="00CC036C"/>
    <w:rsid w:val="00CC1B68"/>
    <w:rsid w:val="00CC1CCF"/>
    <w:rsid w:val="00CC2D04"/>
    <w:rsid w:val="00CC38A7"/>
    <w:rsid w:val="00CC737E"/>
    <w:rsid w:val="00CC76DE"/>
    <w:rsid w:val="00CC7D9F"/>
    <w:rsid w:val="00CD07C7"/>
    <w:rsid w:val="00CD13D1"/>
    <w:rsid w:val="00CD17E8"/>
    <w:rsid w:val="00CD19A0"/>
    <w:rsid w:val="00CD1FB2"/>
    <w:rsid w:val="00CD20A8"/>
    <w:rsid w:val="00CD2681"/>
    <w:rsid w:val="00CD27B3"/>
    <w:rsid w:val="00CD3329"/>
    <w:rsid w:val="00CD35C3"/>
    <w:rsid w:val="00CD3883"/>
    <w:rsid w:val="00CD39A6"/>
    <w:rsid w:val="00CD3A1F"/>
    <w:rsid w:val="00CD490C"/>
    <w:rsid w:val="00CD4A13"/>
    <w:rsid w:val="00CD4D2C"/>
    <w:rsid w:val="00CD5A47"/>
    <w:rsid w:val="00CD5B35"/>
    <w:rsid w:val="00CD6833"/>
    <w:rsid w:val="00CD77C7"/>
    <w:rsid w:val="00CD7D57"/>
    <w:rsid w:val="00CD7D61"/>
    <w:rsid w:val="00CE040B"/>
    <w:rsid w:val="00CE0C3D"/>
    <w:rsid w:val="00CE0EE6"/>
    <w:rsid w:val="00CE11AE"/>
    <w:rsid w:val="00CE1423"/>
    <w:rsid w:val="00CE19FE"/>
    <w:rsid w:val="00CE1BD1"/>
    <w:rsid w:val="00CE3B88"/>
    <w:rsid w:val="00CE4C3B"/>
    <w:rsid w:val="00CE5FC2"/>
    <w:rsid w:val="00CE739D"/>
    <w:rsid w:val="00CF055B"/>
    <w:rsid w:val="00CF0A6F"/>
    <w:rsid w:val="00CF1470"/>
    <w:rsid w:val="00CF1CD1"/>
    <w:rsid w:val="00CF31D4"/>
    <w:rsid w:val="00CF3EF1"/>
    <w:rsid w:val="00CF476A"/>
    <w:rsid w:val="00CF481D"/>
    <w:rsid w:val="00CF4CCD"/>
    <w:rsid w:val="00CF5EAA"/>
    <w:rsid w:val="00CF6482"/>
    <w:rsid w:val="00CF78C7"/>
    <w:rsid w:val="00CF7D28"/>
    <w:rsid w:val="00D001BE"/>
    <w:rsid w:val="00D00703"/>
    <w:rsid w:val="00D01374"/>
    <w:rsid w:val="00D01A5C"/>
    <w:rsid w:val="00D01DF5"/>
    <w:rsid w:val="00D0297F"/>
    <w:rsid w:val="00D02CB0"/>
    <w:rsid w:val="00D032A0"/>
    <w:rsid w:val="00D038AF"/>
    <w:rsid w:val="00D03DD4"/>
    <w:rsid w:val="00D04014"/>
    <w:rsid w:val="00D04C33"/>
    <w:rsid w:val="00D0531F"/>
    <w:rsid w:val="00D05868"/>
    <w:rsid w:val="00D069DF"/>
    <w:rsid w:val="00D07219"/>
    <w:rsid w:val="00D07943"/>
    <w:rsid w:val="00D1097E"/>
    <w:rsid w:val="00D11990"/>
    <w:rsid w:val="00D11F03"/>
    <w:rsid w:val="00D1269D"/>
    <w:rsid w:val="00D13679"/>
    <w:rsid w:val="00D14A2A"/>
    <w:rsid w:val="00D1634D"/>
    <w:rsid w:val="00D165DB"/>
    <w:rsid w:val="00D16C9F"/>
    <w:rsid w:val="00D1719B"/>
    <w:rsid w:val="00D20025"/>
    <w:rsid w:val="00D204A2"/>
    <w:rsid w:val="00D21967"/>
    <w:rsid w:val="00D22D65"/>
    <w:rsid w:val="00D231F3"/>
    <w:rsid w:val="00D24DF7"/>
    <w:rsid w:val="00D24EFE"/>
    <w:rsid w:val="00D25002"/>
    <w:rsid w:val="00D256D9"/>
    <w:rsid w:val="00D25CE1"/>
    <w:rsid w:val="00D25EC1"/>
    <w:rsid w:val="00D26191"/>
    <w:rsid w:val="00D26785"/>
    <w:rsid w:val="00D26ABE"/>
    <w:rsid w:val="00D30698"/>
    <w:rsid w:val="00D30A2A"/>
    <w:rsid w:val="00D30B28"/>
    <w:rsid w:val="00D317F9"/>
    <w:rsid w:val="00D3350A"/>
    <w:rsid w:val="00D33EC3"/>
    <w:rsid w:val="00D34B79"/>
    <w:rsid w:val="00D358D2"/>
    <w:rsid w:val="00D37C96"/>
    <w:rsid w:val="00D37FE3"/>
    <w:rsid w:val="00D40838"/>
    <w:rsid w:val="00D40B51"/>
    <w:rsid w:val="00D417FC"/>
    <w:rsid w:val="00D42650"/>
    <w:rsid w:val="00D42E1B"/>
    <w:rsid w:val="00D42EE3"/>
    <w:rsid w:val="00D4310B"/>
    <w:rsid w:val="00D43A73"/>
    <w:rsid w:val="00D44B04"/>
    <w:rsid w:val="00D45364"/>
    <w:rsid w:val="00D45670"/>
    <w:rsid w:val="00D4631B"/>
    <w:rsid w:val="00D46F5E"/>
    <w:rsid w:val="00D47498"/>
    <w:rsid w:val="00D476E2"/>
    <w:rsid w:val="00D5098A"/>
    <w:rsid w:val="00D512A2"/>
    <w:rsid w:val="00D51AE1"/>
    <w:rsid w:val="00D51CCD"/>
    <w:rsid w:val="00D51E7F"/>
    <w:rsid w:val="00D5235E"/>
    <w:rsid w:val="00D5273E"/>
    <w:rsid w:val="00D52C04"/>
    <w:rsid w:val="00D531A2"/>
    <w:rsid w:val="00D536F7"/>
    <w:rsid w:val="00D53989"/>
    <w:rsid w:val="00D53FD1"/>
    <w:rsid w:val="00D5419D"/>
    <w:rsid w:val="00D5447D"/>
    <w:rsid w:val="00D54BEA"/>
    <w:rsid w:val="00D554FC"/>
    <w:rsid w:val="00D569D6"/>
    <w:rsid w:val="00D577AC"/>
    <w:rsid w:val="00D57C0F"/>
    <w:rsid w:val="00D60B26"/>
    <w:rsid w:val="00D61CC6"/>
    <w:rsid w:val="00D61F14"/>
    <w:rsid w:val="00D62848"/>
    <w:rsid w:val="00D62D1C"/>
    <w:rsid w:val="00D62D45"/>
    <w:rsid w:val="00D633F2"/>
    <w:rsid w:val="00D646AF"/>
    <w:rsid w:val="00D647E4"/>
    <w:rsid w:val="00D64F29"/>
    <w:rsid w:val="00D6531B"/>
    <w:rsid w:val="00D65AA3"/>
    <w:rsid w:val="00D65D43"/>
    <w:rsid w:val="00D6642C"/>
    <w:rsid w:val="00D70DF9"/>
    <w:rsid w:val="00D7101E"/>
    <w:rsid w:val="00D72857"/>
    <w:rsid w:val="00D72AF0"/>
    <w:rsid w:val="00D72E26"/>
    <w:rsid w:val="00D7360A"/>
    <w:rsid w:val="00D73B2D"/>
    <w:rsid w:val="00D754EF"/>
    <w:rsid w:val="00D7551E"/>
    <w:rsid w:val="00D75E05"/>
    <w:rsid w:val="00D75F1F"/>
    <w:rsid w:val="00D7648E"/>
    <w:rsid w:val="00D76862"/>
    <w:rsid w:val="00D76F02"/>
    <w:rsid w:val="00D771D3"/>
    <w:rsid w:val="00D77A2A"/>
    <w:rsid w:val="00D77D53"/>
    <w:rsid w:val="00D802B5"/>
    <w:rsid w:val="00D81165"/>
    <w:rsid w:val="00D814E2"/>
    <w:rsid w:val="00D83614"/>
    <w:rsid w:val="00D83764"/>
    <w:rsid w:val="00D847DB"/>
    <w:rsid w:val="00D84D00"/>
    <w:rsid w:val="00D84DA4"/>
    <w:rsid w:val="00D866A1"/>
    <w:rsid w:val="00D86828"/>
    <w:rsid w:val="00D87187"/>
    <w:rsid w:val="00D90723"/>
    <w:rsid w:val="00D90BF2"/>
    <w:rsid w:val="00D922FD"/>
    <w:rsid w:val="00D92CF5"/>
    <w:rsid w:val="00D9322D"/>
    <w:rsid w:val="00D933A5"/>
    <w:rsid w:val="00D9354B"/>
    <w:rsid w:val="00D935C0"/>
    <w:rsid w:val="00D94331"/>
    <w:rsid w:val="00D9631F"/>
    <w:rsid w:val="00DA0447"/>
    <w:rsid w:val="00DA04C0"/>
    <w:rsid w:val="00DA06A4"/>
    <w:rsid w:val="00DA0A41"/>
    <w:rsid w:val="00DA1285"/>
    <w:rsid w:val="00DA163E"/>
    <w:rsid w:val="00DA1A6E"/>
    <w:rsid w:val="00DA1C9F"/>
    <w:rsid w:val="00DA282A"/>
    <w:rsid w:val="00DA2989"/>
    <w:rsid w:val="00DA2F94"/>
    <w:rsid w:val="00DA32F2"/>
    <w:rsid w:val="00DA3541"/>
    <w:rsid w:val="00DA3CF6"/>
    <w:rsid w:val="00DA42E4"/>
    <w:rsid w:val="00DA4372"/>
    <w:rsid w:val="00DA4CE3"/>
    <w:rsid w:val="00DA4EFF"/>
    <w:rsid w:val="00DA5310"/>
    <w:rsid w:val="00DA53CA"/>
    <w:rsid w:val="00DA5FCD"/>
    <w:rsid w:val="00DA680F"/>
    <w:rsid w:val="00DA68F4"/>
    <w:rsid w:val="00DA6C74"/>
    <w:rsid w:val="00DA6DAD"/>
    <w:rsid w:val="00DA6E80"/>
    <w:rsid w:val="00DA78D8"/>
    <w:rsid w:val="00DA7922"/>
    <w:rsid w:val="00DA7E7D"/>
    <w:rsid w:val="00DB0B76"/>
    <w:rsid w:val="00DB0CD7"/>
    <w:rsid w:val="00DB12B2"/>
    <w:rsid w:val="00DB22B4"/>
    <w:rsid w:val="00DB2AFA"/>
    <w:rsid w:val="00DB2CCE"/>
    <w:rsid w:val="00DB34E4"/>
    <w:rsid w:val="00DB354E"/>
    <w:rsid w:val="00DB3B31"/>
    <w:rsid w:val="00DB3C3C"/>
    <w:rsid w:val="00DB3EF6"/>
    <w:rsid w:val="00DB44D4"/>
    <w:rsid w:val="00DB54B5"/>
    <w:rsid w:val="00DB59F3"/>
    <w:rsid w:val="00DB5C1D"/>
    <w:rsid w:val="00DB5F46"/>
    <w:rsid w:val="00DB61AF"/>
    <w:rsid w:val="00DB6A8E"/>
    <w:rsid w:val="00DB711F"/>
    <w:rsid w:val="00DC00E9"/>
    <w:rsid w:val="00DC1095"/>
    <w:rsid w:val="00DC32C6"/>
    <w:rsid w:val="00DC35E0"/>
    <w:rsid w:val="00DC3C92"/>
    <w:rsid w:val="00DC409E"/>
    <w:rsid w:val="00DC466A"/>
    <w:rsid w:val="00DC49CE"/>
    <w:rsid w:val="00DC4F2F"/>
    <w:rsid w:val="00DC5133"/>
    <w:rsid w:val="00DC5A72"/>
    <w:rsid w:val="00DC5C78"/>
    <w:rsid w:val="00DC6796"/>
    <w:rsid w:val="00DC6BE9"/>
    <w:rsid w:val="00DC6DFD"/>
    <w:rsid w:val="00DC70CC"/>
    <w:rsid w:val="00DC7A56"/>
    <w:rsid w:val="00DD1C33"/>
    <w:rsid w:val="00DD1E8E"/>
    <w:rsid w:val="00DD2423"/>
    <w:rsid w:val="00DD3C63"/>
    <w:rsid w:val="00DD4376"/>
    <w:rsid w:val="00DD4392"/>
    <w:rsid w:val="00DD4439"/>
    <w:rsid w:val="00DD4720"/>
    <w:rsid w:val="00DD4CDD"/>
    <w:rsid w:val="00DD4EB9"/>
    <w:rsid w:val="00DD653F"/>
    <w:rsid w:val="00DD6936"/>
    <w:rsid w:val="00DD76A8"/>
    <w:rsid w:val="00DD7A3F"/>
    <w:rsid w:val="00DD7C55"/>
    <w:rsid w:val="00DD7FFB"/>
    <w:rsid w:val="00DE021A"/>
    <w:rsid w:val="00DE0287"/>
    <w:rsid w:val="00DE1364"/>
    <w:rsid w:val="00DE1FFD"/>
    <w:rsid w:val="00DE23D6"/>
    <w:rsid w:val="00DE257F"/>
    <w:rsid w:val="00DE25EC"/>
    <w:rsid w:val="00DE2CDE"/>
    <w:rsid w:val="00DE2D7C"/>
    <w:rsid w:val="00DE2E4A"/>
    <w:rsid w:val="00DE2E5D"/>
    <w:rsid w:val="00DE2F7A"/>
    <w:rsid w:val="00DE3022"/>
    <w:rsid w:val="00DE36D2"/>
    <w:rsid w:val="00DE4764"/>
    <w:rsid w:val="00DE49F2"/>
    <w:rsid w:val="00DE4D9D"/>
    <w:rsid w:val="00DE5080"/>
    <w:rsid w:val="00DE5BC1"/>
    <w:rsid w:val="00DE691F"/>
    <w:rsid w:val="00DE74D5"/>
    <w:rsid w:val="00DF030C"/>
    <w:rsid w:val="00DF132B"/>
    <w:rsid w:val="00DF1636"/>
    <w:rsid w:val="00DF1955"/>
    <w:rsid w:val="00DF2B3B"/>
    <w:rsid w:val="00DF2D39"/>
    <w:rsid w:val="00DF42A0"/>
    <w:rsid w:val="00DF4795"/>
    <w:rsid w:val="00DF4F93"/>
    <w:rsid w:val="00DF5ED1"/>
    <w:rsid w:val="00DF6246"/>
    <w:rsid w:val="00DF7A98"/>
    <w:rsid w:val="00DF7C96"/>
    <w:rsid w:val="00DF7DA4"/>
    <w:rsid w:val="00E00212"/>
    <w:rsid w:val="00E004D3"/>
    <w:rsid w:val="00E00665"/>
    <w:rsid w:val="00E009A8"/>
    <w:rsid w:val="00E00C19"/>
    <w:rsid w:val="00E00DD8"/>
    <w:rsid w:val="00E00F5B"/>
    <w:rsid w:val="00E00F7B"/>
    <w:rsid w:val="00E01BBA"/>
    <w:rsid w:val="00E030C0"/>
    <w:rsid w:val="00E03EAC"/>
    <w:rsid w:val="00E05456"/>
    <w:rsid w:val="00E054EC"/>
    <w:rsid w:val="00E06B4A"/>
    <w:rsid w:val="00E1092B"/>
    <w:rsid w:val="00E10938"/>
    <w:rsid w:val="00E10CC0"/>
    <w:rsid w:val="00E1258F"/>
    <w:rsid w:val="00E1345B"/>
    <w:rsid w:val="00E13994"/>
    <w:rsid w:val="00E153F0"/>
    <w:rsid w:val="00E15490"/>
    <w:rsid w:val="00E1627D"/>
    <w:rsid w:val="00E16504"/>
    <w:rsid w:val="00E16761"/>
    <w:rsid w:val="00E209D3"/>
    <w:rsid w:val="00E20A1A"/>
    <w:rsid w:val="00E21904"/>
    <w:rsid w:val="00E21CFC"/>
    <w:rsid w:val="00E22099"/>
    <w:rsid w:val="00E225ED"/>
    <w:rsid w:val="00E226D8"/>
    <w:rsid w:val="00E22C66"/>
    <w:rsid w:val="00E254CE"/>
    <w:rsid w:val="00E25E50"/>
    <w:rsid w:val="00E2661C"/>
    <w:rsid w:val="00E26AB8"/>
    <w:rsid w:val="00E26EFA"/>
    <w:rsid w:val="00E272D8"/>
    <w:rsid w:val="00E274CF"/>
    <w:rsid w:val="00E27B3B"/>
    <w:rsid w:val="00E3041E"/>
    <w:rsid w:val="00E31658"/>
    <w:rsid w:val="00E316D6"/>
    <w:rsid w:val="00E31A26"/>
    <w:rsid w:val="00E31CE1"/>
    <w:rsid w:val="00E322ED"/>
    <w:rsid w:val="00E328AE"/>
    <w:rsid w:val="00E33C3F"/>
    <w:rsid w:val="00E34149"/>
    <w:rsid w:val="00E3454A"/>
    <w:rsid w:val="00E34AC9"/>
    <w:rsid w:val="00E3534A"/>
    <w:rsid w:val="00E354C6"/>
    <w:rsid w:val="00E354F3"/>
    <w:rsid w:val="00E35B2F"/>
    <w:rsid w:val="00E35DC2"/>
    <w:rsid w:val="00E36247"/>
    <w:rsid w:val="00E36CD5"/>
    <w:rsid w:val="00E37952"/>
    <w:rsid w:val="00E37B4C"/>
    <w:rsid w:val="00E37D7A"/>
    <w:rsid w:val="00E400EC"/>
    <w:rsid w:val="00E40F12"/>
    <w:rsid w:val="00E41706"/>
    <w:rsid w:val="00E426E1"/>
    <w:rsid w:val="00E436CE"/>
    <w:rsid w:val="00E43CA7"/>
    <w:rsid w:val="00E44AE5"/>
    <w:rsid w:val="00E465D2"/>
    <w:rsid w:val="00E47632"/>
    <w:rsid w:val="00E4785C"/>
    <w:rsid w:val="00E50180"/>
    <w:rsid w:val="00E50740"/>
    <w:rsid w:val="00E50752"/>
    <w:rsid w:val="00E50C7C"/>
    <w:rsid w:val="00E50CF0"/>
    <w:rsid w:val="00E513C6"/>
    <w:rsid w:val="00E51EB5"/>
    <w:rsid w:val="00E51F2F"/>
    <w:rsid w:val="00E52254"/>
    <w:rsid w:val="00E526C8"/>
    <w:rsid w:val="00E5275E"/>
    <w:rsid w:val="00E52C65"/>
    <w:rsid w:val="00E53708"/>
    <w:rsid w:val="00E540C5"/>
    <w:rsid w:val="00E54595"/>
    <w:rsid w:val="00E55E36"/>
    <w:rsid w:val="00E572B8"/>
    <w:rsid w:val="00E6029A"/>
    <w:rsid w:val="00E6095A"/>
    <w:rsid w:val="00E614D8"/>
    <w:rsid w:val="00E61719"/>
    <w:rsid w:val="00E61B4A"/>
    <w:rsid w:val="00E61B91"/>
    <w:rsid w:val="00E630C8"/>
    <w:rsid w:val="00E64F50"/>
    <w:rsid w:val="00E65BEA"/>
    <w:rsid w:val="00E65E12"/>
    <w:rsid w:val="00E66FD8"/>
    <w:rsid w:val="00E67516"/>
    <w:rsid w:val="00E70123"/>
    <w:rsid w:val="00E704BF"/>
    <w:rsid w:val="00E71442"/>
    <w:rsid w:val="00E71A16"/>
    <w:rsid w:val="00E71EB3"/>
    <w:rsid w:val="00E721F7"/>
    <w:rsid w:val="00E722FF"/>
    <w:rsid w:val="00E728C8"/>
    <w:rsid w:val="00E7330C"/>
    <w:rsid w:val="00E73BF7"/>
    <w:rsid w:val="00E74541"/>
    <w:rsid w:val="00E74C28"/>
    <w:rsid w:val="00E754DA"/>
    <w:rsid w:val="00E75F80"/>
    <w:rsid w:val="00E76713"/>
    <w:rsid w:val="00E76C06"/>
    <w:rsid w:val="00E7725E"/>
    <w:rsid w:val="00E775F7"/>
    <w:rsid w:val="00E77890"/>
    <w:rsid w:val="00E77D8E"/>
    <w:rsid w:val="00E77EC0"/>
    <w:rsid w:val="00E77ECD"/>
    <w:rsid w:val="00E80307"/>
    <w:rsid w:val="00E805F0"/>
    <w:rsid w:val="00E81EF7"/>
    <w:rsid w:val="00E82195"/>
    <w:rsid w:val="00E82680"/>
    <w:rsid w:val="00E82FFC"/>
    <w:rsid w:val="00E8309C"/>
    <w:rsid w:val="00E85AA9"/>
    <w:rsid w:val="00E85F44"/>
    <w:rsid w:val="00E86B7D"/>
    <w:rsid w:val="00E86E30"/>
    <w:rsid w:val="00E87B66"/>
    <w:rsid w:val="00E9058C"/>
    <w:rsid w:val="00E90638"/>
    <w:rsid w:val="00E9214B"/>
    <w:rsid w:val="00E92291"/>
    <w:rsid w:val="00E92AB8"/>
    <w:rsid w:val="00E936FA"/>
    <w:rsid w:val="00E93CF3"/>
    <w:rsid w:val="00E94CE1"/>
    <w:rsid w:val="00E9582B"/>
    <w:rsid w:val="00E95EE2"/>
    <w:rsid w:val="00E967BF"/>
    <w:rsid w:val="00E97B78"/>
    <w:rsid w:val="00E97D93"/>
    <w:rsid w:val="00EA00B9"/>
    <w:rsid w:val="00EA0257"/>
    <w:rsid w:val="00EA0CF9"/>
    <w:rsid w:val="00EA0F9D"/>
    <w:rsid w:val="00EA2DA5"/>
    <w:rsid w:val="00EA387A"/>
    <w:rsid w:val="00EA4DF4"/>
    <w:rsid w:val="00EA5E85"/>
    <w:rsid w:val="00EA62CC"/>
    <w:rsid w:val="00EA6A29"/>
    <w:rsid w:val="00EA7079"/>
    <w:rsid w:val="00EA70A7"/>
    <w:rsid w:val="00EA7629"/>
    <w:rsid w:val="00EA7A97"/>
    <w:rsid w:val="00EA7EEE"/>
    <w:rsid w:val="00EB08A5"/>
    <w:rsid w:val="00EB0A6E"/>
    <w:rsid w:val="00EB0CF2"/>
    <w:rsid w:val="00EB0F42"/>
    <w:rsid w:val="00EB1EC4"/>
    <w:rsid w:val="00EB2C6C"/>
    <w:rsid w:val="00EB2F33"/>
    <w:rsid w:val="00EB3741"/>
    <w:rsid w:val="00EB40E3"/>
    <w:rsid w:val="00EB41A9"/>
    <w:rsid w:val="00EB476C"/>
    <w:rsid w:val="00EB5951"/>
    <w:rsid w:val="00EB624D"/>
    <w:rsid w:val="00EB6852"/>
    <w:rsid w:val="00EB76B3"/>
    <w:rsid w:val="00EB76B5"/>
    <w:rsid w:val="00EC0003"/>
    <w:rsid w:val="00EC051D"/>
    <w:rsid w:val="00EC0DE0"/>
    <w:rsid w:val="00EC0E7E"/>
    <w:rsid w:val="00EC14B0"/>
    <w:rsid w:val="00EC263C"/>
    <w:rsid w:val="00EC4762"/>
    <w:rsid w:val="00EC5008"/>
    <w:rsid w:val="00EC5B9E"/>
    <w:rsid w:val="00EC5F9F"/>
    <w:rsid w:val="00EC7F86"/>
    <w:rsid w:val="00ED241C"/>
    <w:rsid w:val="00ED38E0"/>
    <w:rsid w:val="00ED48DD"/>
    <w:rsid w:val="00ED4972"/>
    <w:rsid w:val="00ED4BC2"/>
    <w:rsid w:val="00ED50AA"/>
    <w:rsid w:val="00ED5E42"/>
    <w:rsid w:val="00ED6213"/>
    <w:rsid w:val="00ED6265"/>
    <w:rsid w:val="00ED633E"/>
    <w:rsid w:val="00ED70D8"/>
    <w:rsid w:val="00ED7354"/>
    <w:rsid w:val="00ED79A1"/>
    <w:rsid w:val="00ED7E40"/>
    <w:rsid w:val="00ED7EFA"/>
    <w:rsid w:val="00EE2103"/>
    <w:rsid w:val="00EE2CA0"/>
    <w:rsid w:val="00EE3424"/>
    <w:rsid w:val="00EE3B0D"/>
    <w:rsid w:val="00EE3C1F"/>
    <w:rsid w:val="00EE41D7"/>
    <w:rsid w:val="00EE4756"/>
    <w:rsid w:val="00EE4A7D"/>
    <w:rsid w:val="00EE5274"/>
    <w:rsid w:val="00EE53E1"/>
    <w:rsid w:val="00EE5A71"/>
    <w:rsid w:val="00EE695B"/>
    <w:rsid w:val="00EF0D38"/>
    <w:rsid w:val="00EF1286"/>
    <w:rsid w:val="00EF1723"/>
    <w:rsid w:val="00EF1EDA"/>
    <w:rsid w:val="00EF26A4"/>
    <w:rsid w:val="00EF3AA3"/>
    <w:rsid w:val="00EF4147"/>
    <w:rsid w:val="00EF4580"/>
    <w:rsid w:val="00EF51DC"/>
    <w:rsid w:val="00EF52C6"/>
    <w:rsid w:val="00EF5572"/>
    <w:rsid w:val="00EF5DE5"/>
    <w:rsid w:val="00EF6E46"/>
    <w:rsid w:val="00EF7512"/>
    <w:rsid w:val="00EF75A7"/>
    <w:rsid w:val="00F0198D"/>
    <w:rsid w:val="00F01E6D"/>
    <w:rsid w:val="00F02132"/>
    <w:rsid w:val="00F024C8"/>
    <w:rsid w:val="00F02BA8"/>
    <w:rsid w:val="00F02BFB"/>
    <w:rsid w:val="00F03811"/>
    <w:rsid w:val="00F03BF9"/>
    <w:rsid w:val="00F05473"/>
    <w:rsid w:val="00F05BE6"/>
    <w:rsid w:val="00F05C65"/>
    <w:rsid w:val="00F05E0D"/>
    <w:rsid w:val="00F06023"/>
    <w:rsid w:val="00F06093"/>
    <w:rsid w:val="00F0617B"/>
    <w:rsid w:val="00F072EF"/>
    <w:rsid w:val="00F0734C"/>
    <w:rsid w:val="00F11BD0"/>
    <w:rsid w:val="00F12DAC"/>
    <w:rsid w:val="00F130AB"/>
    <w:rsid w:val="00F1335E"/>
    <w:rsid w:val="00F13508"/>
    <w:rsid w:val="00F135E5"/>
    <w:rsid w:val="00F14554"/>
    <w:rsid w:val="00F14BA2"/>
    <w:rsid w:val="00F14E61"/>
    <w:rsid w:val="00F14F03"/>
    <w:rsid w:val="00F1506E"/>
    <w:rsid w:val="00F151FF"/>
    <w:rsid w:val="00F2091D"/>
    <w:rsid w:val="00F2135D"/>
    <w:rsid w:val="00F21913"/>
    <w:rsid w:val="00F21BA4"/>
    <w:rsid w:val="00F225B6"/>
    <w:rsid w:val="00F22A00"/>
    <w:rsid w:val="00F22CA2"/>
    <w:rsid w:val="00F23A25"/>
    <w:rsid w:val="00F23ADC"/>
    <w:rsid w:val="00F2428F"/>
    <w:rsid w:val="00F248ED"/>
    <w:rsid w:val="00F249F8"/>
    <w:rsid w:val="00F25D19"/>
    <w:rsid w:val="00F26D36"/>
    <w:rsid w:val="00F26E1D"/>
    <w:rsid w:val="00F26FFA"/>
    <w:rsid w:val="00F27010"/>
    <w:rsid w:val="00F27490"/>
    <w:rsid w:val="00F27963"/>
    <w:rsid w:val="00F279DB"/>
    <w:rsid w:val="00F27F3C"/>
    <w:rsid w:val="00F30C7D"/>
    <w:rsid w:val="00F30FDB"/>
    <w:rsid w:val="00F318E1"/>
    <w:rsid w:val="00F31AD2"/>
    <w:rsid w:val="00F31DAC"/>
    <w:rsid w:val="00F32698"/>
    <w:rsid w:val="00F3288D"/>
    <w:rsid w:val="00F337B8"/>
    <w:rsid w:val="00F3389B"/>
    <w:rsid w:val="00F35EBB"/>
    <w:rsid w:val="00F374AD"/>
    <w:rsid w:val="00F3787C"/>
    <w:rsid w:val="00F37A74"/>
    <w:rsid w:val="00F401E7"/>
    <w:rsid w:val="00F41105"/>
    <w:rsid w:val="00F41528"/>
    <w:rsid w:val="00F41822"/>
    <w:rsid w:val="00F41BF7"/>
    <w:rsid w:val="00F41FC2"/>
    <w:rsid w:val="00F42071"/>
    <w:rsid w:val="00F42A17"/>
    <w:rsid w:val="00F42D5E"/>
    <w:rsid w:val="00F4373E"/>
    <w:rsid w:val="00F444D2"/>
    <w:rsid w:val="00F4478C"/>
    <w:rsid w:val="00F44E76"/>
    <w:rsid w:val="00F4514B"/>
    <w:rsid w:val="00F463DE"/>
    <w:rsid w:val="00F4654F"/>
    <w:rsid w:val="00F4775D"/>
    <w:rsid w:val="00F47AC2"/>
    <w:rsid w:val="00F47DE9"/>
    <w:rsid w:val="00F51075"/>
    <w:rsid w:val="00F51157"/>
    <w:rsid w:val="00F51158"/>
    <w:rsid w:val="00F51BE2"/>
    <w:rsid w:val="00F52B0C"/>
    <w:rsid w:val="00F52D6E"/>
    <w:rsid w:val="00F530EF"/>
    <w:rsid w:val="00F53E01"/>
    <w:rsid w:val="00F54212"/>
    <w:rsid w:val="00F543C5"/>
    <w:rsid w:val="00F54A70"/>
    <w:rsid w:val="00F55DED"/>
    <w:rsid w:val="00F56405"/>
    <w:rsid w:val="00F56820"/>
    <w:rsid w:val="00F57104"/>
    <w:rsid w:val="00F57464"/>
    <w:rsid w:val="00F57626"/>
    <w:rsid w:val="00F60287"/>
    <w:rsid w:val="00F60706"/>
    <w:rsid w:val="00F61C9D"/>
    <w:rsid w:val="00F6311D"/>
    <w:rsid w:val="00F63977"/>
    <w:rsid w:val="00F6434F"/>
    <w:rsid w:val="00F64903"/>
    <w:rsid w:val="00F658B5"/>
    <w:rsid w:val="00F65F84"/>
    <w:rsid w:val="00F6655A"/>
    <w:rsid w:val="00F6684A"/>
    <w:rsid w:val="00F66BB8"/>
    <w:rsid w:val="00F67B22"/>
    <w:rsid w:val="00F67E53"/>
    <w:rsid w:val="00F70DF9"/>
    <w:rsid w:val="00F70E94"/>
    <w:rsid w:val="00F71883"/>
    <w:rsid w:val="00F720CF"/>
    <w:rsid w:val="00F72101"/>
    <w:rsid w:val="00F72133"/>
    <w:rsid w:val="00F730A8"/>
    <w:rsid w:val="00F746B1"/>
    <w:rsid w:val="00F74811"/>
    <w:rsid w:val="00F74B74"/>
    <w:rsid w:val="00F74CB9"/>
    <w:rsid w:val="00F752C9"/>
    <w:rsid w:val="00F754C9"/>
    <w:rsid w:val="00F75DF1"/>
    <w:rsid w:val="00F75E52"/>
    <w:rsid w:val="00F76471"/>
    <w:rsid w:val="00F77889"/>
    <w:rsid w:val="00F80812"/>
    <w:rsid w:val="00F8082F"/>
    <w:rsid w:val="00F819C5"/>
    <w:rsid w:val="00F81F7D"/>
    <w:rsid w:val="00F82112"/>
    <w:rsid w:val="00F825D2"/>
    <w:rsid w:val="00F82742"/>
    <w:rsid w:val="00F83CD1"/>
    <w:rsid w:val="00F84703"/>
    <w:rsid w:val="00F85C51"/>
    <w:rsid w:val="00F866DD"/>
    <w:rsid w:val="00F86B2C"/>
    <w:rsid w:val="00F87039"/>
    <w:rsid w:val="00F87065"/>
    <w:rsid w:val="00F87160"/>
    <w:rsid w:val="00F87A0E"/>
    <w:rsid w:val="00F901DC"/>
    <w:rsid w:val="00F9074B"/>
    <w:rsid w:val="00F91D05"/>
    <w:rsid w:val="00F921CB"/>
    <w:rsid w:val="00F93342"/>
    <w:rsid w:val="00F93A01"/>
    <w:rsid w:val="00F93B02"/>
    <w:rsid w:val="00F93D58"/>
    <w:rsid w:val="00F93D6D"/>
    <w:rsid w:val="00F93F07"/>
    <w:rsid w:val="00F946BF"/>
    <w:rsid w:val="00F95E6F"/>
    <w:rsid w:val="00F964A9"/>
    <w:rsid w:val="00F964F9"/>
    <w:rsid w:val="00F966DC"/>
    <w:rsid w:val="00F9692B"/>
    <w:rsid w:val="00F96D81"/>
    <w:rsid w:val="00F9743F"/>
    <w:rsid w:val="00F9749A"/>
    <w:rsid w:val="00F977A5"/>
    <w:rsid w:val="00F979E1"/>
    <w:rsid w:val="00F97BE8"/>
    <w:rsid w:val="00F97F7C"/>
    <w:rsid w:val="00FA0270"/>
    <w:rsid w:val="00FA035F"/>
    <w:rsid w:val="00FA04F7"/>
    <w:rsid w:val="00FA0669"/>
    <w:rsid w:val="00FA0B1A"/>
    <w:rsid w:val="00FA0C59"/>
    <w:rsid w:val="00FA1A3B"/>
    <w:rsid w:val="00FA2246"/>
    <w:rsid w:val="00FA22E6"/>
    <w:rsid w:val="00FA251D"/>
    <w:rsid w:val="00FA2C49"/>
    <w:rsid w:val="00FA32F9"/>
    <w:rsid w:val="00FA359F"/>
    <w:rsid w:val="00FA3EDE"/>
    <w:rsid w:val="00FA44B8"/>
    <w:rsid w:val="00FA454F"/>
    <w:rsid w:val="00FA4AB3"/>
    <w:rsid w:val="00FA5536"/>
    <w:rsid w:val="00FA55DC"/>
    <w:rsid w:val="00FA5CEE"/>
    <w:rsid w:val="00FA62C7"/>
    <w:rsid w:val="00FA6E2E"/>
    <w:rsid w:val="00FA7840"/>
    <w:rsid w:val="00FA7CDF"/>
    <w:rsid w:val="00FA7F66"/>
    <w:rsid w:val="00FB0D70"/>
    <w:rsid w:val="00FB0FF8"/>
    <w:rsid w:val="00FB107D"/>
    <w:rsid w:val="00FB10F5"/>
    <w:rsid w:val="00FB1334"/>
    <w:rsid w:val="00FB13E8"/>
    <w:rsid w:val="00FB1BBB"/>
    <w:rsid w:val="00FB20A3"/>
    <w:rsid w:val="00FB2195"/>
    <w:rsid w:val="00FB21D5"/>
    <w:rsid w:val="00FB2331"/>
    <w:rsid w:val="00FB2B45"/>
    <w:rsid w:val="00FB2F4A"/>
    <w:rsid w:val="00FB3007"/>
    <w:rsid w:val="00FB3521"/>
    <w:rsid w:val="00FB4398"/>
    <w:rsid w:val="00FB5121"/>
    <w:rsid w:val="00FB52FD"/>
    <w:rsid w:val="00FB5442"/>
    <w:rsid w:val="00FB54FE"/>
    <w:rsid w:val="00FB6AB8"/>
    <w:rsid w:val="00FB6EC3"/>
    <w:rsid w:val="00FB7A9E"/>
    <w:rsid w:val="00FC098B"/>
    <w:rsid w:val="00FC0A91"/>
    <w:rsid w:val="00FC1041"/>
    <w:rsid w:val="00FC1048"/>
    <w:rsid w:val="00FC300D"/>
    <w:rsid w:val="00FC3BC1"/>
    <w:rsid w:val="00FC42F1"/>
    <w:rsid w:val="00FC4655"/>
    <w:rsid w:val="00FC465A"/>
    <w:rsid w:val="00FC530C"/>
    <w:rsid w:val="00FC55F3"/>
    <w:rsid w:val="00FC5748"/>
    <w:rsid w:val="00FC576C"/>
    <w:rsid w:val="00FC5908"/>
    <w:rsid w:val="00FC65F9"/>
    <w:rsid w:val="00FC7045"/>
    <w:rsid w:val="00FC78E2"/>
    <w:rsid w:val="00FD0285"/>
    <w:rsid w:val="00FD06D1"/>
    <w:rsid w:val="00FD1145"/>
    <w:rsid w:val="00FD157C"/>
    <w:rsid w:val="00FD1743"/>
    <w:rsid w:val="00FD17E4"/>
    <w:rsid w:val="00FD17F5"/>
    <w:rsid w:val="00FD35DF"/>
    <w:rsid w:val="00FD4A56"/>
    <w:rsid w:val="00FD4F17"/>
    <w:rsid w:val="00FD53B1"/>
    <w:rsid w:val="00FD5D94"/>
    <w:rsid w:val="00FD6ABD"/>
    <w:rsid w:val="00FD7386"/>
    <w:rsid w:val="00FE0872"/>
    <w:rsid w:val="00FE0996"/>
    <w:rsid w:val="00FE09C9"/>
    <w:rsid w:val="00FE0EF2"/>
    <w:rsid w:val="00FE1648"/>
    <w:rsid w:val="00FE2C3A"/>
    <w:rsid w:val="00FE3075"/>
    <w:rsid w:val="00FE31DC"/>
    <w:rsid w:val="00FE34F3"/>
    <w:rsid w:val="00FE3670"/>
    <w:rsid w:val="00FE3D1D"/>
    <w:rsid w:val="00FE407D"/>
    <w:rsid w:val="00FE65E4"/>
    <w:rsid w:val="00FE7CB5"/>
    <w:rsid w:val="00FE7CFF"/>
    <w:rsid w:val="00FF0D4D"/>
    <w:rsid w:val="00FF0E8C"/>
    <w:rsid w:val="00FF0ED8"/>
    <w:rsid w:val="00FF0F28"/>
    <w:rsid w:val="00FF3F7E"/>
    <w:rsid w:val="00FF4962"/>
    <w:rsid w:val="00FF5173"/>
    <w:rsid w:val="00FF5181"/>
    <w:rsid w:val="00FF5523"/>
    <w:rsid w:val="00FF6822"/>
    <w:rsid w:val="00FF6B8F"/>
    <w:rsid w:val="00FF6DBF"/>
    <w:rsid w:val="00FF7235"/>
    <w:rsid w:val="00FF7912"/>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59BA265"/>
  <w15:docId w15:val="{A31BE446-216F-4213-90A5-39DE39AF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37A"/>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87061"/>
    <w:pPr>
      <w:ind w:left="720"/>
      <w:contextualSpacing/>
    </w:pPr>
  </w:style>
  <w:style w:type="character" w:customStyle="1" w:styleId="apple-style-span">
    <w:name w:val="apple-style-span"/>
    <w:basedOn w:val="DefaultParagraphFont"/>
    <w:uiPriority w:val="99"/>
    <w:rsid w:val="00BD5B0B"/>
    <w:rPr>
      <w:rFonts w:cs="Times New Roman"/>
    </w:rPr>
  </w:style>
  <w:style w:type="paragraph" w:styleId="FootnoteText">
    <w:name w:val="footnote text"/>
    <w:basedOn w:val="Normal"/>
    <w:link w:val="FootnoteTextChar"/>
    <w:uiPriority w:val="99"/>
    <w:semiHidden/>
    <w:rsid w:val="00DE74D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E74D5"/>
    <w:rPr>
      <w:rFonts w:cs="Times New Roman"/>
      <w:sz w:val="20"/>
      <w:szCs w:val="20"/>
    </w:rPr>
  </w:style>
  <w:style w:type="character" w:styleId="FootnoteReference">
    <w:name w:val="footnote reference"/>
    <w:basedOn w:val="DefaultParagraphFont"/>
    <w:uiPriority w:val="99"/>
    <w:semiHidden/>
    <w:rsid w:val="00DE74D5"/>
    <w:rPr>
      <w:rFonts w:cs="Times New Roman"/>
      <w:vertAlign w:val="superscript"/>
    </w:rPr>
  </w:style>
  <w:style w:type="character" w:styleId="PlaceholderText">
    <w:name w:val="Placeholder Text"/>
    <w:basedOn w:val="DefaultParagraphFont"/>
    <w:uiPriority w:val="99"/>
    <w:semiHidden/>
    <w:rsid w:val="00981111"/>
    <w:rPr>
      <w:rFonts w:cs="Times New Roman"/>
      <w:color w:val="808080"/>
    </w:rPr>
  </w:style>
  <w:style w:type="paragraph" w:styleId="BalloonText">
    <w:name w:val="Balloon Text"/>
    <w:basedOn w:val="Normal"/>
    <w:link w:val="BalloonTextChar"/>
    <w:uiPriority w:val="99"/>
    <w:semiHidden/>
    <w:rsid w:val="00981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1111"/>
    <w:rPr>
      <w:rFonts w:ascii="Tahoma" w:hAnsi="Tahoma" w:cs="Tahoma"/>
      <w:sz w:val="16"/>
      <w:szCs w:val="16"/>
    </w:rPr>
  </w:style>
  <w:style w:type="table" w:styleId="TableGrid">
    <w:name w:val="Table Grid"/>
    <w:basedOn w:val="TableNormal"/>
    <w:uiPriority w:val="59"/>
    <w:rsid w:val="00335A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669F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669FF"/>
    <w:rPr>
      <w:rFonts w:cs="Times New Roman"/>
    </w:rPr>
  </w:style>
  <w:style w:type="paragraph" w:styleId="Footer">
    <w:name w:val="footer"/>
    <w:basedOn w:val="Normal"/>
    <w:link w:val="FooterChar"/>
    <w:uiPriority w:val="99"/>
    <w:rsid w:val="003669F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669FF"/>
    <w:rPr>
      <w:rFonts w:cs="Times New Roman"/>
    </w:rPr>
  </w:style>
  <w:style w:type="character" w:styleId="Hyperlink">
    <w:name w:val="Hyperlink"/>
    <w:basedOn w:val="DefaultParagraphFont"/>
    <w:uiPriority w:val="99"/>
    <w:rsid w:val="0078110C"/>
    <w:rPr>
      <w:rFonts w:cs="Times New Roman"/>
      <w:color w:val="0000FF"/>
      <w:u w:val="single"/>
    </w:rPr>
  </w:style>
  <w:style w:type="character" w:styleId="CommentReference">
    <w:name w:val="annotation reference"/>
    <w:basedOn w:val="DefaultParagraphFont"/>
    <w:uiPriority w:val="99"/>
    <w:semiHidden/>
    <w:rsid w:val="00643918"/>
    <w:rPr>
      <w:rFonts w:cs="Times New Roman"/>
      <w:sz w:val="16"/>
      <w:szCs w:val="16"/>
    </w:rPr>
  </w:style>
  <w:style w:type="paragraph" w:styleId="CommentText">
    <w:name w:val="annotation text"/>
    <w:basedOn w:val="Normal"/>
    <w:link w:val="CommentTextChar"/>
    <w:uiPriority w:val="99"/>
    <w:semiHidden/>
    <w:rsid w:val="0064391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4391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D26191"/>
    <w:rPr>
      <w:b/>
      <w:bCs/>
    </w:rPr>
  </w:style>
  <w:style w:type="character" w:customStyle="1" w:styleId="CommentSubjectChar">
    <w:name w:val="Comment Subject Char"/>
    <w:basedOn w:val="CommentTextChar"/>
    <w:link w:val="CommentSubject"/>
    <w:uiPriority w:val="99"/>
    <w:semiHidden/>
    <w:locked/>
    <w:rsid w:val="00D26191"/>
    <w:rPr>
      <w:rFonts w:ascii="Calibri" w:hAnsi="Calibri" w:cs="Times New Roman"/>
      <w:b/>
      <w:bCs/>
      <w:sz w:val="20"/>
      <w:szCs w:val="20"/>
    </w:rPr>
  </w:style>
  <w:style w:type="paragraph" w:styleId="Revision">
    <w:name w:val="Revision"/>
    <w:hidden/>
    <w:uiPriority w:val="99"/>
    <w:semiHidden/>
    <w:rsid w:val="00ED4BC2"/>
    <w:rPr>
      <w:lang w:val="en-GB"/>
    </w:rPr>
  </w:style>
  <w:style w:type="paragraph" w:styleId="DocumentMap">
    <w:name w:val="Document Map"/>
    <w:basedOn w:val="Normal"/>
    <w:link w:val="DocumentMapChar"/>
    <w:uiPriority w:val="99"/>
    <w:semiHidden/>
    <w:rsid w:val="00A21B7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E243A"/>
    <w:rPr>
      <w:rFonts w:ascii="Times New Roman" w:hAnsi="Times New Roman" w:cs="Times New Roman"/>
      <w:sz w:val="2"/>
      <w:lang w:val="en-GB"/>
    </w:rPr>
  </w:style>
  <w:style w:type="table" w:customStyle="1" w:styleId="TableGrid1">
    <w:name w:val="Table Grid1"/>
    <w:basedOn w:val="TableNormal"/>
    <w:next w:val="TableGrid"/>
    <w:uiPriority w:val="59"/>
    <w:rsid w:val="00782507"/>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F5173"/>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51075"/>
    <w:pPr>
      <w:spacing w:before="100" w:beforeAutospacing="1" w:after="100" w:afterAutospacing="1" w:line="240" w:lineRule="auto"/>
    </w:pPr>
    <w:rPr>
      <w:rFonts w:ascii="Times New Roman" w:eastAsiaTheme="minorEastAsia" w:hAnsi="Times New Roman"/>
      <w:sz w:val="24"/>
      <w:szCs w:val="24"/>
      <w:lang w:eastAsia="en-GB"/>
    </w:rPr>
  </w:style>
  <w:style w:type="paragraph" w:styleId="EndnoteText">
    <w:name w:val="endnote text"/>
    <w:basedOn w:val="Normal"/>
    <w:link w:val="EndnoteTextChar"/>
    <w:uiPriority w:val="99"/>
    <w:semiHidden/>
    <w:unhideWhenUsed/>
    <w:rsid w:val="00272F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2FDC"/>
    <w:rPr>
      <w:sz w:val="20"/>
      <w:szCs w:val="20"/>
      <w:lang w:val="en-GB"/>
    </w:rPr>
  </w:style>
  <w:style w:type="character" w:styleId="EndnoteReference">
    <w:name w:val="endnote reference"/>
    <w:basedOn w:val="DefaultParagraphFont"/>
    <w:uiPriority w:val="99"/>
    <w:semiHidden/>
    <w:unhideWhenUsed/>
    <w:rsid w:val="00272FDC"/>
    <w:rPr>
      <w:vertAlign w:val="superscript"/>
    </w:rPr>
  </w:style>
  <w:style w:type="character" w:customStyle="1" w:styleId="UnresolvedMention1">
    <w:name w:val="Unresolved Mention1"/>
    <w:basedOn w:val="DefaultParagraphFont"/>
    <w:uiPriority w:val="99"/>
    <w:semiHidden/>
    <w:unhideWhenUsed/>
    <w:rsid w:val="00AA0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734219">
      <w:marLeft w:val="0"/>
      <w:marRight w:val="0"/>
      <w:marTop w:val="0"/>
      <w:marBottom w:val="0"/>
      <w:divBdr>
        <w:top w:val="none" w:sz="0" w:space="0" w:color="auto"/>
        <w:left w:val="none" w:sz="0" w:space="0" w:color="auto"/>
        <w:bottom w:val="none" w:sz="0" w:space="0" w:color="auto"/>
        <w:right w:val="none" w:sz="0" w:space="0" w:color="auto"/>
      </w:divBdr>
    </w:div>
    <w:div w:id="302734220">
      <w:marLeft w:val="0"/>
      <w:marRight w:val="0"/>
      <w:marTop w:val="0"/>
      <w:marBottom w:val="0"/>
      <w:divBdr>
        <w:top w:val="none" w:sz="0" w:space="0" w:color="auto"/>
        <w:left w:val="none" w:sz="0" w:space="0" w:color="auto"/>
        <w:bottom w:val="none" w:sz="0" w:space="0" w:color="auto"/>
        <w:right w:val="none" w:sz="0" w:space="0" w:color="auto"/>
      </w:divBdr>
    </w:div>
    <w:div w:id="302734221">
      <w:marLeft w:val="0"/>
      <w:marRight w:val="0"/>
      <w:marTop w:val="0"/>
      <w:marBottom w:val="0"/>
      <w:divBdr>
        <w:top w:val="none" w:sz="0" w:space="0" w:color="auto"/>
        <w:left w:val="none" w:sz="0" w:space="0" w:color="auto"/>
        <w:bottom w:val="none" w:sz="0" w:space="0" w:color="auto"/>
        <w:right w:val="none" w:sz="0" w:space="0" w:color="auto"/>
      </w:divBdr>
    </w:div>
    <w:div w:id="302734222">
      <w:marLeft w:val="0"/>
      <w:marRight w:val="0"/>
      <w:marTop w:val="0"/>
      <w:marBottom w:val="0"/>
      <w:divBdr>
        <w:top w:val="none" w:sz="0" w:space="0" w:color="auto"/>
        <w:left w:val="none" w:sz="0" w:space="0" w:color="auto"/>
        <w:bottom w:val="none" w:sz="0" w:space="0" w:color="auto"/>
        <w:right w:val="none" w:sz="0" w:space="0" w:color="auto"/>
      </w:divBdr>
    </w:div>
    <w:div w:id="671833365">
      <w:bodyDiv w:val="1"/>
      <w:marLeft w:val="0"/>
      <w:marRight w:val="0"/>
      <w:marTop w:val="0"/>
      <w:marBottom w:val="0"/>
      <w:divBdr>
        <w:top w:val="none" w:sz="0" w:space="0" w:color="auto"/>
        <w:left w:val="none" w:sz="0" w:space="0" w:color="auto"/>
        <w:bottom w:val="none" w:sz="0" w:space="0" w:color="auto"/>
        <w:right w:val="none" w:sz="0" w:space="0" w:color="auto"/>
      </w:divBdr>
    </w:div>
    <w:div w:id="1073550089">
      <w:bodyDiv w:val="1"/>
      <w:marLeft w:val="0"/>
      <w:marRight w:val="0"/>
      <w:marTop w:val="0"/>
      <w:marBottom w:val="0"/>
      <w:divBdr>
        <w:top w:val="none" w:sz="0" w:space="0" w:color="auto"/>
        <w:left w:val="none" w:sz="0" w:space="0" w:color="auto"/>
        <w:bottom w:val="none" w:sz="0" w:space="0" w:color="auto"/>
        <w:right w:val="none" w:sz="0" w:space="0" w:color="auto"/>
      </w:divBdr>
      <w:divsChild>
        <w:div w:id="734738524">
          <w:marLeft w:val="0"/>
          <w:marRight w:val="0"/>
          <w:marTop w:val="0"/>
          <w:marBottom w:val="0"/>
          <w:divBdr>
            <w:top w:val="none" w:sz="0" w:space="0" w:color="auto"/>
            <w:left w:val="none" w:sz="0" w:space="0" w:color="auto"/>
            <w:bottom w:val="none" w:sz="0" w:space="0" w:color="auto"/>
            <w:right w:val="none" w:sz="0" w:space="0" w:color="auto"/>
          </w:divBdr>
        </w:div>
        <w:div w:id="1093815568">
          <w:marLeft w:val="0"/>
          <w:marRight w:val="0"/>
          <w:marTop w:val="0"/>
          <w:marBottom w:val="0"/>
          <w:divBdr>
            <w:top w:val="none" w:sz="0" w:space="0" w:color="auto"/>
            <w:left w:val="none" w:sz="0" w:space="0" w:color="auto"/>
            <w:bottom w:val="none" w:sz="0" w:space="0" w:color="auto"/>
            <w:right w:val="none" w:sz="0" w:space="0" w:color="auto"/>
          </w:divBdr>
        </w:div>
        <w:div w:id="2113016590">
          <w:marLeft w:val="0"/>
          <w:marRight w:val="0"/>
          <w:marTop w:val="0"/>
          <w:marBottom w:val="0"/>
          <w:divBdr>
            <w:top w:val="none" w:sz="0" w:space="0" w:color="auto"/>
            <w:left w:val="none" w:sz="0" w:space="0" w:color="auto"/>
            <w:bottom w:val="none" w:sz="0" w:space="0" w:color="auto"/>
            <w:right w:val="none" w:sz="0" w:space="0" w:color="auto"/>
          </w:divBdr>
        </w:div>
        <w:div w:id="178198393">
          <w:marLeft w:val="0"/>
          <w:marRight w:val="0"/>
          <w:marTop w:val="0"/>
          <w:marBottom w:val="0"/>
          <w:divBdr>
            <w:top w:val="none" w:sz="0" w:space="0" w:color="auto"/>
            <w:left w:val="none" w:sz="0" w:space="0" w:color="auto"/>
            <w:bottom w:val="none" w:sz="0" w:space="0" w:color="auto"/>
            <w:right w:val="none" w:sz="0" w:space="0" w:color="auto"/>
          </w:divBdr>
        </w:div>
        <w:div w:id="2113545361">
          <w:marLeft w:val="0"/>
          <w:marRight w:val="0"/>
          <w:marTop w:val="0"/>
          <w:marBottom w:val="0"/>
          <w:divBdr>
            <w:top w:val="none" w:sz="0" w:space="0" w:color="auto"/>
            <w:left w:val="none" w:sz="0" w:space="0" w:color="auto"/>
            <w:bottom w:val="none" w:sz="0" w:space="0" w:color="auto"/>
            <w:right w:val="none" w:sz="0" w:space="0" w:color="auto"/>
          </w:divBdr>
        </w:div>
        <w:div w:id="1786460415">
          <w:marLeft w:val="0"/>
          <w:marRight w:val="0"/>
          <w:marTop w:val="0"/>
          <w:marBottom w:val="0"/>
          <w:divBdr>
            <w:top w:val="none" w:sz="0" w:space="0" w:color="auto"/>
            <w:left w:val="none" w:sz="0" w:space="0" w:color="auto"/>
            <w:bottom w:val="none" w:sz="0" w:space="0" w:color="auto"/>
            <w:right w:val="none" w:sz="0" w:space="0" w:color="auto"/>
          </w:divBdr>
        </w:div>
        <w:div w:id="351498779">
          <w:marLeft w:val="0"/>
          <w:marRight w:val="0"/>
          <w:marTop w:val="0"/>
          <w:marBottom w:val="0"/>
          <w:divBdr>
            <w:top w:val="none" w:sz="0" w:space="0" w:color="auto"/>
            <w:left w:val="none" w:sz="0" w:space="0" w:color="auto"/>
            <w:bottom w:val="none" w:sz="0" w:space="0" w:color="auto"/>
            <w:right w:val="none" w:sz="0" w:space="0" w:color="auto"/>
          </w:divBdr>
        </w:div>
        <w:div w:id="821699467">
          <w:marLeft w:val="0"/>
          <w:marRight w:val="0"/>
          <w:marTop w:val="0"/>
          <w:marBottom w:val="0"/>
          <w:divBdr>
            <w:top w:val="none" w:sz="0" w:space="0" w:color="auto"/>
            <w:left w:val="none" w:sz="0" w:space="0" w:color="auto"/>
            <w:bottom w:val="none" w:sz="0" w:space="0" w:color="auto"/>
            <w:right w:val="none" w:sz="0" w:space="0" w:color="auto"/>
          </w:divBdr>
        </w:div>
        <w:div w:id="302272520">
          <w:marLeft w:val="0"/>
          <w:marRight w:val="0"/>
          <w:marTop w:val="0"/>
          <w:marBottom w:val="0"/>
          <w:divBdr>
            <w:top w:val="none" w:sz="0" w:space="0" w:color="auto"/>
            <w:left w:val="none" w:sz="0" w:space="0" w:color="auto"/>
            <w:bottom w:val="none" w:sz="0" w:space="0" w:color="auto"/>
            <w:right w:val="none" w:sz="0" w:space="0" w:color="auto"/>
          </w:divBdr>
        </w:div>
        <w:div w:id="1756899637">
          <w:marLeft w:val="0"/>
          <w:marRight w:val="0"/>
          <w:marTop w:val="0"/>
          <w:marBottom w:val="0"/>
          <w:divBdr>
            <w:top w:val="none" w:sz="0" w:space="0" w:color="auto"/>
            <w:left w:val="none" w:sz="0" w:space="0" w:color="auto"/>
            <w:bottom w:val="none" w:sz="0" w:space="0" w:color="auto"/>
            <w:right w:val="none" w:sz="0" w:space="0" w:color="auto"/>
          </w:divBdr>
        </w:div>
        <w:div w:id="1619141653">
          <w:marLeft w:val="0"/>
          <w:marRight w:val="0"/>
          <w:marTop w:val="0"/>
          <w:marBottom w:val="0"/>
          <w:divBdr>
            <w:top w:val="none" w:sz="0" w:space="0" w:color="auto"/>
            <w:left w:val="none" w:sz="0" w:space="0" w:color="auto"/>
            <w:bottom w:val="none" w:sz="0" w:space="0" w:color="auto"/>
            <w:right w:val="none" w:sz="0" w:space="0" w:color="auto"/>
          </w:divBdr>
        </w:div>
        <w:div w:id="1071194308">
          <w:marLeft w:val="0"/>
          <w:marRight w:val="0"/>
          <w:marTop w:val="0"/>
          <w:marBottom w:val="0"/>
          <w:divBdr>
            <w:top w:val="none" w:sz="0" w:space="0" w:color="auto"/>
            <w:left w:val="none" w:sz="0" w:space="0" w:color="auto"/>
            <w:bottom w:val="none" w:sz="0" w:space="0" w:color="auto"/>
            <w:right w:val="none" w:sz="0" w:space="0" w:color="auto"/>
          </w:divBdr>
        </w:div>
        <w:div w:id="360907403">
          <w:marLeft w:val="0"/>
          <w:marRight w:val="0"/>
          <w:marTop w:val="0"/>
          <w:marBottom w:val="0"/>
          <w:divBdr>
            <w:top w:val="none" w:sz="0" w:space="0" w:color="auto"/>
            <w:left w:val="none" w:sz="0" w:space="0" w:color="auto"/>
            <w:bottom w:val="none" w:sz="0" w:space="0" w:color="auto"/>
            <w:right w:val="none" w:sz="0" w:space="0" w:color="auto"/>
          </w:divBdr>
        </w:div>
        <w:div w:id="655767614">
          <w:marLeft w:val="0"/>
          <w:marRight w:val="0"/>
          <w:marTop w:val="0"/>
          <w:marBottom w:val="0"/>
          <w:divBdr>
            <w:top w:val="none" w:sz="0" w:space="0" w:color="auto"/>
            <w:left w:val="none" w:sz="0" w:space="0" w:color="auto"/>
            <w:bottom w:val="none" w:sz="0" w:space="0" w:color="auto"/>
            <w:right w:val="none" w:sz="0" w:space="0" w:color="auto"/>
          </w:divBdr>
        </w:div>
        <w:div w:id="805397369">
          <w:marLeft w:val="0"/>
          <w:marRight w:val="0"/>
          <w:marTop w:val="0"/>
          <w:marBottom w:val="0"/>
          <w:divBdr>
            <w:top w:val="none" w:sz="0" w:space="0" w:color="auto"/>
            <w:left w:val="none" w:sz="0" w:space="0" w:color="auto"/>
            <w:bottom w:val="none" w:sz="0" w:space="0" w:color="auto"/>
            <w:right w:val="none" w:sz="0" w:space="0" w:color="auto"/>
          </w:divBdr>
        </w:div>
        <w:div w:id="1013070921">
          <w:marLeft w:val="0"/>
          <w:marRight w:val="0"/>
          <w:marTop w:val="0"/>
          <w:marBottom w:val="0"/>
          <w:divBdr>
            <w:top w:val="none" w:sz="0" w:space="0" w:color="auto"/>
            <w:left w:val="none" w:sz="0" w:space="0" w:color="auto"/>
            <w:bottom w:val="none" w:sz="0" w:space="0" w:color="auto"/>
            <w:right w:val="none" w:sz="0" w:space="0" w:color="auto"/>
          </w:divBdr>
        </w:div>
        <w:div w:id="1395658290">
          <w:marLeft w:val="0"/>
          <w:marRight w:val="0"/>
          <w:marTop w:val="0"/>
          <w:marBottom w:val="0"/>
          <w:divBdr>
            <w:top w:val="none" w:sz="0" w:space="0" w:color="auto"/>
            <w:left w:val="none" w:sz="0" w:space="0" w:color="auto"/>
            <w:bottom w:val="none" w:sz="0" w:space="0" w:color="auto"/>
            <w:right w:val="none" w:sz="0" w:space="0" w:color="auto"/>
          </w:divBdr>
        </w:div>
        <w:div w:id="295373223">
          <w:marLeft w:val="0"/>
          <w:marRight w:val="0"/>
          <w:marTop w:val="0"/>
          <w:marBottom w:val="0"/>
          <w:divBdr>
            <w:top w:val="none" w:sz="0" w:space="0" w:color="auto"/>
            <w:left w:val="none" w:sz="0" w:space="0" w:color="auto"/>
            <w:bottom w:val="none" w:sz="0" w:space="0" w:color="auto"/>
            <w:right w:val="none" w:sz="0" w:space="0" w:color="auto"/>
          </w:divBdr>
        </w:div>
        <w:div w:id="1291666911">
          <w:marLeft w:val="0"/>
          <w:marRight w:val="0"/>
          <w:marTop w:val="0"/>
          <w:marBottom w:val="0"/>
          <w:divBdr>
            <w:top w:val="none" w:sz="0" w:space="0" w:color="auto"/>
            <w:left w:val="none" w:sz="0" w:space="0" w:color="auto"/>
            <w:bottom w:val="none" w:sz="0" w:space="0" w:color="auto"/>
            <w:right w:val="none" w:sz="0" w:space="0" w:color="auto"/>
          </w:divBdr>
        </w:div>
        <w:div w:id="279723723">
          <w:marLeft w:val="0"/>
          <w:marRight w:val="0"/>
          <w:marTop w:val="0"/>
          <w:marBottom w:val="0"/>
          <w:divBdr>
            <w:top w:val="none" w:sz="0" w:space="0" w:color="auto"/>
            <w:left w:val="none" w:sz="0" w:space="0" w:color="auto"/>
            <w:bottom w:val="none" w:sz="0" w:space="0" w:color="auto"/>
            <w:right w:val="none" w:sz="0" w:space="0" w:color="auto"/>
          </w:divBdr>
        </w:div>
        <w:div w:id="372191015">
          <w:marLeft w:val="0"/>
          <w:marRight w:val="0"/>
          <w:marTop w:val="0"/>
          <w:marBottom w:val="0"/>
          <w:divBdr>
            <w:top w:val="none" w:sz="0" w:space="0" w:color="auto"/>
            <w:left w:val="none" w:sz="0" w:space="0" w:color="auto"/>
            <w:bottom w:val="none" w:sz="0" w:space="0" w:color="auto"/>
            <w:right w:val="none" w:sz="0" w:space="0" w:color="auto"/>
          </w:divBdr>
        </w:div>
        <w:div w:id="2123065669">
          <w:marLeft w:val="0"/>
          <w:marRight w:val="0"/>
          <w:marTop w:val="0"/>
          <w:marBottom w:val="0"/>
          <w:divBdr>
            <w:top w:val="none" w:sz="0" w:space="0" w:color="auto"/>
            <w:left w:val="none" w:sz="0" w:space="0" w:color="auto"/>
            <w:bottom w:val="none" w:sz="0" w:space="0" w:color="auto"/>
            <w:right w:val="none" w:sz="0" w:space="0" w:color="auto"/>
          </w:divBdr>
        </w:div>
        <w:div w:id="302004918">
          <w:marLeft w:val="0"/>
          <w:marRight w:val="0"/>
          <w:marTop w:val="0"/>
          <w:marBottom w:val="0"/>
          <w:divBdr>
            <w:top w:val="none" w:sz="0" w:space="0" w:color="auto"/>
            <w:left w:val="none" w:sz="0" w:space="0" w:color="auto"/>
            <w:bottom w:val="none" w:sz="0" w:space="0" w:color="auto"/>
            <w:right w:val="none" w:sz="0" w:space="0" w:color="auto"/>
          </w:divBdr>
        </w:div>
        <w:div w:id="2055813228">
          <w:marLeft w:val="0"/>
          <w:marRight w:val="0"/>
          <w:marTop w:val="0"/>
          <w:marBottom w:val="0"/>
          <w:divBdr>
            <w:top w:val="none" w:sz="0" w:space="0" w:color="auto"/>
            <w:left w:val="none" w:sz="0" w:space="0" w:color="auto"/>
            <w:bottom w:val="none" w:sz="0" w:space="0" w:color="auto"/>
            <w:right w:val="none" w:sz="0" w:space="0" w:color="auto"/>
          </w:divBdr>
        </w:div>
        <w:div w:id="314073753">
          <w:marLeft w:val="0"/>
          <w:marRight w:val="0"/>
          <w:marTop w:val="0"/>
          <w:marBottom w:val="0"/>
          <w:divBdr>
            <w:top w:val="none" w:sz="0" w:space="0" w:color="auto"/>
            <w:left w:val="none" w:sz="0" w:space="0" w:color="auto"/>
            <w:bottom w:val="none" w:sz="0" w:space="0" w:color="auto"/>
            <w:right w:val="none" w:sz="0" w:space="0" w:color="auto"/>
          </w:divBdr>
        </w:div>
        <w:div w:id="441345270">
          <w:marLeft w:val="0"/>
          <w:marRight w:val="0"/>
          <w:marTop w:val="0"/>
          <w:marBottom w:val="0"/>
          <w:divBdr>
            <w:top w:val="none" w:sz="0" w:space="0" w:color="auto"/>
            <w:left w:val="none" w:sz="0" w:space="0" w:color="auto"/>
            <w:bottom w:val="none" w:sz="0" w:space="0" w:color="auto"/>
            <w:right w:val="none" w:sz="0" w:space="0" w:color="auto"/>
          </w:divBdr>
        </w:div>
        <w:div w:id="1542282596">
          <w:marLeft w:val="0"/>
          <w:marRight w:val="0"/>
          <w:marTop w:val="0"/>
          <w:marBottom w:val="0"/>
          <w:divBdr>
            <w:top w:val="none" w:sz="0" w:space="0" w:color="auto"/>
            <w:left w:val="none" w:sz="0" w:space="0" w:color="auto"/>
            <w:bottom w:val="none" w:sz="0" w:space="0" w:color="auto"/>
            <w:right w:val="none" w:sz="0" w:space="0" w:color="auto"/>
          </w:divBdr>
        </w:div>
        <w:div w:id="1479223286">
          <w:marLeft w:val="0"/>
          <w:marRight w:val="0"/>
          <w:marTop w:val="0"/>
          <w:marBottom w:val="0"/>
          <w:divBdr>
            <w:top w:val="none" w:sz="0" w:space="0" w:color="auto"/>
            <w:left w:val="none" w:sz="0" w:space="0" w:color="auto"/>
            <w:bottom w:val="none" w:sz="0" w:space="0" w:color="auto"/>
            <w:right w:val="none" w:sz="0" w:space="0" w:color="auto"/>
          </w:divBdr>
        </w:div>
        <w:div w:id="154885831">
          <w:marLeft w:val="0"/>
          <w:marRight w:val="0"/>
          <w:marTop w:val="0"/>
          <w:marBottom w:val="0"/>
          <w:divBdr>
            <w:top w:val="none" w:sz="0" w:space="0" w:color="auto"/>
            <w:left w:val="none" w:sz="0" w:space="0" w:color="auto"/>
            <w:bottom w:val="none" w:sz="0" w:space="0" w:color="auto"/>
            <w:right w:val="none" w:sz="0" w:space="0" w:color="auto"/>
          </w:divBdr>
        </w:div>
        <w:div w:id="271518945">
          <w:marLeft w:val="0"/>
          <w:marRight w:val="0"/>
          <w:marTop w:val="0"/>
          <w:marBottom w:val="0"/>
          <w:divBdr>
            <w:top w:val="none" w:sz="0" w:space="0" w:color="auto"/>
            <w:left w:val="none" w:sz="0" w:space="0" w:color="auto"/>
            <w:bottom w:val="none" w:sz="0" w:space="0" w:color="auto"/>
            <w:right w:val="none" w:sz="0" w:space="0" w:color="auto"/>
          </w:divBdr>
        </w:div>
        <w:div w:id="572201280">
          <w:marLeft w:val="0"/>
          <w:marRight w:val="0"/>
          <w:marTop w:val="0"/>
          <w:marBottom w:val="0"/>
          <w:divBdr>
            <w:top w:val="none" w:sz="0" w:space="0" w:color="auto"/>
            <w:left w:val="none" w:sz="0" w:space="0" w:color="auto"/>
            <w:bottom w:val="none" w:sz="0" w:space="0" w:color="auto"/>
            <w:right w:val="none" w:sz="0" w:space="0" w:color="auto"/>
          </w:divBdr>
        </w:div>
        <w:div w:id="760103627">
          <w:marLeft w:val="0"/>
          <w:marRight w:val="0"/>
          <w:marTop w:val="0"/>
          <w:marBottom w:val="0"/>
          <w:divBdr>
            <w:top w:val="none" w:sz="0" w:space="0" w:color="auto"/>
            <w:left w:val="none" w:sz="0" w:space="0" w:color="auto"/>
            <w:bottom w:val="none" w:sz="0" w:space="0" w:color="auto"/>
            <w:right w:val="none" w:sz="0" w:space="0" w:color="auto"/>
          </w:divBdr>
        </w:div>
        <w:div w:id="9334812">
          <w:marLeft w:val="0"/>
          <w:marRight w:val="0"/>
          <w:marTop w:val="0"/>
          <w:marBottom w:val="0"/>
          <w:divBdr>
            <w:top w:val="none" w:sz="0" w:space="0" w:color="auto"/>
            <w:left w:val="none" w:sz="0" w:space="0" w:color="auto"/>
            <w:bottom w:val="none" w:sz="0" w:space="0" w:color="auto"/>
            <w:right w:val="none" w:sz="0" w:space="0" w:color="auto"/>
          </w:divBdr>
        </w:div>
        <w:div w:id="2112698377">
          <w:marLeft w:val="0"/>
          <w:marRight w:val="0"/>
          <w:marTop w:val="0"/>
          <w:marBottom w:val="0"/>
          <w:divBdr>
            <w:top w:val="none" w:sz="0" w:space="0" w:color="auto"/>
            <w:left w:val="none" w:sz="0" w:space="0" w:color="auto"/>
            <w:bottom w:val="none" w:sz="0" w:space="0" w:color="auto"/>
            <w:right w:val="none" w:sz="0" w:space="0" w:color="auto"/>
          </w:divBdr>
        </w:div>
        <w:div w:id="1006640034">
          <w:marLeft w:val="0"/>
          <w:marRight w:val="0"/>
          <w:marTop w:val="0"/>
          <w:marBottom w:val="0"/>
          <w:divBdr>
            <w:top w:val="none" w:sz="0" w:space="0" w:color="auto"/>
            <w:left w:val="none" w:sz="0" w:space="0" w:color="auto"/>
            <w:bottom w:val="none" w:sz="0" w:space="0" w:color="auto"/>
            <w:right w:val="none" w:sz="0" w:space="0" w:color="auto"/>
          </w:divBdr>
        </w:div>
        <w:div w:id="791828973">
          <w:marLeft w:val="0"/>
          <w:marRight w:val="0"/>
          <w:marTop w:val="0"/>
          <w:marBottom w:val="0"/>
          <w:divBdr>
            <w:top w:val="none" w:sz="0" w:space="0" w:color="auto"/>
            <w:left w:val="none" w:sz="0" w:space="0" w:color="auto"/>
            <w:bottom w:val="none" w:sz="0" w:space="0" w:color="auto"/>
            <w:right w:val="none" w:sz="0" w:space="0" w:color="auto"/>
          </w:divBdr>
        </w:div>
        <w:div w:id="1991210693">
          <w:marLeft w:val="0"/>
          <w:marRight w:val="0"/>
          <w:marTop w:val="0"/>
          <w:marBottom w:val="0"/>
          <w:divBdr>
            <w:top w:val="none" w:sz="0" w:space="0" w:color="auto"/>
            <w:left w:val="none" w:sz="0" w:space="0" w:color="auto"/>
            <w:bottom w:val="none" w:sz="0" w:space="0" w:color="auto"/>
            <w:right w:val="none" w:sz="0" w:space="0" w:color="auto"/>
          </w:divBdr>
        </w:div>
        <w:div w:id="218786495">
          <w:marLeft w:val="0"/>
          <w:marRight w:val="0"/>
          <w:marTop w:val="0"/>
          <w:marBottom w:val="0"/>
          <w:divBdr>
            <w:top w:val="none" w:sz="0" w:space="0" w:color="auto"/>
            <w:left w:val="none" w:sz="0" w:space="0" w:color="auto"/>
            <w:bottom w:val="none" w:sz="0" w:space="0" w:color="auto"/>
            <w:right w:val="none" w:sz="0" w:space="0" w:color="auto"/>
          </w:divBdr>
        </w:div>
        <w:div w:id="1464927415">
          <w:marLeft w:val="0"/>
          <w:marRight w:val="0"/>
          <w:marTop w:val="0"/>
          <w:marBottom w:val="0"/>
          <w:divBdr>
            <w:top w:val="none" w:sz="0" w:space="0" w:color="auto"/>
            <w:left w:val="none" w:sz="0" w:space="0" w:color="auto"/>
            <w:bottom w:val="none" w:sz="0" w:space="0" w:color="auto"/>
            <w:right w:val="none" w:sz="0" w:space="0" w:color="auto"/>
          </w:divBdr>
        </w:div>
        <w:div w:id="1891459839">
          <w:marLeft w:val="0"/>
          <w:marRight w:val="0"/>
          <w:marTop w:val="0"/>
          <w:marBottom w:val="0"/>
          <w:divBdr>
            <w:top w:val="none" w:sz="0" w:space="0" w:color="auto"/>
            <w:left w:val="none" w:sz="0" w:space="0" w:color="auto"/>
            <w:bottom w:val="none" w:sz="0" w:space="0" w:color="auto"/>
            <w:right w:val="none" w:sz="0" w:space="0" w:color="auto"/>
          </w:divBdr>
        </w:div>
        <w:div w:id="1675186155">
          <w:marLeft w:val="0"/>
          <w:marRight w:val="0"/>
          <w:marTop w:val="0"/>
          <w:marBottom w:val="0"/>
          <w:divBdr>
            <w:top w:val="none" w:sz="0" w:space="0" w:color="auto"/>
            <w:left w:val="none" w:sz="0" w:space="0" w:color="auto"/>
            <w:bottom w:val="none" w:sz="0" w:space="0" w:color="auto"/>
            <w:right w:val="none" w:sz="0" w:space="0" w:color="auto"/>
          </w:divBdr>
        </w:div>
        <w:div w:id="167795392">
          <w:marLeft w:val="0"/>
          <w:marRight w:val="0"/>
          <w:marTop w:val="0"/>
          <w:marBottom w:val="0"/>
          <w:divBdr>
            <w:top w:val="none" w:sz="0" w:space="0" w:color="auto"/>
            <w:left w:val="none" w:sz="0" w:space="0" w:color="auto"/>
            <w:bottom w:val="none" w:sz="0" w:space="0" w:color="auto"/>
            <w:right w:val="none" w:sz="0" w:space="0" w:color="auto"/>
          </w:divBdr>
        </w:div>
        <w:div w:id="418452936">
          <w:marLeft w:val="0"/>
          <w:marRight w:val="0"/>
          <w:marTop w:val="0"/>
          <w:marBottom w:val="0"/>
          <w:divBdr>
            <w:top w:val="none" w:sz="0" w:space="0" w:color="auto"/>
            <w:left w:val="none" w:sz="0" w:space="0" w:color="auto"/>
            <w:bottom w:val="none" w:sz="0" w:space="0" w:color="auto"/>
            <w:right w:val="none" w:sz="0" w:space="0" w:color="auto"/>
          </w:divBdr>
        </w:div>
        <w:div w:id="353658610">
          <w:marLeft w:val="0"/>
          <w:marRight w:val="0"/>
          <w:marTop w:val="0"/>
          <w:marBottom w:val="0"/>
          <w:divBdr>
            <w:top w:val="none" w:sz="0" w:space="0" w:color="auto"/>
            <w:left w:val="none" w:sz="0" w:space="0" w:color="auto"/>
            <w:bottom w:val="none" w:sz="0" w:space="0" w:color="auto"/>
            <w:right w:val="none" w:sz="0" w:space="0" w:color="auto"/>
          </w:divBdr>
        </w:div>
        <w:div w:id="2010864545">
          <w:marLeft w:val="0"/>
          <w:marRight w:val="0"/>
          <w:marTop w:val="0"/>
          <w:marBottom w:val="0"/>
          <w:divBdr>
            <w:top w:val="none" w:sz="0" w:space="0" w:color="auto"/>
            <w:left w:val="none" w:sz="0" w:space="0" w:color="auto"/>
            <w:bottom w:val="none" w:sz="0" w:space="0" w:color="auto"/>
            <w:right w:val="none" w:sz="0" w:space="0" w:color="auto"/>
          </w:divBdr>
        </w:div>
        <w:div w:id="1377656055">
          <w:marLeft w:val="0"/>
          <w:marRight w:val="0"/>
          <w:marTop w:val="0"/>
          <w:marBottom w:val="0"/>
          <w:divBdr>
            <w:top w:val="none" w:sz="0" w:space="0" w:color="auto"/>
            <w:left w:val="none" w:sz="0" w:space="0" w:color="auto"/>
            <w:bottom w:val="none" w:sz="0" w:space="0" w:color="auto"/>
            <w:right w:val="none" w:sz="0" w:space="0" w:color="auto"/>
          </w:divBdr>
        </w:div>
        <w:div w:id="178398084">
          <w:marLeft w:val="0"/>
          <w:marRight w:val="0"/>
          <w:marTop w:val="0"/>
          <w:marBottom w:val="0"/>
          <w:divBdr>
            <w:top w:val="none" w:sz="0" w:space="0" w:color="auto"/>
            <w:left w:val="none" w:sz="0" w:space="0" w:color="auto"/>
            <w:bottom w:val="none" w:sz="0" w:space="0" w:color="auto"/>
            <w:right w:val="none" w:sz="0" w:space="0" w:color="auto"/>
          </w:divBdr>
        </w:div>
        <w:div w:id="454492465">
          <w:marLeft w:val="0"/>
          <w:marRight w:val="0"/>
          <w:marTop w:val="0"/>
          <w:marBottom w:val="0"/>
          <w:divBdr>
            <w:top w:val="none" w:sz="0" w:space="0" w:color="auto"/>
            <w:left w:val="none" w:sz="0" w:space="0" w:color="auto"/>
            <w:bottom w:val="none" w:sz="0" w:space="0" w:color="auto"/>
            <w:right w:val="none" w:sz="0" w:space="0" w:color="auto"/>
          </w:divBdr>
        </w:div>
        <w:div w:id="780537242">
          <w:marLeft w:val="0"/>
          <w:marRight w:val="0"/>
          <w:marTop w:val="0"/>
          <w:marBottom w:val="0"/>
          <w:divBdr>
            <w:top w:val="none" w:sz="0" w:space="0" w:color="auto"/>
            <w:left w:val="none" w:sz="0" w:space="0" w:color="auto"/>
            <w:bottom w:val="none" w:sz="0" w:space="0" w:color="auto"/>
            <w:right w:val="none" w:sz="0" w:space="0" w:color="auto"/>
          </w:divBdr>
        </w:div>
        <w:div w:id="1590965381">
          <w:marLeft w:val="0"/>
          <w:marRight w:val="0"/>
          <w:marTop w:val="0"/>
          <w:marBottom w:val="0"/>
          <w:divBdr>
            <w:top w:val="none" w:sz="0" w:space="0" w:color="auto"/>
            <w:left w:val="none" w:sz="0" w:space="0" w:color="auto"/>
            <w:bottom w:val="none" w:sz="0" w:space="0" w:color="auto"/>
            <w:right w:val="none" w:sz="0" w:space="0" w:color="auto"/>
          </w:divBdr>
        </w:div>
        <w:div w:id="1993370406">
          <w:marLeft w:val="0"/>
          <w:marRight w:val="0"/>
          <w:marTop w:val="0"/>
          <w:marBottom w:val="0"/>
          <w:divBdr>
            <w:top w:val="none" w:sz="0" w:space="0" w:color="auto"/>
            <w:left w:val="none" w:sz="0" w:space="0" w:color="auto"/>
            <w:bottom w:val="none" w:sz="0" w:space="0" w:color="auto"/>
            <w:right w:val="none" w:sz="0" w:space="0" w:color="auto"/>
          </w:divBdr>
        </w:div>
        <w:div w:id="1126851666">
          <w:marLeft w:val="0"/>
          <w:marRight w:val="0"/>
          <w:marTop w:val="0"/>
          <w:marBottom w:val="0"/>
          <w:divBdr>
            <w:top w:val="none" w:sz="0" w:space="0" w:color="auto"/>
            <w:left w:val="none" w:sz="0" w:space="0" w:color="auto"/>
            <w:bottom w:val="none" w:sz="0" w:space="0" w:color="auto"/>
            <w:right w:val="none" w:sz="0" w:space="0" w:color="auto"/>
          </w:divBdr>
        </w:div>
        <w:div w:id="1014067302">
          <w:marLeft w:val="0"/>
          <w:marRight w:val="0"/>
          <w:marTop w:val="0"/>
          <w:marBottom w:val="0"/>
          <w:divBdr>
            <w:top w:val="none" w:sz="0" w:space="0" w:color="auto"/>
            <w:left w:val="none" w:sz="0" w:space="0" w:color="auto"/>
            <w:bottom w:val="none" w:sz="0" w:space="0" w:color="auto"/>
            <w:right w:val="none" w:sz="0" w:space="0" w:color="auto"/>
          </w:divBdr>
        </w:div>
        <w:div w:id="618535029">
          <w:marLeft w:val="0"/>
          <w:marRight w:val="0"/>
          <w:marTop w:val="0"/>
          <w:marBottom w:val="0"/>
          <w:divBdr>
            <w:top w:val="none" w:sz="0" w:space="0" w:color="auto"/>
            <w:left w:val="none" w:sz="0" w:space="0" w:color="auto"/>
            <w:bottom w:val="none" w:sz="0" w:space="0" w:color="auto"/>
            <w:right w:val="none" w:sz="0" w:space="0" w:color="auto"/>
          </w:divBdr>
        </w:div>
        <w:div w:id="1432240926">
          <w:marLeft w:val="0"/>
          <w:marRight w:val="0"/>
          <w:marTop w:val="0"/>
          <w:marBottom w:val="0"/>
          <w:divBdr>
            <w:top w:val="none" w:sz="0" w:space="0" w:color="auto"/>
            <w:left w:val="none" w:sz="0" w:space="0" w:color="auto"/>
            <w:bottom w:val="none" w:sz="0" w:space="0" w:color="auto"/>
            <w:right w:val="none" w:sz="0" w:space="0" w:color="auto"/>
          </w:divBdr>
        </w:div>
        <w:div w:id="1903640192">
          <w:marLeft w:val="0"/>
          <w:marRight w:val="0"/>
          <w:marTop w:val="0"/>
          <w:marBottom w:val="0"/>
          <w:divBdr>
            <w:top w:val="none" w:sz="0" w:space="0" w:color="auto"/>
            <w:left w:val="none" w:sz="0" w:space="0" w:color="auto"/>
            <w:bottom w:val="none" w:sz="0" w:space="0" w:color="auto"/>
            <w:right w:val="none" w:sz="0" w:space="0" w:color="auto"/>
          </w:divBdr>
        </w:div>
        <w:div w:id="1477607318">
          <w:marLeft w:val="0"/>
          <w:marRight w:val="0"/>
          <w:marTop w:val="0"/>
          <w:marBottom w:val="0"/>
          <w:divBdr>
            <w:top w:val="none" w:sz="0" w:space="0" w:color="auto"/>
            <w:left w:val="none" w:sz="0" w:space="0" w:color="auto"/>
            <w:bottom w:val="none" w:sz="0" w:space="0" w:color="auto"/>
            <w:right w:val="none" w:sz="0" w:space="0" w:color="auto"/>
          </w:divBdr>
        </w:div>
        <w:div w:id="1339698309">
          <w:marLeft w:val="0"/>
          <w:marRight w:val="0"/>
          <w:marTop w:val="0"/>
          <w:marBottom w:val="0"/>
          <w:divBdr>
            <w:top w:val="none" w:sz="0" w:space="0" w:color="auto"/>
            <w:left w:val="none" w:sz="0" w:space="0" w:color="auto"/>
            <w:bottom w:val="none" w:sz="0" w:space="0" w:color="auto"/>
            <w:right w:val="none" w:sz="0" w:space="0" w:color="auto"/>
          </w:divBdr>
        </w:div>
        <w:div w:id="117260637">
          <w:marLeft w:val="0"/>
          <w:marRight w:val="0"/>
          <w:marTop w:val="0"/>
          <w:marBottom w:val="0"/>
          <w:divBdr>
            <w:top w:val="none" w:sz="0" w:space="0" w:color="auto"/>
            <w:left w:val="none" w:sz="0" w:space="0" w:color="auto"/>
            <w:bottom w:val="none" w:sz="0" w:space="0" w:color="auto"/>
            <w:right w:val="none" w:sz="0" w:space="0" w:color="auto"/>
          </w:divBdr>
        </w:div>
        <w:div w:id="379939738">
          <w:marLeft w:val="0"/>
          <w:marRight w:val="0"/>
          <w:marTop w:val="0"/>
          <w:marBottom w:val="0"/>
          <w:divBdr>
            <w:top w:val="none" w:sz="0" w:space="0" w:color="auto"/>
            <w:left w:val="none" w:sz="0" w:space="0" w:color="auto"/>
            <w:bottom w:val="none" w:sz="0" w:space="0" w:color="auto"/>
            <w:right w:val="none" w:sz="0" w:space="0" w:color="auto"/>
          </w:divBdr>
        </w:div>
        <w:div w:id="386756574">
          <w:marLeft w:val="0"/>
          <w:marRight w:val="0"/>
          <w:marTop w:val="0"/>
          <w:marBottom w:val="0"/>
          <w:divBdr>
            <w:top w:val="none" w:sz="0" w:space="0" w:color="auto"/>
            <w:left w:val="none" w:sz="0" w:space="0" w:color="auto"/>
            <w:bottom w:val="none" w:sz="0" w:space="0" w:color="auto"/>
            <w:right w:val="none" w:sz="0" w:space="0" w:color="auto"/>
          </w:divBdr>
        </w:div>
        <w:div w:id="1372805315">
          <w:marLeft w:val="0"/>
          <w:marRight w:val="0"/>
          <w:marTop w:val="0"/>
          <w:marBottom w:val="0"/>
          <w:divBdr>
            <w:top w:val="none" w:sz="0" w:space="0" w:color="auto"/>
            <w:left w:val="none" w:sz="0" w:space="0" w:color="auto"/>
            <w:bottom w:val="none" w:sz="0" w:space="0" w:color="auto"/>
            <w:right w:val="none" w:sz="0" w:space="0" w:color="auto"/>
          </w:divBdr>
        </w:div>
        <w:div w:id="1115909255">
          <w:marLeft w:val="0"/>
          <w:marRight w:val="0"/>
          <w:marTop w:val="0"/>
          <w:marBottom w:val="0"/>
          <w:divBdr>
            <w:top w:val="none" w:sz="0" w:space="0" w:color="auto"/>
            <w:left w:val="none" w:sz="0" w:space="0" w:color="auto"/>
            <w:bottom w:val="none" w:sz="0" w:space="0" w:color="auto"/>
            <w:right w:val="none" w:sz="0" w:space="0" w:color="auto"/>
          </w:divBdr>
        </w:div>
        <w:div w:id="257369673">
          <w:marLeft w:val="0"/>
          <w:marRight w:val="0"/>
          <w:marTop w:val="0"/>
          <w:marBottom w:val="0"/>
          <w:divBdr>
            <w:top w:val="none" w:sz="0" w:space="0" w:color="auto"/>
            <w:left w:val="none" w:sz="0" w:space="0" w:color="auto"/>
            <w:bottom w:val="none" w:sz="0" w:space="0" w:color="auto"/>
            <w:right w:val="none" w:sz="0" w:space="0" w:color="auto"/>
          </w:divBdr>
        </w:div>
        <w:div w:id="1603370681">
          <w:marLeft w:val="0"/>
          <w:marRight w:val="0"/>
          <w:marTop w:val="0"/>
          <w:marBottom w:val="0"/>
          <w:divBdr>
            <w:top w:val="none" w:sz="0" w:space="0" w:color="auto"/>
            <w:left w:val="none" w:sz="0" w:space="0" w:color="auto"/>
            <w:bottom w:val="none" w:sz="0" w:space="0" w:color="auto"/>
            <w:right w:val="none" w:sz="0" w:space="0" w:color="auto"/>
          </w:divBdr>
        </w:div>
        <w:div w:id="843056050">
          <w:marLeft w:val="0"/>
          <w:marRight w:val="0"/>
          <w:marTop w:val="0"/>
          <w:marBottom w:val="0"/>
          <w:divBdr>
            <w:top w:val="none" w:sz="0" w:space="0" w:color="auto"/>
            <w:left w:val="none" w:sz="0" w:space="0" w:color="auto"/>
            <w:bottom w:val="none" w:sz="0" w:space="0" w:color="auto"/>
            <w:right w:val="none" w:sz="0" w:space="0" w:color="auto"/>
          </w:divBdr>
        </w:div>
        <w:div w:id="1365180425">
          <w:marLeft w:val="0"/>
          <w:marRight w:val="0"/>
          <w:marTop w:val="0"/>
          <w:marBottom w:val="0"/>
          <w:divBdr>
            <w:top w:val="none" w:sz="0" w:space="0" w:color="auto"/>
            <w:left w:val="none" w:sz="0" w:space="0" w:color="auto"/>
            <w:bottom w:val="none" w:sz="0" w:space="0" w:color="auto"/>
            <w:right w:val="none" w:sz="0" w:space="0" w:color="auto"/>
          </w:divBdr>
        </w:div>
        <w:div w:id="1669744370">
          <w:marLeft w:val="0"/>
          <w:marRight w:val="0"/>
          <w:marTop w:val="0"/>
          <w:marBottom w:val="0"/>
          <w:divBdr>
            <w:top w:val="none" w:sz="0" w:space="0" w:color="auto"/>
            <w:left w:val="none" w:sz="0" w:space="0" w:color="auto"/>
            <w:bottom w:val="none" w:sz="0" w:space="0" w:color="auto"/>
            <w:right w:val="none" w:sz="0" w:space="0" w:color="auto"/>
          </w:divBdr>
        </w:div>
        <w:div w:id="1496070960">
          <w:marLeft w:val="0"/>
          <w:marRight w:val="0"/>
          <w:marTop w:val="0"/>
          <w:marBottom w:val="0"/>
          <w:divBdr>
            <w:top w:val="none" w:sz="0" w:space="0" w:color="auto"/>
            <w:left w:val="none" w:sz="0" w:space="0" w:color="auto"/>
            <w:bottom w:val="none" w:sz="0" w:space="0" w:color="auto"/>
            <w:right w:val="none" w:sz="0" w:space="0" w:color="auto"/>
          </w:divBdr>
        </w:div>
        <w:div w:id="966550055">
          <w:marLeft w:val="0"/>
          <w:marRight w:val="0"/>
          <w:marTop w:val="0"/>
          <w:marBottom w:val="0"/>
          <w:divBdr>
            <w:top w:val="none" w:sz="0" w:space="0" w:color="auto"/>
            <w:left w:val="none" w:sz="0" w:space="0" w:color="auto"/>
            <w:bottom w:val="none" w:sz="0" w:space="0" w:color="auto"/>
            <w:right w:val="none" w:sz="0" w:space="0" w:color="auto"/>
          </w:divBdr>
        </w:div>
        <w:div w:id="683631662">
          <w:marLeft w:val="0"/>
          <w:marRight w:val="0"/>
          <w:marTop w:val="0"/>
          <w:marBottom w:val="0"/>
          <w:divBdr>
            <w:top w:val="none" w:sz="0" w:space="0" w:color="auto"/>
            <w:left w:val="none" w:sz="0" w:space="0" w:color="auto"/>
            <w:bottom w:val="none" w:sz="0" w:space="0" w:color="auto"/>
            <w:right w:val="none" w:sz="0" w:space="0" w:color="auto"/>
          </w:divBdr>
        </w:div>
        <w:div w:id="1328552252">
          <w:marLeft w:val="0"/>
          <w:marRight w:val="0"/>
          <w:marTop w:val="0"/>
          <w:marBottom w:val="0"/>
          <w:divBdr>
            <w:top w:val="none" w:sz="0" w:space="0" w:color="auto"/>
            <w:left w:val="none" w:sz="0" w:space="0" w:color="auto"/>
            <w:bottom w:val="none" w:sz="0" w:space="0" w:color="auto"/>
            <w:right w:val="none" w:sz="0" w:space="0" w:color="auto"/>
          </w:divBdr>
        </w:div>
        <w:div w:id="267276891">
          <w:marLeft w:val="0"/>
          <w:marRight w:val="0"/>
          <w:marTop w:val="0"/>
          <w:marBottom w:val="0"/>
          <w:divBdr>
            <w:top w:val="none" w:sz="0" w:space="0" w:color="auto"/>
            <w:left w:val="none" w:sz="0" w:space="0" w:color="auto"/>
            <w:bottom w:val="none" w:sz="0" w:space="0" w:color="auto"/>
            <w:right w:val="none" w:sz="0" w:space="0" w:color="auto"/>
          </w:divBdr>
        </w:div>
        <w:div w:id="279725657">
          <w:marLeft w:val="0"/>
          <w:marRight w:val="0"/>
          <w:marTop w:val="0"/>
          <w:marBottom w:val="0"/>
          <w:divBdr>
            <w:top w:val="none" w:sz="0" w:space="0" w:color="auto"/>
            <w:left w:val="none" w:sz="0" w:space="0" w:color="auto"/>
            <w:bottom w:val="none" w:sz="0" w:space="0" w:color="auto"/>
            <w:right w:val="none" w:sz="0" w:space="0" w:color="auto"/>
          </w:divBdr>
        </w:div>
        <w:div w:id="1870333045">
          <w:marLeft w:val="0"/>
          <w:marRight w:val="0"/>
          <w:marTop w:val="0"/>
          <w:marBottom w:val="0"/>
          <w:divBdr>
            <w:top w:val="none" w:sz="0" w:space="0" w:color="auto"/>
            <w:left w:val="none" w:sz="0" w:space="0" w:color="auto"/>
            <w:bottom w:val="none" w:sz="0" w:space="0" w:color="auto"/>
            <w:right w:val="none" w:sz="0" w:space="0" w:color="auto"/>
          </w:divBdr>
        </w:div>
        <w:div w:id="314139987">
          <w:marLeft w:val="0"/>
          <w:marRight w:val="0"/>
          <w:marTop w:val="0"/>
          <w:marBottom w:val="0"/>
          <w:divBdr>
            <w:top w:val="none" w:sz="0" w:space="0" w:color="auto"/>
            <w:left w:val="none" w:sz="0" w:space="0" w:color="auto"/>
            <w:bottom w:val="none" w:sz="0" w:space="0" w:color="auto"/>
            <w:right w:val="none" w:sz="0" w:space="0" w:color="auto"/>
          </w:divBdr>
        </w:div>
        <w:div w:id="914240639">
          <w:marLeft w:val="0"/>
          <w:marRight w:val="0"/>
          <w:marTop w:val="0"/>
          <w:marBottom w:val="0"/>
          <w:divBdr>
            <w:top w:val="none" w:sz="0" w:space="0" w:color="auto"/>
            <w:left w:val="none" w:sz="0" w:space="0" w:color="auto"/>
            <w:bottom w:val="none" w:sz="0" w:space="0" w:color="auto"/>
            <w:right w:val="none" w:sz="0" w:space="0" w:color="auto"/>
          </w:divBdr>
        </w:div>
        <w:div w:id="193278134">
          <w:marLeft w:val="0"/>
          <w:marRight w:val="0"/>
          <w:marTop w:val="0"/>
          <w:marBottom w:val="0"/>
          <w:divBdr>
            <w:top w:val="none" w:sz="0" w:space="0" w:color="auto"/>
            <w:left w:val="none" w:sz="0" w:space="0" w:color="auto"/>
            <w:bottom w:val="none" w:sz="0" w:space="0" w:color="auto"/>
            <w:right w:val="none" w:sz="0" w:space="0" w:color="auto"/>
          </w:divBdr>
        </w:div>
        <w:div w:id="1148741281">
          <w:marLeft w:val="0"/>
          <w:marRight w:val="0"/>
          <w:marTop w:val="0"/>
          <w:marBottom w:val="0"/>
          <w:divBdr>
            <w:top w:val="none" w:sz="0" w:space="0" w:color="auto"/>
            <w:left w:val="none" w:sz="0" w:space="0" w:color="auto"/>
            <w:bottom w:val="none" w:sz="0" w:space="0" w:color="auto"/>
            <w:right w:val="none" w:sz="0" w:space="0" w:color="auto"/>
          </w:divBdr>
        </w:div>
        <w:div w:id="1436173891">
          <w:marLeft w:val="0"/>
          <w:marRight w:val="0"/>
          <w:marTop w:val="0"/>
          <w:marBottom w:val="0"/>
          <w:divBdr>
            <w:top w:val="none" w:sz="0" w:space="0" w:color="auto"/>
            <w:left w:val="none" w:sz="0" w:space="0" w:color="auto"/>
            <w:bottom w:val="none" w:sz="0" w:space="0" w:color="auto"/>
            <w:right w:val="none" w:sz="0" w:space="0" w:color="auto"/>
          </w:divBdr>
        </w:div>
        <w:div w:id="195239101">
          <w:marLeft w:val="0"/>
          <w:marRight w:val="0"/>
          <w:marTop w:val="0"/>
          <w:marBottom w:val="0"/>
          <w:divBdr>
            <w:top w:val="none" w:sz="0" w:space="0" w:color="auto"/>
            <w:left w:val="none" w:sz="0" w:space="0" w:color="auto"/>
            <w:bottom w:val="none" w:sz="0" w:space="0" w:color="auto"/>
            <w:right w:val="none" w:sz="0" w:space="0" w:color="auto"/>
          </w:divBdr>
        </w:div>
        <w:div w:id="429740488">
          <w:marLeft w:val="0"/>
          <w:marRight w:val="0"/>
          <w:marTop w:val="0"/>
          <w:marBottom w:val="0"/>
          <w:divBdr>
            <w:top w:val="none" w:sz="0" w:space="0" w:color="auto"/>
            <w:left w:val="none" w:sz="0" w:space="0" w:color="auto"/>
            <w:bottom w:val="none" w:sz="0" w:space="0" w:color="auto"/>
            <w:right w:val="none" w:sz="0" w:space="0" w:color="auto"/>
          </w:divBdr>
        </w:div>
        <w:div w:id="373313440">
          <w:marLeft w:val="0"/>
          <w:marRight w:val="0"/>
          <w:marTop w:val="0"/>
          <w:marBottom w:val="0"/>
          <w:divBdr>
            <w:top w:val="none" w:sz="0" w:space="0" w:color="auto"/>
            <w:left w:val="none" w:sz="0" w:space="0" w:color="auto"/>
            <w:bottom w:val="none" w:sz="0" w:space="0" w:color="auto"/>
            <w:right w:val="none" w:sz="0" w:space="0" w:color="auto"/>
          </w:divBdr>
        </w:div>
        <w:div w:id="1268389714">
          <w:marLeft w:val="0"/>
          <w:marRight w:val="0"/>
          <w:marTop w:val="0"/>
          <w:marBottom w:val="0"/>
          <w:divBdr>
            <w:top w:val="none" w:sz="0" w:space="0" w:color="auto"/>
            <w:left w:val="none" w:sz="0" w:space="0" w:color="auto"/>
            <w:bottom w:val="none" w:sz="0" w:space="0" w:color="auto"/>
            <w:right w:val="none" w:sz="0" w:space="0" w:color="auto"/>
          </w:divBdr>
        </w:div>
        <w:div w:id="785125683">
          <w:marLeft w:val="0"/>
          <w:marRight w:val="0"/>
          <w:marTop w:val="0"/>
          <w:marBottom w:val="0"/>
          <w:divBdr>
            <w:top w:val="none" w:sz="0" w:space="0" w:color="auto"/>
            <w:left w:val="none" w:sz="0" w:space="0" w:color="auto"/>
            <w:bottom w:val="none" w:sz="0" w:space="0" w:color="auto"/>
            <w:right w:val="none" w:sz="0" w:space="0" w:color="auto"/>
          </w:divBdr>
        </w:div>
        <w:div w:id="1377003552">
          <w:marLeft w:val="0"/>
          <w:marRight w:val="0"/>
          <w:marTop w:val="0"/>
          <w:marBottom w:val="0"/>
          <w:divBdr>
            <w:top w:val="none" w:sz="0" w:space="0" w:color="auto"/>
            <w:left w:val="none" w:sz="0" w:space="0" w:color="auto"/>
            <w:bottom w:val="none" w:sz="0" w:space="0" w:color="auto"/>
            <w:right w:val="none" w:sz="0" w:space="0" w:color="auto"/>
          </w:divBdr>
        </w:div>
        <w:div w:id="1165129200">
          <w:marLeft w:val="0"/>
          <w:marRight w:val="0"/>
          <w:marTop w:val="0"/>
          <w:marBottom w:val="0"/>
          <w:divBdr>
            <w:top w:val="none" w:sz="0" w:space="0" w:color="auto"/>
            <w:left w:val="none" w:sz="0" w:space="0" w:color="auto"/>
            <w:bottom w:val="none" w:sz="0" w:space="0" w:color="auto"/>
            <w:right w:val="none" w:sz="0" w:space="0" w:color="auto"/>
          </w:divBdr>
        </w:div>
        <w:div w:id="435634879">
          <w:marLeft w:val="0"/>
          <w:marRight w:val="0"/>
          <w:marTop w:val="0"/>
          <w:marBottom w:val="0"/>
          <w:divBdr>
            <w:top w:val="none" w:sz="0" w:space="0" w:color="auto"/>
            <w:left w:val="none" w:sz="0" w:space="0" w:color="auto"/>
            <w:bottom w:val="none" w:sz="0" w:space="0" w:color="auto"/>
            <w:right w:val="none" w:sz="0" w:space="0" w:color="auto"/>
          </w:divBdr>
        </w:div>
        <w:div w:id="1057316460">
          <w:marLeft w:val="0"/>
          <w:marRight w:val="0"/>
          <w:marTop w:val="0"/>
          <w:marBottom w:val="0"/>
          <w:divBdr>
            <w:top w:val="none" w:sz="0" w:space="0" w:color="auto"/>
            <w:left w:val="none" w:sz="0" w:space="0" w:color="auto"/>
            <w:bottom w:val="none" w:sz="0" w:space="0" w:color="auto"/>
            <w:right w:val="none" w:sz="0" w:space="0" w:color="auto"/>
          </w:divBdr>
        </w:div>
        <w:div w:id="1917133378">
          <w:marLeft w:val="0"/>
          <w:marRight w:val="0"/>
          <w:marTop w:val="0"/>
          <w:marBottom w:val="0"/>
          <w:divBdr>
            <w:top w:val="none" w:sz="0" w:space="0" w:color="auto"/>
            <w:left w:val="none" w:sz="0" w:space="0" w:color="auto"/>
            <w:bottom w:val="none" w:sz="0" w:space="0" w:color="auto"/>
            <w:right w:val="none" w:sz="0" w:space="0" w:color="auto"/>
          </w:divBdr>
        </w:div>
        <w:div w:id="1510677778">
          <w:marLeft w:val="0"/>
          <w:marRight w:val="0"/>
          <w:marTop w:val="0"/>
          <w:marBottom w:val="0"/>
          <w:divBdr>
            <w:top w:val="none" w:sz="0" w:space="0" w:color="auto"/>
            <w:left w:val="none" w:sz="0" w:space="0" w:color="auto"/>
            <w:bottom w:val="none" w:sz="0" w:space="0" w:color="auto"/>
            <w:right w:val="none" w:sz="0" w:space="0" w:color="auto"/>
          </w:divBdr>
        </w:div>
        <w:div w:id="1429155623">
          <w:marLeft w:val="0"/>
          <w:marRight w:val="0"/>
          <w:marTop w:val="0"/>
          <w:marBottom w:val="0"/>
          <w:divBdr>
            <w:top w:val="none" w:sz="0" w:space="0" w:color="auto"/>
            <w:left w:val="none" w:sz="0" w:space="0" w:color="auto"/>
            <w:bottom w:val="none" w:sz="0" w:space="0" w:color="auto"/>
            <w:right w:val="none" w:sz="0" w:space="0" w:color="auto"/>
          </w:divBdr>
        </w:div>
        <w:div w:id="53049243">
          <w:marLeft w:val="0"/>
          <w:marRight w:val="0"/>
          <w:marTop w:val="0"/>
          <w:marBottom w:val="0"/>
          <w:divBdr>
            <w:top w:val="none" w:sz="0" w:space="0" w:color="auto"/>
            <w:left w:val="none" w:sz="0" w:space="0" w:color="auto"/>
            <w:bottom w:val="none" w:sz="0" w:space="0" w:color="auto"/>
            <w:right w:val="none" w:sz="0" w:space="0" w:color="auto"/>
          </w:divBdr>
        </w:div>
        <w:div w:id="337388866">
          <w:marLeft w:val="0"/>
          <w:marRight w:val="0"/>
          <w:marTop w:val="0"/>
          <w:marBottom w:val="0"/>
          <w:divBdr>
            <w:top w:val="none" w:sz="0" w:space="0" w:color="auto"/>
            <w:left w:val="none" w:sz="0" w:space="0" w:color="auto"/>
            <w:bottom w:val="none" w:sz="0" w:space="0" w:color="auto"/>
            <w:right w:val="none" w:sz="0" w:space="0" w:color="auto"/>
          </w:divBdr>
        </w:div>
        <w:div w:id="1941137311">
          <w:marLeft w:val="0"/>
          <w:marRight w:val="0"/>
          <w:marTop w:val="0"/>
          <w:marBottom w:val="0"/>
          <w:divBdr>
            <w:top w:val="none" w:sz="0" w:space="0" w:color="auto"/>
            <w:left w:val="none" w:sz="0" w:space="0" w:color="auto"/>
            <w:bottom w:val="none" w:sz="0" w:space="0" w:color="auto"/>
            <w:right w:val="none" w:sz="0" w:space="0" w:color="auto"/>
          </w:divBdr>
        </w:div>
        <w:div w:id="1524976327">
          <w:marLeft w:val="0"/>
          <w:marRight w:val="0"/>
          <w:marTop w:val="0"/>
          <w:marBottom w:val="0"/>
          <w:divBdr>
            <w:top w:val="none" w:sz="0" w:space="0" w:color="auto"/>
            <w:left w:val="none" w:sz="0" w:space="0" w:color="auto"/>
            <w:bottom w:val="none" w:sz="0" w:space="0" w:color="auto"/>
            <w:right w:val="none" w:sz="0" w:space="0" w:color="auto"/>
          </w:divBdr>
        </w:div>
        <w:div w:id="1497458182">
          <w:marLeft w:val="0"/>
          <w:marRight w:val="0"/>
          <w:marTop w:val="0"/>
          <w:marBottom w:val="0"/>
          <w:divBdr>
            <w:top w:val="none" w:sz="0" w:space="0" w:color="auto"/>
            <w:left w:val="none" w:sz="0" w:space="0" w:color="auto"/>
            <w:bottom w:val="none" w:sz="0" w:space="0" w:color="auto"/>
            <w:right w:val="none" w:sz="0" w:space="0" w:color="auto"/>
          </w:divBdr>
        </w:div>
        <w:div w:id="723409026">
          <w:marLeft w:val="0"/>
          <w:marRight w:val="0"/>
          <w:marTop w:val="0"/>
          <w:marBottom w:val="0"/>
          <w:divBdr>
            <w:top w:val="none" w:sz="0" w:space="0" w:color="auto"/>
            <w:left w:val="none" w:sz="0" w:space="0" w:color="auto"/>
            <w:bottom w:val="none" w:sz="0" w:space="0" w:color="auto"/>
            <w:right w:val="none" w:sz="0" w:space="0" w:color="auto"/>
          </w:divBdr>
        </w:div>
        <w:div w:id="601425142">
          <w:marLeft w:val="0"/>
          <w:marRight w:val="0"/>
          <w:marTop w:val="0"/>
          <w:marBottom w:val="0"/>
          <w:divBdr>
            <w:top w:val="none" w:sz="0" w:space="0" w:color="auto"/>
            <w:left w:val="none" w:sz="0" w:space="0" w:color="auto"/>
            <w:bottom w:val="none" w:sz="0" w:space="0" w:color="auto"/>
            <w:right w:val="none" w:sz="0" w:space="0" w:color="auto"/>
          </w:divBdr>
        </w:div>
        <w:div w:id="1557427763">
          <w:marLeft w:val="0"/>
          <w:marRight w:val="0"/>
          <w:marTop w:val="0"/>
          <w:marBottom w:val="0"/>
          <w:divBdr>
            <w:top w:val="none" w:sz="0" w:space="0" w:color="auto"/>
            <w:left w:val="none" w:sz="0" w:space="0" w:color="auto"/>
            <w:bottom w:val="none" w:sz="0" w:space="0" w:color="auto"/>
            <w:right w:val="none" w:sz="0" w:space="0" w:color="auto"/>
          </w:divBdr>
        </w:div>
        <w:div w:id="1084762034">
          <w:marLeft w:val="0"/>
          <w:marRight w:val="0"/>
          <w:marTop w:val="0"/>
          <w:marBottom w:val="0"/>
          <w:divBdr>
            <w:top w:val="none" w:sz="0" w:space="0" w:color="auto"/>
            <w:left w:val="none" w:sz="0" w:space="0" w:color="auto"/>
            <w:bottom w:val="none" w:sz="0" w:space="0" w:color="auto"/>
            <w:right w:val="none" w:sz="0" w:space="0" w:color="auto"/>
          </w:divBdr>
        </w:div>
        <w:div w:id="2087265350">
          <w:marLeft w:val="0"/>
          <w:marRight w:val="0"/>
          <w:marTop w:val="0"/>
          <w:marBottom w:val="0"/>
          <w:divBdr>
            <w:top w:val="none" w:sz="0" w:space="0" w:color="auto"/>
            <w:left w:val="none" w:sz="0" w:space="0" w:color="auto"/>
            <w:bottom w:val="none" w:sz="0" w:space="0" w:color="auto"/>
            <w:right w:val="none" w:sz="0" w:space="0" w:color="auto"/>
          </w:divBdr>
        </w:div>
        <w:div w:id="353457424">
          <w:marLeft w:val="0"/>
          <w:marRight w:val="0"/>
          <w:marTop w:val="0"/>
          <w:marBottom w:val="0"/>
          <w:divBdr>
            <w:top w:val="none" w:sz="0" w:space="0" w:color="auto"/>
            <w:left w:val="none" w:sz="0" w:space="0" w:color="auto"/>
            <w:bottom w:val="none" w:sz="0" w:space="0" w:color="auto"/>
            <w:right w:val="none" w:sz="0" w:space="0" w:color="auto"/>
          </w:divBdr>
        </w:div>
        <w:div w:id="1578320322">
          <w:marLeft w:val="0"/>
          <w:marRight w:val="0"/>
          <w:marTop w:val="0"/>
          <w:marBottom w:val="0"/>
          <w:divBdr>
            <w:top w:val="none" w:sz="0" w:space="0" w:color="auto"/>
            <w:left w:val="none" w:sz="0" w:space="0" w:color="auto"/>
            <w:bottom w:val="none" w:sz="0" w:space="0" w:color="auto"/>
            <w:right w:val="none" w:sz="0" w:space="0" w:color="auto"/>
          </w:divBdr>
        </w:div>
        <w:div w:id="1274439822">
          <w:marLeft w:val="0"/>
          <w:marRight w:val="0"/>
          <w:marTop w:val="0"/>
          <w:marBottom w:val="0"/>
          <w:divBdr>
            <w:top w:val="none" w:sz="0" w:space="0" w:color="auto"/>
            <w:left w:val="none" w:sz="0" w:space="0" w:color="auto"/>
            <w:bottom w:val="none" w:sz="0" w:space="0" w:color="auto"/>
            <w:right w:val="none" w:sz="0" w:space="0" w:color="auto"/>
          </w:divBdr>
        </w:div>
        <w:div w:id="1173379945">
          <w:marLeft w:val="0"/>
          <w:marRight w:val="0"/>
          <w:marTop w:val="0"/>
          <w:marBottom w:val="0"/>
          <w:divBdr>
            <w:top w:val="none" w:sz="0" w:space="0" w:color="auto"/>
            <w:left w:val="none" w:sz="0" w:space="0" w:color="auto"/>
            <w:bottom w:val="none" w:sz="0" w:space="0" w:color="auto"/>
            <w:right w:val="none" w:sz="0" w:space="0" w:color="auto"/>
          </w:divBdr>
        </w:div>
        <w:div w:id="2103380166">
          <w:marLeft w:val="0"/>
          <w:marRight w:val="0"/>
          <w:marTop w:val="0"/>
          <w:marBottom w:val="0"/>
          <w:divBdr>
            <w:top w:val="none" w:sz="0" w:space="0" w:color="auto"/>
            <w:left w:val="none" w:sz="0" w:space="0" w:color="auto"/>
            <w:bottom w:val="none" w:sz="0" w:space="0" w:color="auto"/>
            <w:right w:val="none" w:sz="0" w:space="0" w:color="auto"/>
          </w:divBdr>
        </w:div>
        <w:div w:id="327295656">
          <w:marLeft w:val="0"/>
          <w:marRight w:val="0"/>
          <w:marTop w:val="0"/>
          <w:marBottom w:val="0"/>
          <w:divBdr>
            <w:top w:val="none" w:sz="0" w:space="0" w:color="auto"/>
            <w:left w:val="none" w:sz="0" w:space="0" w:color="auto"/>
            <w:bottom w:val="none" w:sz="0" w:space="0" w:color="auto"/>
            <w:right w:val="none" w:sz="0" w:space="0" w:color="auto"/>
          </w:divBdr>
        </w:div>
        <w:div w:id="479269500">
          <w:marLeft w:val="0"/>
          <w:marRight w:val="0"/>
          <w:marTop w:val="0"/>
          <w:marBottom w:val="0"/>
          <w:divBdr>
            <w:top w:val="none" w:sz="0" w:space="0" w:color="auto"/>
            <w:left w:val="none" w:sz="0" w:space="0" w:color="auto"/>
            <w:bottom w:val="none" w:sz="0" w:space="0" w:color="auto"/>
            <w:right w:val="none" w:sz="0" w:space="0" w:color="auto"/>
          </w:divBdr>
        </w:div>
        <w:div w:id="790827426">
          <w:marLeft w:val="0"/>
          <w:marRight w:val="0"/>
          <w:marTop w:val="0"/>
          <w:marBottom w:val="0"/>
          <w:divBdr>
            <w:top w:val="none" w:sz="0" w:space="0" w:color="auto"/>
            <w:left w:val="none" w:sz="0" w:space="0" w:color="auto"/>
            <w:bottom w:val="none" w:sz="0" w:space="0" w:color="auto"/>
            <w:right w:val="none" w:sz="0" w:space="0" w:color="auto"/>
          </w:divBdr>
        </w:div>
        <w:div w:id="2138138173">
          <w:marLeft w:val="0"/>
          <w:marRight w:val="0"/>
          <w:marTop w:val="0"/>
          <w:marBottom w:val="0"/>
          <w:divBdr>
            <w:top w:val="none" w:sz="0" w:space="0" w:color="auto"/>
            <w:left w:val="none" w:sz="0" w:space="0" w:color="auto"/>
            <w:bottom w:val="none" w:sz="0" w:space="0" w:color="auto"/>
            <w:right w:val="none" w:sz="0" w:space="0" w:color="auto"/>
          </w:divBdr>
        </w:div>
        <w:div w:id="1798404203">
          <w:marLeft w:val="0"/>
          <w:marRight w:val="0"/>
          <w:marTop w:val="0"/>
          <w:marBottom w:val="0"/>
          <w:divBdr>
            <w:top w:val="none" w:sz="0" w:space="0" w:color="auto"/>
            <w:left w:val="none" w:sz="0" w:space="0" w:color="auto"/>
            <w:bottom w:val="none" w:sz="0" w:space="0" w:color="auto"/>
            <w:right w:val="none" w:sz="0" w:space="0" w:color="auto"/>
          </w:divBdr>
        </w:div>
        <w:div w:id="1561089697">
          <w:marLeft w:val="0"/>
          <w:marRight w:val="0"/>
          <w:marTop w:val="0"/>
          <w:marBottom w:val="0"/>
          <w:divBdr>
            <w:top w:val="none" w:sz="0" w:space="0" w:color="auto"/>
            <w:left w:val="none" w:sz="0" w:space="0" w:color="auto"/>
            <w:bottom w:val="none" w:sz="0" w:space="0" w:color="auto"/>
            <w:right w:val="none" w:sz="0" w:space="0" w:color="auto"/>
          </w:divBdr>
        </w:div>
        <w:div w:id="2009018649">
          <w:marLeft w:val="0"/>
          <w:marRight w:val="0"/>
          <w:marTop w:val="0"/>
          <w:marBottom w:val="0"/>
          <w:divBdr>
            <w:top w:val="none" w:sz="0" w:space="0" w:color="auto"/>
            <w:left w:val="none" w:sz="0" w:space="0" w:color="auto"/>
            <w:bottom w:val="none" w:sz="0" w:space="0" w:color="auto"/>
            <w:right w:val="none" w:sz="0" w:space="0" w:color="auto"/>
          </w:divBdr>
        </w:div>
        <w:div w:id="518544540">
          <w:marLeft w:val="0"/>
          <w:marRight w:val="0"/>
          <w:marTop w:val="0"/>
          <w:marBottom w:val="0"/>
          <w:divBdr>
            <w:top w:val="none" w:sz="0" w:space="0" w:color="auto"/>
            <w:left w:val="none" w:sz="0" w:space="0" w:color="auto"/>
            <w:bottom w:val="none" w:sz="0" w:space="0" w:color="auto"/>
            <w:right w:val="none" w:sz="0" w:space="0" w:color="auto"/>
          </w:divBdr>
        </w:div>
        <w:div w:id="1586769859">
          <w:marLeft w:val="0"/>
          <w:marRight w:val="0"/>
          <w:marTop w:val="0"/>
          <w:marBottom w:val="0"/>
          <w:divBdr>
            <w:top w:val="none" w:sz="0" w:space="0" w:color="auto"/>
            <w:left w:val="none" w:sz="0" w:space="0" w:color="auto"/>
            <w:bottom w:val="none" w:sz="0" w:space="0" w:color="auto"/>
            <w:right w:val="none" w:sz="0" w:space="0" w:color="auto"/>
          </w:divBdr>
        </w:div>
        <w:div w:id="1884441378">
          <w:marLeft w:val="0"/>
          <w:marRight w:val="0"/>
          <w:marTop w:val="0"/>
          <w:marBottom w:val="0"/>
          <w:divBdr>
            <w:top w:val="none" w:sz="0" w:space="0" w:color="auto"/>
            <w:left w:val="none" w:sz="0" w:space="0" w:color="auto"/>
            <w:bottom w:val="none" w:sz="0" w:space="0" w:color="auto"/>
            <w:right w:val="none" w:sz="0" w:space="0" w:color="auto"/>
          </w:divBdr>
        </w:div>
        <w:div w:id="8339394">
          <w:marLeft w:val="0"/>
          <w:marRight w:val="0"/>
          <w:marTop w:val="0"/>
          <w:marBottom w:val="0"/>
          <w:divBdr>
            <w:top w:val="none" w:sz="0" w:space="0" w:color="auto"/>
            <w:left w:val="none" w:sz="0" w:space="0" w:color="auto"/>
            <w:bottom w:val="none" w:sz="0" w:space="0" w:color="auto"/>
            <w:right w:val="none" w:sz="0" w:space="0" w:color="auto"/>
          </w:divBdr>
        </w:div>
        <w:div w:id="558058206">
          <w:marLeft w:val="0"/>
          <w:marRight w:val="0"/>
          <w:marTop w:val="0"/>
          <w:marBottom w:val="0"/>
          <w:divBdr>
            <w:top w:val="none" w:sz="0" w:space="0" w:color="auto"/>
            <w:left w:val="none" w:sz="0" w:space="0" w:color="auto"/>
            <w:bottom w:val="none" w:sz="0" w:space="0" w:color="auto"/>
            <w:right w:val="none" w:sz="0" w:space="0" w:color="auto"/>
          </w:divBdr>
        </w:div>
        <w:div w:id="1052459801">
          <w:marLeft w:val="0"/>
          <w:marRight w:val="0"/>
          <w:marTop w:val="0"/>
          <w:marBottom w:val="0"/>
          <w:divBdr>
            <w:top w:val="none" w:sz="0" w:space="0" w:color="auto"/>
            <w:left w:val="none" w:sz="0" w:space="0" w:color="auto"/>
            <w:bottom w:val="none" w:sz="0" w:space="0" w:color="auto"/>
            <w:right w:val="none" w:sz="0" w:space="0" w:color="auto"/>
          </w:divBdr>
        </w:div>
        <w:div w:id="1132794402">
          <w:marLeft w:val="0"/>
          <w:marRight w:val="0"/>
          <w:marTop w:val="0"/>
          <w:marBottom w:val="0"/>
          <w:divBdr>
            <w:top w:val="none" w:sz="0" w:space="0" w:color="auto"/>
            <w:left w:val="none" w:sz="0" w:space="0" w:color="auto"/>
            <w:bottom w:val="none" w:sz="0" w:space="0" w:color="auto"/>
            <w:right w:val="none" w:sz="0" w:space="0" w:color="auto"/>
          </w:divBdr>
        </w:div>
        <w:div w:id="540365443">
          <w:marLeft w:val="0"/>
          <w:marRight w:val="0"/>
          <w:marTop w:val="0"/>
          <w:marBottom w:val="0"/>
          <w:divBdr>
            <w:top w:val="none" w:sz="0" w:space="0" w:color="auto"/>
            <w:left w:val="none" w:sz="0" w:space="0" w:color="auto"/>
            <w:bottom w:val="none" w:sz="0" w:space="0" w:color="auto"/>
            <w:right w:val="none" w:sz="0" w:space="0" w:color="auto"/>
          </w:divBdr>
        </w:div>
        <w:div w:id="19942383">
          <w:marLeft w:val="0"/>
          <w:marRight w:val="0"/>
          <w:marTop w:val="0"/>
          <w:marBottom w:val="0"/>
          <w:divBdr>
            <w:top w:val="none" w:sz="0" w:space="0" w:color="auto"/>
            <w:left w:val="none" w:sz="0" w:space="0" w:color="auto"/>
            <w:bottom w:val="none" w:sz="0" w:space="0" w:color="auto"/>
            <w:right w:val="none" w:sz="0" w:space="0" w:color="auto"/>
          </w:divBdr>
        </w:div>
        <w:div w:id="833573068">
          <w:marLeft w:val="0"/>
          <w:marRight w:val="0"/>
          <w:marTop w:val="0"/>
          <w:marBottom w:val="0"/>
          <w:divBdr>
            <w:top w:val="none" w:sz="0" w:space="0" w:color="auto"/>
            <w:left w:val="none" w:sz="0" w:space="0" w:color="auto"/>
            <w:bottom w:val="none" w:sz="0" w:space="0" w:color="auto"/>
            <w:right w:val="none" w:sz="0" w:space="0" w:color="auto"/>
          </w:divBdr>
        </w:div>
        <w:div w:id="1348170918">
          <w:marLeft w:val="0"/>
          <w:marRight w:val="0"/>
          <w:marTop w:val="0"/>
          <w:marBottom w:val="0"/>
          <w:divBdr>
            <w:top w:val="none" w:sz="0" w:space="0" w:color="auto"/>
            <w:left w:val="none" w:sz="0" w:space="0" w:color="auto"/>
            <w:bottom w:val="none" w:sz="0" w:space="0" w:color="auto"/>
            <w:right w:val="none" w:sz="0" w:space="0" w:color="auto"/>
          </w:divBdr>
        </w:div>
        <w:div w:id="1065295373">
          <w:marLeft w:val="0"/>
          <w:marRight w:val="0"/>
          <w:marTop w:val="0"/>
          <w:marBottom w:val="0"/>
          <w:divBdr>
            <w:top w:val="none" w:sz="0" w:space="0" w:color="auto"/>
            <w:left w:val="none" w:sz="0" w:space="0" w:color="auto"/>
            <w:bottom w:val="none" w:sz="0" w:space="0" w:color="auto"/>
            <w:right w:val="none" w:sz="0" w:space="0" w:color="auto"/>
          </w:divBdr>
        </w:div>
        <w:div w:id="1491872000">
          <w:marLeft w:val="0"/>
          <w:marRight w:val="0"/>
          <w:marTop w:val="0"/>
          <w:marBottom w:val="0"/>
          <w:divBdr>
            <w:top w:val="none" w:sz="0" w:space="0" w:color="auto"/>
            <w:left w:val="none" w:sz="0" w:space="0" w:color="auto"/>
            <w:bottom w:val="none" w:sz="0" w:space="0" w:color="auto"/>
            <w:right w:val="none" w:sz="0" w:space="0" w:color="auto"/>
          </w:divBdr>
        </w:div>
        <w:div w:id="2116438157">
          <w:marLeft w:val="0"/>
          <w:marRight w:val="0"/>
          <w:marTop w:val="0"/>
          <w:marBottom w:val="0"/>
          <w:divBdr>
            <w:top w:val="none" w:sz="0" w:space="0" w:color="auto"/>
            <w:left w:val="none" w:sz="0" w:space="0" w:color="auto"/>
            <w:bottom w:val="none" w:sz="0" w:space="0" w:color="auto"/>
            <w:right w:val="none" w:sz="0" w:space="0" w:color="auto"/>
          </w:divBdr>
        </w:div>
        <w:div w:id="1606157634">
          <w:marLeft w:val="0"/>
          <w:marRight w:val="0"/>
          <w:marTop w:val="0"/>
          <w:marBottom w:val="0"/>
          <w:divBdr>
            <w:top w:val="none" w:sz="0" w:space="0" w:color="auto"/>
            <w:left w:val="none" w:sz="0" w:space="0" w:color="auto"/>
            <w:bottom w:val="none" w:sz="0" w:space="0" w:color="auto"/>
            <w:right w:val="none" w:sz="0" w:space="0" w:color="auto"/>
          </w:divBdr>
        </w:div>
        <w:div w:id="904409277">
          <w:marLeft w:val="0"/>
          <w:marRight w:val="0"/>
          <w:marTop w:val="0"/>
          <w:marBottom w:val="0"/>
          <w:divBdr>
            <w:top w:val="none" w:sz="0" w:space="0" w:color="auto"/>
            <w:left w:val="none" w:sz="0" w:space="0" w:color="auto"/>
            <w:bottom w:val="none" w:sz="0" w:space="0" w:color="auto"/>
            <w:right w:val="none" w:sz="0" w:space="0" w:color="auto"/>
          </w:divBdr>
        </w:div>
        <w:div w:id="1639994003">
          <w:marLeft w:val="0"/>
          <w:marRight w:val="0"/>
          <w:marTop w:val="0"/>
          <w:marBottom w:val="0"/>
          <w:divBdr>
            <w:top w:val="none" w:sz="0" w:space="0" w:color="auto"/>
            <w:left w:val="none" w:sz="0" w:space="0" w:color="auto"/>
            <w:bottom w:val="none" w:sz="0" w:space="0" w:color="auto"/>
            <w:right w:val="none" w:sz="0" w:space="0" w:color="auto"/>
          </w:divBdr>
        </w:div>
        <w:div w:id="1696811243">
          <w:marLeft w:val="0"/>
          <w:marRight w:val="0"/>
          <w:marTop w:val="0"/>
          <w:marBottom w:val="0"/>
          <w:divBdr>
            <w:top w:val="none" w:sz="0" w:space="0" w:color="auto"/>
            <w:left w:val="none" w:sz="0" w:space="0" w:color="auto"/>
            <w:bottom w:val="none" w:sz="0" w:space="0" w:color="auto"/>
            <w:right w:val="none" w:sz="0" w:space="0" w:color="auto"/>
          </w:divBdr>
        </w:div>
        <w:div w:id="1800149836">
          <w:marLeft w:val="0"/>
          <w:marRight w:val="0"/>
          <w:marTop w:val="0"/>
          <w:marBottom w:val="0"/>
          <w:divBdr>
            <w:top w:val="none" w:sz="0" w:space="0" w:color="auto"/>
            <w:left w:val="none" w:sz="0" w:space="0" w:color="auto"/>
            <w:bottom w:val="none" w:sz="0" w:space="0" w:color="auto"/>
            <w:right w:val="none" w:sz="0" w:space="0" w:color="auto"/>
          </w:divBdr>
        </w:div>
      </w:divsChild>
    </w:div>
    <w:div w:id="1352297417">
      <w:bodyDiv w:val="1"/>
      <w:marLeft w:val="0"/>
      <w:marRight w:val="0"/>
      <w:marTop w:val="0"/>
      <w:marBottom w:val="0"/>
      <w:divBdr>
        <w:top w:val="none" w:sz="0" w:space="0" w:color="auto"/>
        <w:left w:val="none" w:sz="0" w:space="0" w:color="auto"/>
        <w:bottom w:val="none" w:sz="0" w:space="0" w:color="auto"/>
        <w:right w:val="none" w:sz="0" w:space="0" w:color="auto"/>
      </w:divBdr>
      <w:divsChild>
        <w:div w:id="713114265">
          <w:marLeft w:val="0"/>
          <w:marRight w:val="0"/>
          <w:marTop w:val="0"/>
          <w:marBottom w:val="0"/>
          <w:divBdr>
            <w:top w:val="none" w:sz="0" w:space="0" w:color="auto"/>
            <w:left w:val="none" w:sz="0" w:space="0" w:color="auto"/>
            <w:bottom w:val="none" w:sz="0" w:space="0" w:color="auto"/>
            <w:right w:val="none" w:sz="0" w:space="0" w:color="auto"/>
          </w:divBdr>
        </w:div>
        <w:div w:id="134684343">
          <w:marLeft w:val="0"/>
          <w:marRight w:val="0"/>
          <w:marTop w:val="0"/>
          <w:marBottom w:val="0"/>
          <w:divBdr>
            <w:top w:val="none" w:sz="0" w:space="0" w:color="auto"/>
            <w:left w:val="none" w:sz="0" w:space="0" w:color="auto"/>
            <w:bottom w:val="none" w:sz="0" w:space="0" w:color="auto"/>
            <w:right w:val="none" w:sz="0" w:space="0" w:color="auto"/>
          </w:divBdr>
        </w:div>
        <w:div w:id="1649704194">
          <w:marLeft w:val="0"/>
          <w:marRight w:val="0"/>
          <w:marTop w:val="0"/>
          <w:marBottom w:val="0"/>
          <w:divBdr>
            <w:top w:val="none" w:sz="0" w:space="0" w:color="auto"/>
            <w:left w:val="none" w:sz="0" w:space="0" w:color="auto"/>
            <w:bottom w:val="none" w:sz="0" w:space="0" w:color="auto"/>
            <w:right w:val="none" w:sz="0" w:space="0" w:color="auto"/>
          </w:divBdr>
        </w:div>
        <w:div w:id="1785005136">
          <w:marLeft w:val="0"/>
          <w:marRight w:val="0"/>
          <w:marTop w:val="0"/>
          <w:marBottom w:val="0"/>
          <w:divBdr>
            <w:top w:val="none" w:sz="0" w:space="0" w:color="auto"/>
            <w:left w:val="none" w:sz="0" w:space="0" w:color="auto"/>
            <w:bottom w:val="none" w:sz="0" w:space="0" w:color="auto"/>
            <w:right w:val="none" w:sz="0" w:space="0" w:color="auto"/>
          </w:divBdr>
        </w:div>
        <w:div w:id="1916627123">
          <w:marLeft w:val="0"/>
          <w:marRight w:val="0"/>
          <w:marTop w:val="0"/>
          <w:marBottom w:val="0"/>
          <w:divBdr>
            <w:top w:val="none" w:sz="0" w:space="0" w:color="auto"/>
            <w:left w:val="none" w:sz="0" w:space="0" w:color="auto"/>
            <w:bottom w:val="none" w:sz="0" w:space="0" w:color="auto"/>
            <w:right w:val="none" w:sz="0" w:space="0" w:color="auto"/>
          </w:divBdr>
        </w:div>
        <w:div w:id="1148207748">
          <w:marLeft w:val="0"/>
          <w:marRight w:val="0"/>
          <w:marTop w:val="0"/>
          <w:marBottom w:val="0"/>
          <w:divBdr>
            <w:top w:val="none" w:sz="0" w:space="0" w:color="auto"/>
            <w:left w:val="none" w:sz="0" w:space="0" w:color="auto"/>
            <w:bottom w:val="none" w:sz="0" w:space="0" w:color="auto"/>
            <w:right w:val="none" w:sz="0" w:space="0" w:color="auto"/>
          </w:divBdr>
        </w:div>
        <w:div w:id="1675834710">
          <w:marLeft w:val="0"/>
          <w:marRight w:val="0"/>
          <w:marTop w:val="0"/>
          <w:marBottom w:val="0"/>
          <w:divBdr>
            <w:top w:val="none" w:sz="0" w:space="0" w:color="auto"/>
            <w:left w:val="none" w:sz="0" w:space="0" w:color="auto"/>
            <w:bottom w:val="none" w:sz="0" w:space="0" w:color="auto"/>
            <w:right w:val="none" w:sz="0" w:space="0" w:color="auto"/>
          </w:divBdr>
        </w:div>
        <w:div w:id="1076321604">
          <w:marLeft w:val="0"/>
          <w:marRight w:val="0"/>
          <w:marTop w:val="0"/>
          <w:marBottom w:val="0"/>
          <w:divBdr>
            <w:top w:val="none" w:sz="0" w:space="0" w:color="auto"/>
            <w:left w:val="none" w:sz="0" w:space="0" w:color="auto"/>
            <w:bottom w:val="none" w:sz="0" w:space="0" w:color="auto"/>
            <w:right w:val="none" w:sz="0" w:space="0" w:color="auto"/>
          </w:divBdr>
        </w:div>
        <w:div w:id="188688820">
          <w:marLeft w:val="0"/>
          <w:marRight w:val="0"/>
          <w:marTop w:val="0"/>
          <w:marBottom w:val="0"/>
          <w:divBdr>
            <w:top w:val="none" w:sz="0" w:space="0" w:color="auto"/>
            <w:left w:val="none" w:sz="0" w:space="0" w:color="auto"/>
            <w:bottom w:val="none" w:sz="0" w:space="0" w:color="auto"/>
            <w:right w:val="none" w:sz="0" w:space="0" w:color="auto"/>
          </w:divBdr>
        </w:div>
        <w:div w:id="1909532102">
          <w:marLeft w:val="0"/>
          <w:marRight w:val="0"/>
          <w:marTop w:val="0"/>
          <w:marBottom w:val="0"/>
          <w:divBdr>
            <w:top w:val="none" w:sz="0" w:space="0" w:color="auto"/>
            <w:left w:val="none" w:sz="0" w:space="0" w:color="auto"/>
            <w:bottom w:val="none" w:sz="0" w:space="0" w:color="auto"/>
            <w:right w:val="none" w:sz="0" w:space="0" w:color="auto"/>
          </w:divBdr>
        </w:div>
        <w:div w:id="961880756">
          <w:marLeft w:val="0"/>
          <w:marRight w:val="0"/>
          <w:marTop w:val="0"/>
          <w:marBottom w:val="0"/>
          <w:divBdr>
            <w:top w:val="none" w:sz="0" w:space="0" w:color="auto"/>
            <w:left w:val="none" w:sz="0" w:space="0" w:color="auto"/>
            <w:bottom w:val="none" w:sz="0" w:space="0" w:color="auto"/>
            <w:right w:val="none" w:sz="0" w:space="0" w:color="auto"/>
          </w:divBdr>
        </w:div>
        <w:div w:id="1491754475">
          <w:marLeft w:val="0"/>
          <w:marRight w:val="0"/>
          <w:marTop w:val="0"/>
          <w:marBottom w:val="0"/>
          <w:divBdr>
            <w:top w:val="none" w:sz="0" w:space="0" w:color="auto"/>
            <w:left w:val="none" w:sz="0" w:space="0" w:color="auto"/>
            <w:bottom w:val="none" w:sz="0" w:space="0" w:color="auto"/>
            <w:right w:val="none" w:sz="0" w:space="0" w:color="auto"/>
          </w:divBdr>
        </w:div>
        <w:div w:id="923302640">
          <w:marLeft w:val="0"/>
          <w:marRight w:val="0"/>
          <w:marTop w:val="0"/>
          <w:marBottom w:val="0"/>
          <w:divBdr>
            <w:top w:val="none" w:sz="0" w:space="0" w:color="auto"/>
            <w:left w:val="none" w:sz="0" w:space="0" w:color="auto"/>
            <w:bottom w:val="none" w:sz="0" w:space="0" w:color="auto"/>
            <w:right w:val="none" w:sz="0" w:space="0" w:color="auto"/>
          </w:divBdr>
        </w:div>
        <w:div w:id="2022276246">
          <w:marLeft w:val="0"/>
          <w:marRight w:val="0"/>
          <w:marTop w:val="0"/>
          <w:marBottom w:val="0"/>
          <w:divBdr>
            <w:top w:val="none" w:sz="0" w:space="0" w:color="auto"/>
            <w:left w:val="none" w:sz="0" w:space="0" w:color="auto"/>
            <w:bottom w:val="none" w:sz="0" w:space="0" w:color="auto"/>
            <w:right w:val="none" w:sz="0" w:space="0" w:color="auto"/>
          </w:divBdr>
        </w:div>
        <w:div w:id="969827620">
          <w:marLeft w:val="0"/>
          <w:marRight w:val="0"/>
          <w:marTop w:val="0"/>
          <w:marBottom w:val="0"/>
          <w:divBdr>
            <w:top w:val="none" w:sz="0" w:space="0" w:color="auto"/>
            <w:left w:val="none" w:sz="0" w:space="0" w:color="auto"/>
            <w:bottom w:val="none" w:sz="0" w:space="0" w:color="auto"/>
            <w:right w:val="none" w:sz="0" w:space="0" w:color="auto"/>
          </w:divBdr>
        </w:div>
        <w:div w:id="994987960">
          <w:marLeft w:val="0"/>
          <w:marRight w:val="0"/>
          <w:marTop w:val="0"/>
          <w:marBottom w:val="0"/>
          <w:divBdr>
            <w:top w:val="none" w:sz="0" w:space="0" w:color="auto"/>
            <w:left w:val="none" w:sz="0" w:space="0" w:color="auto"/>
            <w:bottom w:val="none" w:sz="0" w:space="0" w:color="auto"/>
            <w:right w:val="none" w:sz="0" w:space="0" w:color="auto"/>
          </w:divBdr>
        </w:div>
        <w:div w:id="1503542109">
          <w:marLeft w:val="0"/>
          <w:marRight w:val="0"/>
          <w:marTop w:val="0"/>
          <w:marBottom w:val="0"/>
          <w:divBdr>
            <w:top w:val="none" w:sz="0" w:space="0" w:color="auto"/>
            <w:left w:val="none" w:sz="0" w:space="0" w:color="auto"/>
            <w:bottom w:val="none" w:sz="0" w:space="0" w:color="auto"/>
            <w:right w:val="none" w:sz="0" w:space="0" w:color="auto"/>
          </w:divBdr>
        </w:div>
        <w:div w:id="1993365377">
          <w:marLeft w:val="0"/>
          <w:marRight w:val="0"/>
          <w:marTop w:val="0"/>
          <w:marBottom w:val="0"/>
          <w:divBdr>
            <w:top w:val="none" w:sz="0" w:space="0" w:color="auto"/>
            <w:left w:val="none" w:sz="0" w:space="0" w:color="auto"/>
            <w:bottom w:val="none" w:sz="0" w:space="0" w:color="auto"/>
            <w:right w:val="none" w:sz="0" w:space="0" w:color="auto"/>
          </w:divBdr>
        </w:div>
        <w:div w:id="259483829">
          <w:marLeft w:val="0"/>
          <w:marRight w:val="0"/>
          <w:marTop w:val="0"/>
          <w:marBottom w:val="0"/>
          <w:divBdr>
            <w:top w:val="none" w:sz="0" w:space="0" w:color="auto"/>
            <w:left w:val="none" w:sz="0" w:space="0" w:color="auto"/>
            <w:bottom w:val="none" w:sz="0" w:space="0" w:color="auto"/>
            <w:right w:val="none" w:sz="0" w:space="0" w:color="auto"/>
          </w:divBdr>
        </w:div>
        <w:div w:id="101263723">
          <w:marLeft w:val="0"/>
          <w:marRight w:val="0"/>
          <w:marTop w:val="0"/>
          <w:marBottom w:val="0"/>
          <w:divBdr>
            <w:top w:val="none" w:sz="0" w:space="0" w:color="auto"/>
            <w:left w:val="none" w:sz="0" w:space="0" w:color="auto"/>
            <w:bottom w:val="none" w:sz="0" w:space="0" w:color="auto"/>
            <w:right w:val="none" w:sz="0" w:space="0" w:color="auto"/>
          </w:divBdr>
        </w:div>
        <w:div w:id="243229572">
          <w:marLeft w:val="0"/>
          <w:marRight w:val="0"/>
          <w:marTop w:val="0"/>
          <w:marBottom w:val="0"/>
          <w:divBdr>
            <w:top w:val="none" w:sz="0" w:space="0" w:color="auto"/>
            <w:left w:val="none" w:sz="0" w:space="0" w:color="auto"/>
            <w:bottom w:val="none" w:sz="0" w:space="0" w:color="auto"/>
            <w:right w:val="none" w:sz="0" w:space="0" w:color="auto"/>
          </w:divBdr>
        </w:div>
        <w:div w:id="1968925222">
          <w:marLeft w:val="0"/>
          <w:marRight w:val="0"/>
          <w:marTop w:val="0"/>
          <w:marBottom w:val="0"/>
          <w:divBdr>
            <w:top w:val="none" w:sz="0" w:space="0" w:color="auto"/>
            <w:left w:val="none" w:sz="0" w:space="0" w:color="auto"/>
            <w:bottom w:val="none" w:sz="0" w:space="0" w:color="auto"/>
            <w:right w:val="none" w:sz="0" w:space="0" w:color="auto"/>
          </w:divBdr>
        </w:div>
        <w:div w:id="1327631152">
          <w:marLeft w:val="0"/>
          <w:marRight w:val="0"/>
          <w:marTop w:val="0"/>
          <w:marBottom w:val="0"/>
          <w:divBdr>
            <w:top w:val="none" w:sz="0" w:space="0" w:color="auto"/>
            <w:left w:val="none" w:sz="0" w:space="0" w:color="auto"/>
            <w:bottom w:val="none" w:sz="0" w:space="0" w:color="auto"/>
            <w:right w:val="none" w:sz="0" w:space="0" w:color="auto"/>
          </w:divBdr>
        </w:div>
        <w:div w:id="1209954216">
          <w:marLeft w:val="0"/>
          <w:marRight w:val="0"/>
          <w:marTop w:val="0"/>
          <w:marBottom w:val="0"/>
          <w:divBdr>
            <w:top w:val="none" w:sz="0" w:space="0" w:color="auto"/>
            <w:left w:val="none" w:sz="0" w:space="0" w:color="auto"/>
            <w:bottom w:val="none" w:sz="0" w:space="0" w:color="auto"/>
            <w:right w:val="none" w:sz="0" w:space="0" w:color="auto"/>
          </w:divBdr>
        </w:div>
        <w:div w:id="673384768">
          <w:marLeft w:val="0"/>
          <w:marRight w:val="0"/>
          <w:marTop w:val="0"/>
          <w:marBottom w:val="0"/>
          <w:divBdr>
            <w:top w:val="none" w:sz="0" w:space="0" w:color="auto"/>
            <w:left w:val="none" w:sz="0" w:space="0" w:color="auto"/>
            <w:bottom w:val="none" w:sz="0" w:space="0" w:color="auto"/>
            <w:right w:val="none" w:sz="0" w:space="0" w:color="auto"/>
          </w:divBdr>
        </w:div>
        <w:div w:id="1718551894">
          <w:marLeft w:val="0"/>
          <w:marRight w:val="0"/>
          <w:marTop w:val="0"/>
          <w:marBottom w:val="0"/>
          <w:divBdr>
            <w:top w:val="none" w:sz="0" w:space="0" w:color="auto"/>
            <w:left w:val="none" w:sz="0" w:space="0" w:color="auto"/>
            <w:bottom w:val="none" w:sz="0" w:space="0" w:color="auto"/>
            <w:right w:val="none" w:sz="0" w:space="0" w:color="auto"/>
          </w:divBdr>
        </w:div>
        <w:div w:id="1316035791">
          <w:marLeft w:val="0"/>
          <w:marRight w:val="0"/>
          <w:marTop w:val="0"/>
          <w:marBottom w:val="0"/>
          <w:divBdr>
            <w:top w:val="none" w:sz="0" w:space="0" w:color="auto"/>
            <w:left w:val="none" w:sz="0" w:space="0" w:color="auto"/>
            <w:bottom w:val="none" w:sz="0" w:space="0" w:color="auto"/>
            <w:right w:val="none" w:sz="0" w:space="0" w:color="auto"/>
          </w:divBdr>
        </w:div>
        <w:div w:id="1294405104">
          <w:marLeft w:val="0"/>
          <w:marRight w:val="0"/>
          <w:marTop w:val="0"/>
          <w:marBottom w:val="0"/>
          <w:divBdr>
            <w:top w:val="none" w:sz="0" w:space="0" w:color="auto"/>
            <w:left w:val="none" w:sz="0" w:space="0" w:color="auto"/>
            <w:bottom w:val="none" w:sz="0" w:space="0" w:color="auto"/>
            <w:right w:val="none" w:sz="0" w:space="0" w:color="auto"/>
          </w:divBdr>
        </w:div>
        <w:div w:id="1272476606">
          <w:marLeft w:val="0"/>
          <w:marRight w:val="0"/>
          <w:marTop w:val="0"/>
          <w:marBottom w:val="0"/>
          <w:divBdr>
            <w:top w:val="none" w:sz="0" w:space="0" w:color="auto"/>
            <w:left w:val="none" w:sz="0" w:space="0" w:color="auto"/>
            <w:bottom w:val="none" w:sz="0" w:space="0" w:color="auto"/>
            <w:right w:val="none" w:sz="0" w:space="0" w:color="auto"/>
          </w:divBdr>
        </w:div>
        <w:div w:id="2038895882">
          <w:marLeft w:val="0"/>
          <w:marRight w:val="0"/>
          <w:marTop w:val="0"/>
          <w:marBottom w:val="0"/>
          <w:divBdr>
            <w:top w:val="none" w:sz="0" w:space="0" w:color="auto"/>
            <w:left w:val="none" w:sz="0" w:space="0" w:color="auto"/>
            <w:bottom w:val="none" w:sz="0" w:space="0" w:color="auto"/>
            <w:right w:val="none" w:sz="0" w:space="0" w:color="auto"/>
          </w:divBdr>
        </w:div>
        <w:div w:id="713047353">
          <w:marLeft w:val="0"/>
          <w:marRight w:val="0"/>
          <w:marTop w:val="0"/>
          <w:marBottom w:val="0"/>
          <w:divBdr>
            <w:top w:val="none" w:sz="0" w:space="0" w:color="auto"/>
            <w:left w:val="none" w:sz="0" w:space="0" w:color="auto"/>
            <w:bottom w:val="none" w:sz="0" w:space="0" w:color="auto"/>
            <w:right w:val="none" w:sz="0" w:space="0" w:color="auto"/>
          </w:divBdr>
        </w:div>
        <w:div w:id="1019815008">
          <w:marLeft w:val="0"/>
          <w:marRight w:val="0"/>
          <w:marTop w:val="0"/>
          <w:marBottom w:val="0"/>
          <w:divBdr>
            <w:top w:val="none" w:sz="0" w:space="0" w:color="auto"/>
            <w:left w:val="none" w:sz="0" w:space="0" w:color="auto"/>
            <w:bottom w:val="none" w:sz="0" w:space="0" w:color="auto"/>
            <w:right w:val="none" w:sz="0" w:space="0" w:color="auto"/>
          </w:divBdr>
        </w:div>
        <w:div w:id="174539199">
          <w:marLeft w:val="0"/>
          <w:marRight w:val="0"/>
          <w:marTop w:val="0"/>
          <w:marBottom w:val="0"/>
          <w:divBdr>
            <w:top w:val="none" w:sz="0" w:space="0" w:color="auto"/>
            <w:left w:val="none" w:sz="0" w:space="0" w:color="auto"/>
            <w:bottom w:val="none" w:sz="0" w:space="0" w:color="auto"/>
            <w:right w:val="none" w:sz="0" w:space="0" w:color="auto"/>
          </w:divBdr>
        </w:div>
        <w:div w:id="1417090522">
          <w:marLeft w:val="0"/>
          <w:marRight w:val="0"/>
          <w:marTop w:val="0"/>
          <w:marBottom w:val="0"/>
          <w:divBdr>
            <w:top w:val="none" w:sz="0" w:space="0" w:color="auto"/>
            <w:left w:val="none" w:sz="0" w:space="0" w:color="auto"/>
            <w:bottom w:val="none" w:sz="0" w:space="0" w:color="auto"/>
            <w:right w:val="none" w:sz="0" w:space="0" w:color="auto"/>
          </w:divBdr>
        </w:div>
        <w:div w:id="1304192024">
          <w:marLeft w:val="0"/>
          <w:marRight w:val="0"/>
          <w:marTop w:val="0"/>
          <w:marBottom w:val="0"/>
          <w:divBdr>
            <w:top w:val="none" w:sz="0" w:space="0" w:color="auto"/>
            <w:left w:val="none" w:sz="0" w:space="0" w:color="auto"/>
            <w:bottom w:val="none" w:sz="0" w:space="0" w:color="auto"/>
            <w:right w:val="none" w:sz="0" w:space="0" w:color="auto"/>
          </w:divBdr>
        </w:div>
        <w:div w:id="117527468">
          <w:marLeft w:val="0"/>
          <w:marRight w:val="0"/>
          <w:marTop w:val="0"/>
          <w:marBottom w:val="0"/>
          <w:divBdr>
            <w:top w:val="none" w:sz="0" w:space="0" w:color="auto"/>
            <w:left w:val="none" w:sz="0" w:space="0" w:color="auto"/>
            <w:bottom w:val="none" w:sz="0" w:space="0" w:color="auto"/>
            <w:right w:val="none" w:sz="0" w:space="0" w:color="auto"/>
          </w:divBdr>
        </w:div>
        <w:div w:id="34669304">
          <w:marLeft w:val="0"/>
          <w:marRight w:val="0"/>
          <w:marTop w:val="0"/>
          <w:marBottom w:val="0"/>
          <w:divBdr>
            <w:top w:val="none" w:sz="0" w:space="0" w:color="auto"/>
            <w:left w:val="none" w:sz="0" w:space="0" w:color="auto"/>
            <w:bottom w:val="none" w:sz="0" w:space="0" w:color="auto"/>
            <w:right w:val="none" w:sz="0" w:space="0" w:color="auto"/>
          </w:divBdr>
        </w:div>
        <w:div w:id="1710299280">
          <w:marLeft w:val="0"/>
          <w:marRight w:val="0"/>
          <w:marTop w:val="0"/>
          <w:marBottom w:val="0"/>
          <w:divBdr>
            <w:top w:val="none" w:sz="0" w:space="0" w:color="auto"/>
            <w:left w:val="none" w:sz="0" w:space="0" w:color="auto"/>
            <w:bottom w:val="none" w:sz="0" w:space="0" w:color="auto"/>
            <w:right w:val="none" w:sz="0" w:space="0" w:color="auto"/>
          </w:divBdr>
        </w:div>
        <w:div w:id="1387684520">
          <w:marLeft w:val="0"/>
          <w:marRight w:val="0"/>
          <w:marTop w:val="0"/>
          <w:marBottom w:val="0"/>
          <w:divBdr>
            <w:top w:val="none" w:sz="0" w:space="0" w:color="auto"/>
            <w:left w:val="none" w:sz="0" w:space="0" w:color="auto"/>
            <w:bottom w:val="none" w:sz="0" w:space="0" w:color="auto"/>
            <w:right w:val="none" w:sz="0" w:space="0" w:color="auto"/>
          </w:divBdr>
        </w:div>
        <w:div w:id="1535196678">
          <w:marLeft w:val="0"/>
          <w:marRight w:val="0"/>
          <w:marTop w:val="0"/>
          <w:marBottom w:val="0"/>
          <w:divBdr>
            <w:top w:val="none" w:sz="0" w:space="0" w:color="auto"/>
            <w:left w:val="none" w:sz="0" w:space="0" w:color="auto"/>
            <w:bottom w:val="none" w:sz="0" w:space="0" w:color="auto"/>
            <w:right w:val="none" w:sz="0" w:space="0" w:color="auto"/>
          </w:divBdr>
        </w:div>
        <w:div w:id="426734463">
          <w:marLeft w:val="0"/>
          <w:marRight w:val="0"/>
          <w:marTop w:val="0"/>
          <w:marBottom w:val="0"/>
          <w:divBdr>
            <w:top w:val="none" w:sz="0" w:space="0" w:color="auto"/>
            <w:left w:val="none" w:sz="0" w:space="0" w:color="auto"/>
            <w:bottom w:val="none" w:sz="0" w:space="0" w:color="auto"/>
            <w:right w:val="none" w:sz="0" w:space="0" w:color="auto"/>
          </w:divBdr>
        </w:div>
        <w:div w:id="187181187">
          <w:marLeft w:val="0"/>
          <w:marRight w:val="0"/>
          <w:marTop w:val="0"/>
          <w:marBottom w:val="0"/>
          <w:divBdr>
            <w:top w:val="none" w:sz="0" w:space="0" w:color="auto"/>
            <w:left w:val="none" w:sz="0" w:space="0" w:color="auto"/>
            <w:bottom w:val="none" w:sz="0" w:space="0" w:color="auto"/>
            <w:right w:val="none" w:sz="0" w:space="0" w:color="auto"/>
          </w:divBdr>
        </w:div>
        <w:div w:id="1229613209">
          <w:marLeft w:val="0"/>
          <w:marRight w:val="0"/>
          <w:marTop w:val="0"/>
          <w:marBottom w:val="0"/>
          <w:divBdr>
            <w:top w:val="none" w:sz="0" w:space="0" w:color="auto"/>
            <w:left w:val="none" w:sz="0" w:space="0" w:color="auto"/>
            <w:bottom w:val="none" w:sz="0" w:space="0" w:color="auto"/>
            <w:right w:val="none" w:sz="0" w:space="0" w:color="auto"/>
          </w:divBdr>
        </w:div>
        <w:div w:id="1718896555">
          <w:marLeft w:val="0"/>
          <w:marRight w:val="0"/>
          <w:marTop w:val="0"/>
          <w:marBottom w:val="0"/>
          <w:divBdr>
            <w:top w:val="none" w:sz="0" w:space="0" w:color="auto"/>
            <w:left w:val="none" w:sz="0" w:space="0" w:color="auto"/>
            <w:bottom w:val="none" w:sz="0" w:space="0" w:color="auto"/>
            <w:right w:val="none" w:sz="0" w:space="0" w:color="auto"/>
          </w:divBdr>
        </w:div>
        <w:div w:id="333345362">
          <w:marLeft w:val="0"/>
          <w:marRight w:val="0"/>
          <w:marTop w:val="0"/>
          <w:marBottom w:val="0"/>
          <w:divBdr>
            <w:top w:val="none" w:sz="0" w:space="0" w:color="auto"/>
            <w:left w:val="none" w:sz="0" w:space="0" w:color="auto"/>
            <w:bottom w:val="none" w:sz="0" w:space="0" w:color="auto"/>
            <w:right w:val="none" w:sz="0" w:space="0" w:color="auto"/>
          </w:divBdr>
        </w:div>
        <w:div w:id="1281303763">
          <w:marLeft w:val="0"/>
          <w:marRight w:val="0"/>
          <w:marTop w:val="0"/>
          <w:marBottom w:val="0"/>
          <w:divBdr>
            <w:top w:val="none" w:sz="0" w:space="0" w:color="auto"/>
            <w:left w:val="none" w:sz="0" w:space="0" w:color="auto"/>
            <w:bottom w:val="none" w:sz="0" w:space="0" w:color="auto"/>
            <w:right w:val="none" w:sz="0" w:space="0" w:color="auto"/>
          </w:divBdr>
        </w:div>
        <w:div w:id="1046567733">
          <w:marLeft w:val="0"/>
          <w:marRight w:val="0"/>
          <w:marTop w:val="0"/>
          <w:marBottom w:val="0"/>
          <w:divBdr>
            <w:top w:val="none" w:sz="0" w:space="0" w:color="auto"/>
            <w:left w:val="none" w:sz="0" w:space="0" w:color="auto"/>
            <w:bottom w:val="none" w:sz="0" w:space="0" w:color="auto"/>
            <w:right w:val="none" w:sz="0" w:space="0" w:color="auto"/>
          </w:divBdr>
        </w:div>
        <w:div w:id="854852140">
          <w:marLeft w:val="0"/>
          <w:marRight w:val="0"/>
          <w:marTop w:val="0"/>
          <w:marBottom w:val="0"/>
          <w:divBdr>
            <w:top w:val="none" w:sz="0" w:space="0" w:color="auto"/>
            <w:left w:val="none" w:sz="0" w:space="0" w:color="auto"/>
            <w:bottom w:val="none" w:sz="0" w:space="0" w:color="auto"/>
            <w:right w:val="none" w:sz="0" w:space="0" w:color="auto"/>
          </w:divBdr>
        </w:div>
        <w:div w:id="1385906592">
          <w:marLeft w:val="0"/>
          <w:marRight w:val="0"/>
          <w:marTop w:val="0"/>
          <w:marBottom w:val="0"/>
          <w:divBdr>
            <w:top w:val="none" w:sz="0" w:space="0" w:color="auto"/>
            <w:left w:val="none" w:sz="0" w:space="0" w:color="auto"/>
            <w:bottom w:val="none" w:sz="0" w:space="0" w:color="auto"/>
            <w:right w:val="none" w:sz="0" w:space="0" w:color="auto"/>
          </w:divBdr>
        </w:div>
        <w:div w:id="700588517">
          <w:marLeft w:val="0"/>
          <w:marRight w:val="0"/>
          <w:marTop w:val="0"/>
          <w:marBottom w:val="0"/>
          <w:divBdr>
            <w:top w:val="none" w:sz="0" w:space="0" w:color="auto"/>
            <w:left w:val="none" w:sz="0" w:space="0" w:color="auto"/>
            <w:bottom w:val="none" w:sz="0" w:space="0" w:color="auto"/>
            <w:right w:val="none" w:sz="0" w:space="0" w:color="auto"/>
          </w:divBdr>
        </w:div>
        <w:div w:id="1406146869">
          <w:marLeft w:val="0"/>
          <w:marRight w:val="0"/>
          <w:marTop w:val="0"/>
          <w:marBottom w:val="0"/>
          <w:divBdr>
            <w:top w:val="none" w:sz="0" w:space="0" w:color="auto"/>
            <w:left w:val="none" w:sz="0" w:space="0" w:color="auto"/>
            <w:bottom w:val="none" w:sz="0" w:space="0" w:color="auto"/>
            <w:right w:val="none" w:sz="0" w:space="0" w:color="auto"/>
          </w:divBdr>
        </w:div>
        <w:div w:id="51581996">
          <w:marLeft w:val="0"/>
          <w:marRight w:val="0"/>
          <w:marTop w:val="0"/>
          <w:marBottom w:val="0"/>
          <w:divBdr>
            <w:top w:val="none" w:sz="0" w:space="0" w:color="auto"/>
            <w:left w:val="none" w:sz="0" w:space="0" w:color="auto"/>
            <w:bottom w:val="none" w:sz="0" w:space="0" w:color="auto"/>
            <w:right w:val="none" w:sz="0" w:space="0" w:color="auto"/>
          </w:divBdr>
        </w:div>
        <w:div w:id="1466696807">
          <w:marLeft w:val="0"/>
          <w:marRight w:val="0"/>
          <w:marTop w:val="0"/>
          <w:marBottom w:val="0"/>
          <w:divBdr>
            <w:top w:val="none" w:sz="0" w:space="0" w:color="auto"/>
            <w:left w:val="none" w:sz="0" w:space="0" w:color="auto"/>
            <w:bottom w:val="none" w:sz="0" w:space="0" w:color="auto"/>
            <w:right w:val="none" w:sz="0" w:space="0" w:color="auto"/>
          </w:divBdr>
        </w:div>
        <w:div w:id="2142845811">
          <w:marLeft w:val="0"/>
          <w:marRight w:val="0"/>
          <w:marTop w:val="0"/>
          <w:marBottom w:val="0"/>
          <w:divBdr>
            <w:top w:val="none" w:sz="0" w:space="0" w:color="auto"/>
            <w:left w:val="none" w:sz="0" w:space="0" w:color="auto"/>
            <w:bottom w:val="none" w:sz="0" w:space="0" w:color="auto"/>
            <w:right w:val="none" w:sz="0" w:space="0" w:color="auto"/>
          </w:divBdr>
        </w:div>
        <w:div w:id="930430363">
          <w:marLeft w:val="0"/>
          <w:marRight w:val="0"/>
          <w:marTop w:val="0"/>
          <w:marBottom w:val="0"/>
          <w:divBdr>
            <w:top w:val="none" w:sz="0" w:space="0" w:color="auto"/>
            <w:left w:val="none" w:sz="0" w:space="0" w:color="auto"/>
            <w:bottom w:val="none" w:sz="0" w:space="0" w:color="auto"/>
            <w:right w:val="none" w:sz="0" w:space="0" w:color="auto"/>
          </w:divBdr>
        </w:div>
        <w:div w:id="2057269140">
          <w:marLeft w:val="0"/>
          <w:marRight w:val="0"/>
          <w:marTop w:val="0"/>
          <w:marBottom w:val="0"/>
          <w:divBdr>
            <w:top w:val="none" w:sz="0" w:space="0" w:color="auto"/>
            <w:left w:val="none" w:sz="0" w:space="0" w:color="auto"/>
            <w:bottom w:val="none" w:sz="0" w:space="0" w:color="auto"/>
            <w:right w:val="none" w:sz="0" w:space="0" w:color="auto"/>
          </w:divBdr>
        </w:div>
        <w:div w:id="972710973">
          <w:marLeft w:val="0"/>
          <w:marRight w:val="0"/>
          <w:marTop w:val="0"/>
          <w:marBottom w:val="0"/>
          <w:divBdr>
            <w:top w:val="none" w:sz="0" w:space="0" w:color="auto"/>
            <w:left w:val="none" w:sz="0" w:space="0" w:color="auto"/>
            <w:bottom w:val="none" w:sz="0" w:space="0" w:color="auto"/>
            <w:right w:val="none" w:sz="0" w:space="0" w:color="auto"/>
          </w:divBdr>
        </w:div>
        <w:div w:id="246422494">
          <w:marLeft w:val="0"/>
          <w:marRight w:val="0"/>
          <w:marTop w:val="0"/>
          <w:marBottom w:val="0"/>
          <w:divBdr>
            <w:top w:val="none" w:sz="0" w:space="0" w:color="auto"/>
            <w:left w:val="none" w:sz="0" w:space="0" w:color="auto"/>
            <w:bottom w:val="none" w:sz="0" w:space="0" w:color="auto"/>
            <w:right w:val="none" w:sz="0" w:space="0" w:color="auto"/>
          </w:divBdr>
        </w:div>
        <w:div w:id="751898951">
          <w:marLeft w:val="0"/>
          <w:marRight w:val="0"/>
          <w:marTop w:val="0"/>
          <w:marBottom w:val="0"/>
          <w:divBdr>
            <w:top w:val="none" w:sz="0" w:space="0" w:color="auto"/>
            <w:left w:val="none" w:sz="0" w:space="0" w:color="auto"/>
            <w:bottom w:val="none" w:sz="0" w:space="0" w:color="auto"/>
            <w:right w:val="none" w:sz="0" w:space="0" w:color="auto"/>
          </w:divBdr>
        </w:div>
        <w:div w:id="1554732358">
          <w:marLeft w:val="0"/>
          <w:marRight w:val="0"/>
          <w:marTop w:val="0"/>
          <w:marBottom w:val="0"/>
          <w:divBdr>
            <w:top w:val="none" w:sz="0" w:space="0" w:color="auto"/>
            <w:left w:val="none" w:sz="0" w:space="0" w:color="auto"/>
            <w:bottom w:val="none" w:sz="0" w:space="0" w:color="auto"/>
            <w:right w:val="none" w:sz="0" w:space="0" w:color="auto"/>
          </w:divBdr>
        </w:div>
        <w:div w:id="312418436">
          <w:marLeft w:val="0"/>
          <w:marRight w:val="0"/>
          <w:marTop w:val="0"/>
          <w:marBottom w:val="0"/>
          <w:divBdr>
            <w:top w:val="none" w:sz="0" w:space="0" w:color="auto"/>
            <w:left w:val="none" w:sz="0" w:space="0" w:color="auto"/>
            <w:bottom w:val="none" w:sz="0" w:space="0" w:color="auto"/>
            <w:right w:val="none" w:sz="0" w:space="0" w:color="auto"/>
          </w:divBdr>
        </w:div>
        <w:div w:id="2002004678">
          <w:marLeft w:val="0"/>
          <w:marRight w:val="0"/>
          <w:marTop w:val="0"/>
          <w:marBottom w:val="0"/>
          <w:divBdr>
            <w:top w:val="none" w:sz="0" w:space="0" w:color="auto"/>
            <w:left w:val="none" w:sz="0" w:space="0" w:color="auto"/>
            <w:bottom w:val="none" w:sz="0" w:space="0" w:color="auto"/>
            <w:right w:val="none" w:sz="0" w:space="0" w:color="auto"/>
          </w:divBdr>
        </w:div>
        <w:div w:id="111482342">
          <w:marLeft w:val="0"/>
          <w:marRight w:val="0"/>
          <w:marTop w:val="0"/>
          <w:marBottom w:val="0"/>
          <w:divBdr>
            <w:top w:val="none" w:sz="0" w:space="0" w:color="auto"/>
            <w:left w:val="none" w:sz="0" w:space="0" w:color="auto"/>
            <w:bottom w:val="none" w:sz="0" w:space="0" w:color="auto"/>
            <w:right w:val="none" w:sz="0" w:space="0" w:color="auto"/>
          </w:divBdr>
        </w:div>
        <w:div w:id="645356416">
          <w:marLeft w:val="0"/>
          <w:marRight w:val="0"/>
          <w:marTop w:val="0"/>
          <w:marBottom w:val="0"/>
          <w:divBdr>
            <w:top w:val="none" w:sz="0" w:space="0" w:color="auto"/>
            <w:left w:val="none" w:sz="0" w:space="0" w:color="auto"/>
            <w:bottom w:val="none" w:sz="0" w:space="0" w:color="auto"/>
            <w:right w:val="none" w:sz="0" w:space="0" w:color="auto"/>
          </w:divBdr>
        </w:div>
        <w:div w:id="1515534451">
          <w:marLeft w:val="0"/>
          <w:marRight w:val="0"/>
          <w:marTop w:val="0"/>
          <w:marBottom w:val="0"/>
          <w:divBdr>
            <w:top w:val="none" w:sz="0" w:space="0" w:color="auto"/>
            <w:left w:val="none" w:sz="0" w:space="0" w:color="auto"/>
            <w:bottom w:val="none" w:sz="0" w:space="0" w:color="auto"/>
            <w:right w:val="none" w:sz="0" w:space="0" w:color="auto"/>
          </w:divBdr>
        </w:div>
        <w:div w:id="602885391">
          <w:marLeft w:val="0"/>
          <w:marRight w:val="0"/>
          <w:marTop w:val="0"/>
          <w:marBottom w:val="0"/>
          <w:divBdr>
            <w:top w:val="none" w:sz="0" w:space="0" w:color="auto"/>
            <w:left w:val="none" w:sz="0" w:space="0" w:color="auto"/>
            <w:bottom w:val="none" w:sz="0" w:space="0" w:color="auto"/>
            <w:right w:val="none" w:sz="0" w:space="0" w:color="auto"/>
          </w:divBdr>
        </w:div>
        <w:div w:id="1732847966">
          <w:marLeft w:val="0"/>
          <w:marRight w:val="0"/>
          <w:marTop w:val="0"/>
          <w:marBottom w:val="0"/>
          <w:divBdr>
            <w:top w:val="none" w:sz="0" w:space="0" w:color="auto"/>
            <w:left w:val="none" w:sz="0" w:space="0" w:color="auto"/>
            <w:bottom w:val="none" w:sz="0" w:space="0" w:color="auto"/>
            <w:right w:val="none" w:sz="0" w:space="0" w:color="auto"/>
          </w:divBdr>
        </w:div>
        <w:div w:id="315300923">
          <w:marLeft w:val="0"/>
          <w:marRight w:val="0"/>
          <w:marTop w:val="0"/>
          <w:marBottom w:val="0"/>
          <w:divBdr>
            <w:top w:val="none" w:sz="0" w:space="0" w:color="auto"/>
            <w:left w:val="none" w:sz="0" w:space="0" w:color="auto"/>
            <w:bottom w:val="none" w:sz="0" w:space="0" w:color="auto"/>
            <w:right w:val="none" w:sz="0" w:space="0" w:color="auto"/>
          </w:divBdr>
        </w:div>
        <w:div w:id="296760440">
          <w:marLeft w:val="0"/>
          <w:marRight w:val="0"/>
          <w:marTop w:val="0"/>
          <w:marBottom w:val="0"/>
          <w:divBdr>
            <w:top w:val="none" w:sz="0" w:space="0" w:color="auto"/>
            <w:left w:val="none" w:sz="0" w:space="0" w:color="auto"/>
            <w:bottom w:val="none" w:sz="0" w:space="0" w:color="auto"/>
            <w:right w:val="none" w:sz="0" w:space="0" w:color="auto"/>
          </w:divBdr>
        </w:div>
        <w:div w:id="1840077583">
          <w:marLeft w:val="0"/>
          <w:marRight w:val="0"/>
          <w:marTop w:val="0"/>
          <w:marBottom w:val="0"/>
          <w:divBdr>
            <w:top w:val="none" w:sz="0" w:space="0" w:color="auto"/>
            <w:left w:val="none" w:sz="0" w:space="0" w:color="auto"/>
            <w:bottom w:val="none" w:sz="0" w:space="0" w:color="auto"/>
            <w:right w:val="none" w:sz="0" w:space="0" w:color="auto"/>
          </w:divBdr>
        </w:div>
        <w:div w:id="1963416923">
          <w:marLeft w:val="0"/>
          <w:marRight w:val="0"/>
          <w:marTop w:val="0"/>
          <w:marBottom w:val="0"/>
          <w:divBdr>
            <w:top w:val="none" w:sz="0" w:space="0" w:color="auto"/>
            <w:left w:val="none" w:sz="0" w:space="0" w:color="auto"/>
            <w:bottom w:val="none" w:sz="0" w:space="0" w:color="auto"/>
            <w:right w:val="none" w:sz="0" w:space="0" w:color="auto"/>
          </w:divBdr>
        </w:div>
        <w:div w:id="329672787">
          <w:marLeft w:val="0"/>
          <w:marRight w:val="0"/>
          <w:marTop w:val="0"/>
          <w:marBottom w:val="0"/>
          <w:divBdr>
            <w:top w:val="none" w:sz="0" w:space="0" w:color="auto"/>
            <w:left w:val="none" w:sz="0" w:space="0" w:color="auto"/>
            <w:bottom w:val="none" w:sz="0" w:space="0" w:color="auto"/>
            <w:right w:val="none" w:sz="0" w:space="0" w:color="auto"/>
          </w:divBdr>
        </w:div>
        <w:div w:id="1331102080">
          <w:marLeft w:val="0"/>
          <w:marRight w:val="0"/>
          <w:marTop w:val="0"/>
          <w:marBottom w:val="0"/>
          <w:divBdr>
            <w:top w:val="none" w:sz="0" w:space="0" w:color="auto"/>
            <w:left w:val="none" w:sz="0" w:space="0" w:color="auto"/>
            <w:bottom w:val="none" w:sz="0" w:space="0" w:color="auto"/>
            <w:right w:val="none" w:sz="0" w:space="0" w:color="auto"/>
          </w:divBdr>
        </w:div>
        <w:div w:id="318315553">
          <w:marLeft w:val="0"/>
          <w:marRight w:val="0"/>
          <w:marTop w:val="0"/>
          <w:marBottom w:val="0"/>
          <w:divBdr>
            <w:top w:val="none" w:sz="0" w:space="0" w:color="auto"/>
            <w:left w:val="none" w:sz="0" w:space="0" w:color="auto"/>
            <w:bottom w:val="none" w:sz="0" w:space="0" w:color="auto"/>
            <w:right w:val="none" w:sz="0" w:space="0" w:color="auto"/>
          </w:divBdr>
        </w:div>
        <w:div w:id="997997603">
          <w:marLeft w:val="0"/>
          <w:marRight w:val="0"/>
          <w:marTop w:val="0"/>
          <w:marBottom w:val="0"/>
          <w:divBdr>
            <w:top w:val="none" w:sz="0" w:space="0" w:color="auto"/>
            <w:left w:val="none" w:sz="0" w:space="0" w:color="auto"/>
            <w:bottom w:val="none" w:sz="0" w:space="0" w:color="auto"/>
            <w:right w:val="none" w:sz="0" w:space="0" w:color="auto"/>
          </w:divBdr>
        </w:div>
        <w:div w:id="888300120">
          <w:marLeft w:val="0"/>
          <w:marRight w:val="0"/>
          <w:marTop w:val="0"/>
          <w:marBottom w:val="0"/>
          <w:divBdr>
            <w:top w:val="none" w:sz="0" w:space="0" w:color="auto"/>
            <w:left w:val="none" w:sz="0" w:space="0" w:color="auto"/>
            <w:bottom w:val="none" w:sz="0" w:space="0" w:color="auto"/>
            <w:right w:val="none" w:sz="0" w:space="0" w:color="auto"/>
          </w:divBdr>
        </w:div>
        <w:div w:id="1925338091">
          <w:marLeft w:val="0"/>
          <w:marRight w:val="0"/>
          <w:marTop w:val="0"/>
          <w:marBottom w:val="0"/>
          <w:divBdr>
            <w:top w:val="none" w:sz="0" w:space="0" w:color="auto"/>
            <w:left w:val="none" w:sz="0" w:space="0" w:color="auto"/>
            <w:bottom w:val="none" w:sz="0" w:space="0" w:color="auto"/>
            <w:right w:val="none" w:sz="0" w:space="0" w:color="auto"/>
          </w:divBdr>
        </w:div>
        <w:div w:id="1841001364">
          <w:marLeft w:val="0"/>
          <w:marRight w:val="0"/>
          <w:marTop w:val="0"/>
          <w:marBottom w:val="0"/>
          <w:divBdr>
            <w:top w:val="none" w:sz="0" w:space="0" w:color="auto"/>
            <w:left w:val="none" w:sz="0" w:space="0" w:color="auto"/>
            <w:bottom w:val="none" w:sz="0" w:space="0" w:color="auto"/>
            <w:right w:val="none" w:sz="0" w:space="0" w:color="auto"/>
          </w:divBdr>
        </w:div>
        <w:div w:id="700129956">
          <w:marLeft w:val="0"/>
          <w:marRight w:val="0"/>
          <w:marTop w:val="0"/>
          <w:marBottom w:val="0"/>
          <w:divBdr>
            <w:top w:val="none" w:sz="0" w:space="0" w:color="auto"/>
            <w:left w:val="none" w:sz="0" w:space="0" w:color="auto"/>
            <w:bottom w:val="none" w:sz="0" w:space="0" w:color="auto"/>
            <w:right w:val="none" w:sz="0" w:space="0" w:color="auto"/>
          </w:divBdr>
        </w:div>
        <w:div w:id="2016107612">
          <w:marLeft w:val="0"/>
          <w:marRight w:val="0"/>
          <w:marTop w:val="0"/>
          <w:marBottom w:val="0"/>
          <w:divBdr>
            <w:top w:val="none" w:sz="0" w:space="0" w:color="auto"/>
            <w:left w:val="none" w:sz="0" w:space="0" w:color="auto"/>
            <w:bottom w:val="none" w:sz="0" w:space="0" w:color="auto"/>
            <w:right w:val="none" w:sz="0" w:space="0" w:color="auto"/>
          </w:divBdr>
        </w:div>
        <w:div w:id="1399403904">
          <w:marLeft w:val="0"/>
          <w:marRight w:val="0"/>
          <w:marTop w:val="0"/>
          <w:marBottom w:val="0"/>
          <w:divBdr>
            <w:top w:val="none" w:sz="0" w:space="0" w:color="auto"/>
            <w:left w:val="none" w:sz="0" w:space="0" w:color="auto"/>
            <w:bottom w:val="none" w:sz="0" w:space="0" w:color="auto"/>
            <w:right w:val="none" w:sz="0" w:space="0" w:color="auto"/>
          </w:divBdr>
        </w:div>
        <w:div w:id="1955138886">
          <w:marLeft w:val="0"/>
          <w:marRight w:val="0"/>
          <w:marTop w:val="0"/>
          <w:marBottom w:val="0"/>
          <w:divBdr>
            <w:top w:val="none" w:sz="0" w:space="0" w:color="auto"/>
            <w:left w:val="none" w:sz="0" w:space="0" w:color="auto"/>
            <w:bottom w:val="none" w:sz="0" w:space="0" w:color="auto"/>
            <w:right w:val="none" w:sz="0" w:space="0" w:color="auto"/>
          </w:divBdr>
        </w:div>
        <w:div w:id="821772578">
          <w:marLeft w:val="0"/>
          <w:marRight w:val="0"/>
          <w:marTop w:val="0"/>
          <w:marBottom w:val="0"/>
          <w:divBdr>
            <w:top w:val="none" w:sz="0" w:space="0" w:color="auto"/>
            <w:left w:val="none" w:sz="0" w:space="0" w:color="auto"/>
            <w:bottom w:val="none" w:sz="0" w:space="0" w:color="auto"/>
            <w:right w:val="none" w:sz="0" w:space="0" w:color="auto"/>
          </w:divBdr>
        </w:div>
        <w:div w:id="1525047859">
          <w:marLeft w:val="0"/>
          <w:marRight w:val="0"/>
          <w:marTop w:val="0"/>
          <w:marBottom w:val="0"/>
          <w:divBdr>
            <w:top w:val="none" w:sz="0" w:space="0" w:color="auto"/>
            <w:left w:val="none" w:sz="0" w:space="0" w:color="auto"/>
            <w:bottom w:val="none" w:sz="0" w:space="0" w:color="auto"/>
            <w:right w:val="none" w:sz="0" w:space="0" w:color="auto"/>
          </w:divBdr>
        </w:div>
        <w:div w:id="1362584009">
          <w:marLeft w:val="0"/>
          <w:marRight w:val="0"/>
          <w:marTop w:val="0"/>
          <w:marBottom w:val="0"/>
          <w:divBdr>
            <w:top w:val="none" w:sz="0" w:space="0" w:color="auto"/>
            <w:left w:val="none" w:sz="0" w:space="0" w:color="auto"/>
            <w:bottom w:val="none" w:sz="0" w:space="0" w:color="auto"/>
            <w:right w:val="none" w:sz="0" w:space="0" w:color="auto"/>
          </w:divBdr>
        </w:div>
        <w:div w:id="313608698">
          <w:marLeft w:val="0"/>
          <w:marRight w:val="0"/>
          <w:marTop w:val="0"/>
          <w:marBottom w:val="0"/>
          <w:divBdr>
            <w:top w:val="none" w:sz="0" w:space="0" w:color="auto"/>
            <w:left w:val="none" w:sz="0" w:space="0" w:color="auto"/>
            <w:bottom w:val="none" w:sz="0" w:space="0" w:color="auto"/>
            <w:right w:val="none" w:sz="0" w:space="0" w:color="auto"/>
          </w:divBdr>
        </w:div>
        <w:div w:id="687558252">
          <w:marLeft w:val="0"/>
          <w:marRight w:val="0"/>
          <w:marTop w:val="0"/>
          <w:marBottom w:val="0"/>
          <w:divBdr>
            <w:top w:val="none" w:sz="0" w:space="0" w:color="auto"/>
            <w:left w:val="none" w:sz="0" w:space="0" w:color="auto"/>
            <w:bottom w:val="none" w:sz="0" w:space="0" w:color="auto"/>
            <w:right w:val="none" w:sz="0" w:space="0" w:color="auto"/>
          </w:divBdr>
        </w:div>
        <w:div w:id="387413329">
          <w:marLeft w:val="0"/>
          <w:marRight w:val="0"/>
          <w:marTop w:val="0"/>
          <w:marBottom w:val="0"/>
          <w:divBdr>
            <w:top w:val="none" w:sz="0" w:space="0" w:color="auto"/>
            <w:left w:val="none" w:sz="0" w:space="0" w:color="auto"/>
            <w:bottom w:val="none" w:sz="0" w:space="0" w:color="auto"/>
            <w:right w:val="none" w:sz="0" w:space="0" w:color="auto"/>
          </w:divBdr>
        </w:div>
        <w:div w:id="1241938483">
          <w:marLeft w:val="0"/>
          <w:marRight w:val="0"/>
          <w:marTop w:val="0"/>
          <w:marBottom w:val="0"/>
          <w:divBdr>
            <w:top w:val="none" w:sz="0" w:space="0" w:color="auto"/>
            <w:left w:val="none" w:sz="0" w:space="0" w:color="auto"/>
            <w:bottom w:val="none" w:sz="0" w:space="0" w:color="auto"/>
            <w:right w:val="none" w:sz="0" w:space="0" w:color="auto"/>
          </w:divBdr>
        </w:div>
        <w:div w:id="547451369">
          <w:marLeft w:val="0"/>
          <w:marRight w:val="0"/>
          <w:marTop w:val="0"/>
          <w:marBottom w:val="0"/>
          <w:divBdr>
            <w:top w:val="none" w:sz="0" w:space="0" w:color="auto"/>
            <w:left w:val="none" w:sz="0" w:space="0" w:color="auto"/>
            <w:bottom w:val="none" w:sz="0" w:space="0" w:color="auto"/>
            <w:right w:val="none" w:sz="0" w:space="0" w:color="auto"/>
          </w:divBdr>
        </w:div>
        <w:div w:id="617375849">
          <w:marLeft w:val="0"/>
          <w:marRight w:val="0"/>
          <w:marTop w:val="0"/>
          <w:marBottom w:val="0"/>
          <w:divBdr>
            <w:top w:val="none" w:sz="0" w:space="0" w:color="auto"/>
            <w:left w:val="none" w:sz="0" w:space="0" w:color="auto"/>
            <w:bottom w:val="none" w:sz="0" w:space="0" w:color="auto"/>
            <w:right w:val="none" w:sz="0" w:space="0" w:color="auto"/>
          </w:divBdr>
        </w:div>
        <w:div w:id="658656880">
          <w:marLeft w:val="0"/>
          <w:marRight w:val="0"/>
          <w:marTop w:val="0"/>
          <w:marBottom w:val="0"/>
          <w:divBdr>
            <w:top w:val="none" w:sz="0" w:space="0" w:color="auto"/>
            <w:left w:val="none" w:sz="0" w:space="0" w:color="auto"/>
            <w:bottom w:val="none" w:sz="0" w:space="0" w:color="auto"/>
            <w:right w:val="none" w:sz="0" w:space="0" w:color="auto"/>
          </w:divBdr>
        </w:div>
        <w:div w:id="740517859">
          <w:marLeft w:val="0"/>
          <w:marRight w:val="0"/>
          <w:marTop w:val="0"/>
          <w:marBottom w:val="0"/>
          <w:divBdr>
            <w:top w:val="none" w:sz="0" w:space="0" w:color="auto"/>
            <w:left w:val="none" w:sz="0" w:space="0" w:color="auto"/>
            <w:bottom w:val="none" w:sz="0" w:space="0" w:color="auto"/>
            <w:right w:val="none" w:sz="0" w:space="0" w:color="auto"/>
          </w:divBdr>
        </w:div>
        <w:div w:id="554971745">
          <w:marLeft w:val="0"/>
          <w:marRight w:val="0"/>
          <w:marTop w:val="0"/>
          <w:marBottom w:val="0"/>
          <w:divBdr>
            <w:top w:val="none" w:sz="0" w:space="0" w:color="auto"/>
            <w:left w:val="none" w:sz="0" w:space="0" w:color="auto"/>
            <w:bottom w:val="none" w:sz="0" w:space="0" w:color="auto"/>
            <w:right w:val="none" w:sz="0" w:space="0" w:color="auto"/>
          </w:divBdr>
        </w:div>
        <w:div w:id="1101953694">
          <w:marLeft w:val="0"/>
          <w:marRight w:val="0"/>
          <w:marTop w:val="0"/>
          <w:marBottom w:val="0"/>
          <w:divBdr>
            <w:top w:val="none" w:sz="0" w:space="0" w:color="auto"/>
            <w:left w:val="none" w:sz="0" w:space="0" w:color="auto"/>
            <w:bottom w:val="none" w:sz="0" w:space="0" w:color="auto"/>
            <w:right w:val="none" w:sz="0" w:space="0" w:color="auto"/>
          </w:divBdr>
        </w:div>
        <w:div w:id="681905226">
          <w:marLeft w:val="0"/>
          <w:marRight w:val="0"/>
          <w:marTop w:val="0"/>
          <w:marBottom w:val="0"/>
          <w:divBdr>
            <w:top w:val="none" w:sz="0" w:space="0" w:color="auto"/>
            <w:left w:val="none" w:sz="0" w:space="0" w:color="auto"/>
            <w:bottom w:val="none" w:sz="0" w:space="0" w:color="auto"/>
            <w:right w:val="none" w:sz="0" w:space="0" w:color="auto"/>
          </w:divBdr>
        </w:div>
        <w:div w:id="1958754891">
          <w:marLeft w:val="0"/>
          <w:marRight w:val="0"/>
          <w:marTop w:val="0"/>
          <w:marBottom w:val="0"/>
          <w:divBdr>
            <w:top w:val="none" w:sz="0" w:space="0" w:color="auto"/>
            <w:left w:val="none" w:sz="0" w:space="0" w:color="auto"/>
            <w:bottom w:val="none" w:sz="0" w:space="0" w:color="auto"/>
            <w:right w:val="none" w:sz="0" w:space="0" w:color="auto"/>
          </w:divBdr>
        </w:div>
        <w:div w:id="1991203323">
          <w:marLeft w:val="0"/>
          <w:marRight w:val="0"/>
          <w:marTop w:val="0"/>
          <w:marBottom w:val="0"/>
          <w:divBdr>
            <w:top w:val="none" w:sz="0" w:space="0" w:color="auto"/>
            <w:left w:val="none" w:sz="0" w:space="0" w:color="auto"/>
            <w:bottom w:val="none" w:sz="0" w:space="0" w:color="auto"/>
            <w:right w:val="none" w:sz="0" w:space="0" w:color="auto"/>
          </w:divBdr>
        </w:div>
        <w:div w:id="197007594">
          <w:marLeft w:val="0"/>
          <w:marRight w:val="0"/>
          <w:marTop w:val="0"/>
          <w:marBottom w:val="0"/>
          <w:divBdr>
            <w:top w:val="none" w:sz="0" w:space="0" w:color="auto"/>
            <w:left w:val="none" w:sz="0" w:space="0" w:color="auto"/>
            <w:bottom w:val="none" w:sz="0" w:space="0" w:color="auto"/>
            <w:right w:val="none" w:sz="0" w:space="0" w:color="auto"/>
          </w:divBdr>
        </w:div>
        <w:div w:id="1472944261">
          <w:marLeft w:val="0"/>
          <w:marRight w:val="0"/>
          <w:marTop w:val="0"/>
          <w:marBottom w:val="0"/>
          <w:divBdr>
            <w:top w:val="none" w:sz="0" w:space="0" w:color="auto"/>
            <w:left w:val="none" w:sz="0" w:space="0" w:color="auto"/>
            <w:bottom w:val="none" w:sz="0" w:space="0" w:color="auto"/>
            <w:right w:val="none" w:sz="0" w:space="0" w:color="auto"/>
          </w:divBdr>
        </w:div>
        <w:div w:id="361516638">
          <w:marLeft w:val="0"/>
          <w:marRight w:val="0"/>
          <w:marTop w:val="0"/>
          <w:marBottom w:val="0"/>
          <w:divBdr>
            <w:top w:val="none" w:sz="0" w:space="0" w:color="auto"/>
            <w:left w:val="none" w:sz="0" w:space="0" w:color="auto"/>
            <w:bottom w:val="none" w:sz="0" w:space="0" w:color="auto"/>
            <w:right w:val="none" w:sz="0" w:space="0" w:color="auto"/>
          </w:divBdr>
        </w:div>
        <w:div w:id="484787388">
          <w:marLeft w:val="0"/>
          <w:marRight w:val="0"/>
          <w:marTop w:val="0"/>
          <w:marBottom w:val="0"/>
          <w:divBdr>
            <w:top w:val="none" w:sz="0" w:space="0" w:color="auto"/>
            <w:left w:val="none" w:sz="0" w:space="0" w:color="auto"/>
            <w:bottom w:val="none" w:sz="0" w:space="0" w:color="auto"/>
            <w:right w:val="none" w:sz="0" w:space="0" w:color="auto"/>
          </w:divBdr>
        </w:div>
        <w:div w:id="1865509432">
          <w:marLeft w:val="0"/>
          <w:marRight w:val="0"/>
          <w:marTop w:val="0"/>
          <w:marBottom w:val="0"/>
          <w:divBdr>
            <w:top w:val="none" w:sz="0" w:space="0" w:color="auto"/>
            <w:left w:val="none" w:sz="0" w:space="0" w:color="auto"/>
            <w:bottom w:val="none" w:sz="0" w:space="0" w:color="auto"/>
            <w:right w:val="none" w:sz="0" w:space="0" w:color="auto"/>
          </w:divBdr>
        </w:div>
        <w:div w:id="199785233">
          <w:marLeft w:val="0"/>
          <w:marRight w:val="0"/>
          <w:marTop w:val="0"/>
          <w:marBottom w:val="0"/>
          <w:divBdr>
            <w:top w:val="none" w:sz="0" w:space="0" w:color="auto"/>
            <w:left w:val="none" w:sz="0" w:space="0" w:color="auto"/>
            <w:bottom w:val="none" w:sz="0" w:space="0" w:color="auto"/>
            <w:right w:val="none" w:sz="0" w:space="0" w:color="auto"/>
          </w:divBdr>
        </w:div>
        <w:div w:id="1553882089">
          <w:marLeft w:val="0"/>
          <w:marRight w:val="0"/>
          <w:marTop w:val="0"/>
          <w:marBottom w:val="0"/>
          <w:divBdr>
            <w:top w:val="none" w:sz="0" w:space="0" w:color="auto"/>
            <w:left w:val="none" w:sz="0" w:space="0" w:color="auto"/>
            <w:bottom w:val="none" w:sz="0" w:space="0" w:color="auto"/>
            <w:right w:val="none" w:sz="0" w:space="0" w:color="auto"/>
          </w:divBdr>
        </w:div>
        <w:div w:id="578486283">
          <w:marLeft w:val="0"/>
          <w:marRight w:val="0"/>
          <w:marTop w:val="0"/>
          <w:marBottom w:val="0"/>
          <w:divBdr>
            <w:top w:val="none" w:sz="0" w:space="0" w:color="auto"/>
            <w:left w:val="none" w:sz="0" w:space="0" w:color="auto"/>
            <w:bottom w:val="none" w:sz="0" w:space="0" w:color="auto"/>
            <w:right w:val="none" w:sz="0" w:space="0" w:color="auto"/>
          </w:divBdr>
        </w:div>
        <w:div w:id="883256840">
          <w:marLeft w:val="0"/>
          <w:marRight w:val="0"/>
          <w:marTop w:val="0"/>
          <w:marBottom w:val="0"/>
          <w:divBdr>
            <w:top w:val="none" w:sz="0" w:space="0" w:color="auto"/>
            <w:left w:val="none" w:sz="0" w:space="0" w:color="auto"/>
            <w:bottom w:val="none" w:sz="0" w:space="0" w:color="auto"/>
            <w:right w:val="none" w:sz="0" w:space="0" w:color="auto"/>
          </w:divBdr>
        </w:div>
        <w:div w:id="1388987568">
          <w:marLeft w:val="0"/>
          <w:marRight w:val="0"/>
          <w:marTop w:val="0"/>
          <w:marBottom w:val="0"/>
          <w:divBdr>
            <w:top w:val="none" w:sz="0" w:space="0" w:color="auto"/>
            <w:left w:val="none" w:sz="0" w:space="0" w:color="auto"/>
            <w:bottom w:val="none" w:sz="0" w:space="0" w:color="auto"/>
            <w:right w:val="none" w:sz="0" w:space="0" w:color="auto"/>
          </w:divBdr>
        </w:div>
        <w:div w:id="758067253">
          <w:marLeft w:val="0"/>
          <w:marRight w:val="0"/>
          <w:marTop w:val="0"/>
          <w:marBottom w:val="0"/>
          <w:divBdr>
            <w:top w:val="none" w:sz="0" w:space="0" w:color="auto"/>
            <w:left w:val="none" w:sz="0" w:space="0" w:color="auto"/>
            <w:bottom w:val="none" w:sz="0" w:space="0" w:color="auto"/>
            <w:right w:val="none" w:sz="0" w:space="0" w:color="auto"/>
          </w:divBdr>
        </w:div>
        <w:div w:id="1724714886">
          <w:marLeft w:val="0"/>
          <w:marRight w:val="0"/>
          <w:marTop w:val="0"/>
          <w:marBottom w:val="0"/>
          <w:divBdr>
            <w:top w:val="none" w:sz="0" w:space="0" w:color="auto"/>
            <w:left w:val="none" w:sz="0" w:space="0" w:color="auto"/>
            <w:bottom w:val="none" w:sz="0" w:space="0" w:color="auto"/>
            <w:right w:val="none" w:sz="0" w:space="0" w:color="auto"/>
          </w:divBdr>
        </w:div>
        <w:div w:id="275408177">
          <w:marLeft w:val="0"/>
          <w:marRight w:val="0"/>
          <w:marTop w:val="0"/>
          <w:marBottom w:val="0"/>
          <w:divBdr>
            <w:top w:val="none" w:sz="0" w:space="0" w:color="auto"/>
            <w:left w:val="none" w:sz="0" w:space="0" w:color="auto"/>
            <w:bottom w:val="none" w:sz="0" w:space="0" w:color="auto"/>
            <w:right w:val="none" w:sz="0" w:space="0" w:color="auto"/>
          </w:divBdr>
        </w:div>
        <w:div w:id="515656923">
          <w:marLeft w:val="0"/>
          <w:marRight w:val="0"/>
          <w:marTop w:val="0"/>
          <w:marBottom w:val="0"/>
          <w:divBdr>
            <w:top w:val="none" w:sz="0" w:space="0" w:color="auto"/>
            <w:left w:val="none" w:sz="0" w:space="0" w:color="auto"/>
            <w:bottom w:val="none" w:sz="0" w:space="0" w:color="auto"/>
            <w:right w:val="none" w:sz="0" w:space="0" w:color="auto"/>
          </w:divBdr>
        </w:div>
        <w:div w:id="224339079">
          <w:marLeft w:val="0"/>
          <w:marRight w:val="0"/>
          <w:marTop w:val="0"/>
          <w:marBottom w:val="0"/>
          <w:divBdr>
            <w:top w:val="none" w:sz="0" w:space="0" w:color="auto"/>
            <w:left w:val="none" w:sz="0" w:space="0" w:color="auto"/>
            <w:bottom w:val="none" w:sz="0" w:space="0" w:color="auto"/>
            <w:right w:val="none" w:sz="0" w:space="0" w:color="auto"/>
          </w:divBdr>
        </w:div>
        <w:div w:id="1362510584">
          <w:marLeft w:val="0"/>
          <w:marRight w:val="0"/>
          <w:marTop w:val="0"/>
          <w:marBottom w:val="0"/>
          <w:divBdr>
            <w:top w:val="none" w:sz="0" w:space="0" w:color="auto"/>
            <w:left w:val="none" w:sz="0" w:space="0" w:color="auto"/>
            <w:bottom w:val="none" w:sz="0" w:space="0" w:color="auto"/>
            <w:right w:val="none" w:sz="0" w:space="0" w:color="auto"/>
          </w:divBdr>
        </w:div>
        <w:div w:id="1052776726">
          <w:marLeft w:val="0"/>
          <w:marRight w:val="0"/>
          <w:marTop w:val="0"/>
          <w:marBottom w:val="0"/>
          <w:divBdr>
            <w:top w:val="none" w:sz="0" w:space="0" w:color="auto"/>
            <w:left w:val="none" w:sz="0" w:space="0" w:color="auto"/>
            <w:bottom w:val="none" w:sz="0" w:space="0" w:color="auto"/>
            <w:right w:val="none" w:sz="0" w:space="0" w:color="auto"/>
          </w:divBdr>
        </w:div>
        <w:div w:id="1952976172">
          <w:marLeft w:val="0"/>
          <w:marRight w:val="0"/>
          <w:marTop w:val="0"/>
          <w:marBottom w:val="0"/>
          <w:divBdr>
            <w:top w:val="none" w:sz="0" w:space="0" w:color="auto"/>
            <w:left w:val="none" w:sz="0" w:space="0" w:color="auto"/>
            <w:bottom w:val="none" w:sz="0" w:space="0" w:color="auto"/>
            <w:right w:val="none" w:sz="0" w:space="0" w:color="auto"/>
          </w:divBdr>
        </w:div>
        <w:div w:id="1345279535">
          <w:marLeft w:val="0"/>
          <w:marRight w:val="0"/>
          <w:marTop w:val="0"/>
          <w:marBottom w:val="0"/>
          <w:divBdr>
            <w:top w:val="none" w:sz="0" w:space="0" w:color="auto"/>
            <w:left w:val="none" w:sz="0" w:space="0" w:color="auto"/>
            <w:bottom w:val="none" w:sz="0" w:space="0" w:color="auto"/>
            <w:right w:val="none" w:sz="0" w:space="0" w:color="auto"/>
          </w:divBdr>
        </w:div>
        <w:div w:id="1690794377">
          <w:marLeft w:val="0"/>
          <w:marRight w:val="0"/>
          <w:marTop w:val="0"/>
          <w:marBottom w:val="0"/>
          <w:divBdr>
            <w:top w:val="none" w:sz="0" w:space="0" w:color="auto"/>
            <w:left w:val="none" w:sz="0" w:space="0" w:color="auto"/>
            <w:bottom w:val="none" w:sz="0" w:space="0" w:color="auto"/>
            <w:right w:val="none" w:sz="0" w:space="0" w:color="auto"/>
          </w:divBdr>
        </w:div>
        <w:div w:id="459809213">
          <w:marLeft w:val="0"/>
          <w:marRight w:val="0"/>
          <w:marTop w:val="0"/>
          <w:marBottom w:val="0"/>
          <w:divBdr>
            <w:top w:val="none" w:sz="0" w:space="0" w:color="auto"/>
            <w:left w:val="none" w:sz="0" w:space="0" w:color="auto"/>
            <w:bottom w:val="none" w:sz="0" w:space="0" w:color="auto"/>
            <w:right w:val="none" w:sz="0" w:space="0" w:color="auto"/>
          </w:divBdr>
        </w:div>
        <w:div w:id="1548296865">
          <w:marLeft w:val="0"/>
          <w:marRight w:val="0"/>
          <w:marTop w:val="0"/>
          <w:marBottom w:val="0"/>
          <w:divBdr>
            <w:top w:val="none" w:sz="0" w:space="0" w:color="auto"/>
            <w:left w:val="none" w:sz="0" w:space="0" w:color="auto"/>
            <w:bottom w:val="none" w:sz="0" w:space="0" w:color="auto"/>
            <w:right w:val="none" w:sz="0" w:space="0" w:color="auto"/>
          </w:divBdr>
        </w:div>
        <w:div w:id="297878272">
          <w:marLeft w:val="0"/>
          <w:marRight w:val="0"/>
          <w:marTop w:val="0"/>
          <w:marBottom w:val="0"/>
          <w:divBdr>
            <w:top w:val="none" w:sz="0" w:space="0" w:color="auto"/>
            <w:left w:val="none" w:sz="0" w:space="0" w:color="auto"/>
            <w:bottom w:val="none" w:sz="0" w:space="0" w:color="auto"/>
            <w:right w:val="none" w:sz="0" w:space="0" w:color="auto"/>
          </w:divBdr>
        </w:div>
        <w:div w:id="2112778641">
          <w:marLeft w:val="0"/>
          <w:marRight w:val="0"/>
          <w:marTop w:val="0"/>
          <w:marBottom w:val="0"/>
          <w:divBdr>
            <w:top w:val="none" w:sz="0" w:space="0" w:color="auto"/>
            <w:left w:val="none" w:sz="0" w:space="0" w:color="auto"/>
            <w:bottom w:val="none" w:sz="0" w:space="0" w:color="auto"/>
            <w:right w:val="none" w:sz="0" w:space="0" w:color="auto"/>
          </w:divBdr>
        </w:div>
        <w:div w:id="1958290211">
          <w:marLeft w:val="0"/>
          <w:marRight w:val="0"/>
          <w:marTop w:val="0"/>
          <w:marBottom w:val="0"/>
          <w:divBdr>
            <w:top w:val="none" w:sz="0" w:space="0" w:color="auto"/>
            <w:left w:val="none" w:sz="0" w:space="0" w:color="auto"/>
            <w:bottom w:val="none" w:sz="0" w:space="0" w:color="auto"/>
            <w:right w:val="none" w:sz="0" w:space="0" w:color="auto"/>
          </w:divBdr>
        </w:div>
        <w:div w:id="457336472">
          <w:marLeft w:val="0"/>
          <w:marRight w:val="0"/>
          <w:marTop w:val="0"/>
          <w:marBottom w:val="0"/>
          <w:divBdr>
            <w:top w:val="none" w:sz="0" w:space="0" w:color="auto"/>
            <w:left w:val="none" w:sz="0" w:space="0" w:color="auto"/>
            <w:bottom w:val="none" w:sz="0" w:space="0" w:color="auto"/>
            <w:right w:val="none" w:sz="0" w:space="0" w:color="auto"/>
          </w:divBdr>
        </w:div>
        <w:div w:id="208536513">
          <w:marLeft w:val="0"/>
          <w:marRight w:val="0"/>
          <w:marTop w:val="0"/>
          <w:marBottom w:val="0"/>
          <w:divBdr>
            <w:top w:val="none" w:sz="0" w:space="0" w:color="auto"/>
            <w:left w:val="none" w:sz="0" w:space="0" w:color="auto"/>
            <w:bottom w:val="none" w:sz="0" w:space="0" w:color="auto"/>
            <w:right w:val="none" w:sz="0" w:space="0" w:color="auto"/>
          </w:divBdr>
        </w:div>
        <w:div w:id="2112578705">
          <w:marLeft w:val="0"/>
          <w:marRight w:val="0"/>
          <w:marTop w:val="0"/>
          <w:marBottom w:val="0"/>
          <w:divBdr>
            <w:top w:val="none" w:sz="0" w:space="0" w:color="auto"/>
            <w:left w:val="none" w:sz="0" w:space="0" w:color="auto"/>
            <w:bottom w:val="none" w:sz="0" w:space="0" w:color="auto"/>
            <w:right w:val="none" w:sz="0" w:space="0" w:color="auto"/>
          </w:divBdr>
        </w:div>
        <w:div w:id="1088115827">
          <w:marLeft w:val="0"/>
          <w:marRight w:val="0"/>
          <w:marTop w:val="0"/>
          <w:marBottom w:val="0"/>
          <w:divBdr>
            <w:top w:val="none" w:sz="0" w:space="0" w:color="auto"/>
            <w:left w:val="none" w:sz="0" w:space="0" w:color="auto"/>
            <w:bottom w:val="none" w:sz="0" w:space="0" w:color="auto"/>
            <w:right w:val="none" w:sz="0" w:space="0" w:color="auto"/>
          </w:divBdr>
        </w:div>
        <w:div w:id="1332174116">
          <w:marLeft w:val="0"/>
          <w:marRight w:val="0"/>
          <w:marTop w:val="0"/>
          <w:marBottom w:val="0"/>
          <w:divBdr>
            <w:top w:val="none" w:sz="0" w:space="0" w:color="auto"/>
            <w:left w:val="none" w:sz="0" w:space="0" w:color="auto"/>
            <w:bottom w:val="none" w:sz="0" w:space="0" w:color="auto"/>
            <w:right w:val="none" w:sz="0" w:space="0" w:color="auto"/>
          </w:divBdr>
        </w:div>
        <w:div w:id="1210265179">
          <w:marLeft w:val="0"/>
          <w:marRight w:val="0"/>
          <w:marTop w:val="0"/>
          <w:marBottom w:val="0"/>
          <w:divBdr>
            <w:top w:val="none" w:sz="0" w:space="0" w:color="auto"/>
            <w:left w:val="none" w:sz="0" w:space="0" w:color="auto"/>
            <w:bottom w:val="none" w:sz="0" w:space="0" w:color="auto"/>
            <w:right w:val="none" w:sz="0" w:space="0" w:color="auto"/>
          </w:divBdr>
        </w:div>
        <w:div w:id="1954088651">
          <w:marLeft w:val="0"/>
          <w:marRight w:val="0"/>
          <w:marTop w:val="0"/>
          <w:marBottom w:val="0"/>
          <w:divBdr>
            <w:top w:val="none" w:sz="0" w:space="0" w:color="auto"/>
            <w:left w:val="none" w:sz="0" w:space="0" w:color="auto"/>
            <w:bottom w:val="none" w:sz="0" w:space="0" w:color="auto"/>
            <w:right w:val="none" w:sz="0" w:space="0" w:color="auto"/>
          </w:divBdr>
        </w:div>
        <w:div w:id="335770893">
          <w:marLeft w:val="0"/>
          <w:marRight w:val="0"/>
          <w:marTop w:val="0"/>
          <w:marBottom w:val="0"/>
          <w:divBdr>
            <w:top w:val="none" w:sz="0" w:space="0" w:color="auto"/>
            <w:left w:val="none" w:sz="0" w:space="0" w:color="auto"/>
            <w:bottom w:val="none" w:sz="0" w:space="0" w:color="auto"/>
            <w:right w:val="none" w:sz="0" w:space="0" w:color="auto"/>
          </w:divBdr>
        </w:div>
        <w:div w:id="776101700">
          <w:marLeft w:val="0"/>
          <w:marRight w:val="0"/>
          <w:marTop w:val="0"/>
          <w:marBottom w:val="0"/>
          <w:divBdr>
            <w:top w:val="none" w:sz="0" w:space="0" w:color="auto"/>
            <w:left w:val="none" w:sz="0" w:space="0" w:color="auto"/>
            <w:bottom w:val="none" w:sz="0" w:space="0" w:color="auto"/>
            <w:right w:val="none" w:sz="0" w:space="0" w:color="auto"/>
          </w:divBdr>
        </w:div>
        <w:div w:id="1604727974">
          <w:marLeft w:val="0"/>
          <w:marRight w:val="0"/>
          <w:marTop w:val="0"/>
          <w:marBottom w:val="0"/>
          <w:divBdr>
            <w:top w:val="none" w:sz="0" w:space="0" w:color="auto"/>
            <w:left w:val="none" w:sz="0" w:space="0" w:color="auto"/>
            <w:bottom w:val="none" w:sz="0" w:space="0" w:color="auto"/>
            <w:right w:val="none" w:sz="0" w:space="0" w:color="auto"/>
          </w:divBdr>
        </w:div>
      </w:divsChild>
    </w:div>
    <w:div w:id="156154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no@liverpool.ac.uk" TargetMode="External"/><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http://www.dtcc.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lazar@icmacentre.ac.uk" TargetMode="External"/><Relationship Id="rId14" Type="http://schemas.openxmlformats.org/officeDocument/2006/relationships/chart" Target="charts/chart4.xml"/></Relationships>
</file>

<file path=word/_rels/endnotes.xml.rels><?xml version="1.0" encoding="UTF-8" standalone="yes"?>
<Relationships xmlns="http://schemas.openxmlformats.org/package/2006/relationships"><Relationship Id="rId1" Type="http://schemas.openxmlformats.org/officeDocument/2006/relationships/hyperlink" Target="http://www.hedgeindex.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Davide\Dropbox\paper_2\results_csa250.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Davide\Dropbox\paper_2\results_csa250.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Davide\Dropbox\paper_2\results_csa250.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Davide\Dropbox\paper_2\results_csa250.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davide\Dropbox\paper_2\results_csa250%20(Autosav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GB" sz="1400"/>
              <a:t>Strategy</a:t>
            </a:r>
            <a:r>
              <a:rPr lang="en-GB" sz="1400" baseline="0"/>
              <a:t> 1</a:t>
            </a:r>
            <a:endParaRPr lang="en-GB" sz="1400"/>
          </a:p>
        </c:rich>
      </c:tx>
      <c:overlay val="0"/>
    </c:title>
    <c:autoTitleDeleted val="0"/>
    <c:plotArea>
      <c:layout/>
      <c:lineChart>
        <c:grouping val="standard"/>
        <c:varyColors val="0"/>
        <c:ser>
          <c:idx val="0"/>
          <c:order val="0"/>
          <c:tx>
            <c:strRef>
              <c:f>TS_exret!$B$1</c:f>
              <c:strCache>
                <c:ptCount val="1"/>
                <c:pt idx="0">
                  <c:v>S1</c:v>
                </c:pt>
              </c:strCache>
            </c:strRef>
          </c:tx>
          <c:spPr>
            <a:ln>
              <a:solidFill>
                <a:schemeClr val="tx1"/>
              </a:solidFill>
            </a:ln>
          </c:spPr>
          <c:marker>
            <c:symbol val="none"/>
          </c:marker>
          <c:cat>
            <c:numRef>
              <c:f>TS_exret!$A$2:$A$61</c:f>
              <c:numCache>
                <c:formatCode>m/d/yyyy</c:formatCode>
                <c:ptCount val="60"/>
                <c:pt idx="0">
                  <c:v>38383</c:v>
                </c:pt>
                <c:pt idx="1">
                  <c:v>38411</c:v>
                </c:pt>
                <c:pt idx="2">
                  <c:v>38442</c:v>
                </c:pt>
                <c:pt idx="3">
                  <c:v>38472</c:v>
                </c:pt>
                <c:pt idx="4">
                  <c:v>38503</c:v>
                </c:pt>
                <c:pt idx="5">
                  <c:v>38533</c:v>
                </c:pt>
                <c:pt idx="6">
                  <c:v>38564</c:v>
                </c:pt>
                <c:pt idx="7">
                  <c:v>38595</c:v>
                </c:pt>
                <c:pt idx="8">
                  <c:v>38625</c:v>
                </c:pt>
                <c:pt idx="9">
                  <c:v>38656</c:v>
                </c:pt>
                <c:pt idx="10">
                  <c:v>38686</c:v>
                </c:pt>
                <c:pt idx="11">
                  <c:v>38717</c:v>
                </c:pt>
                <c:pt idx="12">
                  <c:v>38748</c:v>
                </c:pt>
                <c:pt idx="13">
                  <c:v>38776</c:v>
                </c:pt>
                <c:pt idx="14">
                  <c:v>38807</c:v>
                </c:pt>
                <c:pt idx="15">
                  <c:v>38837</c:v>
                </c:pt>
                <c:pt idx="16">
                  <c:v>38868</c:v>
                </c:pt>
                <c:pt idx="17">
                  <c:v>38898</c:v>
                </c:pt>
                <c:pt idx="18">
                  <c:v>38929</c:v>
                </c:pt>
                <c:pt idx="19">
                  <c:v>38960</c:v>
                </c:pt>
                <c:pt idx="20">
                  <c:v>38990</c:v>
                </c:pt>
                <c:pt idx="21">
                  <c:v>39021</c:v>
                </c:pt>
                <c:pt idx="22">
                  <c:v>39051</c:v>
                </c:pt>
                <c:pt idx="23">
                  <c:v>39082</c:v>
                </c:pt>
                <c:pt idx="24">
                  <c:v>39113</c:v>
                </c:pt>
                <c:pt idx="25">
                  <c:v>39141</c:v>
                </c:pt>
                <c:pt idx="26">
                  <c:v>39172</c:v>
                </c:pt>
                <c:pt idx="27">
                  <c:v>39202</c:v>
                </c:pt>
                <c:pt idx="28">
                  <c:v>39233</c:v>
                </c:pt>
                <c:pt idx="29">
                  <c:v>39263</c:v>
                </c:pt>
                <c:pt idx="30">
                  <c:v>39294</c:v>
                </c:pt>
                <c:pt idx="31">
                  <c:v>39325</c:v>
                </c:pt>
                <c:pt idx="32">
                  <c:v>39355</c:v>
                </c:pt>
                <c:pt idx="33">
                  <c:v>39386</c:v>
                </c:pt>
                <c:pt idx="34">
                  <c:v>39416</c:v>
                </c:pt>
                <c:pt idx="35">
                  <c:v>39447</c:v>
                </c:pt>
                <c:pt idx="36">
                  <c:v>39478</c:v>
                </c:pt>
                <c:pt idx="37">
                  <c:v>39507</c:v>
                </c:pt>
                <c:pt idx="38">
                  <c:v>39538</c:v>
                </c:pt>
                <c:pt idx="39">
                  <c:v>39568</c:v>
                </c:pt>
                <c:pt idx="40">
                  <c:v>39599</c:v>
                </c:pt>
                <c:pt idx="41">
                  <c:v>39629</c:v>
                </c:pt>
                <c:pt idx="42">
                  <c:v>39660</c:v>
                </c:pt>
                <c:pt idx="43">
                  <c:v>39691</c:v>
                </c:pt>
                <c:pt idx="44">
                  <c:v>39721</c:v>
                </c:pt>
                <c:pt idx="45">
                  <c:v>39752</c:v>
                </c:pt>
                <c:pt idx="46">
                  <c:v>39782</c:v>
                </c:pt>
                <c:pt idx="47">
                  <c:v>39813</c:v>
                </c:pt>
                <c:pt idx="48">
                  <c:v>39844</c:v>
                </c:pt>
                <c:pt idx="49">
                  <c:v>39872</c:v>
                </c:pt>
                <c:pt idx="50">
                  <c:v>39903</c:v>
                </c:pt>
                <c:pt idx="51">
                  <c:v>39933</c:v>
                </c:pt>
                <c:pt idx="52">
                  <c:v>39964</c:v>
                </c:pt>
                <c:pt idx="53">
                  <c:v>39994</c:v>
                </c:pt>
                <c:pt idx="54">
                  <c:v>40025</c:v>
                </c:pt>
                <c:pt idx="55">
                  <c:v>40056</c:v>
                </c:pt>
                <c:pt idx="56">
                  <c:v>40086</c:v>
                </c:pt>
                <c:pt idx="57">
                  <c:v>40117</c:v>
                </c:pt>
                <c:pt idx="58">
                  <c:v>40147</c:v>
                </c:pt>
                <c:pt idx="59">
                  <c:v>40178</c:v>
                </c:pt>
              </c:numCache>
            </c:numRef>
          </c:cat>
          <c:val>
            <c:numRef>
              <c:f>TS_exret!$B$2:$B$61</c:f>
              <c:numCache>
                <c:formatCode>0.00%</c:formatCode>
                <c:ptCount val="60"/>
                <c:pt idx="0">
                  <c:v>-6.7600882553381554E-4</c:v>
                </c:pt>
                <c:pt idx="1">
                  <c:v>1.2544031233193283E-3</c:v>
                </c:pt>
                <c:pt idx="2">
                  <c:v>-4.3546420158999122E-3</c:v>
                </c:pt>
                <c:pt idx="3">
                  <c:v>-4.8101042325304055E-3</c:v>
                </c:pt>
                <c:pt idx="4">
                  <c:v>-3.1498560444424982E-3</c:v>
                </c:pt>
                <c:pt idx="5">
                  <c:v>-1.4437474293273313E-3</c:v>
                </c:pt>
                <c:pt idx="6">
                  <c:v>7.4476780346145158E-4</c:v>
                </c:pt>
                <c:pt idx="7">
                  <c:v>-1.7062803312243094E-3</c:v>
                </c:pt>
                <c:pt idx="8">
                  <c:v>-1.1373575169173645E-3</c:v>
                </c:pt>
                <c:pt idx="9">
                  <c:v>-2.3114204779013602E-3</c:v>
                </c:pt>
                <c:pt idx="10">
                  <c:v>-2.2513418997675114E-3</c:v>
                </c:pt>
                <c:pt idx="11">
                  <c:v>-1.8335178928824685E-3</c:v>
                </c:pt>
                <c:pt idx="12">
                  <c:v>-2.7354763125298207E-3</c:v>
                </c:pt>
                <c:pt idx="13">
                  <c:v>-1.0078690791440084E-3</c:v>
                </c:pt>
                <c:pt idx="14">
                  <c:v>-6.1470625608019732E-4</c:v>
                </c:pt>
                <c:pt idx="15">
                  <c:v>1.3220781641971355E-3</c:v>
                </c:pt>
                <c:pt idx="16">
                  <c:v>-3.7455182477241348E-3</c:v>
                </c:pt>
                <c:pt idx="17">
                  <c:v>-3.438321498157744E-3</c:v>
                </c:pt>
                <c:pt idx="18">
                  <c:v>-4.5442953848464171E-4</c:v>
                </c:pt>
                <c:pt idx="19">
                  <c:v>-6.1754012112398961E-4</c:v>
                </c:pt>
                <c:pt idx="20">
                  <c:v>-2.6835219392512453E-3</c:v>
                </c:pt>
                <c:pt idx="21">
                  <c:v>-1.007239786135262E-3</c:v>
                </c:pt>
                <c:pt idx="22">
                  <c:v>-1.8836877176903106E-3</c:v>
                </c:pt>
                <c:pt idx="23">
                  <c:v>-2.3971445252001242E-3</c:v>
                </c:pt>
                <c:pt idx="24">
                  <c:v>-2.6851148928502427E-3</c:v>
                </c:pt>
                <c:pt idx="25">
                  <c:v>-1.5617439780883594E-3</c:v>
                </c:pt>
                <c:pt idx="26">
                  <c:v>-3.7780711857494909E-3</c:v>
                </c:pt>
                <c:pt idx="27">
                  <c:v>-2.1403681882359643E-3</c:v>
                </c:pt>
                <c:pt idx="28">
                  <c:v>-2.4386311585931865E-3</c:v>
                </c:pt>
                <c:pt idx="29">
                  <c:v>-4.2186701979002195E-3</c:v>
                </c:pt>
                <c:pt idx="30">
                  <c:v>-1.3269052032483741E-2</c:v>
                </c:pt>
                <c:pt idx="31">
                  <c:v>1.8789536529992545E-3</c:v>
                </c:pt>
                <c:pt idx="32">
                  <c:v>1.9429234271973001E-3</c:v>
                </c:pt>
                <c:pt idx="33">
                  <c:v>-2.4769138181683224E-3</c:v>
                </c:pt>
                <c:pt idx="34">
                  <c:v>-1.4199989383835191E-2</c:v>
                </c:pt>
                <c:pt idx="35">
                  <c:v>-1.1768148615355831E-3</c:v>
                </c:pt>
                <c:pt idx="36">
                  <c:v>-1.1962571495789482E-2</c:v>
                </c:pt>
                <c:pt idx="37">
                  <c:v>-2.0711648486178118E-2</c:v>
                </c:pt>
                <c:pt idx="38">
                  <c:v>-5.6788463373834037E-3</c:v>
                </c:pt>
                <c:pt idx="39">
                  <c:v>2.1944857839145862E-2</c:v>
                </c:pt>
                <c:pt idx="40">
                  <c:v>-5.6846094110429048E-3</c:v>
                </c:pt>
                <c:pt idx="41">
                  <c:v>-1.1276936224084719E-2</c:v>
                </c:pt>
                <c:pt idx="42">
                  <c:v>1.8971853051330354E-3</c:v>
                </c:pt>
                <c:pt idx="43">
                  <c:v>-5.6837662718837376E-3</c:v>
                </c:pt>
                <c:pt idx="44">
                  <c:v>-9.1137905323177316E-3</c:v>
                </c:pt>
                <c:pt idx="45">
                  <c:v>-3.484804500255162E-2</c:v>
                </c:pt>
                <c:pt idx="46">
                  <c:v>-7.4598381260469011E-4</c:v>
                </c:pt>
                <c:pt idx="47">
                  <c:v>-1.2975632970909312E-2</c:v>
                </c:pt>
                <c:pt idx="48">
                  <c:v>-1.4341904538409445E-2</c:v>
                </c:pt>
                <c:pt idx="49">
                  <c:v>-5.7691682271769087E-2</c:v>
                </c:pt>
                <c:pt idx="50">
                  <c:v>2.3694214296479166E-2</c:v>
                </c:pt>
                <c:pt idx="51">
                  <c:v>1.7035189726079442E-2</c:v>
                </c:pt>
                <c:pt idx="52">
                  <c:v>1.8628126643214265E-2</c:v>
                </c:pt>
                <c:pt idx="53">
                  <c:v>-5.2119721371985533E-3</c:v>
                </c:pt>
                <c:pt idx="54">
                  <c:v>-1.8048167601591525E-3</c:v>
                </c:pt>
                <c:pt idx="55">
                  <c:v>5.6786841362844474E-2</c:v>
                </c:pt>
                <c:pt idx="56">
                  <c:v>9.0929944127285372E-3</c:v>
                </c:pt>
                <c:pt idx="57">
                  <c:v>9.4802101757891742E-3</c:v>
                </c:pt>
                <c:pt idx="58">
                  <c:v>2.2752489518781269E-2</c:v>
                </c:pt>
                <c:pt idx="59">
                  <c:v>-1.7911880055542242E-2</c:v>
                </c:pt>
              </c:numCache>
            </c:numRef>
          </c:val>
          <c:smooth val="0"/>
          <c:extLst>
            <c:ext xmlns:c16="http://schemas.microsoft.com/office/drawing/2014/chart" uri="{C3380CC4-5D6E-409C-BE32-E72D297353CC}">
              <c16:uniqueId val="{00000000-8FDB-47C7-96A1-8DE448D352E0}"/>
            </c:ext>
          </c:extLst>
        </c:ser>
        <c:dLbls>
          <c:showLegendKey val="0"/>
          <c:showVal val="0"/>
          <c:showCatName val="0"/>
          <c:showSerName val="0"/>
          <c:showPercent val="0"/>
          <c:showBubbleSize val="0"/>
        </c:dLbls>
        <c:smooth val="0"/>
        <c:axId val="311002072"/>
        <c:axId val="311002464"/>
      </c:lineChart>
      <c:dateAx>
        <c:axId val="311002072"/>
        <c:scaling>
          <c:orientation val="minMax"/>
        </c:scaling>
        <c:delete val="0"/>
        <c:axPos val="b"/>
        <c:numFmt formatCode="mm/yy" sourceLinked="0"/>
        <c:majorTickMark val="out"/>
        <c:minorTickMark val="none"/>
        <c:tickLblPos val="nextTo"/>
        <c:txPr>
          <a:bodyPr rot="-5340000" vert="horz"/>
          <a:lstStyle/>
          <a:p>
            <a:pPr>
              <a:defRPr/>
            </a:pPr>
            <a:endParaRPr lang="en-US"/>
          </a:p>
        </c:txPr>
        <c:crossAx val="311002464"/>
        <c:crosses val="autoZero"/>
        <c:auto val="1"/>
        <c:lblOffset val="100"/>
        <c:baseTimeUnit val="months"/>
      </c:dateAx>
      <c:valAx>
        <c:axId val="311002464"/>
        <c:scaling>
          <c:orientation val="minMax"/>
        </c:scaling>
        <c:delete val="0"/>
        <c:axPos val="l"/>
        <c:majorGridlines>
          <c:spPr>
            <a:ln>
              <a:noFill/>
            </a:ln>
          </c:spPr>
        </c:majorGridlines>
        <c:numFmt formatCode="0%" sourceLinked="0"/>
        <c:majorTickMark val="out"/>
        <c:minorTickMark val="none"/>
        <c:tickLblPos val="nextTo"/>
        <c:crossAx val="311002072"/>
        <c:crosses val="autoZero"/>
        <c:crossBetween val="between"/>
      </c:valAx>
      <c:spPr>
        <a:solidFill>
          <a:schemeClr val="bg1"/>
        </a:solidFill>
      </c:spPr>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400"/>
              <a:t>Strategy</a:t>
            </a:r>
            <a:r>
              <a:rPr lang="en-US" sz="1400" baseline="0"/>
              <a:t> 2</a:t>
            </a:r>
            <a:endParaRPr lang="en-US" sz="1400"/>
          </a:p>
        </c:rich>
      </c:tx>
      <c:overlay val="0"/>
    </c:title>
    <c:autoTitleDeleted val="0"/>
    <c:plotArea>
      <c:layout/>
      <c:lineChart>
        <c:grouping val="standard"/>
        <c:varyColors val="0"/>
        <c:ser>
          <c:idx val="0"/>
          <c:order val="0"/>
          <c:tx>
            <c:strRef>
              <c:f>TS_exret!$C$1</c:f>
              <c:strCache>
                <c:ptCount val="1"/>
                <c:pt idx="0">
                  <c:v>S2</c:v>
                </c:pt>
              </c:strCache>
            </c:strRef>
          </c:tx>
          <c:spPr>
            <a:ln>
              <a:solidFill>
                <a:sysClr val="windowText" lastClr="000000"/>
              </a:solidFill>
            </a:ln>
          </c:spPr>
          <c:marker>
            <c:symbol val="none"/>
          </c:marker>
          <c:cat>
            <c:numRef>
              <c:f>TS_exret!$A$2:$A$61</c:f>
              <c:numCache>
                <c:formatCode>m/d/yyyy</c:formatCode>
                <c:ptCount val="60"/>
                <c:pt idx="0">
                  <c:v>38383</c:v>
                </c:pt>
                <c:pt idx="1">
                  <c:v>38411</c:v>
                </c:pt>
                <c:pt idx="2">
                  <c:v>38442</c:v>
                </c:pt>
                <c:pt idx="3">
                  <c:v>38472</c:v>
                </c:pt>
                <c:pt idx="4">
                  <c:v>38503</c:v>
                </c:pt>
                <c:pt idx="5">
                  <c:v>38533</c:v>
                </c:pt>
                <c:pt idx="6">
                  <c:v>38564</c:v>
                </c:pt>
                <c:pt idx="7">
                  <c:v>38595</c:v>
                </c:pt>
                <c:pt idx="8">
                  <c:v>38625</c:v>
                </c:pt>
                <c:pt idx="9">
                  <c:v>38656</c:v>
                </c:pt>
                <c:pt idx="10">
                  <c:v>38686</c:v>
                </c:pt>
                <c:pt idx="11">
                  <c:v>38717</c:v>
                </c:pt>
                <c:pt idx="12">
                  <c:v>38748</c:v>
                </c:pt>
                <c:pt idx="13">
                  <c:v>38776</c:v>
                </c:pt>
                <c:pt idx="14">
                  <c:v>38807</c:v>
                </c:pt>
                <c:pt idx="15">
                  <c:v>38837</c:v>
                </c:pt>
                <c:pt idx="16">
                  <c:v>38868</c:v>
                </c:pt>
                <c:pt idx="17">
                  <c:v>38898</c:v>
                </c:pt>
                <c:pt idx="18">
                  <c:v>38929</c:v>
                </c:pt>
                <c:pt idx="19">
                  <c:v>38960</c:v>
                </c:pt>
                <c:pt idx="20">
                  <c:v>38990</c:v>
                </c:pt>
                <c:pt idx="21">
                  <c:v>39021</c:v>
                </c:pt>
                <c:pt idx="22">
                  <c:v>39051</c:v>
                </c:pt>
                <c:pt idx="23">
                  <c:v>39082</c:v>
                </c:pt>
                <c:pt idx="24">
                  <c:v>39113</c:v>
                </c:pt>
                <c:pt idx="25">
                  <c:v>39141</c:v>
                </c:pt>
                <c:pt idx="26">
                  <c:v>39172</c:v>
                </c:pt>
                <c:pt idx="27">
                  <c:v>39202</c:v>
                </c:pt>
                <c:pt idx="28">
                  <c:v>39233</c:v>
                </c:pt>
                <c:pt idx="29">
                  <c:v>39263</c:v>
                </c:pt>
                <c:pt idx="30">
                  <c:v>39294</c:v>
                </c:pt>
                <c:pt idx="31">
                  <c:v>39325</c:v>
                </c:pt>
                <c:pt idx="32">
                  <c:v>39355</c:v>
                </c:pt>
                <c:pt idx="33">
                  <c:v>39386</c:v>
                </c:pt>
                <c:pt idx="34">
                  <c:v>39416</c:v>
                </c:pt>
                <c:pt idx="35">
                  <c:v>39447</c:v>
                </c:pt>
                <c:pt idx="36">
                  <c:v>39478</c:v>
                </c:pt>
                <c:pt idx="37">
                  <c:v>39507</c:v>
                </c:pt>
                <c:pt idx="38">
                  <c:v>39538</c:v>
                </c:pt>
                <c:pt idx="39">
                  <c:v>39568</c:v>
                </c:pt>
                <c:pt idx="40">
                  <c:v>39599</c:v>
                </c:pt>
                <c:pt idx="41">
                  <c:v>39629</c:v>
                </c:pt>
                <c:pt idx="42">
                  <c:v>39660</c:v>
                </c:pt>
                <c:pt idx="43">
                  <c:v>39691</c:v>
                </c:pt>
                <c:pt idx="44">
                  <c:v>39721</c:v>
                </c:pt>
                <c:pt idx="45">
                  <c:v>39752</c:v>
                </c:pt>
                <c:pt idx="46">
                  <c:v>39782</c:v>
                </c:pt>
                <c:pt idx="47">
                  <c:v>39813</c:v>
                </c:pt>
                <c:pt idx="48">
                  <c:v>39844</c:v>
                </c:pt>
                <c:pt idx="49">
                  <c:v>39872</c:v>
                </c:pt>
                <c:pt idx="50">
                  <c:v>39903</c:v>
                </c:pt>
                <c:pt idx="51">
                  <c:v>39933</c:v>
                </c:pt>
                <c:pt idx="52">
                  <c:v>39964</c:v>
                </c:pt>
                <c:pt idx="53">
                  <c:v>39994</c:v>
                </c:pt>
                <c:pt idx="54">
                  <c:v>40025</c:v>
                </c:pt>
                <c:pt idx="55">
                  <c:v>40056</c:v>
                </c:pt>
                <c:pt idx="56">
                  <c:v>40086</c:v>
                </c:pt>
                <c:pt idx="57">
                  <c:v>40117</c:v>
                </c:pt>
                <c:pt idx="58">
                  <c:v>40147</c:v>
                </c:pt>
                <c:pt idx="59">
                  <c:v>40178</c:v>
                </c:pt>
              </c:numCache>
            </c:numRef>
          </c:cat>
          <c:val>
            <c:numRef>
              <c:f>TS_exret!$C$2:$C$61</c:f>
              <c:numCache>
                <c:formatCode>0.00%</c:formatCode>
                <c:ptCount val="60"/>
                <c:pt idx="0">
                  <c:v>3.0584986027157441E-2</c:v>
                </c:pt>
                <c:pt idx="1">
                  <c:v>3.5045401219108401E-4</c:v>
                </c:pt>
                <c:pt idx="2">
                  <c:v>-4.8780008048325534E-3</c:v>
                </c:pt>
                <c:pt idx="3">
                  <c:v>-5.4240351284620724E-3</c:v>
                </c:pt>
                <c:pt idx="4">
                  <c:v>-2.7525380891380742E-3</c:v>
                </c:pt>
                <c:pt idx="5">
                  <c:v>-1.1899114380264401E-3</c:v>
                </c:pt>
                <c:pt idx="6">
                  <c:v>1.0321472936505101E-3</c:v>
                </c:pt>
                <c:pt idx="7">
                  <c:v>-1.9203140371565508E-3</c:v>
                </c:pt>
                <c:pt idx="8">
                  <c:v>-9.3438340118739917E-4</c:v>
                </c:pt>
                <c:pt idx="9">
                  <c:v>-2.5060092552715092E-3</c:v>
                </c:pt>
                <c:pt idx="10">
                  <c:v>-2.3954359345874209E-3</c:v>
                </c:pt>
                <c:pt idx="11">
                  <c:v>-1.7468745581932321E-3</c:v>
                </c:pt>
                <c:pt idx="12">
                  <c:v>-3.0287630054966499E-3</c:v>
                </c:pt>
                <c:pt idx="13">
                  <c:v>-1.0710709862471802E-3</c:v>
                </c:pt>
                <c:pt idx="14">
                  <c:v>-2.7597071860644524E-4</c:v>
                </c:pt>
                <c:pt idx="15">
                  <c:v>1.5596156149876121E-3</c:v>
                </c:pt>
                <c:pt idx="16">
                  <c:v>-4.1281658358851975E-3</c:v>
                </c:pt>
                <c:pt idx="17">
                  <c:v>-3.4997815132198182E-3</c:v>
                </c:pt>
                <c:pt idx="18">
                  <c:v>-5.2467667132774238E-4</c:v>
                </c:pt>
                <c:pt idx="19">
                  <c:v>-4.5469032382971814E-4</c:v>
                </c:pt>
                <c:pt idx="20">
                  <c:v>-2.6354537736057075E-3</c:v>
                </c:pt>
                <c:pt idx="21">
                  <c:v>-7.9855000056350972E-4</c:v>
                </c:pt>
                <c:pt idx="22">
                  <c:v>-1.8816837581332585E-3</c:v>
                </c:pt>
                <c:pt idx="23">
                  <c:v>-1.9295331045924753E-3</c:v>
                </c:pt>
                <c:pt idx="24">
                  <c:v>-3.0019925430740052E-3</c:v>
                </c:pt>
                <c:pt idx="25">
                  <c:v>-1.4121996136065777E-3</c:v>
                </c:pt>
                <c:pt idx="26">
                  <c:v>-3.5359486615721592E-3</c:v>
                </c:pt>
                <c:pt idx="27">
                  <c:v>-1.7501472359009449E-3</c:v>
                </c:pt>
                <c:pt idx="28">
                  <c:v>-1.9312726419739345E-3</c:v>
                </c:pt>
                <c:pt idx="29">
                  <c:v>-3.8069990461750834E-3</c:v>
                </c:pt>
                <c:pt idx="30">
                  <c:v>-1.3039159319003669E-2</c:v>
                </c:pt>
                <c:pt idx="31">
                  <c:v>2.1538817161645216E-3</c:v>
                </c:pt>
                <c:pt idx="32">
                  <c:v>1.5237446456703699E-3</c:v>
                </c:pt>
                <c:pt idx="33">
                  <c:v>-2.3142347562870196E-3</c:v>
                </c:pt>
                <c:pt idx="34">
                  <c:v>-1.4280247780736598E-2</c:v>
                </c:pt>
                <c:pt idx="35">
                  <c:v>-9.2104929615177244E-4</c:v>
                </c:pt>
                <c:pt idx="36">
                  <c:v>-1.2997227472421118E-2</c:v>
                </c:pt>
                <c:pt idx="37">
                  <c:v>-2.1673005979566225E-2</c:v>
                </c:pt>
                <c:pt idx="38">
                  <c:v>-6.6406532936964914E-3</c:v>
                </c:pt>
                <c:pt idx="39">
                  <c:v>2.417500067437009E-2</c:v>
                </c:pt>
                <c:pt idx="40">
                  <c:v>-5.8683236840997733E-3</c:v>
                </c:pt>
                <c:pt idx="41">
                  <c:v>-1.1707983654547225E-2</c:v>
                </c:pt>
                <c:pt idx="42">
                  <c:v>2.5673962231023205E-3</c:v>
                </c:pt>
                <c:pt idx="43">
                  <c:v>-6.5979409276935314E-3</c:v>
                </c:pt>
                <c:pt idx="44">
                  <c:v>-7.5816595422845637E-3</c:v>
                </c:pt>
                <c:pt idx="45">
                  <c:v>-3.6457888638987059E-2</c:v>
                </c:pt>
                <c:pt idx="46">
                  <c:v>-3.1540164555215692E-3</c:v>
                </c:pt>
                <c:pt idx="47">
                  <c:v>4.9115585327350801E-4</c:v>
                </c:pt>
                <c:pt idx="48">
                  <c:v>-6.133126827594048E-3</c:v>
                </c:pt>
                <c:pt idx="49">
                  <c:v>-4.8566002695990707E-2</c:v>
                </c:pt>
                <c:pt idx="50">
                  <c:v>4.5217307857724756E-3</c:v>
                </c:pt>
                <c:pt idx="51">
                  <c:v>2.0345221687259652E-2</c:v>
                </c:pt>
                <c:pt idx="52">
                  <c:v>2.6167058814441198E-2</c:v>
                </c:pt>
                <c:pt idx="53">
                  <c:v>-9.5900114744268926E-3</c:v>
                </c:pt>
                <c:pt idx="54">
                  <c:v>3.9690531415367452E-3</c:v>
                </c:pt>
                <c:pt idx="55">
                  <c:v>5.3025440837148934E-2</c:v>
                </c:pt>
                <c:pt idx="56">
                  <c:v>5.0053424441827482E-3</c:v>
                </c:pt>
                <c:pt idx="57">
                  <c:v>1.0690128301636386E-2</c:v>
                </c:pt>
                <c:pt idx="58">
                  <c:v>2.4092143806184435E-2</c:v>
                </c:pt>
                <c:pt idx="59">
                  <c:v>-2.1040106449446611E-2</c:v>
                </c:pt>
              </c:numCache>
            </c:numRef>
          </c:val>
          <c:smooth val="0"/>
          <c:extLst>
            <c:ext xmlns:c16="http://schemas.microsoft.com/office/drawing/2014/chart" uri="{C3380CC4-5D6E-409C-BE32-E72D297353CC}">
              <c16:uniqueId val="{00000000-4AB3-4AA9-B045-9A0F72B54700}"/>
            </c:ext>
          </c:extLst>
        </c:ser>
        <c:dLbls>
          <c:showLegendKey val="0"/>
          <c:showVal val="0"/>
          <c:showCatName val="0"/>
          <c:showSerName val="0"/>
          <c:showPercent val="0"/>
          <c:showBubbleSize val="0"/>
        </c:dLbls>
        <c:smooth val="0"/>
        <c:axId val="311003640"/>
        <c:axId val="311003248"/>
      </c:lineChart>
      <c:dateAx>
        <c:axId val="311003640"/>
        <c:scaling>
          <c:orientation val="minMax"/>
        </c:scaling>
        <c:delete val="0"/>
        <c:axPos val="b"/>
        <c:numFmt formatCode="mm/yy" sourceLinked="0"/>
        <c:majorTickMark val="out"/>
        <c:minorTickMark val="none"/>
        <c:tickLblPos val="nextTo"/>
        <c:crossAx val="311003248"/>
        <c:crosses val="autoZero"/>
        <c:auto val="1"/>
        <c:lblOffset val="100"/>
        <c:baseTimeUnit val="months"/>
      </c:dateAx>
      <c:valAx>
        <c:axId val="311003248"/>
        <c:scaling>
          <c:orientation val="minMax"/>
          <c:max val="8.0000000000000043E-2"/>
          <c:min val="-8.0000000000000016E-2"/>
        </c:scaling>
        <c:delete val="0"/>
        <c:axPos val="l"/>
        <c:majorGridlines>
          <c:spPr>
            <a:ln>
              <a:noFill/>
            </a:ln>
          </c:spPr>
        </c:majorGridlines>
        <c:numFmt formatCode="0%" sourceLinked="0"/>
        <c:majorTickMark val="out"/>
        <c:minorTickMark val="none"/>
        <c:tickLblPos val="nextTo"/>
        <c:crossAx val="311003640"/>
        <c:crosses val="autoZero"/>
        <c:crossBetween val="between"/>
        <c:majorUnit val="2.0000000000000004E-2"/>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en-US" sz="1400">
                <a:latin typeface="Times New Roman" pitchFamily="18" charset="0"/>
                <a:cs typeface="Times New Roman" pitchFamily="18" charset="0"/>
              </a:rPr>
              <a:t>Strategy 3</a:t>
            </a:r>
          </a:p>
        </c:rich>
      </c:tx>
      <c:layout>
        <c:manualLayout>
          <c:xMode val="edge"/>
          <c:yMode val="edge"/>
          <c:x val="0.33996834954454225"/>
          <c:y val="4.7950853093881108E-3"/>
        </c:manualLayout>
      </c:layout>
      <c:overlay val="0"/>
    </c:title>
    <c:autoTitleDeleted val="0"/>
    <c:plotArea>
      <c:layout/>
      <c:lineChart>
        <c:grouping val="standard"/>
        <c:varyColors val="0"/>
        <c:ser>
          <c:idx val="0"/>
          <c:order val="0"/>
          <c:tx>
            <c:strRef>
              <c:f>TS_exret!$D$1</c:f>
              <c:strCache>
                <c:ptCount val="1"/>
                <c:pt idx="0">
                  <c:v>S3</c:v>
                </c:pt>
              </c:strCache>
            </c:strRef>
          </c:tx>
          <c:spPr>
            <a:ln>
              <a:solidFill>
                <a:sysClr val="windowText" lastClr="000000"/>
              </a:solidFill>
            </a:ln>
          </c:spPr>
          <c:marker>
            <c:symbol val="none"/>
          </c:marker>
          <c:cat>
            <c:numRef>
              <c:f>TS_exret!$A$2:$A$61</c:f>
              <c:numCache>
                <c:formatCode>m/d/yyyy</c:formatCode>
                <c:ptCount val="60"/>
                <c:pt idx="0">
                  <c:v>38383</c:v>
                </c:pt>
                <c:pt idx="1">
                  <c:v>38411</c:v>
                </c:pt>
                <c:pt idx="2">
                  <c:v>38442</c:v>
                </c:pt>
                <c:pt idx="3">
                  <c:v>38472</c:v>
                </c:pt>
                <c:pt idx="4">
                  <c:v>38503</c:v>
                </c:pt>
                <c:pt idx="5">
                  <c:v>38533</c:v>
                </c:pt>
                <c:pt idx="6">
                  <c:v>38564</c:v>
                </c:pt>
                <c:pt idx="7">
                  <c:v>38595</c:v>
                </c:pt>
                <c:pt idx="8">
                  <c:v>38625</c:v>
                </c:pt>
                <c:pt idx="9">
                  <c:v>38656</c:v>
                </c:pt>
                <c:pt idx="10">
                  <c:v>38686</c:v>
                </c:pt>
                <c:pt idx="11">
                  <c:v>38717</c:v>
                </c:pt>
                <c:pt idx="12">
                  <c:v>38748</c:v>
                </c:pt>
                <c:pt idx="13">
                  <c:v>38776</c:v>
                </c:pt>
                <c:pt idx="14">
                  <c:v>38807</c:v>
                </c:pt>
                <c:pt idx="15">
                  <c:v>38837</c:v>
                </c:pt>
                <c:pt idx="16">
                  <c:v>38868</c:v>
                </c:pt>
                <c:pt idx="17">
                  <c:v>38898</c:v>
                </c:pt>
                <c:pt idx="18">
                  <c:v>38929</c:v>
                </c:pt>
                <c:pt idx="19">
                  <c:v>38960</c:v>
                </c:pt>
                <c:pt idx="20">
                  <c:v>38990</c:v>
                </c:pt>
                <c:pt idx="21">
                  <c:v>39021</c:v>
                </c:pt>
                <c:pt idx="22">
                  <c:v>39051</c:v>
                </c:pt>
                <c:pt idx="23">
                  <c:v>39082</c:v>
                </c:pt>
                <c:pt idx="24">
                  <c:v>39113</c:v>
                </c:pt>
                <c:pt idx="25">
                  <c:v>39141</c:v>
                </c:pt>
                <c:pt idx="26">
                  <c:v>39172</c:v>
                </c:pt>
                <c:pt idx="27">
                  <c:v>39202</c:v>
                </c:pt>
                <c:pt idx="28">
                  <c:v>39233</c:v>
                </c:pt>
                <c:pt idx="29">
                  <c:v>39263</c:v>
                </c:pt>
                <c:pt idx="30">
                  <c:v>39294</c:v>
                </c:pt>
                <c:pt idx="31">
                  <c:v>39325</c:v>
                </c:pt>
                <c:pt idx="32">
                  <c:v>39355</c:v>
                </c:pt>
                <c:pt idx="33">
                  <c:v>39386</c:v>
                </c:pt>
                <c:pt idx="34">
                  <c:v>39416</c:v>
                </c:pt>
                <c:pt idx="35">
                  <c:v>39447</c:v>
                </c:pt>
                <c:pt idx="36">
                  <c:v>39478</c:v>
                </c:pt>
                <c:pt idx="37">
                  <c:v>39507</c:v>
                </c:pt>
                <c:pt idx="38">
                  <c:v>39538</c:v>
                </c:pt>
                <c:pt idx="39">
                  <c:v>39568</c:v>
                </c:pt>
                <c:pt idx="40">
                  <c:v>39599</c:v>
                </c:pt>
                <c:pt idx="41">
                  <c:v>39629</c:v>
                </c:pt>
                <c:pt idx="42">
                  <c:v>39660</c:v>
                </c:pt>
                <c:pt idx="43">
                  <c:v>39691</c:v>
                </c:pt>
                <c:pt idx="44">
                  <c:v>39721</c:v>
                </c:pt>
                <c:pt idx="45">
                  <c:v>39752</c:v>
                </c:pt>
                <c:pt idx="46">
                  <c:v>39782</c:v>
                </c:pt>
                <c:pt idx="47">
                  <c:v>39813</c:v>
                </c:pt>
                <c:pt idx="48">
                  <c:v>39844</c:v>
                </c:pt>
                <c:pt idx="49">
                  <c:v>39872</c:v>
                </c:pt>
                <c:pt idx="50">
                  <c:v>39903</c:v>
                </c:pt>
                <c:pt idx="51">
                  <c:v>39933</c:v>
                </c:pt>
                <c:pt idx="52">
                  <c:v>39964</c:v>
                </c:pt>
                <c:pt idx="53">
                  <c:v>39994</c:v>
                </c:pt>
                <c:pt idx="54">
                  <c:v>40025</c:v>
                </c:pt>
                <c:pt idx="55">
                  <c:v>40056</c:v>
                </c:pt>
                <c:pt idx="56">
                  <c:v>40086</c:v>
                </c:pt>
                <c:pt idx="57">
                  <c:v>40117</c:v>
                </c:pt>
                <c:pt idx="58">
                  <c:v>40147</c:v>
                </c:pt>
                <c:pt idx="59">
                  <c:v>40178</c:v>
                </c:pt>
              </c:numCache>
            </c:numRef>
          </c:cat>
          <c:val>
            <c:numRef>
              <c:f>TS_exret!$D$2:$D$61</c:f>
              <c:numCache>
                <c:formatCode>0.00%</c:formatCode>
                <c:ptCount val="60"/>
                <c:pt idx="0">
                  <c:v>-6.0589064363512322E-3</c:v>
                </c:pt>
                <c:pt idx="1">
                  <c:v>-3.0652699166533674E-2</c:v>
                </c:pt>
                <c:pt idx="2">
                  <c:v>-1.1278118387442849E-2</c:v>
                </c:pt>
                <c:pt idx="3">
                  <c:v>1.8519434250801908E-2</c:v>
                </c:pt>
                <c:pt idx="4">
                  <c:v>-4.8905134121433193E-2</c:v>
                </c:pt>
                <c:pt idx="5">
                  <c:v>-2.0265087006857481E-2</c:v>
                </c:pt>
                <c:pt idx="6">
                  <c:v>-4.1855445420015867E-2</c:v>
                </c:pt>
                <c:pt idx="7">
                  <c:v>1.7049462315255493E-2</c:v>
                </c:pt>
                <c:pt idx="8">
                  <c:v>-2.6464873048337556E-2</c:v>
                </c:pt>
                <c:pt idx="9">
                  <c:v>3.1809135368594366E-2</c:v>
                </c:pt>
                <c:pt idx="10">
                  <c:v>-3.6885203386591812E-2</c:v>
                </c:pt>
                <c:pt idx="11">
                  <c:v>-3.076370620768323E-2</c:v>
                </c:pt>
                <c:pt idx="12">
                  <c:v>-2.4016397016915755E-2</c:v>
                </c:pt>
                <c:pt idx="13">
                  <c:v>-9.6245154902050729E-3</c:v>
                </c:pt>
                <c:pt idx="14">
                  <c:v>-1.4316882149724758E-2</c:v>
                </c:pt>
                <c:pt idx="15">
                  <c:v>-1.3454095206948921E-2</c:v>
                </c:pt>
                <c:pt idx="16">
                  <c:v>3.4525505070434899E-2</c:v>
                </c:pt>
                <c:pt idx="17">
                  <c:v>-6.0082485944218909E-3</c:v>
                </c:pt>
                <c:pt idx="18">
                  <c:v>-9.8587700069984047E-3</c:v>
                </c:pt>
                <c:pt idx="19">
                  <c:v>-9.6577611373367504E-3</c:v>
                </c:pt>
                <c:pt idx="20">
                  <c:v>-1.2827498458624497E-2</c:v>
                </c:pt>
                <c:pt idx="21">
                  <c:v>-1.1518319398469683E-2</c:v>
                </c:pt>
                <c:pt idx="22">
                  <c:v>-8.9880484337866266E-3</c:v>
                </c:pt>
                <c:pt idx="23">
                  <c:v>-7.5143638118302034E-3</c:v>
                </c:pt>
                <c:pt idx="24">
                  <c:v>-2.377130623723939E-2</c:v>
                </c:pt>
                <c:pt idx="25">
                  <c:v>8.5185466817891268E-4</c:v>
                </c:pt>
                <c:pt idx="26">
                  <c:v>-1.4136488549508977E-2</c:v>
                </c:pt>
                <c:pt idx="27">
                  <c:v>-2.2664289317632331E-2</c:v>
                </c:pt>
                <c:pt idx="28">
                  <c:v>-1.4462436483663531E-2</c:v>
                </c:pt>
                <c:pt idx="29">
                  <c:v>5.9749835244999553E-3</c:v>
                </c:pt>
                <c:pt idx="30">
                  <c:v>1.2424433142290855E-2</c:v>
                </c:pt>
                <c:pt idx="31">
                  <c:v>-3.0852343069287212E-3</c:v>
                </c:pt>
                <c:pt idx="32">
                  <c:v>-2.1257966228216452E-2</c:v>
                </c:pt>
                <c:pt idx="33">
                  <c:v>-4.7746234325904873E-3</c:v>
                </c:pt>
                <c:pt idx="34">
                  <c:v>1.182849010558496E-2</c:v>
                </c:pt>
                <c:pt idx="35">
                  <c:v>-1.6020335904240707E-2</c:v>
                </c:pt>
                <c:pt idx="36">
                  <c:v>7.7507771721927923E-2</c:v>
                </c:pt>
                <c:pt idx="37">
                  <c:v>-2.143170744860351E-2</c:v>
                </c:pt>
                <c:pt idx="38">
                  <c:v>2.1152105368416295E-2</c:v>
                </c:pt>
                <c:pt idx="39">
                  <c:v>-2.6501941182828028E-2</c:v>
                </c:pt>
                <c:pt idx="40">
                  <c:v>-8.3116424628888047E-3</c:v>
                </c:pt>
                <c:pt idx="41">
                  <c:v>5.1665738857268724E-2</c:v>
                </c:pt>
                <c:pt idx="42">
                  <c:v>1.6606610987835977E-2</c:v>
                </c:pt>
                <c:pt idx="43">
                  <c:v>1.6439254982718921E-3</c:v>
                </c:pt>
                <c:pt idx="44">
                  <c:v>5.5596132334617104E-2</c:v>
                </c:pt>
                <c:pt idx="45">
                  <c:v>8.2588246382465542E-3</c:v>
                </c:pt>
                <c:pt idx="46">
                  <c:v>4.9316246518308704E-3</c:v>
                </c:pt>
                <c:pt idx="47">
                  <c:v>1.5083881570522773E-2</c:v>
                </c:pt>
                <c:pt idx="48">
                  <c:v>3.3492646903701191E-2</c:v>
                </c:pt>
                <c:pt idx="49">
                  <c:v>-2.3989510460614812E-2</c:v>
                </c:pt>
                <c:pt idx="50">
                  <c:v>-3.2439088871136457E-4</c:v>
                </c:pt>
                <c:pt idx="51">
                  <c:v>5.3768246142098979E-3</c:v>
                </c:pt>
                <c:pt idx="52">
                  <c:v>1.2853634229786987E-2</c:v>
                </c:pt>
                <c:pt idx="53">
                  <c:v>-4.8403994427727998E-4</c:v>
                </c:pt>
                <c:pt idx="54">
                  <c:v>-6.2978961381825824E-3</c:v>
                </c:pt>
                <c:pt idx="55">
                  <c:v>2.8365255554652889E-2</c:v>
                </c:pt>
                <c:pt idx="56">
                  <c:v>7.6734527468765492E-3</c:v>
                </c:pt>
                <c:pt idx="57">
                  <c:v>1.0654076480270886E-2</c:v>
                </c:pt>
                <c:pt idx="58">
                  <c:v>1.7734241712419579E-2</c:v>
                </c:pt>
                <c:pt idx="59">
                  <c:v>1.0331662797217821E-3</c:v>
                </c:pt>
              </c:numCache>
            </c:numRef>
          </c:val>
          <c:smooth val="0"/>
          <c:extLst>
            <c:ext xmlns:c16="http://schemas.microsoft.com/office/drawing/2014/chart" uri="{C3380CC4-5D6E-409C-BE32-E72D297353CC}">
              <c16:uniqueId val="{00000000-B66F-47C7-98D6-915BACB22F6F}"/>
            </c:ext>
          </c:extLst>
        </c:ser>
        <c:dLbls>
          <c:showLegendKey val="0"/>
          <c:showVal val="0"/>
          <c:showCatName val="0"/>
          <c:showSerName val="0"/>
          <c:showPercent val="0"/>
          <c:showBubbleSize val="0"/>
        </c:dLbls>
        <c:smooth val="0"/>
        <c:axId val="400467936"/>
        <c:axId val="399868448"/>
      </c:lineChart>
      <c:dateAx>
        <c:axId val="400467936"/>
        <c:scaling>
          <c:orientation val="minMax"/>
        </c:scaling>
        <c:delete val="0"/>
        <c:axPos val="b"/>
        <c:numFmt formatCode="mm/yy" sourceLinked="0"/>
        <c:majorTickMark val="out"/>
        <c:minorTickMark val="none"/>
        <c:tickLblPos val="nextTo"/>
        <c:txPr>
          <a:bodyPr rot="-5340000"/>
          <a:lstStyle/>
          <a:p>
            <a:pPr>
              <a:defRPr>
                <a:latin typeface="Times New Roman" pitchFamily="18" charset="0"/>
                <a:cs typeface="Times New Roman" pitchFamily="18" charset="0"/>
              </a:defRPr>
            </a:pPr>
            <a:endParaRPr lang="en-US"/>
          </a:p>
        </c:txPr>
        <c:crossAx val="399868448"/>
        <c:crosses val="autoZero"/>
        <c:auto val="1"/>
        <c:lblOffset val="100"/>
        <c:baseTimeUnit val="months"/>
      </c:dateAx>
      <c:valAx>
        <c:axId val="399868448"/>
        <c:scaling>
          <c:orientation val="minMax"/>
          <c:max val="8.0000000000000016E-2"/>
          <c:min val="-8.0000000000000016E-2"/>
        </c:scaling>
        <c:delete val="0"/>
        <c:axPos val="l"/>
        <c:majorGridlines>
          <c:spPr>
            <a:ln>
              <a:noFill/>
            </a:ln>
          </c:spPr>
        </c:majorGridlines>
        <c:numFmt formatCode="0%" sourceLinked="0"/>
        <c:majorTickMark val="out"/>
        <c:minorTickMark val="none"/>
        <c:tickLblPos val="nextTo"/>
        <c:txPr>
          <a:bodyPr/>
          <a:lstStyle/>
          <a:p>
            <a:pPr>
              <a:defRPr>
                <a:latin typeface="Times New Roman" pitchFamily="18" charset="0"/>
                <a:cs typeface="Times New Roman" pitchFamily="18" charset="0"/>
              </a:defRPr>
            </a:pPr>
            <a:endParaRPr lang="en-US"/>
          </a:p>
        </c:txPr>
        <c:crossAx val="400467936"/>
        <c:crosses val="autoZero"/>
        <c:crossBetween val="between"/>
      </c:valAx>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en-US" sz="1400">
                <a:latin typeface="Times New Roman" pitchFamily="18" charset="0"/>
                <a:cs typeface="Times New Roman" pitchFamily="18" charset="0"/>
              </a:rPr>
              <a:t>Strategy 4</a:t>
            </a:r>
          </a:p>
        </c:rich>
      </c:tx>
      <c:layout>
        <c:manualLayout>
          <c:xMode val="edge"/>
          <c:yMode val="edge"/>
          <c:x val="0.34456191137872466"/>
          <c:y val="7.4620419283032658E-3"/>
        </c:manualLayout>
      </c:layout>
      <c:overlay val="0"/>
    </c:title>
    <c:autoTitleDeleted val="0"/>
    <c:plotArea>
      <c:layout/>
      <c:lineChart>
        <c:grouping val="standard"/>
        <c:varyColors val="0"/>
        <c:ser>
          <c:idx val="0"/>
          <c:order val="0"/>
          <c:tx>
            <c:strRef>
              <c:f>TS_exret!$E$1</c:f>
              <c:strCache>
                <c:ptCount val="1"/>
                <c:pt idx="0">
                  <c:v>S4</c:v>
                </c:pt>
              </c:strCache>
            </c:strRef>
          </c:tx>
          <c:spPr>
            <a:ln>
              <a:solidFill>
                <a:sysClr val="windowText" lastClr="000000"/>
              </a:solidFill>
            </a:ln>
          </c:spPr>
          <c:marker>
            <c:symbol val="none"/>
          </c:marker>
          <c:cat>
            <c:numRef>
              <c:f>TS_exret!$A$2:$A$61</c:f>
              <c:numCache>
                <c:formatCode>m/d/yyyy</c:formatCode>
                <c:ptCount val="60"/>
                <c:pt idx="0">
                  <c:v>38383</c:v>
                </c:pt>
                <c:pt idx="1">
                  <c:v>38411</c:v>
                </c:pt>
                <c:pt idx="2">
                  <c:v>38442</c:v>
                </c:pt>
                <c:pt idx="3">
                  <c:v>38472</c:v>
                </c:pt>
                <c:pt idx="4">
                  <c:v>38503</c:v>
                </c:pt>
                <c:pt idx="5">
                  <c:v>38533</c:v>
                </c:pt>
                <c:pt idx="6">
                  <c:v>38564</c:v>
                </c:pt>
                <c:pt idx="7">
                  <c:v>38595</c:v>
                </c:pt>
                <c:pt idx="8">
                  <c:v>38625</c:v>
                </c:pt>
                <c:pt idx="9">
                  <c:v>38656</c:v>
                </c:pt>
                <c:pt idx="10">
                  <c:v>38686</c:v>
                </c:pt>
                <c:pt idx="11">
                  <c:v>38717</c:v>
                </c:pt>
                <c:pt idx="12">
                  <c:v>38748</c:v>
                </c:pt>
                <c:pt idx="13">
                  <c:v>38776</c:v>
                </c:pt>
                <c:pt idx="14">
                  <c:v>38807</c:v>
                </c:pt>
                <c:pt idx="15">
                  <c:v>38837</c:v>
                </c:pt>
                <c:pt idx="16">
                  <c:v>38868</c:v>
                </c:pt>
                <c:pt idx="17">
                  <c:v>38898</c:v>
                </c:pt>
                <c:pt idx="18">
                  <c:v>38929</c:v>
                </c:pt>
                <c:pt idx="19">
                  <c:v>38960</c:v>
                </c:pt>
                <c:pt idx="20">
                  <c:v>38990</c:v>
                </c:pt>
                <c:pt idx="21">
                  <c:v>39021</c:v>
                </c:pt>
                <c:pt idx="22">
                  <c:v>39051</c:v>
                </c:pt>
                <c:pt idx="23">
                  <c:v>39082</c:v>
                </c:pt>
                <c:pt idx="24">
                  <c:v>39113</c:v>
                </c:pt>
                <c:pt idx="25">
                  <c:v>39141</c:v>
                </c:pt>
                <c:pt idx="26">
                  <c:v>39172</c:v>
                </c:pt>
                <c:pt idx="27">
                  <c:v>39202</c:v>
                </c:pt>
                <c:pt idx="28">
                  <c:v>39233</c:v>
                </c:pt>
                <c:pt idx="29">
                  <c:v>39263</c:v>
                </c:pt>
                <c:pt idx="30">
                  <c:v>39294</c:v>
                </c:pt>
                <c:pt idx="31">
                  <c:v>39325</c:v>
                </c:pt>
                <c:pt idx="32">
                  <c:v>39355</c:v>
                </c:pt>
                <c:pt idx="33">
                  <c:v>39386</c:v>
                </c:pt>
                <c:pt idx="34">
                  <c:v>39416</c:v>
                </c:pt>
                <c:pt idx="35">
                  <c:v>39447</c:v>
                </c:pt>
                <c:pt idx="36">
                  <c:v>39478</c:v>
                </c:pt>
                <c:pt idx="37">
                  <c:v>39507</c:v>
                </c:pt>
                <c:pt idx="38">
                  <c:v>39538</c:v>
                </c:pt>
                <c:pt idx="39">
                  <c:v>39568</c:v>
                </c:pt>
                <c:pt idx="40">
                  <c:v>39599</c:v>
                </c:pt>
                <c:pt idx="41">
                  <c:v>39629</c:v>
                </c:pt>
                <c:pt idx="42">
                  <c:v>39660</c:v>
                </c:pt>
                <c:pt idx="43">
                  <c:v>39691</c:v>
                </c:pt>
                <c:pt idx="44">
                  <c:v>39721</c:v>
                </c:pt>
                <c:pt idx="45">
                  <c:v>39752</c:v>
                </c:pt>
                <c:pt idx="46">
                  <c:v>39782</c:v>
                </c:pt>
                <c:pt idx="47">
                  <c:v>39813</c:v>
                </c:pt>
                <c:pt idx="48">
                  <c:v>39844</c:v>
                </c:pt>
                <c:pt idx="49">
                  <c:v>39872</c:v>
                </c:pt>
                <c:pt idx="50">
                  <c:v>39903</c:v>
                </c:pt>
                <c:pt idx="51">
                  <c:v>39933</c:v>
                </c:pt>
                <c:pt idx="52">
                  <c:v>39964</c:v>
                </c:pt>
                <c:pt idx="53">
                  <c:v>39994</c:v>
                </c:pt>
                <c:pt idx="54">
                  <c:v>40025</c:v>
                </c:pt>
                <c:pt idx="55">
                  <c:v>40056</c:v>
                </c:pt>
                <c:pt idx="56">
                  <c:v>40086</c:v>
                </c:pt>
                <c:pt idx="57">
                  <c:v>40117</c:v>
                </c:pt>
                <c:pt idx="58">
                  <c:v>40147</c:v>
                </c:pt>
                <c:pt idx="59">
                  <c:v>40178</c:v>
                </c:pt>
              </c:numCache>
            </c:numRef>
          </c:cat>
          <c:val>
            <c:numRef>
              <c:f>TS_exret!$E$2:$E$61</c:f>
              <c:numCache>
                <c:formatCode>0.00%</c:formatCode>
                <c:ptCount val="60"/>
                <c:pt idx="0">
                  <c:v>-6.3272536231622914E-3</c:v>
                </c:pt>
                <c:pt idx="1">
                  <c:v>-2.1408795311013851E-2</c:v>
                </c:pt>
                <c:pt idx="2">
                  <c:v>-3.2712624105322875E-3</c:v>
                </c:pt>
                <c:pt idx="3">
                  <c:v>2.2325085954798068E-2</c:v>
                </c:pt>
                <c:pt idx="4">
                  <c:v>-4.1036467545277823E-2</c:v>
                </c:pt>
                <c:pt idx="5">
                  <c:v>-2.344066631972385E-2</c:v>
                </c:pt>
                <c:pt idx="6">
                  <c:v>-3.4890944588960054E-2</c:v>
                </c:pt>
                <c:pt idx="7">
                  <c:v>1.9714766358187821E-2</c:v>
                </c:pt>
                <c:pt idx="8">
                  <c:v>-2.0467495049295674E-2</c:v>
                </c:pt>
                <c:pt idx="9">
                  <c:v>2.4724692838877238E-2</c:v>
                </c:pt>
                <c:pt idx="10">
                  <c:v>-3.3204307013021142E-2</c:v>
                </c:pt>
                <c:pt idx="11">
                  <c:v>-2.5827489639006829E-2</c:v>
                </c:pt>
                <c:pt idx="12">
                  <c:v>-1.1645610273713585E-2</c:v>
                </c:pt>
                <c:pt idx="13">
                  <c:v>-3.4583533234094042E-3</c:v>
                </c:pt>
                <c:pt idx="14">
                  <c:v>-1.1073199783814561E-2</c:v>
                </c:pt>
                <c:pt idx="15">
                  <c:v>-1.112749198027342E-2</c:v>
                </c:pt>
                <c:pt idx="16">
                  <c:v>3.0584986027157441E-2</c:v>
                </c:pt>
                <c:pt idx="17">
                  <c:v>7.3625693814352014E-3</c:v>
                </c:pt>
                <c:pt idx="18">
                  <c:v>-1.8101307972008332E-2</c:v>
                </c:pt>
                <c:pt idx="19">
                  <c:v>3.5741528057347612E-3</c:v>
                </c:pt>
                <c:pt idx="20">
                  <c:v>-2.9574518078328412E-3</c:v>
                </c:pt>
                <c:pt idx="21">
                  <c:v>-2.2620289148559802E-3</c:v>
                </c:pt>
                <c:pt idx="22">
                  <c:v>-3.4968374394286628E-3</c:v>
                </c:pt>
                <c:pt idx="23">
                  <c:v>-9.3244307296841567E-3</c:v>
                </c:pt>
                <c:pt idx="24">
                  <c:v>-1.9485135254223282E-2</c:v>
                </c:pt>
                <c:pt idx="25">
                  <c:v>1.6443931541056861E-2</c:v>
                </c:pt>
                <c:pt idx="26">
                  <c:v>-2.3692628929077832E-2</c:v>
                </c:pt>
                <c:pt idx="27">
                  <c:v>-2.3200278756968881E-2</c:v>
                </c:pt>
                <c:pt idx="28">
                  <c:v>5.8760932095184414E-3</c:v>
                </c:pt>
                <c:pt idx="29">
                  <c:v>1.201857957928042E-2</c:v>
                </c:pt>
                <c:pt idx="30">
                  <c:v>1.1372353527109386E-2</c:v>
                </c:pt>
                <c:pt idx="31">
                  <c:v>1.2552593914559956E-2</c:v>
                </c:pt>
                <c:pt idx="32">
                  <c:v>-2.0532234093085678E-2</c:v>
                </c:pt>
                <c:pt idx="33">
                  <c:v>-9.0611612208189446E-3</c:v>
                </c:pt>
                <c:pt idx="34">
                  <c:v>2.0659762821865553E-2</c:v>
                </c:pt>
                <c:pt idx="35">
                  <c:v>-1.7297461467514947E-2</c:v>
                </c:pt>
                <c:pt idx="36">
                  <c:v>6.5400506124913813E-2</c:v>
                </c:pt>
                <c:pt idx="37">
                  <c:v>-2.7810597828250017E-2</c:v>
                </c:pt>
                <c:pt idx="38">
                  <c:v>2.8117010557802781E-2</c:v>
                </c:pt>
                <c:pt idx="39">
                  <c:v>-3.8646256667829691E-2</c:v>
                </c:pt>
                <c:pt idx="40">
                  <c:v>4.75597342898467E-3</c:v>
                </c:pt>
                <c:pt idx="41">
                  <c:v>5.8812958561840593E-2</c:v>
                </c:pt>
                <c:pt idx="42">
                  <c:v>1.9064369566562753E-2</c:v>
                </c:pt>
                <c:pt idx="43">
                  <c:v>3.1545782807608012E-3</c:v>
                </c:pt>
                <c:pt idx="44">
                  <c:v>4.9938768085220214E-2</c:v>
                </c:pt>
                <c:pt idx="45">
                  <c:v>2.589395983896604E-2</c:v>
                </c:pt>
                <c:pt idx="46">
                  <c:v>-1.2349578553922881E-3</c:v>
                </c:pt>
                <c:pt idx="47">
                  <c:v>1.6595457735636063E-2</c:v>
                </c:pt>
                <c:pt idx="48">
                  <c:v>6.5135438660592817E-3</c:v>
                </c:pt>
                <c:pt idx="49">
                  <c:v>-5.0224250063460405E-3</c:v>
                </c:pt>
                <c:pt idx="50">
                  <c:v>-1.650731137624983E-2</c:v>
                </c:pt>
                <c:pt idx="51">
                  <c:v>7.0018531516431101E-3</c:v>
                </c:pt>
                <c:pt idx="52">
                  <c:v>5.8039152646799765E-3</c:v>
                </c:pt>
                <c:pt idx="53">
                  <c:v>1.1084177478861302E-2</c:v>
                </c:pt>
                <c:pt idx="54">
                  <c:v>9.1903965388699296E-3</c:v>
                </c:pt>
                <c:pt idx="55">
                  <c:v>-2.189021614388287E-3</c:v>
                </c:pt>
                <c:pt idx="56">
                  <c:v>-6.5325972767614699E-3</c:v>
                </c:pt>
                <c:pt idx="57">
                  <c:v>-5.5919145276049865E-3</c:v>
                </c:pt>
                <c:pt idx="58">
                  <c:v>-2.4169421920624382E-4</c:v>
                </c:pt>
                <c:pt idx="59">
                  <c:v>-2.4808929271141152E-3</c:v>
                </c:pt>
              </c:numCache>
            </c:numRef>
          </c:val>
          <c:smooth val="0"/>
          <c:extLst>
            <c:ext xmlns:c16="http://schemas.microsoft.com/office/drawing/2014/chart" uri="{C3380CC4-5D6E-409C-BE32-E72D297353CC}">
              <c16:uniqueId val="{00000000-4815-4A58-A614-41B9B174309E}"/>
            </c:ext>
          </c:extLst>
        </c:ser>
        <c:dLbls>
          <c:showLegendKey val="0"/>
          <c:showVal val="0"/>
          <c:showCatName val="0"/>
          <c:showSerName val="0"/>
          <c:showPercent val="0"/>
          <c:showBubbleSize val="0"/>
        </c:dLbls>
        <c:smooth val="0"/>
        <c:axId val="399869232"/>
        <c:axId val="399869624"/>
      </c:lineChart>
      <c:dateAx>
        <c:axId val="399869232"/>
        <c:scaling>
          <c:orientation val="minMax"/>
        </c:scaling>
        <c:delete val="0"/>
        <c:axPos val="b"/>
        <c:numFmt formatCode="mm/yy" sourceLinked="0"/>
        <c:majorTickMark val="out"/>
        <c:minorTickMark val="none"/>
        <c:tickLblPos val="nextTo"/>
        <c:txPr>
          <a:bodyPr rot="-5340000" vert="horz"/>
          <a:lstStyle/>
          <a:p>
            <a:pPr>
              <a:defRPr>
                <a:latin typeface="Times New Roman" pitchFamily="18" charset="0"/>
                <a:cs typeface="Times New Roman" pitchFamily="18" charset="0"/>
              </a:defRPr>
            </a:pPr>
            <a:endParaRPr lang="en-US"/>
          </a:p>
        </c:txPr>
        <c:crossAx val="399869624"/>
        <c:crosses val="autoZero"/>
        <c:auto val="1"/>
        <c:lblOffset val="100"/>
        <c:baseTimeUnit val="months"/>
      </c:dateAx>
      <c:valAx>
        <c:axId val="399869624"/>
        <c:scaling>
          <c:orientation val="minMax"/>
          <c:min val="-8.0000000000000016E-2"/>
        </c:scaling>
        <c:delete val="0"/>
        <c:axPos val="l"/>
        <c:majorGridlines>
          <c:spPr>
            <a:ln>
              <a:noFill/>
            </a:ln>
          </c:spPr>
        </c:majorGridlines>
        <c:numFmt formatCode="0%" sourceLinked="0"/>
        <c:majorTickMark val="out"/>
        <c:minorTickMark val="none"/>
        <c:tickLblPos val="nextTo"/>
        <c:txPr>
          <a:bodyPr/>
          <a:lstStyle/>
          <a:p>
            <a:pPr>
              <a:defRPr>
                <a:latin typeface="Times New Roman" pitchFamily="18" charset="0"/>
                <a:cs typeface="Times New Roman" pitchFamily="18" charset="0"/>
              </a:defRPr>
            </a:pPr>
            <a:endParaRPr lang="en-US"/>
          </a:p>
        </c:txPr>
        <c:crossAx val="399869232"/>
        <c:crosses val="autoZero"/>
        <c:crossBetween val="between"/>
      </c:valAx>
    </c:plotArea>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Strategy 1</c:v>
          </c:tx>
          <c:spPr>
            <a:ln>
              <a:solidFill>
                <a:schemeClr val="tx1"/>
              </a:solidFill>
            </a:ln>
          </c:spPr>
          <c:marker>
            <c:symbol val="none"/>
          </c:marker>
          <c:cat>
            <c:numRef>
              <c:f>TS_exret!$A$3:$A$62</c:f>
              <c:numCache>
                <c:formatCode>m/d/yyyy</c:formatCode>
                <c:ptCount val="60"/>
                <c:pt idx="0">
                  <c:v>38383</c:v>
                </c:pt>
                <c:pt idx="1">
                  <c:v>38411</c:v>
                </c:pt>
                <c:pt idx="2">
                  <c:v>38442</c:v>
                </c:pt>
                <c:pt idx="3">
                  <c:v>38472</c:v>
                </c:pt>
                <c:pt idx="4">
                  <c:v>38503</c:v>
                </c:pt>
                <c:pt idx="5">
                  <c:v>38533</c:v>
                </c:pt>
                <c:pt idx="6">
                  <c:v>38564</c:v>
                </c:pt>
                <c:pt idx="7">
                  <c:v>38595</c:v>
                </c:pt>
                <c:pt idx="8">
                  <c:v>38625</c:v>
                </c:pt>
                <c:pt idx="9">
                  <c:v>38656</c:v>
                </c:pt>
                <c:pt idx="10">
                  <c:v>38686</c:v>
                </c:pt>
                <c:pt idx="11">
                  <c:v>38717</c:v>
                </c:pt>
                <c:pt idx="12">
                  <c:v>38748</c:v>
                </c:pt>
                <c:pt idx="13">
                  <c:v>38776</c:v>
                </c:pt>
                <c:pt idx="14">
                  <c:v>38807</c:v>
                </c:pt>
                <c:pt idx="15">
                  <c:v>38837</c:v>
                </c:pt>
                <c:pt idx="16">
                  <c:v>38868</c:v>
                </c:pt>
                <c:pt idx="17">
                  <c:v>38898</c:v>
                </c:pt>
                <c:pt idx="18">
                  <c:v>38929</c:v>
                </c:pt>
                <c:pt idx="19">
                  <c:v>38960</c:v>
                </c:pt>
                <c:pt idx="20">
                  <c:v>38990</c:v>
                </c:pt>
                <c:pt idx="21">
                  <c:v>39021</c:v>
                </c:pt>
                <c:pt idx="22">
                  <c:v>39051</c:v>
                </c:pt>
                <c:pt idx="23">
                  <c:v>39082</c:v>
                </c:pt>
                <c:pt idx="24">
                  <c:v>39113</c:v>
                </c:pt>
                <c:pt idx="25">
                  <c:v>39141</c:v>
                </c:pt>
                <c:pt idx="26">
                  <c:v>39172</c:v>
                </c:pt>
                <c:pt idx="27">
                  <c:v>39202</c:v>
                </c:pt>
                <c:pt idx="28">
                  <c:v>39233</c:v>
                </c:pt>
                <c:pt idx="29">
                  <c:v>39263</c:v>
                </c:pt>
                <c:pt idx="30">
                  <c:v>39294</c:v>
                </c:pt>
                <c:pt idx="31">
                  <c:v>39325</c:v>
                </c:pt>
                <c:pt idx="32">
                  <c:v>39355</c:v>
                </c:pt>
                <c:pt idx="33">
                  <c:v>39386</c:v>
                </c:pt>
                <c:pt idx="34">
                  <c:v>39416</c:v>
                </c:pt>
                <c:pt idx="35">
                  <c:v>39447</c:v>
                </c:pt>
                <c:pt idx="36">
                  <c:v>39478</c:v>
                </c:pt>
                <c:pt idx="37">
                  <c:v>39507</c:v>
                </c:pt>
                <c:pt idx="38">
                  <c:v>39538</c:v>
                </c:pt>
                <c:pt idx="39">
                  <c:v>39568</c:v>
                </c:pt>
                <c:pt idx="40">
                  <c:v>39599</c:v>
                </c:pt>
                <c:pt idx="41">
                  <c:v>39629</c:v>
                </c:pt>
                <c:pt idx="42">
                  <c:v>39660</c:v>
                </c:pt>
                <c:pt idx="43">
                  <c:v>39691</c:v>
                </c:pt>
                <c:pt idx="44">
                  <c:v>39721</c:v>
                </c:pt>
                <c:pt idx="45">
                  <c:v>39752</c:v>
                </c:pt>
                <c:pt idx="46">
                  <c:v>39782</c:v>
                </c:pt>
                <c:pt idx="47">
                  <c:v>39813</c:v>
                </c:pt>
                <c:pt idx="48">
                  <c:v>39844</c:v>
                </c:pt>
                <c:pt idx="49">
                  <c:v>39872</c:v>
                </c:pt>
                <c:pt idx="50">
                  <c:v>39903</c:v>
                </c:pt>
                <c:pt idx="51">
                  <c:v>39933</c:v>
                </c:pt>
                <c:pt idx="52">
                  <c:v>39964</c:v>
                </c:pt>
                <c:pt idx="53">
                  <c:v>39994</c:v>
                </c:pt>
                <c:pt idx="54">
                  <c:v>40025</c:v>
                </c:pt>
                <c:pt idx="55">
                  <c:v>40056</c:v>
                </c:pt>
                <c:pt idx="56">
                  <c:v>40086</c:v>
                </c:pt>
                <c:pt idx="57">
                  <c:v>40117</c:v>
                </c:pt>
                <c:pt idx="58">
                  <c:v>40147</c:v>
                </c:pt>
                <c:pt idx="59">
                  <c:v>40178</c:v>
                </c:pt>
              </c:numCache>
            </c:numRef>
          </c:cat>
          <c:val>
            <c:numRef>
              <c:f>TS_exret!$H$2:$H$62</c:f>
              <c:numCache>
                <c:formatCode>0.00%</c:formatCode>
                <c:ptCount val="61"/>
                <c:pt idx="0" formatCode="General">
                  <c:v>0</c:v>
                </c:pt>
                <c:pt idx="1">
                  <c:v>-6.7600882553381521E-4</c:v>
                </c:pt>
                <c:pt idx="2">
                  <c:v>5.7839429778549557E-4</c:v>
                </c:pt>
                <c:pt idx="3">
                  <c:v>-3.7762477181143951E-3</c:v>
                </c:pt>
                <c:pt idx="4">
                  <c:v>-8.5863519506448188E-3</c:v>
                </c:pt>
                <c:pt idx="5">
                  <c:v>-1.1736207995087263E-2</c:v>
                </c:pt>
                <c:pt idx="6">
                  <c:v>-1.3179955424414573E-2</c:v>
                </c:pt>
                <c:pt idx="7">
                  <c:v>-1.2435187620953142E-2</c:v>
                </c:pt>
                <c:pt idx="8">
                  <c:v>-1.4141467952177428E-2</c:v>
                </c:pt>
                <c:pt idx="9">
                  <c:v>-1.5278825469094762E-2</c:v>
                </c:pt>
                <c:pt idx="10">
                  <c:v>-1.7590245946996118E-2</c:v>
                </c:pt>
                <c:pt idx="11">
                  <c:v>-1.9841587846763604E-2</c:v>
                </c:pt>
                <c:pt idx="12">
                  <c:v>-2.1675105739646074E-2</c:v>
                </c:pt>
                <c:pt idx="13">
                  <c:v>-2.4410582052175896E-2</c:v>
                </c:pt>
                <c:pt idx="14">
                  <c:v>-2.5418451131319904E-2</c:v>
                </c:pt>
                <c:pt idx="15">
                  <c:v>-2.6033157387400099E-2</c:v>
                </c:pt>
                <c:pt idx="16">
                  <c:v>-2.4711079223202998E-2</c:v>
                </c:pt>
                <c:pt idx="17">
                  <c:v>-2.8456597470927047E-2</c:v>
                </c:pt>
                <c:pt idx="18">
                  <c:v>-3.1894918969084737E-2</c:v>
                </c:pt>
                <c:pt idx="19">
                  <c:v>-3.2349348507569368E-2</c:v>
                </c:pt>
                <c:pt idx="20">
                  <c:v>-3.2966888628693347E-2</c:v>
                </c:pt>
                <c:pt idx="21">
                  <c:v>-3.5650410567944546E-2</c:v>
                </c:pt>
                <c:pt idx="22">
                  <c:v>-3.6657650354079807E-2</c:v>
                </c:pt>
                <c:pt idx="23">
                  <c:v>-3.8541338071770098E-2</c:v>
                </c:pt>
                <c:pt idx="24">
                  <c:v>-4.0938482596970222E-2</c:v>
                </c:pt>
                <c:pt idx="25">
                  <c:v>-4.3623597489820393E-2</c:v>
                </c:pt>
                <c:pt idx="26">
                  <c:v>-4.518534146790875E-2</c:v>
                </c:pt>
                <c:pt idx="27">
                  <c:v>-4.8963412653658195E-2</c:v>
                </c:pt>
                <c:pt idx="28">
                  <c:v>-5.1103780841894139E-2</c:v>
                </c:pt>
                <c:pt idx="29">
                  <c:v>-5.3542412000487316E-2</c:v>
                </c:pt>
                <c:pt idx="30">
                  <c:v>-5.7761082198387423E-2</c:v>
                </c:pt>
                <c:pt idx="31">
                  <c:v>-7.1030134230871164E-2</c:v>
                </c:pt>
                <c:pt idx="32">
                  <c:v>-6.9151180577871924E-2</c:v>
                </c:pt>
                <c:pt idx="33">
                  <c:v>-6.7208257150674647E-2</c:v>
                </c:pt>
                <c:pt idx="34">
                  <c:v>-6.9685170968842955E-2</c:v>
                </c:pt>
                <c:pt idx="35">
                  <c:v>-8.3885160352678137E-2</c:v>
                </c:pt>
                <c:pt idx="36">
                  <c:v>-8.5061975214213686E-2</c:v>
                </c:pt>
                <c:pt idx="37">
                  <c:v>-9.7024546710002699E-2</c:v>
                </c:pt>
                <c:pt idx="38">
                  <c:v>-0.11773619519618021</c:v>
                </c:pt>
                <c:pt idx="39">
                  <c:v>-0.12341504153356361</c:v>
                </c:pt>
                <c:pt idx="40">
                  <c:v>-0.10147018369441775</c:v>
                </c:pt>
                <c:pt idx="41">
                  <c:v>-0.10715479310546056</c:v>
                </c:pt>
                <c:pt idx="42">
                  <c:v>-0.11843172932954528</c:v>
                </c:pt>
                <c:pt idx="43">
                  <c:v>-0.11653454402441227</c:v>
                </c:pt>
                <c:pt idx="44">
                  <c:v>-0.12221831029629598</c:v>
                </c:pt>
                <c:pt idx="45">
                  <c:v>-0.13133210082861363</c:v>
                </c:pt>
                <c:pt idx="46">
                  <c:v>-0.16618014583116514</c:v>
                </c:pt>
                <c:pt idx="47">
                  <c:v>-0.16692612964376982</c:v>
                </c:pt>
                <c:pt idx="48">
                  <c:v>-0.17990176261467938</c:v>
                </c:pt>
                <c:pt idx="49">
                  <c:v>-0.19424366715308883</c:v>
                </c:pt>
                <c:pt idx="50">
                  <c:v>-0.25193534942485796</c:v>
                </c:pt>
                <c:pt idx="51">
                  <c:v>-0.22824113512837885</c:v>
                </c:pt>
                <c:pt idx="52">
                  <c:v>-0.21120594540229942</c:v>
                </c:pt>
                <c:pt idx="53">
                  <c:v>-0.1925778187590855</c:v>
                </c:pt>
                <c:pt idx="54">
                  <c:v>-0.19778979089628404</c:v>
                </c:pt>
                <c:pt idx="55">
                  <c:v>-0.19959460765644318</c:v>
                </c:pt>
                <c:pt idx="56">
                  <c:v>-0.14280776629359873</c:v>
                </c:pt>
                <c:pt idx="57">
                  <c:v>-0.13371477188087033</c:v>
                </c:pt>
                <c:pt idx="58">
                  <c:v>-0.12423456170508121</c:v>
                </c:pt>
                <c:pt idx="59">
                  <c:v>-0.10148207218629993</c:v>
                </c:pt>
                <c:pt idx="60">
                  <c:v>-0.11939395224184216</c:v>
                </c:pt>
              </c:numCache>
            </c:numRef>
          </c:val>
          <c:smooth val="0"/>
          <c:extLst>
            <c:ext xmlns:c16="http://schemas.microsoft.com/office/drawing/2014/chart" uri="{C3380CC4-5D6E-409C-BE32-E72D297353CC}">
              <c16:uniqueId val="{00000000-DCFB-453D-BF6C-7CFDBC645D4E}"/>
            </c:ext>
          </c:extLst>
        </c:ser>
        <c:ser>
          <c:idx val="1"/>
          <c:order val="1"/>
          <c:tx>
            <c:v>Strategy 2</c:v>
          </c:tx>
          <c:spPr>
            <a:ln>
              <a:solidFill>
                <a:schemeClr val="accent6"/>
              </a:solidFill>
            </a:ln>
          </c:spPr>
          <c:marker>
            <c:symbol val="none"/>
          </c:marker>
          <c:cat>
            <c:numRef>
              <c:f>TS_exret!$A$3:$A$62</c:f>
              <c:numCache>
                <c:formatCode>m/d/yyyy</c:formatCode>
                <c:ptCount val="60"/>
                <c:pt idx="0">
                  <c:v>38383</c:v>
                </c:pt>
                <c:pt idx="1">
                  <c:v>38411</c:v>
                </c:pt>
                <c:pt idx="2">
                  <c:v>38442</c:v>
                </c:pt>
                <c:pt idx="3">
                  <c:v>38472</c:v>
                </c:pt>
                <c:pt idx="4">
                  <c:v>38503</c:v>
                </c:pt>
                <c:pt idx="5">
                  <c:v>38533</c:v>
                </c:pt>
                <c:pt idx="6">
                  <c:v>38564</c:v>
                </c:pt>
                <c:pt idx="7">
                  <c:v>38595</c:v>
                </c:pt>
                <c:pt idx="8">
                  <c:v>38625</c:v>
                </c:pt>
                <c:pt idx="9">
                  <c:v>38656</c:v>
                </c:pt>
                <c:pt idx="10">
                  <c:v>38686</c:v>
                </c:pt>
                <c:pt idx="11">
                  <c:v>38717</c:v>
                </c:pt>
                <c:pt idx="12">
                  <c:v>38748</c:v>
                </c:pt>
                <c:pt idx="13">
                  <c:v>38776</c:v>
                </c:pt>
                <c:pt idx="14">
                  <c:v>38807</c:v>
                </c:pt>
                <c:pt idx="15">
                  <c:v>38837</c:v>
                </c:pt>
                <c:pt idx="16">
                  <c:v>38868</c:v>
                </c:pt>
                <c:pt idx="17">
                  <c:v>38898</c:v>
                </c:pt>
                <c:pt idx="18">
                  <c:v>38929</c:v>
                </c:pt>
                <c:pt idx="19">
                  <c:v>38960</c:v>
                </c:pt>
                <c:pt idx="20">
                  <c:v>38990</c:v>
                </c:pt>
                <c:pt idx="21">
                  <c:v>39021</c:v>
                </c:pt>
                <c:pt idx="22">
                  <c:v>39051</c:v>
                </c:pt>
                <c:pt idx="23">
                  <c:v>39082</c:v>
                </c:pt>
                <c:pt idx="24">
                  <c:v>39113</c:v>
                </c:pt>
                <c:pt idx="25">
                  <c:v>39141</c:v>
                </c:pt>
                <c:pt idx="26">
                  <c:v>39172</c:v>
                </c:pt>
                <c:pt idx="27">
                  <c:v>39202</c:v>
                </c:pt>
                <c:pt idx="28">
                  <c:v>39233</c:v>
                </c:pt>
                <c:pt idx="29">
                  <c:v>39263</c:v>
                </c:pt>
                <c:pt idx="30">
                  <c:v>39294</c:v>
                </c:pt>
                <c:pt idx="31">
                  <c:v>39325</c:v>
                </c:pt>
                <c:pt idx="32">
                  <c:v>39355</c:v>
                </c:pt>
                <c:pt idx="33">
                  <c:v>39386</c:v>
                </c:pt>
                <c:pt idx="34">
                  <c:v>39416</c:v>
                </c:pt>
                <c:pt idx="35">
                  <c:v>39447</c:v>
                </c:pt>
                <c:pt idx="36">
                  <c:v>39478</c:v>
                </c:pt>
                <c:pt idx="37">
                  <c:v>39507</c:v>
                </c:pt>
                <c:pt idx="38">
                  <c:v>39538</c:v>
                </c:pt>
                <c:pt idx="39">
                  <c:v>39568</c:v>
                </c:pt>
                <c:pt idx="40">
                  <c:v>39599</c:v>
                </c:pt>
                <c:pt idx="41">
                  <c:v>39629</c:v>
                </c:pt>
                <c:pt idx="42">
                  <c:v>39660</c:v>
                </c:pt>
                <c:pt idx="43">
                  <c:v>39691</c:v>
                </c:pt>
                <c:pt idx="44">
                  <c:v>39721</c:v>
                </c:pt>
                <c:pt idx="45">
                  <c:v>39752</c:v>
                </c:pt>
                <c:pt idx="46">
                  <c:v>39782</c:v>
                </c:pt>
                <c:pt idx="47">
                  <c:v>39813</c:v>
                </c:pt>
                <c:pt idx="48">
                  <c:v>39844</c:v>
                </c:pt>
                <c:pt idx="49">
                  <c:v>39872</c:v>
                </c:pt>
                <c:pt idx="50">
                  <c:v>39903</c:v>
                </c:pt>
                <c:pt idx="51">
                  <c:v>39933</c:v>
                </c:pt>
                <c:pt idx="52">
                  <c:v>39964</c:v>
                </c:pt>
                <c:pt idx="53">
                  <c:v>39994</c:v>
                </c:pt>
                <c:pt idx="54">
                  <c:v>40025</c:v>
                </c:pt>
                <c:pt idx="55">
                  <c:v>40056</c:v>
                </c:pt>
                <c:pt idx="56">
                  <c:v>40086</c:v>
                </c:pt>
                <c:pt idx="57">
                  <c:v>40117</c:v>
                </c:pt>
                <c:pt idx="58">
                  <c:v>40147</c:v>
                </c:pt>
                <c:pt idx="59">
                  <c:v>40178</c:v>
                </c:pt>
              </c:numCache>
            </c:numRef>
          </c:cat>
          <c:val>
            <c:numRef>
              <c:f>TS_exret!$I$2:$I$62</c:f>
              <c:numCache>
                <c:formatCode>0.00%</c:formatCode>
                <c:ptCount val="61"/>
                <c:pt idx="0" formatCode="General">
                  <c:v>0</c:v>
                </c:pt>
                <c:pt idx="1">
                  <c:v>-1.0554929089159962E-3</c:v>
                </c:pt>
                <c:pt idx="2">
                  <c:v>-7.0503889672491335E-4</c:v>
                </c:pt>
                <c:pt idx="3">
                  <c:v>-5.5830397015574264E-3</c:v>
                </c:pt>
                <c:pt idx="4">
                  <c:v>-1.1007074830019494E-2</c:v>
                </c:pt>
                <c:pt idx="5">
                  <c:v>-1.3759612919157569E-2</c:v>
                </c:pt>
                <c:pt idx="6">
                  <c:v>-1.4949524357184007E-2</c:v>
                </c:pt>
                <c:pt idx="7">
                  <c:v>-1.39173770635335E-2</c:v>
                </c:pt>
                <c:pt idx="8">
                  <c:v>-1.583769110069002E-2</c:v>
                </c:pt>
                <c:pt idx="9">
                  <c:v>-1.6772074501877399E-2</c:v>
                </c:pt>
                <c:pt idx="10">
                  <c:v>-1.9278083757148901E-2</c:v>
                </c:pt>
                <c:pt idx="11">
                  <c:v>-2.1673519691736323E-2</c:v>
                </c:pt>
                <c:pt idx="12">
                  <c:v>-2.342039424992955E-2</c:v>
                </c:pt>
                <c:pt idx="13">
                  <c:v>-2.6449157255426157E-2</c:v>
                </c:pt>
                <c:pt idx="14">
                  <c:v>-2.7520228241673338E-2</c:v>
                </c:pt>
                <c:pt idx="15">
                  <c:v>-2.779619896027978E-2</c:v>
                </c:pt>
                <c:pt idx="16">
                  <c:v>-2.6236583345292178E-2</c:v>
                </c:pt>
                <c:pt idx="17">
                  <c:v>-3.0364749181177386E-2</c:v>
                </c:pt>
                <c:pt idx="18">
                  <c:v>-3.3864530694397203E-2</c:v>
                </c:pt>
                <c:pt idx="19">
                  <c:v>-3.4389207365724934E-2</c:v>
                </c:pt>
                <c:pt idx="20">
                  <c:v>-3.4843897689554648E-2</c:v>
                </c:pt>
                <c:pt idx="21">
                  <c:v>-3.7479351463160358E-2</c:v>
                </c:pt>
                <c:pt idx="22">
                  <c:v>-3.8277901463723854E-2</c:v>
                </c:pt>
                <c:pt idx="23">
                  <c:v>-4.0159585221857093E-2</c:v>
                </c:pt>
                <c:pt idx="24">
                  <c:v>-4.208911832644955E-2</c:v>
                </c:pt>
                <c:pt idx="25">
                  <c:v>-4.5091110869523554E-2</c:v>
                </c:pt>
                <c:pt idx="26">
                  <c:v>-4.6503310483130132E-2</c:v>
                </c:pt>
                <c:pt idx="27">
                  <c:v>-5.0039259144702287E-2</c:v>
                </c:pt>
                <c:pt idx="28">
                  <c:v>-5.1789406380603212E-2</c:v>
                </c:pt>
                <c:pt idx="29">
                  <c:v>-5.3720679022577121E-2</c:v>
                </c:pt>
                <c:pt idx="30">
                  <c:v>-5.7527678068752162E-2</c:v>
                </c:pt>
                <c:pt idx="31">
                  <c:v>-7.056683738775564E-2</c:v>
                </c:pt>
                <c:pt idx="32">
                  <c:v>-6.8412955671591169E-2</c:v>
                </c:pt>
                <c:pt idx="33">
                  <c:v>-6.6889211025920797E-2</c:v>
                </c:pt>
                <c:pt idx="34">
                  <c:v>-6.9203445782207759E-2</c:v>
                </c:pt>
                <c:pt idx="35">
                  <c:v>-8.3483693562944369E-2</c:v>
                </c:pt>
                <c:pt idx="36">
                  <c:v>-8.4404742859096146E-2</c:v>
                </c:pt>
                <c:pt idx="37">
                  <c:v>-9.740197033151729E-2</c:v>
                </c:pt>
                <c:pt idx="38">
                  <c:v>-0.11907497631108291</c:v>
                </c:pt>
                <c:pt idx="39">
                  <c:v>-0.12571562960477939</c:v>
                </c:pt>
                <c:pt idx="40">
                  <c:v>-0.10154062893040974</c:v>
                </c:pt>
                <c:pt idx="41">
                  <c:v>-0.10740895261450942</c:v>
                </c:pt>
                <c:pt idx="42">
                  <c:v>-0.11911693626905664</c:v>
                </c:pt>
                <c:pt idx="43">
                  <c:v>-0.11654954004595437</c:v>
                </c:pt>
                <c:pt idx="44">
                  <c:v>-0.1231474809736479</c:v>
                </c:pt>
                <c:pt idx="45">
                  <c:v>-0.13072914051593235</c:v>
                </c:pt>
                <c:pt idx="46">
                  <c:v>-0.1671870291549194</c:v>
                </c:pt>
                <c:pt idx="47">
                  <c:v>-0.17034104561044097</c:v>
                </c:pt>
                <c:pt idx="48">
                  <c:v>-0.16984988975716747</c:v>
                </c:pt>
                <c:pt idx="49">
                  <c:v>-0.17598301658476151</c:v>
                </c:pt>
                <c:pt idx="50">
                  <c:v>-0.22454901928075222</c:v>
                </c:pt>
                <c:pt idx="51">
                  <c:v>-0.22002728849497982</c:v>
                </c:pt>
                <c:pt idx="52">
                  <c:v>-0.19968206680772041</c:v>
                </c:pt>
                <c:pt idx="53">
                  <c:v>-0.17351500799327921</c:v>
                </c:pt>
                <c:pt idx="54">
                  <c:v>-0.1831050194677061</c:v>
                </c:pt>
                <c:pt idx="55">
                  <c:v>-0.17913596632616935</c:v>
                </c:pt>
                <c:pt idx="56">
                  <c:v>-0.12611052548902063</c:v>
                </c:pt>
                <c:pt idx="57">
                  <c:v>-0.12110518304483801</c:v>
                </c:pt>
                <c:pt idx="58">
                  <c:v>-0.11041505474320179</c:v>
                </c:pt>
                <c:pt idx="59">
                  <c:v>-8.6322910937017355E-2</c:v>
                </c:pt>
                <c:pt idx="60">
                  <c:v>-0.10736301738646387</c:v>
                </c:pt>
              </c:numCache>
            </c:numRef>
          </c:val>
          <c:smooth val="0"/>
          <c:extLst>
            <c:ext xmlns:c16="http://schemas.microsoft.com/office/drawing/2014/chart" uri="{C3380CC4-5D6E-409C-BE32-E72D297353CC}">
              <c16:uniqueId val="{00000001-DCFB-453D-BF6C-7CFDBC645D4E}"/>
            </c:ext>
          </c:extLst>
        </c:ser>
        <c:ser>
          <c:idx val="2"/>
          <c:order val="2"/>
          <c:tx>
            <c:v>Strategy 3</c:v>
          </c:tx>
          <c:spPr>
            <a:ln>
              <a:solidFill>
                <a:schemeClr val="accent1">
                  <a:lumMod val="75000"/>
                </a:schemeClr>
              </a:solidFill>
            </a:ln>
          </c:spPr>
          <c:marker>
            <c:symbol val="none"/>
          </c:marker>
          <c:cat>
            <c:numRef>
              <c:f>TS_exret!$A$3:$A$62</c:f>
              <c:numCache>
                <c:formatCode>m/d/yyyy</c:formatCode>
                <c:ptCount val="60"/>
                <c:pt idx="0">
                  <c:v>38383</c:v>
                </c:pt>
                <c:pt idx="1">
                  <c:v>38411</c:v>
                </c:pt>
                <c:pt idx="2">
                  <c:v>38442</c:v>
                </c:pt>
                <c:pt idx="3">
                  <c:v>38472</c:v>
                </c:pt>
                <c:pt idx="4">
                  <c:v>38503</c:v>
                </c:pt>
                <c:pt idx="5">
                  <c:v>38533</c:v>
                </c:pt>
                <c:pt idx="6">
                  <c:v>38564</c:v>
                </c:pt>
                <c:pt idx="7">
                  <c:v>38595</c:v>
                </c:pt>
                <c:pt idx="8">
                  <c:v>38625</c:v>
                </c:pt>
                <c:pt idx="9">
                  <c:v>38656</c:v>
                </c:pt>
                <c:pt idx="10">
                  <c:v>38686</c:v>
                </c:pt>
                <c:pt idx="11">
                  <c:v>38717</c:v>
                </c:pt>
                <c:pt idx="12">
                  <c:v>38748</c:v>
                </c:pt>
                <c:pt idx="13">
                  <c:v>38776</c:v>
                </c:pt>
                <c:pt idx="14">
                  <c:v>38807</c:v>
                </c:pt>
                <c:pt idx="15">
                  <c:v>38837</c:v>
                </c:pt>
                <c:pt idx="16">
                  <c:v>38868</c:v>
                </c:pt>
                <c:pt idx="17">
                  <c:v>38898</c:v>
                </c:pt>
                <c:pt idx="18">
                  <c:v>38929</c:v>
                </c:pt>
                <c:pt idx="19">
                  <c:v>38960</c:v>
                </c:pt>
                <c:pt idx="20">
                  <c:v>38990</c:v>
                </c:pt>
                <c:pt idx="21">
                  <c:v>39021</c:v>
                </c:pt>
                <c:pt idx="22">
                  <c:v>39051</c:v>
                </c:pt>
                <c:pt idx="23">
                  <c:v>39082</c:v>
                </c:pt>
                <c:pt idx="24">
                  <c:v>39113</c:v>
                </c:pt>
                <c:pt idx="25">
                  <c:v>39141</c:v>
                </c:pt>
                <c:pt idx="26">
                  <c:v>39172</c:v>
                </c:pt>
                <c:pt idx="27">
                  <c:v>39202</c:v>
                </c:pt>
                <c:pt idx="28">
                  <c:v>39233</c:v>
                </c:pt>
                <c:pt idx="29">
                  <c:v>39263</c:v>
                </c:pt>
                <c:pt idx="30">
                  <c:v>39294</c:v>
                </c:pt>
                <c:pt idx="31">
                  <c:v>39325</c:v>
                </c:pt>
                <c:pt idx="32">
                  <c:v>39355</c:v>
                </c:pt>
                <c:pt idx="33">
                  <c:v>39386</c:v>
                </c:pt>
                <c:pt idx="34">
                  <c:v>39416</c:v>
                </c:pt>
                <c:pt idx="35">
                  <c:v>39447</c:v>
                </c:pt>
                <c:pt idx="36">
                  <c:v>39478</c:v>
                </c:pt>
                <c:pt idx="37">
                  <c:v>39507</c:v>
                </c:pt>
                <c:pt idx="38">
                  <c:v>39538</c:v>
                </c:pt>
                <c:pt idx="39">
                  <c:v>39568</c:v>
                </c:pt>
                <c:pt idx="40">
                  <c:v>39599</c:v>
                </c:pt>
                <c:pt idx="41">
                  <c:v>39629</c:v>
                </c:pt>
                <c:pt idx="42">
                  <c:v>39660</c:v>
                </c:pt>
                <c:pt idx="43">
                  <c:v>39691</c:v>
                </c:pt>
                <c:pt idx="44">
                  <c:v>39721</c:v>
                </c:pt>
                <c:pt idx="45">
                  <c:v>39752</c:v>
                </c:pt>
                <c:pt idx="46">
                  <c:v>39782</c:v>
                </c:pt>
                <c:pt idx="47">
                  <c:v>39813</c:v>
                </c:pt>
                <c:pt idx="48">
                  <c:v>39844</c:v>
                </c:pt>
                <c:pt idx="49">
                  <c:v>39872</c:v>
                </c:pt>
                <c:pt idx="50">
                  <c:v>39903</c:v>
                </c:pt>
                <c:pt idx="51">
                  <c:v>39933</c:v>
                </c:pt>
                <c:pt idx="52">
                  <c:v>39964</c:v>
                </c:pt>
                <c:pt idx="53">
                  <c:v>39994</c:v>
                </c:pt>
                <c:pt idx="54">
                  <c:v>40025</c:v>
                </c:pt>
                <c:pt idx="55">
                  <c:v>40056</c:v>
                </c:pt>
                <c:pt idx="56">
                  <c:v>40086</c:v>
                </c:pt>
                <c:pt idx="57">
                  <c:v>40117</c:v>
                </c:pt>
                <c:pt idx="58">
                  <c:v>40147</c:v>
                </c:pt>
                <c:pt idx="59">
                  <c:v>40178</c:v>
                </c:pt>
              </c:numCache>
            </c:numRef>
          </c:cat>
          <c:val>
            <c:numRef>
              <c:f>TS_exret!$J$2:$J$62</c:f>
              <c:numCache>
                <c:formatCode>0.00%</c:formatCode>
                <c:ptCount val="61"/>
                <c:pt idx="0" formatCode="General">
                  <c:v>0</c:v>
                </c:pt>
                <c:pt idx="1">
                  <c:v>-6.0589064363512322E-3</c:v>
                </c:pt>
                <c:pt idx="2">
                  <c:v>-3.6711605602884903E-2</c:v>
                </c:pt>
                <c:pt idx="3">
                  <c:v>-4.7989723990327748E-2</c:v>
                </c:pt>
                <c:pt idx="4">
                  <c:v>-2.947028973952584E-2</c:v>
                </c:pt>
                <c:pt idx="5">
                  <c:v>-7.837542386095897E-2</c:v>
                </c:pt>
                <c:pt idx="6">
                  <c:v>-9.8640510867816444E-2</c:v>
                </c:pt>
                <c:pt idx="7">
                  <c:v>-0.14049595628783235</c:v>
                </c:pt>
                <c:pt idx="8">
                  <c:v>-0.12344649397257686</c:v>
                </c:pt>
                <c:pt idx="9">
                  <c:v>-0.1499113670209144</c:v>
                </c:pt>
                <c:pt idx="10">
                  <c:v>-0.11810223165232062</c:v>
                </c:pt>
                <c:pt idx="11">
                  <c:v>-0.15498743503891238</c:v>
                </c:pt>
                <c:pt idx="12">
                  <c:v>-0.18575114124659561</c:v>
                </c:pt>
                <c:pt idx="13">
                  <c:v>-0.20976753826351091</c:v>
                </c:pt>
                <c:pt idx="14">
                  <c:v>-0.21939205375371598</c:v>
                </c:pt>
                <c:pt idx="15">
                  <c:v>-0.23370893590344075</c:v>
                </c:pt>
                <c:pt idx="16">
                  <c:v>-0.24716303111038967</c:v>
                </c:pt>
                <c:pt idx="17">
                  <c:v>-0.21263752603995478</c:v>
                </c:pt>
                <c:pt idx="18">
                  <c:v>-0.21864577463437651</c:v>
                </c:pt>
                <c:pt idx="19">
                  <c:v>-0.22850454464137485</c:v>
                </c:pt>
                <c:pt idx="20">
                  <c:v>-0.23816230577871159</c:v>
                </c:pt>
                <c:pt idx="21">
                  <c:v>-0.25098980423733608</c:v>
                </c:pt>
                <c:pt idx="22">
                  <c:v>-0.26250812363580567</c:v>
                </c:pt>
                <c:pt idx="23">
                  <c:v>-0.27149617206959231</c:v>
                </c:pt>
                <c:pt idx="24">
                  <c:v>-0.27901053588142244</c:v>
                </c:pt>
                <c:pt idx="25">
                  <c:v>-0.30278184211866183</c:v>
                </c:pt>
                <c:pt idx="26">
                  <c:v>-0.30192998745048294</c:v>
                </c:pt>
                <c:pt idx="27">
                  <c:v>-0.31606647599999194</c:v>
                </c:pt>
                <c:pt idx="28">
                  <c:v>-0.33873076531762425</c:v>
                </c:pt>
                <c:pt idx="29">
                  <c:v>-0.35319320180128777</c:v>
                </c:pt>
                <c:pt idx="30">
                  <c:v>-0.34721821827678784</c:v>
                </c:pt>
                <c:pt idx="31">
                  <c:v>-0.33479378513449698</c:v>
                </c:pt>
                <c:pt idx="32">
                  <c:v>-0.33787901944142568</c:v>
                </c:pt>
                <c:pt idx="33">
                  <c:v>-0.35913698566964214</c:v>
                </c:pt>
                <c:pt idx="34">
                  <c:v>-0.36391160910223253</c:v>
                </c:pt>
                <c:pt idx="35">
                  <c:v>-0.35208311899664757</c:v>
                </c:pt>
                <c:pt idx="36">
                  <c:v>-0.36810345490088825</c:v>
                </c:pt>
                <c:pt idx="37">
                  <c:v>-0.29059568317896056</c:v>
                </c:pt>
                <c:pt idx="38">
                  <c:v>-0.31202739062756324</c:v>
                </c:pt>
                <c:pt idx="39">
                  <c:v>-0.29087528525914697</c:v>
                </c:pt>
                <c:pt idx="40">
                  <c:v>-0.31737722644197441</c:v>
                </c:pt>
                <c:pt idx="41">
                  <c:v>-0.3256888689048632</c:v>
                </c:pt>
                <c:pt idx="42">
                  <c:v>-0.27402313004759454</c:v>
                </c:pt>
                <c:pt idx="43">
                  <c:v>-0.2574165190597586</c:v>
                </c:pt>
                <c:pt idx="44">
                  <c:v>-0.25577259356148668</c:v>
                </c:pt>
                <c:pt idx="45">
                  <c:v>-0.20017646122686997</c:v>
                </c:pt>
                <c:pt idx="46">
                  <c:v>-0.1919176365886234</c:v>
                </c:pt>
                <c:pt idx="47">
                  <c:v>-0.18698601193679265</c:v>
                </c:pt>
                <c:pt idx="48">
                  <c:v>-0.17190213036626989</c:v>
                </c:pt>
                <c:pt idx="49">
                  <c:v>-0.13840948346256871</c:v>
                </c:pt>
                <c:pt idx="50">
                  <c:v>-0.16239899392318333</c:v>
                </c:pt>
                <c:pt idx="51">
                  <c:v>-0.16272338481189469</c:v>
                </c:pt>
                <c:pt idx="52">
                  <c:v>-0.15734656019768486</c:v>
                </c:pt>
                <c:pt idx="53">
                  <c:v>-0.14449292596789787</c:v>
                </c:pt>
                <c:pt idx="54">
                  <c:v>-0.14497696591217513</c:v>
                </c:pt>
                <c:pt idx="55">
                  <c:v>-0.1512748620503577</c:v>
                </c:pt>
                <c:pt idx="56">
                  <c:v>-0.12290960649570482</c:v>
                </c:pt>
                <c:pt idx="57">
                  <c:v>-0.11523615374882827</c:v>
                </c:pt>
                <c:pt idx="58">
                  <c:v>-0.10458207726855738</c:v>
                </c:pt>
                <c:pt idx="59">
                  <c:v>-8.6847835556137801E-2</c:v>
                </c:pt>
                <c:pt idx="60">
                  <c:v>-8.5814669276416025E-2</c:v>
                </c:pt>
              </c:numCache>
            </c:numRef>
          </c:val>
          <c:smooth val="0"/>
          <c:extLst>
            <c:ext xmlns:c16="http://schemas.microsoft.com/office/drawing/2014/chart" uri="{C3380CC4-5D6E-409C-BE32-E72D297353CC}">
              <c16:uniqueId val="{00000002-DCFB-453D-BF6C-7CFDBC645D4E}"/>
            </c:ext>
          </c:extLst>
        </c:ser>
        <c:ser>
          <c:idx val="3"/>
          <c:order val="3"/>
          <c:tx>
            <c:v>Strategy 4</c:v>
          </c:tx>
          <c:spPr>
            <a:ln>
              <a:solidFill>
                <a:schemeClr val="bg1">
                  <a:lumMod val="65000"/>
                </a:schemeClr>
              </a:solidFill>
            </a:ln>
          </c:spPr>
          <c:marker>
            <c:symbol val="none"/>
          </c:marker>
          <c:cat>
            <c:numRef>
              <c:f>TS_exret!$A$3:$A$62</c:f>
              <c:numCache>
                <c:formatCode>m/d/yyyy</c:formatCode>
                <c:ptCount val="60"/>
                <c:pt idx="0">
                  <c:v>38383</c:v>
                </c:pt>
                <c:pt idx="1">
                  <c:v>38411</c:v>
                </c:pt>
                <c:pt idx="2">
                  <c:v>38442</c:v>
                </c:pt>
                <c:pt idx="3">
                  <c:v>38472</c:v>
                </c:pt>
                <c:pt idx="4">
                  <c:v>38503</c:v>
                </c:pt>
                <c:pt idx="5">
                  <c:v>38533</c:v>
                </c:pt>
                <c:pt idx="6">
                  <c:v>38564</c:v>
                </c:pt>
                <c:pt idx="7">
                  <c:v>38595</c:v>
                </c:pt>
                <c:pt idx="8">
                  <c:v>38625</c:v>
                </c:pt>
                <c:pt idx="9">
                  <c:v>38656</c:v>
                </c:pt>
                <c:pt idx="10">
                  <c:v>38686</c:v>
                </c:pt>
                <c:pt idx="11">
                  <c:v>38717</c:v>
                </c:pt>
                <c:pt idx="12">
                  <c:v>38748</c:v>
                </c:pt>
                <c:pt idx="13">
                  <c:v>38776</c:v>
                </c:pt>
                <c:pt idx="14">
                  <c:v>38807</c:v>
                </c:pt>
                <c:pt idx="15">
                  <c:v>38837</c:v>
                </c:pt>
                <c:pt idx="16">
                  <c:v>38868</c:v>
                </c:pt>
                <c:pt idx="17">
                  <c:v>38898</c:v>
                </c:pt>
                <c:pt idx="18">
                  <c:v>38929</c:v>
                </c:pt>
                <c:pt idx="19">
                  <c:v>38960</c:v>
                </c:pt>
                <c:pt idx="20">
                  <c:v>38990</c:v>
                </c:pt>
                <c:pt idx="21">
                  <c:v>39021</c:v>
                </c:pt>
                <c:pt idx="22">
                  <c:v>39051</c:v>
                </c:pt>
                <c:pt idx="23">
                  <c:v>39082</c:v>
                </c:pt>
                <c:pt idx="24">
                  <c:v>39113</c:v>
                </c:pt>
                <c:pt idx="25">
                  <c:v>39141</c:v>
                </c:pt>
                <c:pt idx="26">
                  <c:v>39172</c:v>
                </c:pt>
                <c:pt idx="27">
                  <c:v>39202</c:v>
                </c:pt>
                <c:pt idx="28">
                  <c:v>39233</c:v>
                </c:pt>
                <c:pt idx="29">
                  <c:v>39263</c:v>
                </c:pt>
                <c:pt idx="30">
                  <c:v>39294</c:v>
                </c:pt>
                <c:pt idx="31">
                  <c:v>39325</c:v>
                </c:pt>
                <c:pt idx="32">
                  <c:v>39355</c:v>
                </c:pt>
                <c:pt idx="33">
                  <c:v>39386</c:v>
                </c:pt>
                <c:pt idx="34">
                  <c:v>39416</c:v>
                </c:pt>
                <c:pt idx="35">
                  <c:v>39447</c:v>
                </c:pt>
                <c:pt idx="36">
                  <c:v>39478</c:v>
                </c:pt>
                <c:pt idx="37">
                  <c:v>39507</c:v>
                </c:pt>
                <c:pt idx="38">
                  <c:v>39538</c:v>
                </c:pt>
                <c:pt idx="39">
                  <c:v>39568</c:v>
                </c:pt>
                <c:pt idx="40">
                  <c:v>39599</c:v>
                </c:pt>
                <c:pt idx="41">
                  <c:v>39629</c:v>
                </c:pt>
                <c:pt idx="42">
                  <c:v>39660</c:v>
                </c:pt>
                <c:pt idx="43">
                  <c:v>39691</c:v>
                </c:pt>
                <c:pt idx="44">
                  <c:v>39721</c:v>
                </c:pt>
                <c:pt idx="45">
                  <c:v>39752</c:v>
                </c:pt>
                <c:pt idx="46">
                  <c:v>39782</c:v>
                </c:pt>
                <c:pt idx="47">
                  <c:v>39813</c:v>
                </c:pt>
                <c:pt idx="48">
                  <c:v>39844</c:v>
                </c:pt>
                <c:pt idx="49">
                  <c:v>39872</c:v>
                </c:pt>
                <c:pt idx="50">
                  <c:v>39903</c:v>
                </c:pt>
                <c:pt idx="51">
                  <c:v>39933</c:v>
                </c:pt>
                <c:pt idx="52">
                  <c:v>39964</c:v>
                </c:pt>
                <c:pt idx="53">
                  <c:v>39994</c:v>
                </c:pt>
                <c:pt idx="54">
                  <c:v>40025</c:v>
                </c:pt>
                <c:pt idx="55">
                  <c:v>40056</c:v>
                </c:pt>
                <c:pt idx="56">
                  <c:v>40086</c:v>
                </c:pt>
                <c:pt idx="57">
                  <c:v>40117</c:v>
                </c:pt>
                <c:pt idx="58">
                  <c:v>40147</c:v>
                </c:pt>
                <c:pt idx="59">
                  <c:v>40178</c:v>
                </c:pt>
              </c:numCache>
            </c:numRef>
          </c:cat>
          <c:val>
            <c:numRef>
              <c:f>TS_exret!$K$2:$K$62</c:f>
              <c:numCache>
                <c:formatCode>0.00%</c:formatCode>
                <c:ptCount val="61"/>
                <c:pt idx="0" formatCode="General">
                  <c:v>0</c:v>
                </c:pt>
                <c:pt idx="1">
                  <c:v>-6.3272536231622793E-3</c:v>
                </c:pt>
                <c:pt idx="2">
                  <c:v>-2.77360489341761E-2</c:v>
                </c:pt>
                <c:pt idx="3">
                  <c:v>-3.100731134470839E-2</c:v>
                </c:pt>
                <c:pt idx="4">
                  <c:v>-8.6822253899103037E-3</c:v>
                </c:pt>
                <c:pt idx="5">
                  <c:v>-4.9718692935188061E-2</c:v>
                </c:pt>
                <c:pt idx="6">
                  <c:v>-7.315935925491189E-2</c:v>
                </c:pt>
                <c:pt idx="7">
                  <c:v>-0.10805030384387128</c:v>
                </c:pt>
                <c:pt idx="8">
                  <c:v>-8.8335537485683485E-2</c:v>
                </c:pt>
                <c:pt idx="9">
                  <c:v>-0.10880303253497917</c:v>
                </c:pt>
                <c:pt idx="10">
                  <c:v>-8.40783396961019E-2</c:v>
                </c:pt>
                <c:pt idx="11">
                  <c:v>-0.11728264670912245</c:v>
                </c:pt>
                <c:pt idx="12">
                  <c:v>-0.1431101363481293</c:v>
                </c:pt>
                <c:pt idx="13">
                  <c:v>-0.15475574662184288</c:v>
                </c:pt>
                <c:pt idx="14">
                  <c:v>-0.15821409994525229</c:v>
                </c:pt>
                <c:pt idx="15">
                  <c:v>-0.16928729972906684</c:v>
                </c:pt>
                <c:pt idx="16">
                  <c:v>-0.18041479170934027</c:v>
                </c:pt>
                <c:pt idx="17">
                  <c:v>-0.14982980568218282</c:v>
                </c:pt>
                <c:pt idx="18">
                  <c:v>-0.14246723630074767</c:v>
                </c:pt>
                <c:pt idx="19">
                  <c:v>-0.16056854427275602</c:v>
                </c:pt>
                <c:pt idx="20">
                  <c:v>-0.15699439146702127</c:v>
                </c:pt>
                <c:pt idx="21">
                  <c:v>-0.15995184327485409</c:v>
                </c:pt>
                <c:pt idx="22">
                  <c:v>-0.16221387218971006</c:v>
                </c:pt>
                <c:pt idx="23">
                  <c:v>-0.16571070962913872</c:v>
                </c:pt>
                <c:pt idx="24">
                  <c:v>-0.17503514035882267</c:v>
                </c:pt>
                <c:pt idx="25">
                  <c:v>-0.19452027561304555</c:v>
                </c:pt>
                <c:pt idx="26">
                  <c:v>-0.17807634407198869</c:v>
                </c:pt>
                <c:pt idx="27">
                  <c:v>-0.20176897300106653</c:v>
                </c:pt>
                <c:pt idx="28">
                  <c:v>-0.22496925175803539</c:v>
                </c:pt>
                <c:pt idx="29">
                  <c:v>-0.21909315854851696</c:v>
                </c:pt>
                <c:pt idx="30">
                  <c:v>-0.20707457896923653</c:v>
                </c:pt>
                <c:pt idx="31">
                  <c:v>-0.19570222544212715</c:v>
                </c:pt>
                <c:pt idx="32">
                  <c:v>-0.18314963152756719</c:v>
                </c:pt>
                <c:pt idx="33">
                  <c:v>-0.20368186562065288</c:v>
                </c:pt>
                <c:pt idx="34">
                  <c:v>-0.21274302684147184</c:v>
                </c:pt>
                <c:pt idx="35">
                  <c:v>-0.19208326401960682</c:v>
                </c:pt>
                <c:pt idx="36">
                  <c:v>-0.20938072548712178</c:v>
                </c:pt>
                <c:pt idx="37">
                  <c:v>-0.14398021936220817</c:v>
                </c:pt>
                <c:pt idx="38">
                  <c:v>-0.17179081719045766</c:v>
                </c:pt>
                <c:pt idx="39">
                  <c:v>-0.14367380663265492</c:v>
                </c:pt>
                <c:pt idx="40">
                  <c:v>-0.18232006330048414</c:v>
                </c:pt>
                <c:pt idx="41">
                  <c:v>-0.17756408987149958</c:v>
                </c:pt>
                <c:pt idx="42">
                  <c:v>-0.11875113130965897</c:v>
                </c:pt>
                <c:pt idx="43">
                  <c:v>-9.9686761743096555E-2</c:v>
                </c:pt>
                <c:pt idx="44">
                  <c:v>-9.6532183462335761E-2</c:v>
                </c:pt>
                <c:pt idx="45">
                  <c:v>-4.6593415377115553E-2</c:v>
                </c:pt>
                <c:pt idx="46">
                  <c:v>-2.0699455538149513E-2</c:v>
                </c:pt>
                <c:pt idx="47">
                  <c:v>-2.19344133935418E-2</c:v>
                </c:pt>
                <c:pt idx="48">
                  <c:v>-5.3389556579058993E-3</c:v>
                </c:pt>
                <c:pt idx="49">
                  <c:v>1.1745882081533824E-3</c:v>
                </c:pt>
                <c:pt idx="50">
                  <c:v>-3.8478367981926598E-3</c:v>
                </c:pt>
                <c:pt idx="51">
                  <c:v>-2.0355148174442492E-2</c:v>
                </c:pt>
                <c:pt idx="52">
                  <c:v>-1.335329502279952E-2</c:v>
                </c:pt>
                <c:pt idx="53">
                  <c:v>-7.5493797581195395E-3</c:v>
                </c:pt>
                <c:pt idx="54">
                  <c:v>3.5347977207415508E-3</c:v>
                </c:pt>
                <c:pt idx="55">
                  <c:v>1.2725194259611231E-2</c:v>
                </c:pt>
                <c:pt idx="56">
                  <c:v>1.0536172645222944E-2</c:v>
                </c:pt>
                <c:pt idx="57">
                  <c:v>4.0035753684614745E-3</c:v>
                </c:pt>
                <c:pt idx="58">
                  <c:v>-1.5883391591435181E-3</c:v>
                </c:pt>
                <c:pt idx="59">
                  <c:v>-1.8300333783497617E-3</c:v>
                </c:pt>
                <c:pt idx="60">
                  <c:v>-4.3109263054638761E-3</c:v>
                </c:pt>
              </c:numCache>
            </c:numRef>
          </c:val>
          <c:smooth val="0"/>
          <c:extLst>
            <c:ext xmlns:c16="http://schemas.microsoft.com/office/drawing/2014/chart" uri="{C3380CC4-5D6E-409C-BE32-E72D297353CC}">
              <c16:uniqueId val="{00000003-DCFB-453D-BF6C-7CFDBC645D4E}"/>
            </c:ext>
          </c:extLst>
        </c:ser>
        <c:dLbls>
          <c:showLegendKey val="0"/>
          <c:showVal val="0"/>
          <c:showCatName val="0"/>
          <c:showSerName val="0"/>
          <c:showPercent val="0"/>
          <c:showBubbleSize val="0"/>
        </c:dLbls>
        <c:smooth val="0"/>
        <c:axId val="399870408"/>
        <c:axId val="399870800"/>
      </c:lineChart>
      <c:dateAx>
        <c:axId val="399870408"/>
        <c:scaling>
          <c:orientation val="minMax"/>
        </c:scaling>
        <c:delete val="0"/>
        <c:axPos val="b"/>
        <c:numFmt formatCode="mm/yy"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399870800"/>
        <c:crosses val="autoZero"/>
        <c:auto val="1"/>
        <c:lblOffset val="100"/>
        <c:baseTimeUnit val="months"/>
      </c:dateAx>
      <c:valAx>
        <c:axId val="399870800"/>
        <c:scaling>
          <c:orientation val="minMax"/>
        </c:scaling>
        <c:delete val="0"/>
        <c:axPos val="l"/>
        <c:majorGridlines>
          <c:spPr>
            <a:ln>
              <a:noFill/>
            </a:ln>
          </c:spPr>
        </c:majorGridlines>
        <c:numFmt formatCode="0%"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399870408"/>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97801-FD9B-DF48-9947-470AEF378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8541</Words>
  <Characters>48686</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Rethinking Capital Structure Arbitrage</vt:lpstr>
    </vt:vector>
  </TitlesOfParts>
  <Company>Hewlett-Packard</Company>
  <LinksUpToDate>false</LinksUpToDate>
  <CharactersWithSpaces>57113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Rethinking Capital Structure Arbitrage</dc:title>
  <dc:creator>xy</dc:creator>
  <cp:lastModifiedBy>Avino, Davide</cp:lastModifiedBy>
  <cp:revision>5</cp:revision>
  <cp:lastPrinted>2014-09-19T08:28:00Z</cp:lastPrinted>
  <dcterms:created xsi:type="dcterms:W3CDTF">2019-04-11T17:46:00Z</dcterms:created>
  <dcterms:modified xsi:type="dcterms:W3CDTF">2019-04-11T19:09:00Z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