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86CE97" w14:textId="7FD13C4D" w:rsidR="005A695F" w:rsidRPr="009B06AA" w:rsidRDefault="009A2255">
      <w:pPr>
        <w:rPr>
          <w:rFonts w:asciiTheme="majorHAnsi" w:hAnsiTheme="majorHAnsi" w:cstheme="majorHAnsi"/>
          <w:sz w:val="32"/>
          <w:szCs w:val="32"/>
        </w:rPr>
      </w:pPr>
      <w:bookmarkStart w:id="0" w:name="_GoBack"/>
      <w:bookmarkEnd w:id="0"/>
      <w:r w:rsidRPr="009B06AA">
        <w:rPr>
          <w:rFonts w:asciiTheme="majorHAnsi" w:hAnsiTheme="majorHAnsi" w:cstheme="majorHAnsi"/>
          <w:sz w:val="32"/>
          <w:szCs w:val="32"/>
        </w:rPr>
        <w:t>Pharmacodynamics of Tebipenem: New Options for Oral Treatment of Multi-Drug Resistant Gram</w:t>
      </w:r>
      <w:r w:rsidR="00AA0E38">
        <w:rPr>
          <w:rFonts w:asciiTheme="majorHAnsi" w:hAnsiTheme="majorHAnsi" w:cstheme="majorHAnsi"/>
          <w:sz w:val="32"/>
          <w:szCs w:val="32"/>
        </w:rPr>
        <w:t>-</w:t>
      </w:r>
      <w:r w:rsidRPr="009B06AA">
        <w:rPr>
          <w:rFonts w:asciiTheme="majorHAnsi" w:hAnsiTheme="majorHAnsi" w:cstheme="majorHAnsi"/>
          <w:sz w:val="32"/>
          <w:szCs w:val="32"/>
        </w:rPr>
        <w:t>Negative Infections</w:t>
      </w:r>
    </w:p>
    <w:p w14:paraId="50B712E6" w14:textId="77777777" w:rsidR="007C5224" w:rsidRPr="00150239" w:rsidRDefault="007C5224">
      <w:pPr>
        <w:rPr>
          <w:rFonts w:asciiTheme="majorHAnsi" w:hAnsiTheme="majorHAnsi" w:cstheme="majorHAnsi"/>
        </w:rPr>
      </w:pPr>
    </w:p>
    <w:p w14:paraId="25C95E5E" w14:textId="2A44C2BF" w:rsidR="007C5224" w:rsidRDefault="008E2CBE">
      <w:pPr>
        <w:rPr>
          <w:rFonts w:asciiTheme="majorHAnsi" w:hAnsiTheme="majorHAnsi" w:cstheme="majorHAnsi"/>
        </w:rPr>
      </w:pPr>
      <w:r w:rsidRPr="006E0F67">
        <w:rPr>
          <w:rFonts w:asciiTheme="majorHAnsi" w:hAnsiTheme="majorHAnsi" w:cstheme="majorHAnsi"/>
          <w:vertAlign w:val="superscript"/>
        </w:rPr>
        <w:t>1</w:t>
      </w:r>
      <w:r w:rsidR="007C5224" w:rsidRPr="00150239">
        <w:rPr>
          <w:rFonts w:asciiTheme="majorHAnsi" w:hAnsiTheme="majorHAnsi" w:cstheme="majorHAnsi"/>
        </w:rPr>
        <w:t>Laura McEntee</w:t>
      </w:r>
      <w:r w:rsidR="007B72AC" w:rsidRPr="00150239">
        <w:rPr>
          <w:rFonts w:asciiTheme="majorHAnsi" w:hAnsiTheme="majorHAnsi" w:cstheme="majorHAnsi"/>
        </w:rPr>
        <w:t xml:space="preserve">, </w:t>
      </w:r>
      <w:r w:rsidRPr="006E0F67">
        <w:rPr>
          <w:rFonts w:asciiTheme="majorHAnsi" w:hAnsiTheme="majorHAnsi" w:cstheme="majorHAnsi"/>
          <w:vertAlign w:val="superscript"/>
        </w:rPr>
        <w:t>1</w:t>
      </w:r>
      <w:r w:rsidR="007B72AC" w:rsidRPr="00150239">
        <w:rPr>
          <w:rFonts w:asciiTheme="majorHAnsi" w:hAnsiTheme="majorHAnsi" w:cstheme="majorHAnsi"/>
        </w:rPr>
        <w:t xml:space="preserve">Adam Johnson, </w:t>
      </w:r>
      <w:r w:rsidRPr="006E0F67">
        <w:rPr>
          <w:rFonts w:asciiTheme="majorHAnsi" w:hAnsiTheme="majorHAnsi" w:cstheme="majorHAnsi"/>
          <w:vertAlign w:val="superscript"/>
        </w:rPr>
        <w:t>1</w:t>
      </w:r>
      <w:r w:rsidR="007B72AC" w:rsidRPr="00150239">
        <w:rPr>
          <w:rFonts w:asciiTheme="majorHAnsi" w:hAnsiTheme="majorHAnsi" w:cstheme="majorHAnsi"/>
        </w:rPr>
        <w:t>Nicola Farrington</w:t>
      </w:r>
      <w:r w:rsidR="005867BE" w:rsidRPr="00150239">
        <w:rPr>
          <w:rFonts w:asciiTheme="majorHAnsi" w:hAnsiTheme="majorHAnsi" w:cstheme="majorHAnsi"/>
        </w:rPr>
        <w:t xml:space="preserve">, </w:t>
      </w:r>
      <w:r w:rsidRPr="006E0F67">
        <w:rPr>
          <w:rFonts w:asciiTheme="majorHAnsi" w:hAnsiTheme="majorHAnsi" w:cstheme="majorHAnsi"/>
          <w:vertAlign w:val="superscript"/>
        </w:rPr>
        <w:t>1</w:t>
      </w:r>
      <w:r w:rsidR="005867BE" w:rsidRPr="00150239">
        <w:rPr>
          <w:rFonts w:asciiTheme="majorHAnsi" w:hAnsiTheme="majorHAnsi" w:cstheme="majorHAnsi"/>
        </w:rPr>
        <w:t>Jennifer Unsworth</w:t>
      </w:r>
      <w:r w:rsidR="009B06AA">
        <w:rPr>
          <w:rFonts w:asciiTheme="majorHAnsi" w:hAnsiTheme="majorHAnsi" w:cstheme="majorHAnsi"/>
        </w:rPr>
        <w:t xml:space="preserve">, </w:t>
      </w:r>
      <w:r w:rsidRPr="006E0F67">
        <w:rPr>
          <w:rFonts w:asciiTheme="majorHAnsi" w:hAnsiTheme="majorHAnsi" w:cstheme="majorHAnsi"/>
          <w:vertAlign w:val="superscript"/>
        </w:rPr>
        <w:t>2</w:t>
      </w:r>
      <w:r w:rsidR="009B06AA">
        <w:rPr>
          <w:rFonts w:asciiTheme="majorHAnsi" w:hAnsiTheme="majorHAnsi" w:cstheme="majorHAnsi"/>
        </w:rPr>
        <w:t xml:space="preserve">Aaron Dane, </w:t>
      </w:r>
      <w:r w:rsidRPr="006E0F67">
        <w:rPr>
          <w:rFonts w:asciiTheme="majorHAnsi" w:hAnsiTheme="majorHAnsi" w:cstheme="majorHAnsi"/>
          <w:vertAlign w:val="superscript"/>
        </w:rPr>
        <w:t>3</w:t>
      </w:r>
      <w:r w:rsidR="009B06AA">
        <w:rPr>
          <w:rFonts w:asciiTheme="majorHAnsi" w:hAnsiTheme="majorHAnsi" w:cstheme="majorHAnsi"/>
        </w:rPr>
        <w:t>Akash Jain,</w:t>
      </w:r>
      <w:r w:rsidR="008064FC">
        <w:rPr>
          <w:rFonts w:asciiTheme="majorHAnsi" w:hAnsiTheme="majorHAnsi" w:cstheme="majorHAnsi"/>
        </w:rPr>
        <w:t xml:space="preserve"> </w:t>
      </w:r>
      <w:r w:rsidR="008064FC" w:rsidRPr="006E0F67">
        <w:rPr>
          <w:rFonts w:asciiTheme="majorHAnsi" w:hAnsiTheme="majorHAnsi" w:cstheme="majorHAnsi"/>
          <w:vertAlign w:val="superscript"/>
        </w:rPr>
        <w:t>3</w:t>
      </w:r>
      <w:r w:rsidR="008064FC">
        <w:rPr>
          <w:rFonts w:asciiTheme="majorHAnsi" w:hAnsiTheme="majorHAnsi" w:cstheme="majorHAnsi"/>
        </w:rPr>
        <w:t xml:space="preserve">Nicole </w:t>
      </w:r>
      <w:proofErr w:type="spellStart"/>
      <w:r w:rsidR="008064FC">
        <w:rPr>
          <w:rFonts w:asciiTheme="majorHAnsi" w:hAnsiTheme="majorHAnsi" w:cstheme="majorHAnsi"/>
        </w:rPr>
        <w:t>Cotroneo</w:t>
      </w:r>
      <w:proofErr w:type="spellEnd"/>
      <w:r w:rsidR="008064FC">
        <w:rPr>
          <w:rFonts w:asciiTheme="majorHAnsi" w:hAnsiTheme="majorHAnsi" w:cstheme="majorHAnsi"/>
        </w:rPr>
        <w:t>,</w:t>
      </w:r>
      <w:r w:rsidR="00044AD7" w:rsidRPr="00044AD7">
        <w:rPr>
          <w:rFonts w:asciiTheme="majorHAnsi" w:hAnsiTheme="majorHAnsi" w:cstheme="majorHAnsi"/>
          <w:vertAlign w:val="superscript"/>
        </w:rPr>
        <w:t xml:space="preserve"> </w:t>
      </w:r>
      <w:r w:rsidR="00044AD7" w:rsidRPr="006E0F67">
        <w:rPr>
          <w:rFonts w:asciiTheme="majorHAnsi" w:hAnsiTheme="majorHAnsi" w:cstheme="majorHAnsi"/>
          <w:vertAlign w:val="superscript"/>
        </w:rPr>
        <w:t>3</w:t>
      </w:r>
      <w:r w:rsidR="00044AD7">
        <w:rPr>
          <w:rFonts w:asciiTheme="majorHAnsi" w:hAnsiTheme="majorHAnsi" w:cstheme="majorHAnsi"/>
        </w:rPr>
        <w:t>Ian Critchley,</w:t>
      </w:r>
      <w:r w:rsidR="009B06AA">
        <w:rPr>
          <w:rFonts w:asciiTheme="majorHAnsi" w:hAnsiTheme="majorHAnsi" w:cstheme="majorHAnsi"/>
        </w:rPr>
        <w:t xml:space="preserve"> </w:t>
      </w:r>
      <w:r w:rsidRPr="006E0F67">
        <w:rPr>
          <w:rFonts w:asciiTheme="majorHAnsi" w:hAnsiTheme="majorHAnsi" w:cstheme="majorHAnsi"/>
          <w:vertAlign w:val="superscript"/>
        </w:rPr>
        <w:t>3</w:t>
      </w:r>
      <w:r w:rsidR="004219F5">
        <w:rPr>
          <w:rFonts w:asciiTheme="majorHAnsi" w:hAnsiTheme="majorHAnsi" w:cstheme="majorHAnsi"/>
        </w:rPr>
        <w:t>David Melnick</w:t>
      </w:r>
      <w:r w:rsidR="00EF0EBE">
        <w:rPr>
          <w:rFonts w:asciiTheme="majorHAnsi" w:hAnsiTheme="majorHAnsi" w:cstheme="majorHAnsi"/>
        </w:rPr>
        <w:t>,</w:t>
      </w:r>
      <w:r w:rsidR="004219F5">
        <w:rPr>
          <w:rFonts w:asciiTheme="majorHAnsi" w:hAnsiTheme="majorHAnsi" w:cstheme="majorHAnsi"/>
        </w:rPr>
        <w:t xml:space="preserve"> </w:t>
      </w:r>
      <w:r w:rsidRPr="006E0F67">
        <w:rPr>
          <w:rFonts w:asciiTheme="majorHAnsi" w:hAnsiTheme="majorHAnsi" w:cstheme="majorHAnsi"/>
          <w:vertAlign w:val="superscript"/>
        </w:rPr>
        <w:t>3</w:t>
      </w:r>
      <w:r w:rsidR="009B06AA">
        <w:rPr>
          <w:rFonts w:asciiTheme="majorHAnsi" w:hAnsiTheme="majorHAnsi" w:cstheme="majorHAnsi"/>
        </w:rPr>
        <w:t>Thomas Parr,</w:t>
      </w:r>
      <w:r w:rsidR="007C667D" w:rsidRPr="007C667D">
        <w:rPr>
          <w:rFonts w:asciiTheme="majorHAnsi" w:hAnsiTheme="majorHAnsi" w:cstheme="majorHAnsi"/>
          <w:vertAlign w:val="superscript"/>
        </w:rPr>
        <w:t xml:space="preserve"> </w:t>
      </w:r>
      <w:r w:rsidR="008064FC" w:rsidRPr="006E0F67">
        <w:rPr>
          <w:rFonts w:asciiTheme="majorHAnsi" w:hAnsiTheme="majorHAnsi" w:cstheme="majorHAnsi"/>
          <w:vertAlign w:val="superscript"/>
        </w:rPr>
        <w:t>4</w:t>
      </w:r>
      <w:r w:rsidR="008064FC">
        <w:rPr>
          <w:rFonts w:asciiTheme="majorHAnsi" w:hAnsiTheme="majorHAnsi" w:cstheme="majorHAnsi"/>
        </w:rPr>
        <w:t xml:space="preserve">Paul </w:t>
      </w:r>
      <w:r w:rsidR="00FF553E">
        <w:rPr>
          <w:rFonts w:asciiTheme="majorHAnsi" w:hAnsiTheme="majorHAnsi" w:cstheme="majorHAnsi"/>
        </w:rPr>
        <w:t xml:space="preserve">G. </w:t>
      </w:r>
      <w:r w:rsidR="008064FC">
        <w:rPr>
          <w:rFonts w:asciiTheme="majorHAnsi" w:hAnsiTheme="majorHAnsi" w:cstheme="majorHAnsi"/>
        </w:rPr>
        <w:t>Ambrose</w:t>
      </w:r>
      <w:r w:rsidR="009B06AA">
        <w:rPr>
          <w:rFonts w:asciiTheme="majorHAnsi" w:hAnsiTheme="majorHAnsi" w:cstheme="majorHAnsi"/>
        </w:rPr>
        <w:t xml:space="preserve"> </w:t>
      </w:r>
      <w:r w:rsidRPr="006E0F67">
        <w:rPr>
          <w:rFonts w:asciiTheme="majorHAnsi" w:hAnsiTheme="majorHAnsi" w:cstheme="majorHAnsi"/>
          <w:vertAlign w:val="superscript"/>
        </w:rPr>
        <w:t>1</w:t>
      </w:r>
      <w:r w:rsidR="004219F5">
        <w:rPr>
          <w:rFonts w:asciiTheme="majorHAnsi" w:hAnsiTheme="majorHAnsi" w:cstheme="majorHAnsi"/>
        </w:rPr>
        <w:t xml:space="preserve">Shampa Das, </w:t>
      </w:r>
      <w:r w:rsidRPr="006E0F67">
        <w:rPr>
          <w:rFonts w:asciiTheme="majorHAnsi" w:hAnsiTheme="majorHAnsi" w:cstheme="majorHAnsi"/>
          <w:vertAlign w:val="superscript"/>
        </w:rPr>
        <w:t>1,</w:t>
      </w:r>
      <w:r w:rsidR="008064FC">
        <w:rPr>
          <w:rFonts w:asciiTheme="majorHAnsi" w:hAnsiTheme="majorHAnsi" w:cstheme="majorHAnsi"/>
          <w:vertAlign w:val="superscript"/>
        </w:rPr>
        <w:t>5</w:t>
      </w:r>
      <w:r w:rsidR="009B06AA">
        <w:rPr>
          <w:rFonts w:asciiTheme="majorHAnsi" w:hAnsiTheme="majorHAnsi" w:cstheme="majorHAnsi"/>
        </w:rPr>
        <w:t>William Hope</w:t>
      </w:r>
      <w:r>
        <w:rPr>
          <w:rFonts w:asciiTheme="majorHAnsi" w:hAnsiTheme="majorHAnsi" w:cstheme="majorHAnsi"/>
        </w:rPr>
        <w:t xml:space="preserve"> </w:t>
      </w:r>
    </w:p>
    <w:p w14:paraId="663C7D10" w14:textId="0959189A" w:rsidR="008E2CBE" w:rsidRDefault="008E2CBE">
      <w:pPr>
        <w:rPr>
          <w:rFonts w:asciiTheme="majorHAnsi" w:hAnsiTheme="majorHAnsi" w:cstheme="majorHAnsi"/>
        </w:rPr>
      </w:pPr>
    </w:p>
    <w:p w14:paraId="2601DFD3" w14:textId="29D751B4" w:rsidR="008E2CBE" w:rsidRDefault="008E2CBE">
      <w:pPr>
        <w:rPr>
          <w:rFonts w:asciiTheme="majorHAnsi" w:hAnsiTheme="majorHAnsi" w:cstheme="majorHAnsi"/>
        </w:rPr>
      </w:pPr>
    </w:p>
    <w:p w14:paraId="38C64773" w14:textId="77777777" w:rsidR="008E2CBE" w:rsidRPr="00A411AF" w:rsidRDefault="008E2CBE" w:rsidP="008E2CBE">
      <w:pPr>
        <w:rPr>
          <w:rFonts w:asciiTheme="majorHAnsi" w:hAnsiTheme="majorHAnsi" w:cstheme="majorHAnsi"/>
          <w:color w:val="000000" w:themeColor="text1"/>
        </w:rPr>
      </w:pPr>
      <w:r w:rsidRPr="00A411AF">
        <w:rPr>
          <w:rFonts w:asciiTheme="majorHAnsi" w:hAnsiTheme="majorHAnsi" w:cstheme="majorHAnsi"/>
          <w:color w:val="000000" w:themeColor="text1"/>
          <w:vertAlign w:val="superscript"/>
        </w:rPr>
        <w:t>1</w:t>
      </w:r>
      <w:r w:rsidRPr="00A411AF">
        <w:rPr>
          <w:rFonts w:asciiTheme="majorHAnsi" w:hAnsiTheme="majorHAnsi" w:cstheme="majorHAnsi"/>
          <w:color w:val="000000" w:themeColor="text1"/>
        </w:rPr>
        <w:t>Antimicrobial Pharmacodynamics and Therapeutics, University of Liverpool, Liverpool, UK</w:t>
      </w:r>
    </w:p>
    <w:p w14:paraId="2625193F" w14:textId="0E8E6985" w:rsidR="008E2CBE" w:rsidRPr="00A411AF" w:rsidRDefault="008E2CBE" w:rsidP="008E2CBE">
      <w:pPr>
        <w:rPr>
          <w:rFonts w:asciiTheme="majorHAnsi" w:hAnsiTheme="majorHAnsi" w:cstheme="majorHAnsi"/>
          <w:color w:val="000000" w:themeColor="text1"/>
        </w:rPr>
      </w:pPr>
      <w:r>
        <w:rPr>
          <w:rFonts w:asciiTheme="majorHAnsi" w:hAnsiTheme="majorHAnsi" w:cstheme="majorHAnsi"/>
          <w:color w:val="000000" w:themeColor="text1"/>
          <w:vertAlign w:val="superscript"/>
        </w:rPr>
        <w:t>2</w:t>
      </w:r>
      <w:r w:rsidRPr="00A411AF">
        <w:rPr>
          <w:rFonts w:asciiTheme="majorHAnsi" w:hAnsiTheme="majorHAnsi" w:cstheme="majorHAnsi"/>
          <w:color w:val="000000" w:themeColor="text1"/>
        </w:rPr>
        <w:t>DaneStat Consulting, Macclesfield, UK</w:t>
      </w:r>
    </w:p>
    <w:p w14:paraId="44663A63" w14:textId="7B6743C6" w:rsidR="008E2CBE" w:rsidRDefault="008E2CBE">
      <w:pPr>
        <w:rPr>
          <w:rFonts w:asciiTheme="majorHAnsi" w:hAnsiTheme="majorHAnsi" w:cstheme="majorHAnsi"/>
        </w:rPr>
      </w:pPr>
      <w:r w:rsidRPr="006E0F67">
        <w:rPr>
          <w:rFonts w:asciiTheme="majorHAnsi" w:hAnsiTheme="majorHAnsi" w:cstheme="majorHAnsi"/>
          <w:vertAlign w:val="superscript"/>
        </w:rPr>
        <w:t>3</w:t>
      </w:r>
      <w:r>
        <w:rPr>
          <w:rFonts w:asciiTheme="majorHAnsi" w:hAnsiTheme="majorHAnsi" w:cstheme="majorHAnsi"/>
        </w:rPr>
        <w:t xml:space="preserve">Spero Therapeutics, Cambridge, MA, USA </w:t>
      </w:r>
    </w:p>
    <w:p w14:paraId="52156B31" w14:textId="1B83F0DD" w:rsidR="008064FC" w:rsidRDefault="008064FC">
      <w:pPr>
        <w:rPr>
          <w:rFonts w:asciiTheme="majorHAnsi" w:hAnsiTheme="majorHAnsi" w:cstheme="majorHAnsi"/>
        </w:rPr>
      </w:pPr>
      <w:r w:rsidRPr="006E0F67">
        <w:rPr>
          <w:rFonts w:asciiTheme="majorHAnsi" w:hAnsiTheme="majorHAnsi" w:cstheme="majorHAnsi"/>
          <w:vertAlign w:val="superscript"/>
        </w:rPr>
        <w:t>4</w:t>
      </w:r>
      <w:r>
        <w:rPr>
          <w:rFonts w:asciiTheme="majorHAnsi" w:hAnsiTheme="majorHAnsi" w:cstheme="majorHAnsi"/>
        </w:rPr>
        <w:t xml:space="preserve">Institute for Clinical Pharmacodynamics, </w:t>
      </w:r>
      <w:r w:rsidR="00104C6F">
        <w:rPr>
          <w:rFonts w:asciiTheme="majorHAnsi" w:hAnsiTheme="majorHAnsi" w:cstheme="majorHAnsi"/>
        </w:rPr>
        <w:t>Schenectady, NY, USA</w:t>
      </w:r>
    </w:p>
    <w:p w14:paraId="5805518F" w14:textId="1139D02E" w:rsidR="008E2CBE" w:rsidRPr="00A411AF" w:rsidRDefault="008064FC" w:rsidP="008E2CBE">
      <w:pPr>
        <w:rPr>
          <w:rFonts w:asciiTheme="majorHAnsi" w:hAnsiTheme="majorHAnsi" w:cstheme="majorHAnsi"/>
          <w:color w:val="000000" w:themeColor="text1"/>
        </w:rPr>
      </w:pPr>
      <w:r>
        <w:rPr>
          <w:rFonts w:asciiTheme="majorHAnsi" w:hAnsiTheme="majorHAnsi" w:cstheme="majorHAnsi"/>
          <w:color w:val="000000" w:themeColor="text1"/>
          <w:vertAlign w:val="superscript"/>
        </w:rPr>
        <w:t>5</w:t>
      </w:r>
      <w:r w:rsidR="008E2CBE" w:rsidRPr="00A411AF">
        <w:rPr>
          <w:rFonts w:asciiTheme="majorHAnsi" w:hAnsiTheme="majorHAnsi" w:cstheme="majorHAnsi"/>
          <w:color w:val="000000" w:themeColor="text1"/>
        </w:rPr>
        <w:t xml:space="preserve">Royal Liverpool </w:t>
      </w:r>
      <w:proofErr w:type="spellStart"/>
      <w:r w:rsidR="008E2CBE" w:rsidRPr="00A411AF">
        <w:rPr>
          <w:rFonts w:asciiTheme="majorHAnsi" w:hAnsiTheme="majorHAnsi" w:cstheme="majorHAnsi"/>
          <w:color w:val="000000" w:themeColor="text1"/>
        </w:rPr>
        <w:t>Broadgreen</w:t>
      </w:r>
      <w:proofErr w:type="spellEnd"/>
      <w:r w:rsidR="008E2CBE" w:rsidRPr="00A411AF">
        <w:rPr>
          <w:rFonts w:asciiTheme="majorHAnsi" w:hAnsiTheme="majorHAnsi" w:cstheme="majorHAnsi"/>
          <w:color w:val="000000" w:themeColor="text1"/>
        </w:rPr>
        <w:t xml:space="preserve"> University Hospital Trust, Liverpool, UK</w:t>
      </w:r>
    </w:p>
    <w:p w14:paraId="0705D121" w14:textId="707779D6" w:rsidR="008E2CBE" w:rsidRDefault="008E2CBE">
      <w:pPr>
        <w:rPr>
          <w:rFonts w:asciiTheme="majorHAnsi" w:hAnsiTheme="majorHAnsi" w:cstheme="majorHAnsi"/>
        </w:rPr>
      </w:pPr>
    </w:p>
    <w:p w14:paraId="552F05F1" w14:textId="77777777" w:rsidR="008E2CBE" w:rsidRDefault="008E2CBE" w:rsidP="008E2CBE">
      <w:pPr>
        <w:rPr>
          <w:rFonts w:asciiTheme="majorHAnsi" w:hAnsiTheme="majorHAnsi" w:cstheme="majorHAnsi"/>
        </w:rPr>
      </w:pPr>
      <w:r>
        <w:rPr>
          <w:rFonts w:asciiTheme="majorHAnsi" w:hAnsiTheme="majorHAnsi" w:cstheme="majorHAnsi"/>
        </w:rPr>
        <w:t>*Corresponding author</w:t>
      </w:r>
    </w:p>
    <w:p w14:paraId="0803C4CC" w14:textId="77777777" w:rsidR="008E2CBE" w:rsidRDefault="008E2CBE" w:rsidP="008E2CBE">
      <w:pPr>
        <w:rPr>
          <w:rFonts w:asciiTheme="majorHAnsi" w:hAnsiTheme="majorHAnsi" w:cstheme="majorHAnsi"/>
        </w:rPr>
      </w:pPr>
      <w:r>
        <w:rPr>
          <w:rFonts w:asciiTheme="majorHAnsi" w:hAnsiTheme="majorHAnsi" w:cstheme="majorHAnsi"/>
        </w:rPr>
        <w:t>Professor William Hope</w:t>
      </w:r>
    </w:p>
    <w:p w14:paraId="13A17C36" w14:textId="77777777" w:rsidR="008E2CBE" w:rsidRDefault="008E2CBE" w:rsidP="008E2CBE">
      <w:pPr>
        <w:rPr>
          <w:rFonts w:asciiTheme="majorHAnsi" w:hAnsiTheme="majorHAnsi" w:cstheme="majorHAnsi"/>
        </w:rPr>
      </w:pPr>
      <w:r>
        <w:rPr>
          <w:rFonts w:asciiTheme="majorHAnsi" w:hAnsiTheme="majorHAnsi" w:cstheme="majorHAnsi"/>
        </w:rPr>
        <w:t>Sherrington Building</w:t>
      </w:r>
    </w:p>
    <w:p w14:paraId="3526DCA3" w14:textId="77777777" w:rsidR="008E2CBE" w:rsidRDefault="008E2CBE" w:rsidP="008E2CBE">
      <w:pPr>
        <w:rPr>
          <w:rFonts w:asciiTheme="majorHAnsi" w:hAnsiTheme="majorHAnsi" w:cstheme="majorHAnsi"/>
        </w:rPr>
      </w:pPr>
      <w:r>
        <w:rPr>
          <w:rFonts w:asciiTheme="majorHAnsi" w:hAnsiTheme="majorHAnsi" w:cstheme="majorHAnsi"/>
        </w:rPr>
        <w:t>University of Liverpool</w:t>
      </w:r>
    </w:p>
    <w:p w14:paraId="2EEB3BD2" w14:textId="77777777" w:rsidR="008E2CBE" w:rsidRDefault="008E2CBE" w:rsidP="008E2CBE">
      <w:pPr>
        <w:rPr>
          <w:rFonts w:asciiTheme="majorHAnsi" w:hAnsiTheme="majorHAnsi" w:cstheme="majorHAnsi"/>
        </w:rPr>
      </w:pPr>
      <w:r>
        <w:rPr>
          <w:rFonts w:asciiTheme="majorHAnsi" w:hAnsiTheme="majorHAnsi" w:cstheme="majorHAnsi"/>
        </w:rPr>
        <w:t>Ashton Street</w:t>
      </w:r>
    </w:p>
    <w:p w14:paraId="1162C2A1" w14:textId="77777777" w:rsidR="008E2CBE" w:rsidRDefault="008E2CBE" w:rsidP="008E2CBE">
      <w:pPr>
        <w:rPr>
          <w:rFonts w:asciiTheme="majorHAnsi" w:hAnsiTheme="majorHAnsi" w:cstheme="majorHAnsi"/>
        </w:rPr>
      </w:pPr>
      <w:r>
        <w:rPr>
          <w:rFonts w:asciiTheme="majorHAnsi" w:hAnsiTheme="majorHAnsi" w:cstheme="majorHAnsi"/>
        </w:rPr>
        <w:t>Liverpool L69 3GE</w:t>
      </w:r>
    </w:p>
    <w:p w14:paraId="14D15E14" w14:textId="77777777" w:rsidR="008E2CBE" w:rsidRDefault="008E2CBE" w:rsidP="008E2CBE">
      <w:pPr>
        <w:rPr>
          <w:rFonts w:asciiTheme="majorHAnsi" w:hAnsiTheme="majorHAnsi" w:cstheme="majorHAnsi"/>
        </w:rPr>
      </w:pPr>
      <w:r>
        <w:rPr>
          <w:rFonts w:asciiTheme="majorHAnsi" w:hAnsiTheme="majorHAnsi" w:cstheme="majorHAnsi"/>
        </w:rPr>
        <w:t>United Kingdom</w:t>
      </w:r>
    </w:p>
    <w:p w14:paraId="3F12D299" w14:textId="77777777" w:rsidR="008E2CBE" w:rsidRDefault="008E2CBE" w:rsidP="008E2CBE">
      <w:pPr>
        <w:rPr>
          <w:rFonts w:asciiTheme="majorHAnsi" w:hAnsiTheme="majorHAnsi" w:cstheme="majorHAnsi"/>
        </w:rPr>
      </w:pPr>
    </w:p>
    <w:p w14:paraId="50260D4D" w14:textId="77777777" w:rsidR="008E2CBE" w:rsidRDefault="008E2CBE" w:rsidP="008E2CBE">
      <w:pPr>
        <w:rPr>
          <w:rFonts w:asciiTheme="majorHAnsi" w:hAnsiTheme="majorHAnsi" w:cstheme="majorHAnsi"/>
        </w:rPr>
      </w:pPr>
      <w:r>
        <w:rPr>
          <w:rFonts w:asciiTheme="majorHAnsi" w:hAnsiTheme="majorHAnsi" w:cstheme="majorHAnsi"/>
        </w:rPr>
        <w:t>Telephone: +44 (0)151 794 5941</w:t>
      </w:r>
    </w:p>
    <w:p w14:paraId="5ED91505" w14:textId="77777777" w:rsidR="008E2CBE" w:rsidRDefault="008E2CBE" w:rsidP="008E2CBE">
      <w:pPr>
        <w:rPr>
          <w:rFonts w:asciiTheme="majorHAnsi" w:hAnsiTheme="majorHAnsi" w:cstheme="majorHAnsi"/>
        </w:rPr>
      </w:pPr>
      <w:r>
        <w:rPr>
          <w:rFonts w:asciiTheme="majorHAnsi" w:hAnsiTheme="majorHAnsi" w:cstheme="majorHAnsi"/>
        </w:rPr>
        <w:t>Email: william.hope@liverpool.ac.uk</w:t>
      </w:r>
    </w:p>
    <w:p w14:paraId="3289FDCE" w14:textId="77777777" w:rsidR="008E2CBE" w:rsidRPr="00150239" w:rsidRDefault="008E2CBE">
      <w:pPr>
        <w:rPr>
          <w:rFonts w:asciiTheme="majorHAnsi" w:hAnsiTheme="majorHAnsi" w:cstheme="majorHAnsi"/>
        </w:rPr>
      </w:pPr>
    </w:p>
    <w:p w14:paraId="2AB0319A" w14:textId="1A436012" w:rsidR="009A2255" w:rsidRPr="00150239" w:rsidRDefault="009A2255">
      <w:pPr>
        <w:rPr>
          <w:rFonts w:asciiTheme="majorHAnsi" w:hAnsiTheme="majorHAnsi" w:cstheme="majorHAnsi"/>
        </w:rPr>
      </w:pPr>
      <w:r w:rsidRPr="00150239">
        <w:rPr>
          <w:rFonts w:asciiTheme="majorHAnsi" w:hAnsiTheme="majorHAnsi" w:cstheme="majorHAnsi"/>
        </w:rPr>
        <w:br w:type="page"/>
      </w:r>
    </w:p>
    <w:p w14:paraId="02658E55" w14:textId="411BA2EA" w:rsidR="007C5224" w:rsidRPr="00150239" w:rsidRDefault="007C5224">
      <w:pPr>
        <w:rPr>
          <w:rFonts w:asciiTheme="majorHAnsi" w:hAnsiTheme="majorHAnsi" w:cstheme="majorHAnsi"/>
        </w:rPr>
      </w:pPr>
    </w:p>
    <w:p w14:paraId="446BA402" w14:textId="77777777" w:rsidR="009A2255" w:rsidRPr="00150239" w:rsidRDefault="009A2255">
      <w:pPr>
        <w:rPr>
          <w:rFonts w:asciiTheme="majorHAnsi" w:hAnsiTheme="majorHAnsi" w:cstheme="majorHAnsi"/>
        </w:rPr>
      </w:pPr>
      <w:r w:rsidRPr="00150239">
        <w:rPr>
          <w:rFonts w:asciiTheme="majorHAnsi" w:hAnsiTheme="majorHAnsi" w:cstheme="majorHAnsi"/>
        </w:rPr>
        <w:t>ABSTRACT</w:t>
      </w:r>
    </w:p>
    <w:p w14:paraId="60E426F9" w14:textId="38D0CB39" w:rsidR="000B0438" w:rsidRPr="00552229" w:rsidRDefault="00C74012">
      <w:pPr>
        <w:rPr>
          <w:rFonts w:asciiTheme="majorHAnsi" w:hAnsiTheme="majorHAnsi" w:cstheme="majorHAnsi"/>
          <w:noProof/>
        </w:rPr>
      </w:pPr>
      <w:r>
        <w:rPr>
          <w:rFonts w:asciiTheme="majorHAnsi" w:hAnsiTheme="majorHAnsi" w:cstheme="majorHAnsi"/>
        </w:rPr>
        <w:t xml:space="preserve">Tebipenem </w:t>
      </w:r>
      <w:proofErr w:type="spellStart"/>
      <w:r>
        <w:rPr>
          <w:rFonts w:asciiTheme="majorHAnsi" w:hAnsiTheme="majorHAnsi" w:cstheme="majorHAnsi"/>
        </w:rPr>
        <w:t>p</w:t>
      </w:r>
      <w:r w:rsidR="00FC3AEB">
        <w:rPr>
          <w:rFonts w:asciiTheme="majorHAnsi" w:hAnsiTheme="majorHAnsi" w:cstheme="majorHAnsi"/>
        </w:rPr>
        <w:t>i</w:t>
      </w:r>
      <w:r>
        <w:rPr>
          <w:rFonts w:asciiTheme="majorHAnsi" w:hAnsiTheme="majorHAnsi" w:cstheme="majorHAnsi"/>
        </w:rPr>
        <w:t>voxil</w:t>
      </w:r>
      <w:proofErr w:type="spellEnd"/>
      <w:r>
        <w:rPr>
          <w:rFonts w:asciiTheme="majorHAnsi" w:hAnsiTheme="majorHAnsi" w:cstheme="majorHAnsi"/>
        </w:rPr>
        <w:t xml:space="preserve"> HBr (</w:t>
      </w:r>
      <w:r>
        <w:rPr>
          <w:rFonts w:asciiTheme="majorHAnsi" w:hAnsiTheme="majorHAnsi" w:cstheme="majorHAnsi"/>
          <w:noProof/>
        </w:rPr>
        <w:t>TBPM-PI-HBr) is a</w:t>
      </w:r>
      <w:r w:rsidR="00964382">
        <w:rPr>
          <w:rFonts w:asciiTheme="majorHAnsi" w:hAnsiTheme="majorHAnsi" w:cstheme="majorHAnsi"/>
          <w:noProof/>
        </w:rPr>
        <w:t xml:space="preserve"> novel</w:t>
      </w:r>
      <w:r>
        <w:rPr>
          <w:rFonts w:asciiTheme="majorHAnsi" w:hAnsiTheme="majorHAnsi" w:cstheme="majorHAnsi"/>
          <w:noProof/>
        </w:rPr>
        <w:t xml:space="preserve"> orally bioavailable carbapenem.  </w:t>
      </w:r>
      <w:r w:rsidR="00964382">
        <w:rPr>
          <w:rFonts w:asciiTheme="majorHAnsi" w:hAnsiTheme="majorHAnsi" w:cstheme="majorHAnsi"/>
          <w:noProof/>
        </w:rPr>
        <w:t>The active moiety is tebipenem</w:t>
      </w:r>
      <w:r w:rsidR="0050717B">
        <w:rPr>
          <w:rFonts w:asciiTheme="majorHAnsi" w:hAnsiTheme="majorHAnsi" w:cstheme="majorHAnsi"/>
          <w:noProof/>
        </w:rPr>
        <w:t xml:space="preserve">.  </w:t>
      </w:r>
      <w:r w:rsidR="00964382">
        <w:rPr>
          <w:rFonts w:asciiTheme="majorHAnsi" w:hAnsiTheme="majorHAnsi" w:cstheme="majorHAnsi"/>
        </w:rPr>
        <w:t xml:space="preserve">Tebipenem </w:t>
      </w:r>
      <w:proofErr w:type="spellStart"/>
      <w:r w:rsidR="00964382">
        <w:rPr>
          <w:rFonts w:asciiTheme="majorHAnsi" w:hAnsiTheme="majorHAnsi" w:cstheme="majorHAnsi"/>
        </w:rPr>
        <w:t>p</w:t>
      </w:r>
      <w:r w:rsidR="00FC3AEB">
        <w:rPr>
          <w:rFonts w:asciiTheme="majorHAnsi" w:hAnsiTheme="majorHAnsi" w:cstheme="majorHAnsi"/>
        </w:rPr>
        <w:t>i</w:t>
      </w:r>
      <w:r w:rsidR="00964382">
        <w:rPr>
          <w:rFonts w:asciiTheme="majorHAnsi" w:hAnsiTheme="majorHAnsi" w:cstheme="majorHAnsi"/>
        </w:rPr>
        <w:t>voxil</w:t>
      </w:r>
      <w:proofErr w:type="spellEnd"/>
      <w:r w:rsidR="00964382">
        <w:rPr>
          <w:rFonts w:asciiTheme="majorHAnsi" w:hAnsiTheme="majorHAnsi" w:cstheme="majorHAnsi"/>
        </w:rPr>
        <w:t xml:space="preserve"> is licenced in Japan for children with ear nose and throat infections and respiratory infections.</w:t>
      </w:r>
      <w:r>
        <w:rPr>
          <w:rFonts w:asciiTheme="majorHAnsi" w:hAnsiTheme="majorHAnsi" w:cstheme="majorHAnsi"/>
          <w:noProof/>
        </w:rPr>
        <w:t xml:space="preserve"> </w:t>
      </w:r>
      <w:r w:rsidR="00964382">
        <w:rPr>
          <w:rFonts w:asciiTheme="majorHAnsi" w:hAnsiTheme="majorHAnsi" w:cstheme="majorHAnsi"/>
          <w:noProof/>
        </w:rPr>
        <w:t xml:space="preserve"> The HBr salt was designed to improve </w:t>
      </w:r>
      <w:r w:rsidR="00C65CFA">
        <w:rPr>
          <w:rFonts w:asciiTheme="majorHAnsi" w:hAnsiTheme="majorHAnsi" w:cstheme="majorHAnsi"/>
          <w:noProof/>
        </w:rPr>
        <w:t xml:space="preserve">drug substance and drug product properties including stability.  </w:t>
      </w:r>
      <w:r w:rsidR="00964382" w:rsidRPr="00245BBE">
        <w:rPr>
          <w:rFonts w:asciiTheme="majorHAnsi" w:hAnsiTheme="majorHAnsi" w:cstheme="majorHAnsi"/>
          <w:noProof/>
        </w:rPr>
        <w:t>TBPM</w:t>
      </w:r>
      <w:r w:rsidR="00964382">
        <w:rPr>
          <w:rFonts w:asciiTheme="majorHAnsi" w:hAnsiTheme="majorHAnsi" w:cstheme="majorHAnsi"/>
          <w:noProof/>
        </w:rPr>
        <w:t xml:space="preserve">-PI-HBr is </w:t>
      </w:r>
      <w:r w:rsidR="00245BBE">
        <w:rPr>
          <w:rFonts w:asciiTheme="majorHAnsi" w:hAnsiTheme="majorHAnsi" w:cstheme="majorHAnsi"/>
          <w:noProof/>
        </w:rPr>
        <w:t xml:space="preserve">now </w:t>
      </w:r>
      <w:r w:rsidR="00964382">
        <w:rPr>
          <w:rFonts w:asciiTheme="majorHAnsi" w:hAnsiTheme="majorHAnsi" w:cstheme="majorHAnsi"/>
          <w:noProof/>
        </w:rPr>
        <w:t>being developed as an agent for the treatment of complicated urinary tract infections (cUTI) in adults.</w:t>
      </w:r>
      <w:r w:rsidR="00540B34">
        <w:rPr>
          <w:rFonts w:asciiTheme="majorHAnsi" w:hAnsiTheme="majorHAnsi" w:cstheme="majorHAnsi"/>
          <w:noProof/>
        </w:rPr>
        <w:t xml:space="preserve">  The pharmacokinetics-pharmacodynamics of TBPM-PI-HBr were studied in a well characterized neutropenic murine thigh </w:t>
      </w:r>
      <w:r w:rsidR="00552229">
        <w:rPr>
          <w:rFonts w:asciiTheme="majorHAnsi" w:hAnsiTheme="majorHAnsi" w:cstheme="majorHAnsi"/>
          <w:noProof/>
        </w:rPr>
        <w:t xml:space="preserve">infection </w:t>
      </w:r>
      <w:r w:rsidR="00540B34">
        <w:rPr>
          <w:rFonts w:asciiTheme="majorHAnsi" w:hAnsiTheme="majorHAnsi" w:cstheme="majorHAnsi"/>
          <w:noProof/>
        </w:rPr>
        <w:t xml:space="preserve">model.  Plasma drug concentrations were measured using LC/MS/MS.  Dose fractionation experiments were performed after establishing dose-response relationships.  The magnitude of drug exposure </w:t>
      </w:r>
      <w:r w:rsidR="00365FDA">
        <w:rPr>
          <w:rFonts w:asciiTheme="majorHAnsi" w:hAnsiTheme="majorHAnsi" w:cstheme="majorHAnsi"/>
          <w:noProof/>
        </w:rPr>
        <w:t xml:space="preserve">required for stasis </w:t>
      </w:r>
      <w:r w:rsidR="00540B34">
        <w:rPr>
          <w:rFonts w:asciiTheme="majorHAnsi" w:hAnsiTheme="majorHAnsi" w:cstheme="majorHAnsi"/>
          <w:noProof/>
        </w:rPr>
        <w:t>was established using 11 strains of Enterobacteriaceae (</w:t>
      </w:r>
      <w:r w:rsidR="00540B34" w:rsidRPr="004E70CB">
        <w:rPr>
          <w:rFonts w:asciiTheme="majorHAnsi" w:hAnsiTheme="majorHAnsi" w:cstheme="majorHAnsi"/>
          <w:i/>
          <w:noProof/>
        </w:rPr>
        <w:t>E</w:t>
      </w:r>
      <w:r w:rsidR="00227B1A">
        <w:rPr>
          <w:rFonts w:asciiTheme="majorHAnsi" w:hAnsiTheme="majorHAnsi" w:cstheme="majorHAnsi"/>
          <w:i/>
          <w:noProof/>
        </w:rPr>
        <w:t>scherichia</w:t>
      </w:r>
      <w:r w:rsidR="00540B34" w:rsidRPr="004E70CB">
        <w:rPr>
          <w:rFonts w:asciiTheme="majorHAnsi" w:hAnsiTheme="majorHAnsi" w:cstheme="majorHAnsi"/>
          <w:i/>
          <w:noProof/>
        </w:rPr>
        <w:t xml:space="preserve"> coli</w:t>
      </w:r>
      <w:r w:rsidR="00540B34">
        <w:rPr>
          <w:rFonts w:asciiTheme="majorHAnsi" w:hAnsiTheme="majorHAnsi" w:cstheme="majorHAnsi"/>
          <w:noProof/>
        </w:rPr>
        <w:t xml:space="preserve">; n=6, </w:t>
      </w:r>
      <w:r w:rsidR="00540B34" w:rsidRPr="004E70CB">
        <w:rPr>
          <w:rFonts w:asciiTheme="majorHAnsi" w:hAnsiTheme="majorHAnsi" w:cstheme="majorHAnsi"/>
          <w:i/>
          <w:noProof/>
        </w:rPr>
        <w:t>K</w:t>
      </w:r>
      <w:r w:rsidR="00227B1A">
        <w:rPr>
          <w:rFonts w:asciiTheme="majorHAnsi" w:hAnsiTheme="majorHAnsi" w:cstheme="majorHAnsi"/>
          <w:i/>
          <w:noProof/>
        </w:rPr>
        <w:t>lebsiella</w:t>
      </w:r>
      <w:r w:rsidR="00540B34" w:rsidRPr="004E70CB">
        <w:rPr>
          <w:rFonts w:asciiTheme="majorHAnsi" w:hAnsiTheme="majorHAnsi" w:cstheme="majorHAnsi"/>
          <w:i/>
          <w:noProof/>
        </w:rPr>
        <w:t xml:space="preserve"> pneumoniae</w:t>
      </w:r>
      <w:r w:rsidR="00365FDA">
        <w:rPr>
          <w:rFonts w:asciiTheme="majorHAnsi" w:hAnsiTheme="majorHAnsi" w:cstheme="majorHAnsi"/>
          <w:noProof/>
        </w:rPr>
        <w:t>; n=5) with a variety of resistance mechanisms.  The relationship bet</w:t>
      </w:r>
      <w:r w:rsidR="00406DA1">
        <w:rPr>
          <w:rFonts w:asciiTheme="majorHAnsi" w:hAnsiTheme="majorHAnsi" w:cstheme="majorHAnsi"/>
          <w:noProof/>
        </w:rPr>
        <w:t>ween drug exposure and the emer</w:t>
      </w:r>
      <w:r w:rsidR="00365FDA">
        <w:rPr>
          <w:rFonts w:asciiTheme="majorHAnsi" w:hAnsiTheme="majorHAnsi" w:cstheme="majorHAnsi"/>
          <w:noProof/>
        </w:rPr>
        <w:t>g</w:t>
      </w:r>
      <w:r w:rsidR="00406DA1">
        <w:rPr>
          <w:rFonts w:asciiTheme="majorHAnsi" w:hAnsiTheme="majorHAnsi" w:cstheme="majorHAnsi"/>
          <w:noProof/>
        </w:rPr>
        <w:t>e</w:t>
      </w:r>
      <w:r w:rsidR="00365FDA">
        <w:rPr>
          <w:rFonts w:asciiTheme="majorHAnsi" w:hAnsiTheme="majorHAnsi" w:cstheme="majorHAnsi"/>
          <w:noProof/>
        </w:rPr>
        <w:t>nce of resistance was established in a hollow fiber infection model</w:t>
      </w:r>
      <w:r w:rsidR="00F901D7">
        <w:rPr>
          <w:rFonts w:asciiTheme="majorHAnsi" w:hAnsiTheme="majorHAnsi" w:cstheme="majorHAnsi"/>
          <w:noProof/>
        </w:rPr>
        <w:t xml:space="preserve"> (HFIM)</w:t>
      </w:r>
      <w:r w:rsidR="00365FDA">
        <w:rPr>
          <w:rFonts w:asciiTheme="majorHAnsi" w:hAnsiTheme="majorHAnsi" w:cstheme="majorHAnsi"/>
          <w:noProof/>
        </w:rPr>
        <w:t>.</w:t>
      </w:r>
      <w:r w:rsidR="00552229">
        <w:rPr>
          <w:rFonts w:asciiTheme="majorHAnsi" w:hAnsiTheme="majorHAnsi" w:cstheme="majorHAnsi"/>
          <w:noProof/>
        </w:rPr>
        <w:t xml:space="preserve">  </w:t>
      </w:r>
      <w:r w:rsidR="00257697">
        <w:rPr>
          <w:rFonts w:asciiTheme="majorHAnsi" w:hAnsiTheme="majorHAnsi" w:cstheme="majorHAnsi"/>
          <w:noProof/>
        </w:rPr>
        <w:t xml:space="preserve">Tebipenem </w:t>
      </w:r>
      <w:r w:rsidR="00552229">
        <w:rPr>
          <w:rFonts w:asciiTheme="majorHAnsi" w:hAnsiTheme="majorHAnsi" w:cstheme="majorHAnsi"/>
          <w:noProof/>
        </w:rPr>
        <w:t>exhibited time-dependent pharmacodynamics that were best described by the free drug AUC:MIC corrected for the length of the dosing interval (</w:t>
      </w:r>
      <w:r w:rsidR="00552229" w:rsidRPr="004E70CB">
        <w:rPr>
          <w:rFonts w:asciiTheme="majorHAnsi" w:hAnsiTheme="majorHAnsi" w:cstheme="majorHAnsi"/>
          <w:i/>
          <w:noProof/>
        </w:rPr>
        <w:t>f</w:t>
      </w:r>
      <w:r w:rsidR="00552229">
        <w:rPr>
          <w:rFonts w:asciiTheme="majorHAnsi" w:hAnsiTheme="majorHAnsi" w:cstheme="majorHAnsi"/>
          <w:noProof/>
        </w:rPr>
        <w:t>AUC:MIC*1/tau).  The pharmacodynamics of</w:t>
      </w:r>
      <w:r w:rsidR="00EB60AC">
        <w:rPr>
          <w:rFonts w:asciiTheme="majorHAnsi" w:hAnsiTheme="majorHAnsi" w:cstheme="majorHAnsi"/>
          <w:noProof/>
        </w:rPr>
        <w:t xml:space="preserve"> tebipenem versus</w:t>
      </w:r>
      <w:r w:rsidR="00552229">
        <w:rPr>
          <w:rFonts w:asciiTheme="majorHAnsi" w:hAnsiTheme="majorHAnsi" w:cstheme="majorHAnsi"/>
          <w:noProof/>
        </w:rPr>
        <w:t xml:space="preserve"> </w:t>
      </w:r>
      <w:r w:rsidR="00552229" w:rsidRPr="00054CC9">
        <w:rPr>
          <w:rFonts w:asciiTheme="majorHAnsi" w:hAnsiTheme="majorHAnsi" w:cstheme="majorHAnsi"/>
          <w:i/>
          <w:noProof/>
        </w:rPr>
        <w:t>E. coli</w:t>
      </w:r>
      <w:r w:rsidR="00552229">
        <w:rPr>
          <w:rFonts w:asciiTheme="majorHAnsi" w:hAnsiTheme="majorHAnsi" w:cstheme="majorHAnsi"/>
          <w:noProof/>
        </w:rPr>
        <w:t xml:space="preserve"> and </w:t>
      </w:r>
      <w:r w:rsidR="00552229" w:rsidRPr="00054CC9">
        <w:rPr>
          <w:rFonts w:asciiTheme="majorHAnsi" w:hAnsiTheme="majorHAnsi" w:cstheme="majorHAnsi"/>
          <w:i/>
          <w:noProof/>
        </w:rPr>
        <w:t>K. pneumoniae</w:t>
      </w:r>
      <w:r w:rsidR="00552229">
        <w:rPr>
          <w:rFonts w:asciiTheme="majorHAnsi" w:hAnsiTheme="majorHAnsi" w:cstheme="majorHAnsi"/>
          <w:i/>
          <w:noProof/>
        </w:rPr>
        <w:t xml:space="preserve"> </w:t>
      </w:r>
      <w:r w:rsidR="00552229">
        <w:rPr>
          <w:rFonts w:asciiTheme="majorHAnsi" w:hAnsiTheme="majorHAnsi" w:cstheme="majorHAnsi"/>
          <w:noProof/>
        </w:rPr>
        <w:t xml:space="preserve">were comparable as was the response </w:t>
      </w:r>
      <w:r w:rsidR="00911906">
        <w:rPr>
          <w:rFonts w:asciiTheme="majorHAnsi" w:hAnsiTheme="majorHAnsi" w:cstheme="majorHAnsi"/>
          <w:noProof/>
        </w:rPr>
        <w:t>of</w:t>
      </w:r>
      <w:r w:rsidR="00552229">
        <w:rPr>
          <w:rFonts w:asciiTheme="majorHAnsi" w:hAnsiTheme="majorHAnsi" w:cstheme="majorHAnsi"/>
          <w:noProof/>
        </w:rPr>
        <w:t xml:space="preserve"> strains posses</w:t>
      </w:r>
      <w:r w:rsidR="00911906">
        <w:rPr>
          <w:rFonts w:asciiTheme="majorHAnsi" w:hAnsiTheme="majorHAnsi" w:cstheme="majorHAnsi"/>
          <w:noProof/>
        </w:rPr>
        <w:t>s</w:t>
      </w:r>
      <w:r w:rsidR="00552229">
        <w:rPr>
          <w:rFonts w:asciiTheme="majorHAnsi" w:hAnsiTheme="majorHAnsi" w:cstheme="majorHAnsi"/>
          <w:noProof/>
        </w:rPr>
        <w:t>ing extended-spectrum-</w:t>
      </w:r>
      <w:r w:rsidR="00552229">
        <w:rPr>
          <w:rFonts w:ascii="Calibri Light" w:hAnsi="Calibri Light" w:cs="Calibri Light"/>
          <w:noProof/>
        </w:rPr>
        <w:t>ß</w:t>
      </w:r>
      <w:r w:rsidR="00552229">
        <w:rPr>
          <w:rFonts w:asciiTheme="majorHAnsi" w:hAnsiTheme="majorHAnsi" w:cstheme="majorHAnsi"/>
          <w:noProof/>
        </w:rPr>
        <w:t xml:space="preserve">-lactamases </w:t>
      </w:r>
      <w:r w:rsidR="00906C1A">
        <w:rPr>
          <w:rFonts w:asciiTheme="majorHAnsi" w:hAnsiTheme="majorHAnsi" w:cstheme="majorHAnsi"/>
          <w:noProof/>
        </w:rPr>
        <w:t xml:space="preserve">versus wild-type.  The median </w:t>
      </w:r>
      <w:r w:rsidR="00906C1A" w:rsidRPr="00054CC9">
        <w:rPr>
          <w:rFonts w:asciiTheme="majorHAnsi" w:hAnsiTheme="majorHAnsi" w:cstheme="majorHAnsi"/>
          <w:i/>
          <w:noProof/>
        </w:rPr>
        <w:t>f</w:t>
      </w:r>
      <w:r w:rsidR="00906C1A">
        <w:rPr>
          <w:rFonts w:asciiTheme="majorHAnsi" w:hAnsiTheme="majorHAnsi" w:cstheme="majorHAnsi"/>
          <w:noProof/>
        </w:rPr>
        <w:t>AUC:MIC*1/tau value for the achievment of stasis in the 11 strains was 23.  Progressiv</w:t>
      </w:r>
      <w:r w:rsidR="00911906">
        <w:rPr>
          <w:rFonts w:asciiTheme="majorHAnsi" w:hAnsiTheme="majorHAnsi" w:cstheme="majorHAnsi"/>
          <w:noProof/>
        </w:rPr>
        <w:t>el</w:t>
      </w:r>
      <w:r w:rsidR="00906C1A">
        <w:rPr>
          <w:rFonts w:asciiTheme="majorHAnsi" w:hAnsiTheme="majorHAnsi" w:cstheme="majorHAnsi"/>
          <w:noProof/>
        </w:rPr>
        <w:t xml:space="preserve">y more fractionated regimens in the HFIM resulted in the suppression of resistance.  </w:t>
      </w:r>
      <w:r w:rsidR="000F20FF">
        <w:rPr>
          <w:rFonts w:asciiTheme="majorHAnsi" w:hAnsiTheme="majorHAnsi" w:cstheme="majorHAnsi"/>
          <w:noProof/>
        </w:rPr>
        <w:t xml:space="preserve">An </w:t>
      </w:r>
      <w:r w:rsidR="000F20FF" w:rsidRPr="004E70CB">
        <w:rPr>
          <w:rFonts w:asciiTheme="majorHAnsi" w:hAnsiTheme="majorHAnsi" w:cstheme="majorHAnsi"/>
          <w:i/>
          <w:noProof/>
        </w:rPr>
        <w:t>f</w:t>
      </w:r>
      <w:r w:rsidR="000F20FF">
        <w:rPr>
          <w:rFonts w:asciiTheme="majorHAnsi" w:hAnsiTheme="majorHAnsi" w:cstheme="majorHAnsi"/>
          <w:noProof/>
        </w:rPr>
        <w:t xml:space="preserve">AUC:MIC*1/tau value of 34.58-51.87 </w:t>
      </w:r>
      <w:r w:rsidR="00906C1A">
        <w:rPr>
          <w:rFonts w:asciiTheme="majorHAnsi" w:hAnsiTheme="majorHAnsi" w:cstheme="majorHAnsi"/>
          <w:noProof/>
        </w:rPr>
        <w:t>resulted in logarithmic killing and the suppression of resist</w:t>
      </w:r>
      <w:r w:rsidR="00F901D7">
        <w:rPr>
          <w:rFonts w:asciiTheme="majorHAnsi" w:hAnsiTheme="majorHAnsi" w:cstheme="majorHAnsi"/>
          <w:noProof/>
        </w:rPr>
        <w:t>a</w:t>
      </w:r>
      <w:r w:rsidR="00906C1A">
        <w:rPr>
          <w:rFonts w:asciiTheme="majorHAnsi" w:hAnsiTheme="majorHAnsi" w:cstheme="majorHAnsi"/>
          <w:noProof/>
        </w:rPr>
        <w:t>nce.  These data and analyses will be used to define the regimen for a Phase III study of adult patients with cUTI.</w:t>
      </w:r>
    </w:p>
    <w:p w14:paraId="7C158DA3" w14:textId="77777777" w:rsidR="000B0438" w:rsidRDefault="000B0438">
      <w:pPr>
        <w:rPr>
          <w:rFonts w:asciiTheme="majorHAnsi" w:hAnsiTheme="majorHAnsi" w:cstheme="majorHAnsi"/>
        </w:rPr>
      </w:pPr>
    </w:p>
    <w:p w14:paraId="6A7E214D" w14:textId="77777777" w:rsidR="000B0438" w:rsidRDefault="000B0438">
      <w:pPr>
        <w:rPr>
          <w:rFonts w:asciiTheme="majorHAnsi" w:hAnsiTheme="majorHAnsi" w:cstheme="majorHAnsi"/>
        </w:rPr>
      </w:pPr>
    </w:p>
    <w:p w14:paraId="6CA9DAED" w14:textId="77777777" w:rsidR="009A2255" w:rsidRPr="00150239" w:rsidRDefault="009A2255">
      <w:pPr>
        <w:rPr>
          <w:rFonts w:asciiTheme="majorHAnsi" w:hAnsiTheme="majorHAnsi" w:cstheme="majorHAnsi"/>
        </w:rPr>
      </w:pPr>
      <w:r w:rsidRPr="00150239">
        <w:rPr>
          <w:rFonts w:asciiTheme="majorHAnsi" w:hAnsiTheme="majorHAnsi" w:cstheme="majorHAnsi"/>
        </w:rPr>
        <w:br w:type="page"/>
      </w:r>
    </w:p>
    <w:p w14:paraId="4B40ABF6" w14:textId="77777777" w:rsidR="009A2255" w:rsidRPr="00150239" w:rsidRDefault="009A2255">
      <w:pPr>
        <w:rPr>
          <w:rFonts w:asciiTheme="majorHAnsi" w:hAnsiTheme="majorHAnsi" w:cstheme="majorHAnsi"/>
        </w:rPr>
      </w:pPr>
      <w:r w:rsidRPr="00150239">
        <w:rPr>
          <w:rFonts w:asciiTheme="majorHAnsi" w:hAnsiTheme="majorHAnsi" w:cstheme="majorHAnsi"/>
        </w:rPr>
        <w:lastRenderedPageBreak/>
        <w:t>INTRODUCTION</w:t>
      </w:r>
    </w:p>
    <w:p w14:paraId="4D00174E" w14:textId="77777777" w:rsidR="002D03D7" w:rsidRDefault="002D03D7" w:rsidP="008B54A6">
      <w:pPr>
        <w:ind w:firstLine="720"/>
        <w:rPr>
          <w:rFonts w:asciiTheme="majorHAnsi" w:hAnsiTheme="majorHAnsi" w:cstheme="majorHAnsi"/>
        </w:rPr>
      </w:pPr>
    </w:p>
    <w:p w14:paraId="198B5822" w14:textId="4AD5BDDB" w:rsidR="0055045F" w:rsidRDefault="003227C6" w:rsidP="008B54A6">
      <w:pPr>
        <w:ind w:firstLine="720"/>
        <w:rPr>
          <w:rFonts w:asciiTheme="majorHAnsi" w:hAnsiTheme="majorHAnsi" w:cstheme="majorHAnsi"/>
          <w:noProof/>
        </w:rPr>
      </w:pPr>
      <w:r>
        <w:rPr>
          <w:rFonts w:asciiTheme="majorHAnsi" w:hAnsiTheme="majorHAnsi" w:cstheme="majorHAnsi"/>
        </w:rPr>
        <w:t>The emergence of m</w:t>
      </w:r>
      <w:r w:rsidR="00046D97">
        <w:rPr>
          <w:rFonts w:asciiTheme="majorHAnsi" w:hAnsiTheme="majorHAnsi" w:cstheme="majorHAnsi"/>
        </w:rPr>
        <w:t xml:space="preserve">ulti-drug resistant </w:t>
      </w:r>
      <w:r w:rsidR="00640D58">
        <w:rPr>
          <w:rFonts w:asciiTheme="majorHAnsi" w:hAnsiTheme="majorHAnsi" w:cstheme="majorHAnsi"/>
        </w:rPr>
        <w:t xml:space="preserve">(MDR) </w:t>
      </w:r>
      <w:r w:rsidR="006068E2">
        <w:rPr>
          <w:rFonts w:asciiTheme="majorHAnsi" w:hAnsiTheme="majorHAnsi" w:cstheme="majorHAnsi"/>
        </w:rPr>
        <w:t>Gram</w:t>
      </w:r>
      <w:r w:rsidR="00A12BA9">
        <w:rPr>
          <w:rFonts w:asciiTheme="majorHAnsi" w:hAnsiTheme="majorHAnsi" w:cstheme="majorHAnsi"/>
        </w:rPr>
        <w:t>-</w:t>
      </w:r>
      <w:r w:rsidR="006068E2">
        <w:rPr>
          <w:rFonts w:asciiTheme="majorHAnsi" w:hAnsiTheme="majorHAnsi" w:cstheme="majorHAnsi"/>
        </w:rPr>
        <w:t>negative bacteria</w:t>
      </w:r>
      <w:r w:rsidR="00046D97">
        <w:rPr>
          <w:rFonts w:asciiTheme="majorHAnsi" w:hAnsiTheme="majorHAnsi" w:cstheme="majorHAnsi"/>
        </w:rPr>
        <w:t xml:space="preserve"> </w:t>
      </w:r>
      <w:r w:rsidR="005A4F5A">
        <w:rPr>
          <w:rFonts w:asciiTheme="majorHAnsi" w:hAnsiTheme="majorHAnsi" w:cstheme="majorHAnsi"/>
        </w:rPr>
        <w:t>is</w:t>
      </w:r>
      <w:r>
        <w:rPr>
          <w:rFonts w:asciiTheme="majorHAnsi" w:hAnsiTheme="majorHAnsi" w:cstheme="majorHAnsi"/>
        </w:rPr>
        <w:t xml:space="preserve"> a</w:t>
      </w:r>
      <w:r w:rsidR="00123B60">
        <w:rPr>
          <w:rFonts w:asciiTheme="majorHAnsi" w:hAnsiTheme="majorHAnsi" w:cstheme="majorHAnsi"/>
        </w:rPr>
        <w:t xml:space="preserve"> growing </w:t>
      </w:r>
      <w:r w:rsidR="00413D78">
        <w:rPr>
          <w:rFonts w:asciiTheme="majorHAnsi" w:hAnsiTheme="majorHAnsi" w:cstheme="majorHAnsi"/>
        </w:rPr>
        <w:t xml:space="preserve">threat to </w:t>
      </w:r>
      <w:r w:rsidR="00F068BE">
        <w:rPr>
          <w:rFonts w:asciiTheme="majorHAnsi" w:hAnsiTheme="majorHAnsi" w:cstheme="majorHAnsi"/>
        </w:rPr>
        <w:t xml:space="preserve">public </w:t>
      </w:r>
      <w:r w:rsidR="009A7C88">
        <w:rPr>
          <w:rFonts w:asciiTheme="majorHAnsi" w:hAnsiTheme="majorHAnsi" w:cstheme="majorHAnsi"/>
        </w:rPr>
        <w:t xml:space="preserve">health.  </w:t>
      </w:r>
      <w:r w:rsidR="001B49C1">
        <w:rPr>
          <w:rFonts w:asciiTheme="majorHAnsi" w:hAnsiTheme="majorHAnsi" w:cstheme="majorHAnsi"/>
          <w:noProof/>
        </w:rPr>
        <w:t>Anti</w:t>
      </w:r>
      <w:r w:rsidR="00413D78">
        <w:rPr>
          <w:rFonts w:asciiTheme="majorHAnsi" w:hAnsiTheme="majorHAnsi" w:cstheme="majorHAnsi"/>
          <w:noProof/>
        </w:rPr>
        <w:t>microbial agents</w:t>
      </w:r>
      <w:r w:rsidR="001B49C1">
        <w:rPr>
          <w:rFonts w:asciiTheme="majorHAnsi" w:hAnsiTheme="majorHAnsi" w:cstheme="majorHAnsi"/>
          <w:noProof/>
        </w:rPr>
        <w:t xml:space="preserve"> to treat </w:t>
      </w:r>
      <w:r w:rsidR="00A12BA9" w:rsidRPr="00927145">
        <w:rPr>
          <w:rFonts w:asciiTheme="majorHAnsi" w:hAnsiTheme="majorHAnsi" w:cstheme="majorHAnsi"/>
          <w:noProof/>
        </w:rPr>
        <w:t>infections</w:t>
      </w:r>
      <w:r w:rsidR="00A12BA9">
        <w:rPr>
          <w:rFonts w:asciiTheme="majorHAnsi" w:hAnsiTheme="majorHAnsi" w:cstheme="majorHAnsi"/>
          <w:noProof/>
        </w:rPr>
        <w:t xml:space="preserve"> caused by </w:t>
      </w:r>
      <w:r w:rsidR="00BA06AC">
        <w:rPr>
          <w:rFonts w:asciiTheme="majorHAnsi" w:hAnsiTheme="majorHAnsi" w:cstheme="majorHAnsi"/>
          <w:noProof/>
        </w:rPr>
        <w:t>extended-spectrum-beta-lactamase (</w:t>
      </w:r>
      <w:r w:rsidR="00A12BA9">
        <w:rPr>
          <w:rFonts w:asciiTheme="majorHAnsi" w:hAnsiTheme="majorHAnsi" w:cstheme="majorHAnsi"/>
          <w:noProof/>
        </w:rPr>
        <w:t>ESBL</w:t>
      </w:r>
      <w:r w:rsidR="00BA06AC">
        <w:rPr>
          <w:rFonts w:asciiTheme="majorHAnsi" w:hAnsiTheme="majorHAnsi" w:cstheme="majorHAnsi"/>
          <w:noProof/>
        </w:rPr>
        <w:t>)</w:t>
      </w:r>
      <w:r w:rsidR="00A12BA9">
        <w:rPr>
          <w:rFonts w:asciiTheme="majorHAnsi" w:hAnsiTheme="majorHAnsi" w:cstheme="majorHAnsi"/>
          <w:noProof/>
        </w:rPr>
        <w:t xml:space="preserve">-producing and quinolone-resistant </w:t>
      </w:r>
      <w:r w:rsidR="00BA06AC">
        <w:rPr>
          <w:rFonts w:asciiTheme="majorHAnsi" w:hAnsiTheme="majorHAnsi" w:cstheme="majorHAnsi"/>
          <w:noProof/>
        </w:rPr>
        <w:t>G</w:t>
      </w:r>
      <w:r w:rsidR="00A12BA9">
        <w:rPr>
          <w:rFonts w:asciiTheme="majorHAnsi" w:hAnsiTheme="majorHAnsi" w:cstheme="majorHAnsi"/>
          <w:noProof/>
        </w:rPr>
        <w:t>ram-negative pathogens</w:t>
      </w:r>
      <w:r w:rsidR="001B49C1">
        <w:rPr>
          <w:rFonts w:asciiTheme="majorHAnsi" w:hAnsiTheme="majorHAnsi" w:cstheme="majorHAnsi"/>
          <w:noProof/>
        </w:rPr>
        <w:t xml:space="preserve"> </w:t>
      </w:r>
      <w:r w:rsidR="00413D78">
        <w:rPr>
          <w:rFonts w:asciiTheme="majorHAnsi" w:hAnsiTheme="majorHAnsi" w:cstheme="majorHAnsi"/>
          <w:noProof/>
        </w:rPr>
        <w:t>represent an</w:t>
      </w:r>
      <w:r w:rsidR="001B49C1">
        <w:rPr>
          <w:rFonts w:asciiTheme="majorHAnsi" w:hAnsiTheme="majorHAnsi" w:cstheme="majorHAnsi"/>
          <w:noProof/>
        </w:rPr>
        <w:t xml:space="preserve"> u</w:t>
      </w:r>
      <w:r w:rsidR="00123B60">
        <w:rPr>
          <w:rFonts w:asciiTheme="majorHAnsi" w:hAnsiTheme="majorHAnsi" w:cstheme="majorHAnsi"/>
          <w:noProof/>
        </w:rPr>
        <w:t>rgent unmet need</w:t>
      </w:r>
      <w:r w:rsidR="00BA0889">
        <w:rPr>
          <w:rFonts w:asciiTheme="majorHAnsi" w:hAnsiTheme="majorHAnsi" w:cstheme="majorHAnsi"/>
          <w:noProof/>
        </w:rPr>
        <w:t xml:space="preserve">.  </w:t>
      </w:r>
      <w:r w:rsidR="00413D78">
        <w:rPr>
          <w:rFonts w:asciiTheme="majorHAnsi" w:hAnsiTheme="majorHAnsi" w:cstheme="majorHAnsi"/>
          <w:noProof/>
        </w:rPr>
        <w:t>The incidence of ESBLs</w:t>
      </w:r>
      <w:r w:rsidR="00ED05C3">
        <w:rPr>
          <w:rFonts w:asciiTheme="majorHAnsi" w:hAnsiTheme="majorHAnsi" w:cstheme="majorHAnsi"/>
          <w:noProof/>
        </w:rPr>
        <w:t xml:space="preserve"> in </w:t>
      </w:r>
      <w:r w:rsidR="00ED05C3" w:rsidRPr="00ED05C3">
        <w:rPr>
          <w:rFonts w:asciiTheme="majorHAnsi" w:hAnsiTheme="majorHAnsi" w:cstheme="majorHAnsi"/>
          <w:i/>
          <w:noProof/>
        </w:rPr>
        <w:t>E. coli</w:t>
      </w:r>
      <w:r w:rsidR="00ED05C3">
        <w:rPr>
          <w:rFonts w:asciiTheme="majorHAnsi" w:hAnsiTheme="majorHAnsi" w:cstheme="majorHAnsi"/>
          <w:noProof/>
        </w:rPr>
        <w:t xml:space="preserve"> and </w:t>
      </w:r>
      <w:r w:rsidR="00ED05C3" w:rsidRPr="00036F8D">
        <w:rPr>
          <w:rFonts w:asciiTheme="majorHAnsi" w:hAnsiTheme="majorHAnsi" w:cstheme="majorHAnsi"/>
          <w:i/>
          <w:noProof/>
        </w:rPr>
        <w:t>K. pneumoniae</w:t>
      </w:r>
      <w:r w:rsidR="00413D78">
        <w:rPr>
          <w:rFonts w:asciiTheme="majorHAnsi" w:hAnsiTheme="majorHAnsi" w:cstheme="majorHAnsi"/>
          <w:noProof/>
        </w:rPr>
        <w:t xml:space="preserve"> is </w:t>
      </w:r>
      <w:r w:rsidR="00B7325A">
        <w:rPr>
          <w:rFonts w:asciiTheme="majorHAnsi" w:hAnsiTheme="majorHAnsi" w:cstheme="majorHAnsi"/>
          <w:noProof/>
        </w:rPr>
        <w:t>14</w:t>
      </w:r>
      <w:r w:rsidR="00413D78">
        <w:rPr>
          <w:rFonts w:asciiTheme="majorHAnsi" w:hAnsiTheme="majorHAnsi" w:cstheme="majorHAnsi"/>
          <w:noProof/>
        </w:rPr>
        <w:t>-</w:t>
      </w:r>
      <w:r w:rsidR="00B7325A">
        <w:rPr>
          <w:rFonts w:asciiTheme="majorHAnsi" w:hAnsiTheme="majorHAnsi" w:cstheme="majorHAnsi"/>
          <w:noProof/>
        </w:rPr>
        <w:t>23%</w:t>
      </w:r>
      <w:r w:rsidR="00413D78">
        <w:rPr>
          <w:rFonts w:asciiTheme="majorHAnsi" w:hAnsiTheme="majorHAnsi" w:cstheme="majorHAnsi"/>
          <w:noProof/>
        </w:rPr>
        <w:t xml:space="preserve"> in a wide range of healthcare settings</w:t>
      </w:r>
      <w:r w:rsidR="0044455D">
        <w:rPr>
          <w:rFonts w:asciiTheme="majorHAnsi" w:hAnsiTheme="majorHAnsi" w:cstheme="majorHAnsi"/>
          <w:noProof/>
        </w:rPr>
        <w:t xml:space="preserve"> </w:t>
      </w:r>
      <w:r w:rsidR="0044455D">
        <w:rPr>
          <w:rFonts w:asciiTheme="majorHAnsi" w:hAnsiTheme="majorHAnsi" w:cstheme="majorHAnsi"/>
          <w:noProof/>
        </w:rPr>
        <w:fldChar w:fldCharType="begin" w:fldLock="1"/>
      </w:r>
      <w:r w:rsidR="00D33D61">
        <w:rPr>
          <w:rFonts w:asciiTheme="majorHAnsi" w:hAnsiTheme="majorHAnsi" w:cstheme="majorHAnsi"/>
          <w:noProof/>
        </w:rPr>
        <w:instrText>ADDIN CSL_CITATION {"citationItems":[{"id":"ITEM-1","itemData":{"DOI":"CS239559-B","ISBN":"9780387893693","ISSN":"10985530","PMID":"988911","abstract":"ANTIBIOTIC RESISTANCE THREATS IN THE UNITED STATES, 2013 Executive Summary Antibiotic Resistance Threats in the United States, 2013 is a snapshot of the complex problem of antibiotic resistance today and the potentially catastrophic consequences of inaction. The overriding purpose of this report is to increase awareness of the threat that antibiotic resistance poses and to encourage immediate action to address the threat. This document can serve as a reference for anyone looking for information about antibiotic resistance. It is specifically designed to be accessible to many audiences. For more technical information, references and links are provided. This report covers bacteria causing severe human infections and the antibiotics used to treat those infections. In addition, Candida, a fungus that commonly causes serious illness, especially among hospital patients, is included because it, too, is showing increasing resistance to the drugs used for treatment. When discussing the pathogens included in this report, Candida will be included when referencing “bacteria” for simplicity. Also, infections caused by the bacteria Clostridium difficile (C. difficile) are also included in this report. Although C. difficile infections are not yet significantly resistant to the drugs used to treat them, most are directly related to antibiotic use and thousands of Americans are affected each year. Drug resistance related to viruses such as HIV and influenza is not included, nor is drug resistance among parasites such as those that cause malaria. These are important problems but are beyond the scope of this report. The report consists of multiple one or two page summaries of cross-cutting and bacteria- specific antibiotic resistance topics. The first section provides context and an overview of antibiotic resistance in the United States. In addition to giving a national assessment of the most dangerous antibiotic resistance threats, it summarizes what is known about the burden of illness, level of concern, and antibiotics left to defend against these infections. This first section also includes some basic background information, such as fact sheets about antibiotic safety and the harmful impact that resistance can have on high-risk groups, including those with chronic illnesses such as cancer. CDC estimates that in the United States, more than two million people are sickened every year with antibiotic-resistant infections, with at least 23,000 dying as a result. The estim…","author":[{"dropping-particle":"","family":"CDC","given":"","non-dropping-particle":"","parse-names":false,"suffix":""}],"container-title":"Cdc","id":"ITEM-1","issued":{"date-parts":[["2013"]]},"page":"22-50","title":"Antibiotic Resistance Threats","type":"article-journal"},"uris":["http://www.mendeley.com/documents/?uuid=3dd0d0d3-ac9f-4a2e-bd17-749f683989b4"]},{"id":"ITEM-2","itemData":{"ISBN":"9789294982797","author":[{"dropping-particle":"","family":"Report","given":"Surveillance","non-dropping-particle":"","parse-names":false,"suffix":""}],"id":"ITEM-2","issued":{"date-parts":[["2017"]]},"title":"SURVEILLANCE REPORT. Surveillance of antimicrobial resistance in Europe 2016","type":"book"},"uris":["http://www.mendeley.com/documents/?uuid=ed24803e-f65b-4a69-a460-8c1c8d6cb70a"]}],"mendeley":{"formattedCitation":"(1, 2)","plainTextFormattedCitation":"(1, 2)","previouslyFormattedCitation":"(1, 2)"},"properties":{"noteIndex":0},"schema":"https://github.com/citation-style-language/schema/raw/master/csl-citation.json"}</w:instrText>
      </w:r>
      <w:r w:rsidR="0044455D">
        <w:rPr>
          <w:rFonts w:asciiTheme="majorHAnsi" w:hAnsiTheme="majorHAnsi" w:cstheme="majorHAnsi"/>
          <w:noProof/>
        </w:rPr>
        <w:fldChar w:fldCharType="separate"/>
      </w:r>
      <w:r w:rsidR="00227B1A" w:rsidRPr="00227B1A">
        <w:rPr>
          <w:rFonts w:asciiTheme="majorHAnsi" w:hAnsiTheme="majorHAnsi" w:cstheme="majorHAnsi"/>
          <w:noProof/>
        </w:rPr>
        <w:t>(1, 2)</w:t>
      </w:r>
      <w:r w:rsidR="0044455D">
        <w:rPr>
          <w:rFonts w:asciiTheme="majorHAnsi" w:hAnsiTheme="majorHAnsi" w:cstheme="majorHAnsi"/>
          <w:noProof/>
        </w:rPr>
        <w:fldChar w:fldCharType="end"/>
      </w:r>
      <w:r w:rsidR="00413D78">
        <w:rPr>
          <w:rFonts w:asciiTheme="majorHAnsi" w:hAnsiTheme="majorHAnsi" w:cstheme="majorHAnsi"/>
          <w:noProof/>
        </w:rPr>
        <w:t>.  Infections caused by ESBL</w:t>
      </w:r>
      <w:r w:rsidR="00991143">
        <w:rPr>
          <w:rFonts w:asciiTheme="majorHAnsi" w:hAnsiTheme="majorHAnsi" w:cstheme="majorHAnsi"/>
          <w:noProof/>
        </w:rPr>
        <w:t>-producing</w:t>
      </w:r>
      <w:r w:rsidR="00413D78">
        <w:rPr>
          <w:rFonts w:asciiTheme="majorHAnsi" w:hAnsiTheme="majorHAnsi" w:cstheme="majorHAnsi"/>
          <w:noProof/>
        </w:rPr>
        <w:t xml:space="preserve"> pathogens are generally treated with a</w:t>
      </w:r>
      <w:r w:rsidR="000B0438">
        <w:rPr>
          <w:rFonts w:asciiTheme="majorHAnsi" w:hAnsiTheme="majorHAnsi" w:cstheme="majorHAnsi"/>
          <w:noProof/>
        </w:rPr>
        <w:t>n</w:t>
      </w:r>
      <w:r w:rsidR="00413D78">
        <w:rPr>
          <w:rFonts w:asciiTheme="majorHAnsi" w:hAnsiTheme="majorHAnsi" w:cstheme="majorHAnsi"/>
          <w:noProof/>
        </w:rPr>
        <w:t xml:space="preserve"> </w:t>
      </w:r>
      <w:r w:rsidR="000B0438">
        <w:rPr>
          <w:rFonts w:asciiTheme="majorHAnsi" w:hAnsiTheme="majorHAnsi" w:cstheme="majorHAnsi"/>
          <w:noProof/>
        </w:rPr>
        <w:t xml:space="preserve">agent from the </w:t>
      </w:r>
      <w:r w:rsidR="00413D78">
        <w:rPr>
          <w:rFonts w:asciiTheme="majorHAnsi" w:hAnsiTheme="majorHAnsi" w:cstheme="majorHAnsi"/>
          <w:noProof/>
        </w:rPr>
        <w:t>carbapenem, q</w:t>
      </w:r>
      <w:r w:rsidR="00E86D26">
        <w:rPr>
          <w:rFonts w:asciiTheme="majorHAnsi" w:hAnsiTheme="majorHAnsi" w:cstheme="majorHAnsi"/>
          <w:noProof/>
        </w:rPr>
        <w:t>uinolone or aminoglycoside</w:t>
      </w:r>
      <w:r w:rsidR="000B0438">
        <w:rPr>
          <w:rFonts w:asciiTheme="majorHAnsi" w:hAnsiTheme="majorHAnsi" w:cstheme="majorHAnsi"/>
          <w:noProof/>
        </w:rPr>
        <w:t xml:space="preserve"> class of antibiotics</w:t>
      </w:r>
      <w:r w:rsidR="00D42863">
        <w:rPr>
          <w:rFonts w:asciiTheme="majorHAnsi" w:hAnsiTheme="majorHAnsi" w:cstheme="majorHAnsi"/>
          <w:noProof/>
        </w:rPr>
        <w:t xml:space="preserve"> </w:t>
      </w:r>
      <w:r w:rsidR="00D42863">
        <w:rPr>
          <w:rFonts w:asciiTheme="majorHAnsi" w:hAnsiTheme="majorHAnsi" w:cstheme="majorHAnsi"/>
          <w:noProof/>
        </w:rPr>
        <w:fldChar w:fldCharType="begin" w:fldLock="1"/>
      </w:r>
      <w:r w:rsidR="00D33D61">
        <w:rPr>
          <w:rFonts w:asciiTheme="majorHAnsi" w:hAnsiTheme="majorHAnsi" w:cstheme="majorHAnsi"/>
          <w:noProof/>
        </w:rPr>
        <w:instrText>ADDIN CSL_CITATION {"citationItems":[{"id":"ITEM-1","itemData":{"DOI":"10.1128/AAC.00752-06","ISBN":"0066-4804 (Print)\\r0066-4804 (Linking)","ISSN":"00664804","PMID":"17283197","abstract":"The purpose of this study was to examine the in vivo efficacies of meropenem and ertapenem against extended-spectrum-beta-lactamase (ESBL)-producing isolates with a wide range of MICs. Human-simulated dosing regimens in mice were designed to approximate the free drug percent time above the MIC (fT&gt;MIC) observed for humans following meropenem at 1 g every 8 h and ertapenem at 1 g every 24 h. An in vivo neutropenic mouse thigh infection model was used to examine the bactericidal effects against 31 clinical ESBL Escherichia coli and Klebsiella pneumoniae isolates and 2 non-ESBL isolates included for comparison at a standard 10(5) inoculum. Three isolates were examined at a high 10(7) inoculum as well. Meropenem displayed greater in vitro potency, with a median MIC (range) (microg/ml) of 0.125 (0.03 to 32), than did ertapenem, with 0.5 (0.012 to 128). Seven of the 31 ESBL isolates were removed from the efficacy analysis due to their inability to establish infection in the mouse model. When MICs were&lt;or=1.5 microg/ml for ertapenem (&lt;or=0.5 microg/ml for meropenem), similar reductions in CFU (approximately 2-log kill) were observed for both ertapenem (fT&gt;MIC&gt;or=23%) and meropenem (fT&gt;MIC&gt;or=75%). Ertapenem showed bacterial regrowth for seven of eight isolates, with MICs of&gt;or=2 microg/ml (fT&gt;MIC&lt;or=20%), while meropenem displayed antibacterial potency that varied from a static effect to a 1-log bacterial reduction in these isolates (fT&gt;MIC=30 to 65%). At a 10(7) inoculum, both agents eradicated bacteria due to adequate exposures (fT&gt;MIC=20 to 45%). Due to low MICs, no difference in bacterial kill was noted for the majority of ESBL isolates tested. However, for isolates with raised ertapenem MICs of&gt;or=2 microg/ml, meropenem displayed sustained efficacy due to its greater in vitro potency and higher resultant fT&gt;MIC.","author":[{"dropping-particle":"","family":"DeRyke","given":"C. Andrew","non-dropping-particle":"","parse-names":false,"suffix":""},{"dropping-particle":"","family":"Banevicius","given":"Mary Anne","non-dropping-particle":"","parse-names":false,"suffix":""},{"dropping-particle":"","family":"Fan","given":"Hong Wei","non-dropping-particle":"","parse-names":false,"suffix":""},{"dropping-particle":"","family":"Nicolau","given":"David P.","non-dropping-particle":"","parse-names":false,"suffix":""}],"container-title":"Antimicrobial Agents and Chemotherapy","id":"ITEM-1","issue":"4","issued":{"date-parts":[["2007"]]},"page":"1481-1486","title":"Bactericidal activities of meropenem and ertapenem against extended-spectrum-β-lactamase-producing Escherichia coli and Klebsiella pneumoniae in a neutropenic mouse thigh model","type":"article-journal","volume":"51"},"uris":["http://www.mendeley.com/documents/?uuid=34f14fc5-25d5-4de5-a2ee-921fa128b6be"]}],"mendeley":{"formattedCitation":"(3)","plainTextFormattedCitation":"(3)","previouslyFormattedCitation":"(3)"},"properties":{"noteIndex":0},"schema":"https://github.com/citation-style-language/schema/raw/master/csl-citation.json"}</w:instrText>
      </w:r>
      <w:r w:rsidR="00D42863">
        <w:rPr>
          <w:rFonts w:asciiTheme="majorHAnsi" w:hAnsiTheme="majorHAnsi" w:cstheme="majorHAnsi"/>
          <w:noProof/>
        </w:rPr>
        <w:fldChar w:fldCharType="separate"/>
      </w:r>
      <w:r w:rsidR="00227B1A" w:rsidRPr="00227B1A">
        <w:rPr>
          <w:rFonts w:asciiTheme="majorHAnsi" w:hAnsiTheme="majorHAnsi" w:cstheme="majorHAnsi"/>
          <w:noProof/>
        </w:rPr>
        <w:t>(3)</w:t>
      </w:r>
      <w:r w:rsidR="00D42863">
        <w:rPr>
          <w:rFonts w:asciiTheme="majorHAnsi" w:hAnsiTheme="majorHAnsi" w:cstheme="majorHAnsi"/>
          <w:noProof/>
        </w:rPr>
        <w:fldChar w:fldCharType="end"/>
      </w:r>
      <w:r w:rsidR="00E86D26">
        <w:rPr>
          <w:rFonts w:asciiTheme="majorHAnsi" w:hAnsiTheme="majorHAnsi" w:cstheme="majorHAnsi"/>
          <w:noProof/>
        </w:rPr>
        <w:t xml:space="preserve">.  Unfortunately, however, </w:t>
      </w:r>
      <w:r w:rsidR="005C033B">
        <w:rPr>
          <w:rFonts w:asciiTheme="majorHAnsi" w:hAnsiTheme="majorHAnsi" w:cstheme="majorHAnsi"/>
          <w:noProof/>
        </w:rPr>
        <w:t>55-100</w:t>
      </w:r>
      <w:r w:rsidR="00E86D26">
        <w:rPr>
          <w:rFonts w:asciiTheme="majorHAnsi" w:hAnsiTheme="majorHAnsi" w:cstheme="majorHAnsi"/>
          <w:noProof/>
        </w:rPr>
        <w:t>% of Gram</w:t>
      </w:r>
      <w:r w:rsidR="005C033B">
        <w:rPr>
          <w:rFonts w:asciiTheme="majorHAnsi" w:hAnsiTheme="majorHAnsi" w:cstheme="majorHAnsi"/>
          <w:noProof/>
        </w:rPr>
        <w:t>-</w:t>
      </w:r>
      <w:r w:rsidR="00E86D26">
        <w:rPr>
          <w:rFonts w:asciiTheme="majorHAnsi" w:hAnsiTheme="majorHAnsi" w:cstheme="majorHAnsi"/>
          <w:noProof/>
        </w:rPr>
        <w:t xml:space="preserve">negative pathogens harboring ESBLs </w:t>
      </w:r>
      <w:r w:rsidR="005C033B">
        <w:rPr>
          <w:rFonts w:asciiTheme="majorHAnsi" w:hAnsiTheme="majorHAnsi" w:cstheme="majorHAnsi"/>
          <w:noProof/>
        </w:rPr>
        <w:t xml:space="preserve">have been reported as </w:t>
      </w:r>
      <w:r w:rsidR="00E86D26">
        <w:rPr>
          <w:rFonts w:asciiTheme="majorHAnsi" w:hAnsiTheme="majorHAnsi" w:cstheme="majorHAnsi"/>
          <w:noProof/>
        </w:rPr>
        <w:t>also</w:t>
      </w:r>
      <w:r w:rsidR="005C033B">
        <w:rPr>
          <w:rFonts w:asciiTheme="majorHAnsi" w:hAnsiTheme="majorHAnsi" w:cstheme="majorHAnsi"/>
          <w:noProof/>
        </w:rPr>
        <w:t xml:space="preserve"> being</w:t>
      </w:r>
      <w:r w:rsidR="00E86D26">
        <w:rPr>
          <w:rFonts w:asciiTheme="majorHAnsi" w:hAnsiTheme="majorHAnsi" w:cstheme="majorHAnsi"/>
          <w:noProof/>
        </w:rPr>
        <w:t xml:space="preserve"> resistant </w:t>
      </w:r>
      <w:r w:rsidR="004379D5">
        <w:rPr>
          <w:rFonts w:asciiTheme="majorHAnsi" w:hAnsiTheme="majorHAnsi" w:cstheme="majorHAnsi"/>
          <w:noProof/>
        </w:rPr>
        <w:t xml:space="preserve">to </w:t>
      </w:r>
      <w:r w:rsidR="00E86D26">
        <w:rPr>
          <w:rFonts w:asciiTheme="majorHAnsi" w:hAnsiTheme="majorHAnsi" w:cstheme="majorHAnsi"/>
          <w:noProof/>
        </w:rPr>
        <w:t>quinolones</w:t>
      </w:r>
      <w:r w:rsidR="005C033B">
        <w:rPr>
          <w:rFonts w:asciiTheme="majorHAnsi" w:hAnsiTheme="majorHAnsi" w:cstheme="majorHAnsi"/>
          <w:noProof/>
        </w:rPr>
        <w:t xml:space="preserve"> </w:t>
      </w:r>
      <w:r w:rsidR="005C033B">
        <w:rPr>
          <w:rFonts w:asciiTheme="majorHAnsi" w:hAnsiTheme="majorHAnsi" w:cstheme="majorHAnsi"/>
          <w:noProof/>
        </w:rPr>
        <w:fldChar w:fldCharType="begin" w:fldLock="1"/>
      </w:r>
      <w:r w:rsidR="00D33D61">
        <w:rPr>
          <w:rFonts w:asciiTheme="majorHAnsi" w:hAnsiTheme="majorHAnsi" w:cstheme="majorHAnsi"/>
          <w:noProof/>
        </w:rPr>
        <w:instrText>ADDIN CSL_CITATION {"citationItems":[{"id":"ITEM-1","itemData":{"author":[{"dropping-particle":"","family":"Pitout","given":"Johann D D","non-dropping-particle":"","parse-names":false,"suffix":""}],"id":"ITEM-1","issue":"3","issued":{"date-parts":[["2010"]]},"page":"313-333","title":"Infections with Extended-Spectrum b -Lactamase-Producing Enterobacteriaceae Changing Epidemiology and Drug Treatment Choices","type":"article-journal","volume":"70"},"uris":["http://www.mendeley.com/documents/?uuid=9fa60519-48e4-4c21-b554-85b32839793a"]},{"id":"ITEM-2","itemData":{"DOI":"10.1186/2047-2994-3-9","author":[{"dropping-particle":"","family":"Kassakian","given":"Steven Z","non-dropping-particle":"","parse-names":false,"suffix":""},{"dropping-particle":"","family":"Mermel","given":"Leonard A","non-dropping-particle":"","parse-names":false,"suffix":""}],"id":"ITEM-2","issue":"1","issued":{"date-parts":[["2014"]]},"page":"1-6","title":"Changing epidemiology of infections due to extended spectrum beta-lactamase producing bacteria","type":"article-journal","volume":"3"},"uris":["http://www.mendeley.com/documents/?uuid=31dbb2b9-d4cf-4e6d-8cf3-9630c27bff3c"]}],"mendeley":{"formattedCitation":"(4, 5)","plainTextFormattedCitation":"(4, 5)","previouslyFormattedCitation":"(4, 5)"},"properties":{"noteIndex":0},"schema":"https://github.com/citation-style-language/schema/raw/master/csl-citation.json"}</w:instrText>
      </w:r>
      <w:r w:rsidR="005C033B">
        <w:rPr>
          <w:rFonts w:asciiTheme="majorHAnsi" w:hAnsiTheme="majorHAnsi" w:cstheme="majorHAnsi"/>
          <w:noProof/>
        </w:rPr>
        <w:fldChar w:fldCharType="separate"/>
      </w:r>
      <w:r w:rsidR="00227B1A" w:rsidRPr="00227B1A">
        <w:rPr>
          <w:rFonts w:asciiTheme="majorHAnsi" w:hAnsiTheme="majorHAnsi" w:cstheme="majorHAnsi"/>
          <w:noProof/>
        </w:rPr>
        <w:t>(4, 5)</w:t>
      </w:r>
      <w:r w:rsidR="005C033B">
        <w:rPr>
          <w:rFonts w:asciiTheme="majorHAnsi" w:hAnsiTheme="majorHAnsi" w:cstheme="majorHAnsi"/>
          <w:noProof/>
        </w:rPr>
        <w:fldChar w:fldCharType="end"/>
      </w:r>
      <w:r w:rsidR="00716B97">
        <w:rPr>
          <w:rFonts w:asciiTheme="majorHAnsi" w:hAnsiTheme="majorHAnsi" w:cstheme="majorHAnsi"/>
          <w:noProof/>
        </w:rPr>
        <w:t xml:space="preserve"> and c</w:t>
      </w:r>
      <w:r w:rsidR="0044587F">
        <w:rPr>
          <w:rFonts w:asciiTheme="majorHAnsi" w:hAnsiTheme="majorHAnsi" w:cstheme="majorHAnsi"/>
          <w:noProof/>
        </w:rPr>
        <w:t xml:space="preserve">o-resistance to trimethoprim-sulfamethoxazole (TMP-SMX) is also common </w:t>
      </w:r>
      <w:r w:rsidR="0044587F">
        <w:rPr>
          <w:rFonts w:asciiTheme="majorHAnsi" w:hAnsiTheme="majorHAnsi" w:cstheme="majorHAnsi"/>
          <w:noProof/>
        </w:rPr>
        <w:fldChar w:fldCharType="begin" w:fldLock="1"/>
      </w:r>
      <w:r w:rsidR="00F10449">
        <w:rPr>
          <w:rFonts w:asciiTheme="majorHAnsi" w:hAnsiTheme="majorHAnsi" w:cstheme="majorHAnsi"/>
          <w:noProof/>
        </w:rPr>
        <w:instrText xml:space="preserve">ADDIN CSL_CITATION {"citationItems":[{"id":"ITEM-1","itemData":{"DOI":"10.1128/AAC.00155-06","ISBN":"3491336880","author":[{"dropping-particle":"","family":"Coque","given":"Teresa M","non-dropping-particle":"","parse-names":false,"suffix":""},{"dropping-particle":"","family":"Loza","given":"Elena","non-dropping-particle":"","parse-names":false,"suffix":""},{"dropping-particle":"","family":"Baquero","given":"Fernando","non-dropping-particle":"","parse-names":false,"suffix":""},{"dropping-particle":"","family":"Canto","given":"Rafael","non-dropping-particle":"","parse-names":false,"suffix":""}],"id":"ITEM-1","issue":"8","issued":{"date-parts":[["2006"]]},"page":"2695-2699","title":"Antibiotic Coresistance in Extended-Spectrum- </w:instrText>
      </w:r>
      <w:r w:rsidR="00F10449">
        <w:rPr>
          <w:rFonts w:ascii="Segoe UI Symbol" w:hAnsi="Segoe UI Symbol" w:cs="Segoe UI Symbol"/>
          <w:noProof/>
        </w:rPr>
        <w:instrText>␤</w:instrText>
      </w:r>
      <w:r w:rsidR="00F10449">
        <w:rPr>
          <w:rFonts w:asciiTheme="majorHAnsi" w:hAnsiTheme="majorHAnsi" w:cstheme="majorHAnsi"/>
          <w:noProof/>
        </w:rPr>
        <w:instrText xml:space="preserve"> -Lactamase-Producing Enterobacteriaceae and In Vitro Activity of Tigecycline","type":"article-journal","volume":"50"},"uris":["http://www.mendeley.com/documents/?uuid=93449172-f7f4-4f2e-b401-5cbceb8022c7"]}],"mendeley":{"formattedCitation":"(6)","plainTextFormattedCitation":"(6)","previouslyFormattedCitation":"(6)"},"properties":{"noteIndex":0},"schema":"https://github.com/citation-style-language/schema/raw/master/csl-citation.json"}</w:instrText>
      </w:r>
      <w:r w:rsidR="0044587F">
        <w:rPr>
          <w:rFonts w:asciiTheme="majorHAnsi" w:hAnsiTheme="majorHAnsi" w:cstheme="majorHAnsi"/>
          <w:noProof/>
        </w:rPr>
        <w:fldChar w:fldCharType="separate"/>
      </w:r>
      <w:r w:rsidR="0044587F" w:rsidRPr="0044587F">
        <w:rPr>
          <w:rFonts w:asciiTheme="majorHAnsi" w:hAnsiTheme="majorHAnsi" w:cstheme="majorHAnsi"/>
          <w:noProof/>
        </w:rPr>
        <w:t>(6)</w:t>
      </w:r>
      <w:r w:rsidR="0044587F">
        <w:rPr>
          <w:rFonts w:asciiTheme="majorHAnsi" w:hAnsiTheme="majorHAnsi" w:cstheme="majorHAnsi"/>
          <w:noProof/>
        </w:rPr>
        <w:fldChar w:fldCharType="end"/>
      </w:r>
      <w:r w:rsidR="0044587F">
        <w:rPr>
          <w:rFonts w:asciiTheme="majorHAnsi" w:hAnsiTheme="majorHAnsi" w:cstheme="majorHAnsi"/>
          <w:noProof/>
        </w:rPr>
        <w:t xml:space="preserve">.  </w:t>
      </w:r>
      <w:r w:rsidR="00E86D26">
        <w:rPr>
          <w:rFonts w:asciiTheme="majorHAnsi" w:hAnsiTheme="majorHAnsi" w:cstheme="majorHAnsi"/>
          <w:noProof/>
        </w:rPr>
        <w:t>Hence, there are few options for oral therapy</w:t>
      </w:r>
      <w:r w:rsidR="00A15A38">
        <w:rPr>
          <w:rFonts w:asciiTheme="majorHAnsi" w:hAnsiTheme="majorHAnsi" w:cstheme="majorHAnsi"/>
          <w:noProof/>
        </w:rPr>
        <w:t xml:space="preserve">, which </w:t>
      </w:r>
      <w:r w:rsidR="000B0438">
        <w:rPr>
          <w:rFonts w:asciiTheme="majorHAnsi" w:hAnsiTheme="majorHAnsi" w:cstheme="majorHAnsi"/>
          <w:noProof/>
        </w:rPr>
        <w:t xml:space="preserve">then </w:t>
      </w:r>
      <w:r w:rsidR="00A15A38">
        <w:rPr>
          <w:rFonts w:asciiTheme="majorHAnsi" w:hAnsiTheme="majorHAnsi" w:cstheme="majorHAnsi"/>
          <w:noProof/>
        </w:rPr>
        <w:t>requires the placement of an</w:t>
      </w:r>
      <w:r w:rsidR="00C16DC4">
        <w:rPr>
          <w:rFonts w:asciiTheme="majorHAnsi" w:hAnsiTheme="majorHAnsi" w:cstheme="majorHAnsi"/>
          <w:noProof/>
        </w:rPr>
        <w:t xml:space="preserve"> i.v.</w:t>
      </w:r>
      <w:r w:rsidR="00A15A38">
        <w:rPr>
          <w:rFonts w:asciiTheme="majorHAnsi" w:hAnsiTheme="majorHAnsi" w:cstheme="majorHAnsi"/>
          <w:noProof/>
        </w:rPr>
        <w:t xml:space="preserve"> line and admininstration of parenteral antibiotics</w:t>
      </w:r>
      <w:r w:rsidR="00E86D26">
        <w:rPr>
          <w:rFonts w:asciiTheme="majorHAnsi" w:hAnsiTheme="majorHAnsi" w:cstheme="majorHAnsi"/>
          <w:noProof/>
        </w:rPr>
        <w:t>.  New orally biovailable agents with activity against ESBLs and quinolone</w:t>
      </w:r>
      <w:r w:rsidR="00C16DC4">
        <w:rPr>
          <w:rFonts w:asciiTheme="majorHAnsi" w:hAnsiTheme="majorHAnsi" w:cstheme="majorHAnsi"/>
          <w:noProof/>
        </w:rPr>
        <w:t>-</w:t>
      </w:r>
      <w:r w:rsidR="00E86D26">
        <w:rPr>
          <w:rFonts w:asciiTheme="majorHAnsi" w:hAnsiTheme="majorHAnsi" w:cstheme="majorHAnsi"/>
          <w:noProof/>
        </w:rPr>
        <w:t>resistant Gram</w:t>
      </w:r>
      <w:r w:rsidR="00C16DC4">
        <w:rPr>
          <w:rFonts w:asciiTheme="majorHAnsi" w:hAnsiTheme="majorHAnsi" w:cstheme="majorHAnsi"/>
          <w:noProof/>
        </w:rPr>
        <w:t>-</w:t>
      </w:r>
      <w:r w:rsidR="00E86D26">
        <w:rPr>
          <w:rFonts w:asciiTheme="majorHAnsi" w:hAnsiTheme="majorHAnsi" w:cstheme="majorHAnsi"/>
          <w:noProof/>
        </w:rPr>
        <w:t xml:space="preserve">negatives </w:t>
      </w:r>
      <w:r w:rsidR="00E86D26">
        <w:rPr>
          <w:rFonts w:asciiTheme="majorHAnsi" w:hAnsiTheme="majorHAnsi" w:cstheme="majorHAnsi"/>
        </w:rPr>
        <w:t xml:space="preserve">would </w:t>
      </w:r>
      <w:r w:rsidR="00A15A38">
        <w:rPr>
          <w:rFonts w:asciiTheme="majorHAnsi" w:hAnsiTheme="majorHAnsi" w:cstheme="majorHAnsi"/>
        </w:rPr>
        <w:t xml:space="preserve">minimise the use of i.v. lines and </w:t>
      </w:r>
      <w:r w:rsidR="00E86D26">
        <w:rPr>
          <w:rFonts w:asciiTheme="majorHAnsi" w:hAnsiTheme="majorHAnsi" w:cstheme="majorHAnsi"/>
        </w:rPr>
        <w:t xml:space="preserve">facilitate management of complex infections in ambulatory settings. </w:t>
      </w:r>
      <w:r w:rsidR="00E86D26">
        <w:rPr>
          <w:rFonts w:asciiTheme="majorHAnsi" w:hAnsiTheme="majorHAnsi" w:cstheme="majorHAnsi"/>
          <w:noProof/>
        </w:rPr>
        <w:t xml:space="preserve"> </w:t>
      </w:r>
    </w:p>
    <w:p w14:paraId="423296F4" w14:textId="24327419" w:rsidR="00F26CBB" w:rsidRPr="009717C2" w:rsidRDefault="003A0746" w:rsidP="00F86EC5">
      <w:pPr>
        <w:pStyle w:val="EndNoteBibliography"/>
        <w:rPr>
          <w:rFonts w:asciiTheme="majorHAnsi" w:hAnsiTheme="majorHAnsi" w:cstheme="majorHAnsi"/>
          <w:noProof/>
        </w:rPr>
      </w:pPr>
      <w:r>
        <w:rPr>
          <w:rFonts w:asciiTheme="majorHAnsi" w:hAnsiTheme="majorHAnsi" w:cstheme="majorHAnsi"/>
          <w:noProof/>
        </w:rPr>
        <w:tab/>
        <w:t>Tebipenem pivoxil (TBPM-PI</w:t>
      </w:r>
      <w:r w:rsidR="00E86D26">
        <w:rPr>
          <w:rFonts w:asciiTheme="majorHAnsi" w:hAnsiTheme="majorHAnsi" w:cstheme="majorHAnsi"/>
          <w:noProof/>
        </w:rPr>
        <w:t>; Or</w:t>
      </w:r>
      <w:r w:rsidR="006B4A50">
        <w:rPr>
          <w:rFonts w:asciiTheme="majorHAnsi" w:hAnsiTheme="majorHAnsi" w:cstheme="majorHAnsi"/>
          <w:noProof/>
        </w:rPr>
        <w:t>a</w:t>
      </w:r>
      <w:r w:rsidR="00E86D26">
        <w:rPr>
          <w:rFonts w:asciiTheme="majorHAnsi" w:hAnsiTheme="majorHAnsi" w:cstheme="majorHAnsi"/>
          <w:noProof/>
        </w:rPr>
        <w:t>penem</w:t>
      </w:r>
      <w:r>
        <w:rPr>
          <w:rFonts w:asciiTheme="majorHAnsi" w:hAnsiTheme="majorHAnsi" w:cstheme="majorHAnsi"/>
          <w:noProof/>
        </w:rPr>
        <w:t>)</w:t>
      </w:r>
      <w:r w:rsidR="00B17B4F">
        <w:rPr>
          <w:rFonts w:asciiTheme="majorHAnsi" w:hAnsiTheme="majorHAnsi" w:cstheme="majorHAnsi"/>
          <w:noProof/>
        </w:rPr>
        <w:t xml:space="preserve"> </w:t>
      </w:r>
      <w:r w:rsidR="00690012" w:rsidRPr="00937E78">
        <w:rPr>
          <w:rFonts w:asciiTheme="majorHAnsi" w:hAnsiTheme="majorHAnsi" w:cstheme="majorHAnsi"/>
          <w:noProof/>
        </w:rPr>
        <w:t>is a broad</w:t>
      </w:r>
      <w:r w:rsidR="00E21CAB">
        <w:rPr>
          <w:rFonts w:asciiTheme="majorHAnsi" w:hAnsiTheme="majorHAnsi" w:cstheme="majorHAnsi"/>
          <w:noProof/>
        </w:rPr>
        <w:t>-</w:t>
      </w:r>
      <w:r w:rsidR="00690012" w:rsidRPr="00937E78">
        <w:rPr>
          <w:rFonts w:asciiTheme="majorHAnsi" w:hAnsiTheme="majorHAnsi" w:cstheme="majorHAnsi"/>
          <w:noProof/>
        </w:rPr>
        <w:t>spectrum</w:t>
      </w:r>
      <w:r w:rsidR="00690012">
        <w:rPr>
          <w:rFonts w:asciiTheme="majorHAnsi" w:hAnsiTheme="majorHAnsi" w:cstheme="majorHAnsi"/>
          <w:noProof/>
        </w:rPr>
        <w:t>,</w:t>
      </w:r>
      <w:r w:rsidR="00690012" w:rsidRPr="00937E78">
        <w:rPr>
          <w:rFonts w:asciiTheme="majorHAnsi" w:hAnsiTheme="majorHAnsi" w:cstheme="majorHAnsi"/>
          <w:noProof/>
        </w:rPr>
        <w:t xml:space="preserve"> orally bioavailable carbapenem</w:t>
      </w:r>
      <w:r w:rsidR="00690012">
        <w:rPr>
          <w:rFonts w:asciiTheme="majorHAnsi" w:hAnsiTheme="majorHAnsi" w:cstheme="majorHAnsi"/>
          <w:noProof/>
        </w:rPr>
        <w:t xml:space="preserve"> that </w:t>
      </w:r>
      <w:r w:rsidR="00E86D26">
        <w:rPr>
          <w:rFonts w:asciiTheme="majorHAnsi" w:hAnsiTheme="majorHAnsi" w:cstheme="majorHAnsi"/>
          <w:noProof/>
        </w:rPr>
        <w:t xml:space="preserve">is </w:t>
      </w:r>
      <w:r w:rsidR="00E8045F">
        <w:rPr>
          <w:rFonts w:asciiTheme="majorHAnsi" w:hAnsiTheme="majorHAnsi" w:cstheme="majorHAnsi"/>
          <w:noProof/>
        </w:rPr>
        <w:t>currently</w:t>
      </w:r>
      <w:r w:rsidR="00B17B4F">
        <w:rPr>
          <w:rFonts w:asciiTheme="majorHAnsi" w:hAnsiTheme="majorHAnsi" w:cstheme="majorHAnsi"/>
          <w:noProof/>
        </w:rPr>
        <w:t xml:space="preserve"> licensed for use in Japan.</w:t>
      </w:r>
      <w:r w:rsidR="00B17B4F" w:rsidRPr="00B17B4F">
        <w:rPr>
          <w:rFonts w:asciiTheme="majorHAnsi" w:hAnsiTheme="majorHAnsi" w:cstheme="majorHAnsi"/>
          <w:noProof/>
        </w:rPr>
        <w:t xml:space="preserve"> </w:t>
      </w:r>
      <w:r w:rsidR="00B17B4F">
        <w:rPr>
          <w:rFonts w:asciiTheme="majorHAnsi" w:hAnsiTheme="majorHAnsi" w:cstheme="majorHAnsi"/>
          <w:noProof/>
        </w:rPr>
        <w:t xml:space="preserve"> </w:t>
      </w:r>
      <w:r w:rsidR="00F372AD">
        <w:rPr>
          <w:rFonts w:asciiTheme="majorHAnsi" w:hAnsiTheme="majorHAnsi" w:cstheme="majorHAnsi"/>
          <w:noProof/>
        </w:rPr>
        <w:t>Or</w:t>
      </w:r>
      <w:r w:rsidR="006B4A50">
        <w:rPr>
          <w:rFonts w:asciiTheme="majorHAnsi" w:hAnsiTheme="majorHAnsi" w:cstheme="majorHAnsi"/>
          <w:noProof/>
        </w:rPr>
        <w:t>a</w:t>
      </w:r>
      <w:r w:rsidR="00F372AD">
        <w:rPr>
          <w:rFonts w:asciiTheme="majorHAnsi" w:hAnsiTheme="majorHAnsi" w:cstheme="majorHAnsi"/>
          <w:noProof/>
        </w:rPr>
        <w:t>penem is</w:t>
      </w:r>
      <w:r w:rsidR="00B17B4F" w:rsidRPr="00937E78">
        <w:rPr>
          <w:rFonts w:asciiTheme="majorHAnsi" w:hAnsiTheme="majorHAnsi" w:cstheme="majorHAnsi"/>
          <w:noProof/>
        </w:rPr>
        <w:t xml:space="preserve"> use</w:t>
      </w:r>
      <w:r w:rsidR="00F372AD">
        <w:rPr>
          <w:rFonts w:asciiTheme="majorHAnsi" w:hAnsiTheme="majorHAnsi" w:cstheme="majorHAnsi"/>
          <w:noProof/>
        </w:rPr>
        <w:t>d</w:t>
      </w:r>
      <w:r w:rsidR="00B17B4F" w:rsidRPr="00937E78">
        <w:rPr>
          <w:rFonts w:asciiTheme="majorHAnsi" w:hAnsiTheme="majorHAnsi" w:cstheme="majorHAnsi"/>
          <w:noProof/>
        </w:rPr>
        <w:t xml:space="preserve"> </w:t>
      </w:r>
      <w:r w:rsidR="00F372AD">
        <w:rPr>
          <w:rFonts w:asciiTheme="majorHAnsi" w:hAnsiTheme="majorHAnsi" w:cstheme="majorHAnsi"/>
          <w:noProof/>
        </w:rPr>
        <w:t>for</w:t>
      </w:r>
      <w:r w:rsidR="00B17B4F" w:rsidRPr="00937E78">
        <w:rPr>
          <w:rFonts w:asciiTheme="majorHAnsi" w:hAnsiTheme="majorHAnsi" w:cstheme="majorHAnsi"/>
          <w:noProof/>
        </w:rPr>
        <w:t xml:space="preserve"> </w:t>
      </w:r>
      <w:r w:rsidR="000B0438">
        <w:rPr>
          <w:rFonts w:asciiTheme="majorHAnsi" w:hAnsiTheme="majorHAnsi" w:cstheme="majorHAnsi"/>
          <w:noProof/>
        </w:rPr>
        <w:t>ear nose and throat</w:t>
      </w:r>
      <w:r w:rsidR="000B0438" w:rsidRPr="00937E78">
        <w:rPr>
          <w:rFonts w:asciiTheme="majorHAnsi" w:hAnsiTheme="majorHAnsi" w:cstheme="majorHAnsi"/>
          <w:noProof/>
        </w:rPr>
        <w:t xml:space="preserve"> </w:t>
      </w:r>
      <w:r w:rsidR="00B17B4F" w:rsidRPr="00937E78">
        <w:rPr>
          <w:rFonts w:asciiTheme="majorHAnsi" w:hAnsiTheme="majorHAnsi" w:cstheme="majorHAnsi"/>
          <w:noProof/>
        </w:rPr>
        <w:t>and respiratory infections in p</w:t>
      </w:r>
      <w:r w:rsidR="006E0F67">
        <w:rPr>
          <w:rFonts w:asciiTheme="majorHAnsi" w:hAnsiTheme="majorHAnsi" w:cstheme="majorHAnsi"/>
          <w:noProof/>
        </w:rPr>
        <w:t>e</w:t>
      </w:r>
      <w:r w:rsidR="00B17B4F" w:rsidRPr="00937E78">
        <w:rPr>
          <w:rFonts w:asciiTheme="majorHAnsi" w:hAnsiTheme="majorHAnsi" w:cstheme="majorHAnsi"/>
          <w:noProof/>
        </w:rPr>
        <w:t>diatric patients</w:t>
      </w:r>
      <w:r w:rsidR="00B17B4F">
        <w:rPr>
          <w:rFonts w:asciiTheme="majorHAnsi" w:hAnsiTheme="majorHAnsi" w:cstheme="majorHAnsi"/>
          <w:noProof/>
        </w:rPr>
        <w:t xml:space="preserve"> </w:t>
      </w:r>
      <w:r w:rsidR="00252A6C">
        <w:rPr>
          <w:rFonts w:asciiTheme="majorHAnsi" w:hAnsiTheme="majorHAnsi" w:cstheme="majorHAnsi"/>
          <w:noProof/>
        </w:rPr>
        <w:fldChar w:fldCharType="begin" w:fldLock="1"/>
      </w:r>
      <w:r w:rsidR="00F10449">
        <w:rPr>
          <w:rFonts w:asciiTheme="majorHAnsi" w:hAnsiTheme="majorHAnsi" w:cstheme="majorHAnsi"/>
          <w:noProof/>
        </w:rPr>
        <w:instrText>ADDIN CSL_CITATION {"citationItems":[{"id":"ITEM-1","itemData":{"DOI":"10.1021/mp100130b","ISBN":"1543-8384","ISSN":"15438384","PMID":"20735088","abstract":"Tebipenem pivoxil (TBPM-PI) is an oral carbapenem antibiotic for treating otolaryngologic and respiratory infections in pediatric patients. This agent is a prodrug to improve intestinal absorption of TBPM, an active form, and an absorption rate of TBPM-PI is higher than those of other prodrug-type ?-lactam antibiotics. In the present study, we hypothesized that a certain mechanism other than simple diffusion is involved in the process of improved intestinal absorption of TBPM-PI and examined the mechanism. TBPM-PI uptake by Caco-2 cells was decreased by ATP-depletion and lowering the temperature to 4 °C, suggesting the contribution of carrier-mediated transport mechanisms. This uptake was partially decreased by ACE inhibitors, and the reduction of the absorption by captopril was observed by in vivo study and in situ single-pass intestinal perfusion study in rat, supporting the contribution of influx transporters. Since some ACE inhibitors and ?-lactam antibiotics are reported to be substrates of PEPT and OATP families, we measured transporting activity of TBPM-PI by intestinally expressed transporters, PEPT1, OATP1A2, and OATP2B1. As a result, significant transport activities were observed by both OATP1A2 and OATP2B1 but not by PEPT1. Interestingly, pH dependence of TBPM-PI transports was different between OATP1A2 and OATP2B1, showing highest activity by OATP1A2 at pH 6.5, while OATP2B1-mediated uptake was higher at neutral and weak alkaline pH. OATP1A2 exhibited higher affinity for TBPM-PI (Km = 41.1 ?M) than OATP2B1 (Km &gt; 1 mM) for this agent. These results suggested that TBPM-PI has high intestinal apical membrane permeability due to plural intestinal transport routes, including the uptake transporters such as OATP1A2 and OATP2B1 as well as simple diffusion.","author":[{"dropping-particle":"","family":"Kato","given":"Kazuhiko","non-dropping-particle":"","parse-names":false,"suffix":""},{"dropping-particle":"","family":"Shirasaka","given":"Yoshiyuki","non-dropping-particle":"","parse-names":false,"suffix":""},{"dropping-particle":"","family":"Kuraoka","given":"Erika","non-dropping-particle":"","parse-names":false,"suffix":""},{"dropping-particle":"","family":"Kikuchi","given":"Akihiro","non-dropping-particle":"","parse-names":false,"suffix":""},{"dropping-particle":"","family":"Iguchi","given":"Maki","non-dropping-particle":"","parse-names":false,"suffix":""},{"dropping-particle":"","family":"Suzuki","given":"Hisashi","non-dropping-particle":"","parse-names":false,"suffix":""},{"dropping-particle":"","family":"Shibasaki","given":"Shigeki","non-dropping-particle":"","parse-names":false,"suffix":""},{"dropping-particle":"","family":"Kurosawa","given":"Tohru","non-dropping-particle":"","parse-names":false,"suffix":""},{"dropping-particle":"","family":"Tamai","given":"Ikumi","non-dropping-particle":"","parse-names":false,"suffix":""}],"container-title":"Molecular Pharmaceutics","id":"ITEM-1","issue":"5","issued":{"date-parts":[["2010"]]},"page":"1747-1756","title":"Intestinal absorption mechanism of tebipenem pivoxil, a novel oral carbapenem: Involvement of human OATP family in apical membrane transport","type":"article-journal","volume":"7"},"uris":["http://www.mendeley.com/documents/?uuid=25958e4a-d72e-4e9e-ba98-253c9b84cdd4"]},{"id":"ITEM-2","itemData":{"DOI":"10.1016/j.jiac.2017.01.009","ISSN":"14377780","PMID":"28238680","abstract":"We evaluated the efficacy and safety of a 3-day treatment regimen of tebipenem pivoxil for pediatric community-acquired pneumonia. Tebipenem pivoxil was administered to 49 patients, and its effectiveness was evaluated in 36 patients 2–4 days after initiation of treatment. Thirty-two patients were cured 7–15 days after initiation of treatment. Body temperature was significantly lower on the day following initial administration (median 38.8 to 37.0 °C, n = 33). Leukocyte counts and C-reactive protein levels were significantly reduced by Day 2–4 of treatment (median 16,100 to 7800 white blood cells/μL, and 5.6 to 1.5 mg/dL, respectively; n = 28). Six of the 49 patients had mild diarrhea. Thus, we concluded that 3-day treatment with tebipenem pivoxil was safe and efficacious for treating pediatric community-acquired pneumonia.","author":[{"dropping-particle":"","family":"Sakata","given":"Hiroshi","non-dropping-particle":"","parse-names":false,"suffix":""},{"dropping-particle":"","family":"Kuroki","given":"Haruo","non-dropping-particle":"","parse-names":false,"suffix":""},{"dropping-particle":"","family":"Ouchi","given":"Kazunobu","non-dropping-particle":"","parse-names":false,"suffix":""},{"dropping-particle":"","family":"Tajima","given":"Takeshi","non-dropping-particle":"","parse-names":false,"suffix":""},{"dropping-particle":"","family":"Iwata","given":"Satoshi","non-dropping-particle":"","parse-names":false,"suffix":""}],"container-title":"Journal of Infection and Chemotherapy","id":"ITEM-2","issue":"5","issued":{"date-parts":[["2017"]]},"page":"307-311","publisher":"Elsevier Ltd","title":"Pediatric community-acquired pneumonia treated with a three-day course of tebipenem pivoxil","type":"article-journal","volume":"23"},"uris":["http://www.mendeley.com/documents/?uuid=bc43c315-a350-4e64-b2ca-448736a7bc4f"]}],"mendeley":{"formattedCitation":"(7, 8)","plainTextFormattedCitation":"(7, 8)","previouslyFormattedCitation":"(7, 8)"},"properties":{"noteIndex":0},"schema":"https://github.com/citation-style-language/schema/raw/master/csl-citation.json"}</w:instrText>
      </w:r>
      <w:r w:rsidR="00252A6C">
        <w:rPr>
          <w:rFonts w:asciiTheme="majorHAnsi" w:hAnsiTheme="majorHAnsi" w:cstheme="majorHAnsi"/>
          <w:noProof/>
        </w:rPr>
        <w:fldChar w:fldCharType="separate"/>
      </w:r>
      <w:r w:rsidR="0044587F" w:rsidRPr="0044587F">
        <w:rPr>
          <w:rFonts w:asciiTheme="majorHAnsi" w:hAnsiTheme="majorHAnsi" w:cstheme="majorHAnsi"/>
          <w:noProof/>
        </w:rPr>
        <w:t>(7, 8)</w:t>
      </w:r>
      <w:r w:rsidR="00252A6C">
        <w:rPr>
          <w:rFonts w:asciiTheme="majorHAnsi" w:hAnsiTheme="majorHAnsi" w:cstheme="majorHAnsi"/>
          <w:noProof/>
        </w:rPr>
        <w:fldChar w:fldCharType="end"/>
      </w:r>
      <w:r w:rsidR="00B17B4F">
        <w:rPr>
          <w:rFonts w:asciiTheme="majorHAnsi" w:hAnsiTheme="majorHAnsi" w:cstheme="majorHAnsi"/>
          <w:noProof/>
        </w:rPr>
        <w:t>.</w:t>
      </w:r>
      <w:r w:rsidR="00B17B4F" w:rsidRPr="00937E78">
        <w:rPr>
          <w:rFonts w:asciiTheme="majorHAnsi" w:hAnsiTheme="majorHAnsi" w:cstheme="majorHAnsi"/>
          <w:noProof/>
        </w:rPr>
        <w:t xml:space="preserve"> </w:t>
      </w:r>
      <w:r w:rsidR="00B17B4F">
        <w:rPr>
          <w:rFonts w:asciiTheme="majorHAnsi" w:hAnsiTheme="majorHAnsi" w:cstheme="majorHAnsi"/>
          <w:noProof/>
        </w:rPr>
        <w:t xml:space="preserve"> </w:t>
      </w:r>
      <w:r w:rsidR="003A743E">
        <w:rPr>
          <w:rFonts w:asciiTheme="majorHAnsi" w:hAnsiTheme="majorHAnsi" w:cstheme="majorHAnsi"/>
          <w:noProof/>
        </w:rPr>
        <w:t>Tebipenem</w:t>
      </w:r>
      <w:r w:rsidR="003A743E" w:rsidRPr="00937E78">
        <w:rPr>
          <w:rFonts w:asciiTheme="majorHAnsi" w:hAnsiTheme="majorHAnsi" w:cstheme="majorHAnsi"/>
          <w:noProof/>
        </w:rPr>
        <w:t xml:space="preserve"> has </w:t>
      </w:r>
      <w:r w:rsidR="00E86D26">
        <w:rPr>
          <w:rFonts w:asciiTheme="majorHAnsi" w:hAnsiTheme="majorHAnsi" w:cstheme="majorHAnsi"/>
          <w:noProof/>
        </w:rPr>
        <w:t xml:space="preserve">broad spectrum </w:t>
      </w:r>
      <w:r w:rsidR="003A743E" w:rsidRPr="00937E78">
        <w:rPr>
          <w:rFonts w:asciiTheme="majorHAnsi" w:hAnsiTheme="majorHAnsi" w:cstheme="majorHAnsi"/>
          <w:i/>
          <w:noProof/>
        </w:rPr>
        <w:t>in vitro</w:t>
      </w:r>
      <w:r w:rsidR="003A743E" w:rsidRPr="00937E78">
        <w:rPr>
          <w:rFonts w:asciiTheme="majorHAnsi" w:hAnsiTheme="majorHAnsi" w:cstheme="majorHAnsi"/>
          <w:noProof/>
        </w:rPr>
        <w:t xml:space="preserve"> and </w:t>
      </w:r>
      <w:r w:rsidR="003A743E" w:rsidRPr="00937E78">
        <w:rPr>
          <w:rFonts w:asciiTheme="majorHAnsi" w:hAnsiTheme="majorHAnsi" w:cstheme="majorHAnsi"/>
          <w:i/>
          <w:noProof/>
        </w:rPr>
        <w:t>in vivo</w:t>
      </w:r>
      <w:r w:rsidR="003A743E" w:rsidRPr="00937E78">
        <w:rPr>
          <w:rFonts w:asciiTheme="majorHAnsi" w:hAnsiTheme="majorHAnsi" w:cstheme="majorHAnsi"/>
          <w:noProof/>
        </w:rPr>
        <w:t xml:space="preserve"> activity against a variety of </w:t>
      </w:r>
      <w:r w:rsidR="00CC1BB1">
        <w:rPr>
          <w:rFonts w:asciiTheme="majorHAnsi" w:hAnsiTheme="majorHAnsi" w:cstheme="majorHAnsi"/>
          <w:noProof/>
        </w:rPr>
        <w:t xml:space="preserve">medically important </w:t>
      </w:r>
      <w:r w:rsidR="001C42DD">
        <w:rPr>
          <w:rFonts w:asciiTheme="majorHAnsi" w:hAnsiTheme="majorHAnsi" w:cstheme="majorHAnsi"/>
          <w:noProof/>
        </w:rPr>
        <w:t>G</w:t>
      </w:r>
      <w:r w:rsidR="003A743E" w:rsidRPr="00937E78">
        <w:rPr>
          <w:rFonts w:asciiTheme="majorHAnsi" w:hAnsiTheme="majorHAnsi" w:cstheme="majorHAnsi"/>
          <w:noProof/>
        </w:rPr>
        <w:t xml:space="preserve">ram-negative and </w:t>
      </w:r>
      <w:r w:rsidR="001C42DD">
        <w:rPr>
          <w:rFonts w:asciiTheme="majorHAnsi" w:hAnsiTheme="majorHAnsi" w:cstheme="majorHAnsi"/>
          <w:noProof/>
        </w:rPr>
        <w:t>G</w:t>
      </w:r>
      <w:r w:rsidR="003A743E" w:rsidRPr="00937E78">
        <w:rPr>
          <w:rFonts w:asciiTheme="majorHAnsi" w:hAnsiTheme="majorHAnsi" w:cstheme="majorHAnsi"/>
          <w:noProof/>
        </w:rPr>
        <w:t xml:space="preserve">ram-positive </w:t>
      </w:r>
      <w:r w:rsidR="00E86D26">
        <w:rPr>
          <w:rFonts w:asciiTheme="majorHAnsi" w:hAnsiTheme="majorHAnsi" w:cstheme="majorHAnsi"/>
          <w:noProof/>
        </w:rPr>
        <w:t>pathogens</w:t>
      </w:r>
      <w:r w:rsidR="003A743E" w:rsidRPr="00937E78">
        <w:rPr>
          <w:rFonts w:asciiTheme="majorHAnsi" w:hAnsiTheme="majorHAnsi" w:cstheme="majorHAnsi"/>
          <w:noProof/>
        </w:rPr>
        <w:t xml:space="preserve">, including </w:t>
      </w:r>
      <w:r w:rsidR="00DF709D">
        <w:rPr>
          <w:rFonts w:asciiTheme="majorHAnsi" w:hAnsiTheme="majorHAnsi" w:cstheme="majorHAnsi"/>
          <w:noProof/>
        </w:rPr>
        <w:t>ESBL-</w:t>
      </w:r>
      <w:r w:rsidR="003A743E" w:rsidRPr="00937E78">
        <w:rPr>
          <w:rFonts w:asciiTheme="majorHAnsi" w:hAnsiTheme="majorHAnsi" w:cstheme="majorHAnsi"/>
          <w:noProof/>
        </w:rPr>
        <w:t xml:space="preserve">producing </w:t>
      </w:r>
      <w:r w:rsidR="003A743E" w:rsidRPr="00ED12C6">
        <w:rPr>
          <w:rFonts w:asciiTheme="majorHAnsi" w:hAnsiTheme="majorHAnsi" w:cstheme="majorHAnsi"/>
          <w:noProof/>
        </w:rPr>
        <w:t>Enterobacteriac</w:t>
      </w:r>
      <w:r w:rsidR="00900864" w:rsidRPr="00ED12C6">
        <w:rPr>
          <w:rFonts w:asciiTheme="majorHAnsi" w:hAnsiTheme="majorHAnsi" w:cstheme="majorHAnsi"/>
          <w:noProof/>
        </w:rPr>
        <w:t>e</w:t>
      </w:r>
      <w:r w:rsidR="003A743E" w:rsidRPr="00ED12C6">
        <w:rPr>
          <w:rFonts w:asciiTheme="majorHAnsi" w:hAnsiTheme="majorHAnsi" w:cstheme="majorHAnsi"/>
          <w:noProof/>
        </w:rPr>
        <w:t>ae</w:t>
      </w:r>
      <w:r w:rsidR="00900864">
        <w:rPr>
          <w:rFonts w:asciiTheme="majorHAnsi" w:hAnsiTheme="majorHAnsi" w:cstheme="majorHAnsi"/>
          <w:noProof/>
        </w:rPr>
        <w:t xml:space="preserve"> </w:t>
      </w:r>
      <w:r w:rsidR="00900864">
        <w:rPr>
          <w:rFonts w:asciiTheme="majorHAnsi" w:hAnsiTheme="majorHAnsi" w:cstheme="majorHAnsi"/>
          <w:noProof/>
        </w:rPr>
        <w:fldChar w:fldCharType="begin" w:fldLock="1"/>
      </w:r>
      <w:r w:rsidR="00F10449">
        <w:rPr>
          <w:rFonts w:asciiTheme="majorHAnsi" w:hAnsiTheme="majorHAnsi" w:cstheme="majorHAnsi"/>
          <w:noProof/>
        </w:rPr>
        <w:instrText>ADDIN CSL_CITATION {"citationItems":[{"id":"ITEM-1","itemData":{"DOI":"10.1021/acsinfecdis.8b00188","ISSN":"23738227","author":[{"dropping-particle":"","family":"Rubio","given":"Aileen","non-dropping-particle":"","parse-names":false,"suffix":""},{"dropping-particle":"","family":"Pucci","given":"Michael J.","non-dropping-particle":"","parse-names":false,"suffix":""},{"dropping-particle":"","family":"Jain","given":"Akash","non-dropping-particle":"","parse-names":false,"suffix":""}],"container-title":"ACS Infectious Diseases","genre":"article-commentary","id":"ITEM-1","issue":"10","issued":{"date-parts":[["2018"]]},"page":"1436-1438","publisher":"American Chemical Society","title":"Characterization of SPR994, an Orally Available Carbapenem, with Activity Comparable to Intravenously Administered Carbapenems","type":"article-journal","volume":"4"},"uris":["http://www.mendeley.com/documents/?uuid=041e9a5b-afd0-4561-a466-078cd53072b2"]}],"mendeley":{"formattedCitation":"(9)","plainTextFormattedCitation":"(9)","previouslyFormattedCitation":"(9)"},"properties":{"noteIndex":0},"schema":"https://github.com/citation-style-language/schema/raw/master/csl-citation.json"}</w:instrText>
      </w:r>
      <w:r w:rsidR="00900864">
        <w:rPr>
          <w:rFonts w:asciiTheme="majorHAnsi" w:hAnsiTheme="majorHAnsi" w:cstheme="majorHAnsi"/>
          <w:noProof/>
        </w:rPr>
        <w:fldChar w:fldCharType="separate"/>
      </w:r>
      <w:r w:rsidR="0044587F" w:rsidRPr="0044587F">
        <w:rPr>
          <w:rFonts w:asciiTheme="majorHAnsi" w:hAnsiTheme="majorHAnsi" w:cstheme="majorHAnsi"/>
          <w:noProof/>
        </w:rPr>
        <w:t>(9)</w:t>
      </w:r>
      <w:r w:rsidR="00900864">
        <w:rPr>
          <w:rFonts w:asciiTheme="majorHAnsi" w:hAnsiTheme="majorHAnsi" w:cstheme="majorHAnsi"/>
          <w:noProof/>
        </w:rPr>
        <w:fldChar w:fldCharType="end"/>
      </w:r>
      <w:r w:rsidR="003A743E">
        <w:rPr>
          <w:rFonts w:asciiTheme="majorHAnsi" w:hAnsiTheme="majorHAnsi" w:cstheme="majorHAnsi"/>
          <w:noProof/>
        </w:rPr>
        <w:t xml:space="preserve">.  </w:t>
      </w:r>
      <w:r w:rsidR="00F26CBB" w:rsidRPr="00937E78">
        <w:rPr>
          <w:rFonts w:asciiTheme="majorHAnsi" w:hAnsiTheme="majorHAnsi" w:cstheme="majorHAnsi"/>
          <w:noProof/>
        </w:rPr>
        <w:t xml:space="preserve">TBPM-PI is </w:t>
      </w:r>
      <w:r w:rsidR="00E86D26">
        <w:rPr>
          <w:rFonts w:asciiTheme="majorHAnsi" w:hAnsiTheme="majorHAnsi" w:cstheme="majorHAnsi"/>
          <w:noProof/>
        </w:rPr>
        <w:t>a</w:t>
      </w:r>
      <w:r w:rsidR="00E86D26" w:rsidRPr="00937E78">
        <w:rPr>
          <w:rFonts w:asciiTheme="majorHAnsi" w:hAnsiTheme="majorHAnsi" w:cstheme="majorHAnsi"/>
          <w:noProof/>
        </w:rPr>
        <w:t xml:space="preserve"> </w:t>
      </w:r>
      <w:r w:rsidR="00F26CBB" w:rsidRPr="00937E78">
        <w:rPr>
          <w:rFonts w:asciiTheme="majorHAnsi" w:hAnsiTheme="majorHAnsi" w:cstheme="majorHAnsi"/>
          <w:noProof/>
        </w:rPr>
        <w:t>prodrug</w:t>
      </w:r>
      <w:r w:rsidR="00E21CAB">
        <w:rPr>
          <w:rFonts w:asciiTheme="majorHAnsi" w:hAnsiTheme="majorHAnsi" w:cstheme="majorHAnsi"/>
          <w:noProof/>
        </w:rPr>
        <w:t xml:space="preserve"> with t</w:t>
      </w:r>
      <w:r w:rsidR="00E86D26">
        <w:rPr>
          <w:rFonts w:asciiTheme="majorHAnsi" w:hAnsiTheme="majorHAnsi" w:cstheme="majorHAnsi"/>
          <w:noProof/>
        </w:rPr>
        <w:t xml:space="preserve">he </w:t>
      </w:r>
      <w:r w:rsidR="00E86D26" w:rsidRPr="00937E78">
        <w:rPr>
          <w:rFonts w:asciiTheme="majorHAnsi" w:hAnsiTheme="majorHAnsi" w:cstheme="majorHAnsi"/>
          <w:noProof/>
        </w:rPr>
        <w:t>active moiety</w:t>
      </w:r>
      <w:r w:rsidR="00F26CBB" w:rsidRPr="00937E78">
        <w:rPr>
          <w:rFonts w:asciiTheme="majorHAnsi" w:hAnsiTheme="majorHAnsi" w:cstheme="majorHAnsi"/>
          <w:noProof/>
        </w:rPr>
        <w:t xml:space="preserve"> </w:t>
      </w:r>
      <w:r w:rsidR="00E21CAB">
        <w:rPr>
          <w:rFonts w:asciiTheme="majorHAnsi" w:hAnsiTheme="majorHAnsi" w:cstheme="majorHAnsi"/>
          <w:noProof/>
        </w:rPr>
        <w:t>being</w:t>
      </w:r>
      <w:r w:rsidR="00E86D26" w:rsidRPr="00937E78">
        <w:rPr>
          <w:rFonts w:asciiTheme="majorHAnsi" w:hAnsiTheme="majorHAnsi" w:cstheme="majorHAnsi"/>
          <w:noProof/>
        </w:rPr>
        <w:t xml:space="preserve"> </w:t>
      </w:r>
      <w:r w:rsidR="00A701C1" w:rsidRPr="00937E78">
        <w:rPr>
          <w:rFonts w:asciiTheme="majorHAnsi" w:hAnsiTheme="majorHAnsi" w:cstheme="majorHAnsi"/>
          <w:noProof/>
        </w:rPr>
        <w:t>tebipenem</w:t>
      </w:r>
      <w:r w:rsidR="00E86D26">
        <w:rPr>
          <w:rFonts w:asciiTheme="majorHAnsi" w:hAnsiTheme="majorHAnsi" w:cstheme="majorHAnsi"/>
          <w:noProof/>
        </w:rPr>
        <w:t xml:space="preserve"> </w:t>
      </w:r>
      <w:r w:rsidR="00F26CBB" w:rsidRPr="00937E78">
        <w:rPr>
          <w:rFonts w:asciiTheme="majorHAnsi" w:hAnsiTheme="majorHAnsi" w:cstheme="majorHAnsi"/>
          <w:noProof/>
        </w:rPr>
        <w:t xml:space="preserve">(TBPM, SPR859). </w:t>
      </w:r>
      <w:r w:rsidR="00937E78">
        <w:rPr>
          <w:rFonts w:asciiTheme="majorHAnsi" w:hAnsiTheme="majorHAnsi" w:cstheme="majorHAnsi"/>
          <w:noProof/>
        </w:rPr>
        <w:t xml:space="preserve"> </w:t>
      </w:r>
      <w:r w:rsidR="00F26CBB" w:rsidRPr="00937E78">
        <w:rPr>
          <w:rFonts w:asciiTheme="majorHAnsi" w:hAnsiTheme="majorHAnsi" w:cstheme="majorHAnsi"/>
          <w:noProof/>
        </w:rPr>
        <w:t xml:space="preserve">Oral administration of the pivoxil prodrug </w:t>
      </w:r>
      <w:r w:rsidR="00E86D26">
        <w:rPr>
          <w:rFonts w:asciiTheme="majorHAnsi" w:hAnsiTheme="majorHAnsi" w:cstheme="majorHAnsi"/>
          <w:noProof/>
        </w:rPr>
        <w:t xml:space="preserve">is well tolerated </w:t>
      </w:r>
      <w:r w:rsidR="00CC1BB1">
        <w:rPr>
          <w:rFonts w:asciiTheme="majorHAnsi" w:hAnsiTheme="majorHAnsi" w:cstheme="majorHAnsi"/>
          <w:noProof/>
        </w:rPr>
        <w:t xml:space="preserve">in children </w:t>
      </w:r>
      <w:r w:rsidR="00E86D26">
        <w:rPr>
          <w:rFonts w:asciiTheme="majorHAnsi" w:hAnsiTheme="majorHAnsi" w:cstheme="majorHAnsi"/>
          <w:noProof/>
        </w:rPr>
        <w:t>an</w:t>
      </w:r>
      <w:r w:rsidR="00CC1BB1">
        <w:rPr>
          <w:rFonts w:asciiTheme="majorHAnsi" w:hAnsiTheme="majorHAnsi" w:cstheme="majorHAnsi"/>
          <w:noProof/>
        </w:rPr>
        <w:t>d</w:t>
      </w:r>
      <w:r w:rsidR="00E86D26">
        <w:rPr>
          <w:rFonts w:asciiTheme="majorHAnsi" w:hAnsiTheme="majorHAnsi" w:cstheme="majorHAnsi"/>
          <w:noProof/>
        </w:rPr>
        <w:t xml:space="preserve"> results in effective plasma concentrations</w:t>
      </w:r>
      <w:r w:rsidR="00F26CBB" w:rsidRPr="00937E78">
        <w:rPr>
          <w:rFonts w:asciiTheme="majorHAnsi" w:hAnsiTheme="majorHAnsi" w:cstheme="majorHAnsi"/>
          <w:noProof/>
        </w:rPr>
        <w:t xml:space="preserve"> </w:t>
      </w:r>
      <w:r w:rsidR="00CC1BB1">
        <w:rPr>
          <w:rFonts w:asciiTheme="majorHAnsi" w:hAnsiTheme="majorHAnsi" w:cstheme="majorHAnsi"/>
          <w:noProof/>
        </w:rPr>
        <w:t xml:space="preserve">in that population </w:t>
      </w:r>
      <w:r w:rsidR="00900864">
        <w:rPr>
          <w:rFonts w:asciiTheme="majorHAnsi" w:hAnsiTheme="majorHAnsi" w:cstheme="majorHAnsi"/>
          <w:noProof/>
        </w:rPr>
        <w:fldChar w:fldCharType="begin" w:fldLock="1"/>
      </w:r>
      <w:r w:rsidR="00F10449">
        <w:rPr>
          <w:rFonts w:asciiTheme="majorHAnsi" w:hAnsiTheme="majorHAnsi" w:cstheme="majorHAnsi"/>
          <w:noProof/>
        </w:rPr>
        <w:instrText>ADDIN CSL_CITATION {"citationItems":[{"id":"ITEM-1","itemData":{"DOI":"10.1021/mp100130b","ISBN":"1543-8384","ISSN":"15438384","PMID":"20735088","abstract":"Tebipenem pivoxil (TBPM-PI) is an oral carbapenem antibiotic for treating otolaryngologic and respiratory infections in pediatric patients. This agent is a prodrug to improve intestinal absorption of TBPM, an active form, and an absorption rate of TBPM-PI is higher than those of other prodrug-type ?-lactam antibiotics. In the present study, we hypothesized that a certain mechanism other than simple diffusion is involved in the process of improved intestinal absorption of TBPM-PI and examined the mechanism. TBPM-PI uptake by Caco-2 cells was decreased by ATP-depletion and lowering the temperature to 4 °C, suggesting the contribution of carrier-mediated transport mechanisms. This uptake was partially decreased by ACE inhibitors, and the reduction of the absorption by captopril was observed by in vivo study and in situ single-pass intestinal perfusion study in rat, supporting the contribution of influx transporters. Since some ACE inhibitors and ?-lactam antibiotics are reported to be substrates of PEPT and OATP families, we measured transporting activity of TBPM-PI by intestinally expressed transporters, PEPT1, OATP1A2, and OATP2B1. As a result, significant transport activities were observed by both OATP1A2 and OATP2B1 but not by PEPT1. Interestingly, pH dependence of TBPM-PI transports was different between OATP1A2 and OATP2B1, showing highest activity by OATP1A2 at pH 6.5, while OATP2B1-mediated uptake was higher at neutral and weak alkaline pH. OATP1A2 exhibited higher affinity for TBPM-PI (Km = 41.1 ?M) than OATP2B1 (Km &gt; 1 mM) for this agent. These results suggested that TBPM-PI has high intestinal apical membrane permeability due to plural intestinal transport routes, including the uptake transporters such as OATP1A2 and OATP2B1 as well as simple diffusion.","author":[{"dropping-particle":"","family":"Kato","given":"Kazuhiko","non-dropping-particle":"","parse-names":false,"suffix":""},{"dropping-particle":"","family":"Shirasaka","given":"Yoshiyuki","non-dropping-particle":"","parse-names":false,"suffix":""},{"dropping-particle":"","family":"Kuraoka","given":"Erika","non-dropping-particle":"","parse-names":false,"suffix":""},{"dropping-particle":"","family":"Kikuchi","given":"Akihiro","non-dropping-particle":"","parse-names":false,"suffix":""},{"dropping-particle":"","family":"Iguchi","given":"Maki","non-dropping-particle":"","parse-names":false,"suffix":""},{"dropping-particle":"","family":"Suzuki","given":"Hisashi","non-dropping-particle":"","parse-names":false,"suffix":""},{"dropping-particle":"","family":"Shibasaki","given":"Shigeki","non-dropping-particle":"","parse-names":false,"suffix":""},{"dropping-particle":"","family":"Kurosawa","given":"Tohru","non-dropping-particle":"","parse-names":false,"suffix":""},{"dropping-particle":"","family":"Tamai","given":"Ikumi","non-dropping-particle":"","parse-names":false,"suffix":""}],"container-title":"Molecular Pharmaceutics","id":"ITEM-1","issue":"5","issued":{"date-parts":[["2010"]]},"page":"1747-1756","title":"Intestinal absorption mechanism of tebipenem pivoxil, a novel oral carbapenem: Involvement of human OATP family in apical membrane transport","type":"article-journal","volume":"7"},"uris":["http://www.mendeley.com/documents/?uuid=25958e4a-d72e-4e9e-ba98-253c9b84cdd4"]}],"mendeley":{"formattedCitation":"(7)","plainTextFormattedCitation":"(7)","previouslyFormattedCitation":"(7)"},"properties":{"noteIndex":0},"schema":"https://github.com/citation-style-language/schema/raw/master/csl-citation.json"}</w:instrText>
      </w:r>
      <w:r w:rsidR="00900864">
        <w:rPr>
          <w:rFonts w:asciiTheme="majorHAnsi" w:hAnsiTheme="majorHAnsi" w:cstheme="majorHAnsi"/>
          <w:noProof/>
        </w:rPr>
        <w:fldChar w:fldCharType="separate"/>
      </w:r>
      <w:r w:rsidR="0044587F" w:rsidRPr="0044587F">
        <w:rPr>
          <w:rFonts w:asciiTheme="majorHAnsi" w:hAnsiTheme="majorHAnsi" w:cstheme="majorHAnsi"/>
          <w:noProof/>
        </w:rPr>
        <w:t>(7)</w:t>
      </w:r>
      <w:r w:rsidR="00900864">
        <w:rPr>
          <w:rFonts w:asciiTheme="majorHAnsi" w:hAnsiTheme="majorHAnsi" w:cstheme="majorHAnsi"/>
          <w:noProof/>
        </w:rPr>
        <w:fldChar w:fldCharType="end"/>
      </w:r>
      <w:r w:rsidR="002C1F6C">
        <w:rPr>
          <w:rFonts w:asciiTheme="majorHAnsi" w:hAnsiTheme="majorHAnsi" w:cstheme="majorHAnsi"/>
          <w:noProof/>
        </w:rPr>
        <w:t xml:space="preserve">.  </w:t>
      </w:r>
      <w:r w:rsidR="00A701C1">
        <w:rPr>
          <w:rFonts w:asciiTheme="majorHAnsi" w:hAnsiTheme="majorHAnsi" w:cstheme="majorHAnsi"/>
          <w:noProof/>
        </w:rPr>
        <w:t xml:space="preserve">Spero Therapeutics </w:t>
      </w:r>
      <w:r w:rsidR="00F372AD">
        <w:rPr>
          <w:rFonts w:asciiTheme="majorHAnsi" w:hAnsiTheme="majorHAnsi" w:cstheme="majorHAnsi"/>
          <w:noProof/>
        </w:rPr>
        <w:t xml:space="preserve">have </w:t>
      </w:r>
      <w:r w:rsidR="009D0315">
        <w:rPr>
          <w:rFonts w:asciiTheme="majorHAnsi" w:hAnsiTheme="majorHAnsi" w:cstheme="majorHAnsi"/>
          <w:noProof/>
        </w:rPr>
        <w:t>modified the prodrug to form a H</w:t>
      </w:r>
      <w:r w:rsidR="00F372AD">
        <w:rPr>
          <w:rFonts w:asciiTheme="majorHAnsi" w:hAnsiTheme="majorHAnsi" w:cstheme="majorHAnsi"/>
          <w:noProof/>
        </w:rPr>
        <w:t>B</w:t>
      </w:r>
      <w:r w:rsidR="009D0315">
        <w:rPr>
          <w:rFonts w:asciiTheme="majorHAnsi" w:hAnsiTheme="majorHAnsi" w:cstheme="majorHAnsi"/>
          <w:noProof/>
        </w:rPr>
        <w:t>r salt</w:t>
      </w:r>
      <w:r w:rsidR="003A743E">
        <w:rPr>
          <w:rFonts w:asciiTheme="majorHAnsi" w:hAnsiTheme="majorHAnsi" w:cstheme="majorHAnsi"/>
          <w:noProof/>
        </w:rPr>
        <w:t xml:space="preserve"> (TBPM-PI-H</w:t>
      </w:r>
      <w:r w:rsidR="00F372AD">
        <w:rPr>
          <w:rFonts w:asciiTheme="majorHAnsi" w:hAnsiTheme="majorHAnsi" w:cstheme="majorHAnsi"/>
          <w:noProof/>
        </w:rPr>
        <w:t>B</w:t>
      </w:r>
      <w:r w:rsidR="003A743E">
        <w:rPr>
          <w:rFonts w:asciiTheme="majorHAnsi" w:hAnsiTheme="majorHAnsi" w:cstheme="majorHAnsi"/>
          <w:noProof/>
        </w:rPr>
        <w:t>r)</w:t>
      </w:r>
      <w:r w:rsidR="00F372AD">
        <w:rPr>
          <w:rFonts w:asciiTheme="majorHAnsi" w:hAnsiTheme="majorHAnsi" w:cstheme="majorHAnsi"/>
          <w:noProof/>
        </w:rPr>
        <w:t xml:space="preserve"> to </w:t>
      </w:r>
      <w:r w:rsidR="006B4A50">
        <w:rPr>
          <w:rFonts w:asciiTheme="majorHAnsi" w:hAnsiTheme="majorHAnsi" w:cstheme="majorHAnsi"/>
          <w:noProof/>
        </w:rPr>
        <w:t>improve</w:t>
      </w:r>
      <w:r w:rsidR="00257697">
        <w:rPr>
          <w:rFonts w:asciiTheme="majorHAnsi" w:hAnsiTheme="majorHAnsi" w:cstheme="majorHAnsi"/>
          <w:noProof/>
        </w:rPr>
        <w:t xml:space="preserve"> drug substance and drug product</w:t>
      </w:r>
      <w:r w:rsidR="006B4A50">
        <w:rPr>
          <w:rFonts w:asciiTheme="majorHAnsi" w:hAnsiTheme="majorHAnsi" w:cstheme="majorHAnsi"/>
          <w:noProof/>
        </w:rPr>
        <w:t xml:space="preserve"> properties, such as</w:t>
      </w:r>
      <w:r w:rsidR="00E86D26">
        <w:rPr>
          <w:rFonts w:asciiTheme="majorHAnsi" w:hAnsiTheme="majorHAnsi" w:cstheme="majorHAnsi"/>
          <w:noProof/>
        </w:rPr>
        <w:t xml:space="preserve"> stability</w:t>
      </w:r>
      <w:r w:rsidR="003A743E">
        <w:rPr>
          <w:rFonts w:asciiTheme="majorHAnsi" w:hAnsiTheme="majorHAnsi" w:cstheme="majorHAnsi"/>
          <w:noProof/>
        </w:rPr>
        <w:t>.</w:t>
      </w:r>
      <w:r w:rsidR="00EB044F">
        <w:rPr>
          <w:rFonts w:asciiTheme="majorHAnsi" w:hAnsiTheme="majorHAnsi" w:cstheme="majorHAnsi"/>
          <w:noProof/>
        </w:rPr>
        <w:t xml:space="preserve"> </w:t>
      </w:r>
      <w:r w:rsidR="007B2259">
        <w:rPr>
          <w:rFonts w:asciiTheme="majorHAnsi" w:hAnsiTheme="majorHAnsi" w:cstheme="majorHAnsi"/>
          <w:noProof/>
        </w:rPr>
        <w:t xml:space="preserve"> A Phase III program in </w:t>
      </w:r>
      <w:r w:rsidR="00CC1BB1">
        <w:rPr>
          <w:rFonts w:asciiTheme="majorHAnsi" w:hAnsiTheme="majorHAnsi" w:cstheme="majorHAnsi"/>
          <w:noProof/>
        </w:rPr>
        <w:t xml:space="preserve">adult </w:t>
      </w:r>
      <w:r w:rsidR="007B2259">
        <w:rPr>
          <w:rFonts w:asciiTheme="majorHAnsi" w:hAnsiTheme="majorHAnsi" w:cstheme="majorHAnsi"/>
          <w:noProof/>
        </w:rPr>
        <w:t>patients with</w:t>
      </w:r>
      <w:r w:rsidR="00730043">
        <w:rPr>
          <w:rFonts w:asciiTheme="majorHAnsi" w:hAnsiTheme="majorHAnsi" w:cstheme="majorHAnsi"/>
          <w:noProof/>
        </w:rPr>
        <w:t xml:space="preserve"> cUTI</w:t>
      </w:r>
      <w:r w:rsidR="007B2259">
        <w:rPr>
          <w:rFonts w:asciiTheme="majorHAnsi" w:hAnsiTheme="majorHAnsi" w:cstheme="majorHAnsi"/>
          <w:noProof/>
        </w:rPr>
        <w:t xml:space="preserve"> </w:t>
      </w:r>
      <w:r w:rsidR="00E86D26">
        <w:rPr>
          <w:rFonts w:asciiTheme="majorHAnsi" w:hAnsiTheme="majorHAnsi" w:cstheme="majorHAnsi"/>
          <w:noProof/>
        </w:rPr>
        <w:t>has been</w:t>
      </w:r>
      <w:r w:rsidR="007B2259">
        <w:rPr>
          <w:rFonts w:asciiTheme="majorHAnsi" w:hAnsiTheme="majorHAnsi" w:cstheme="majorHAnsi"/>
          <w:noProof/>
        </w:rPr>
        <w:t xml:space="preserve"> </w:t>
      </w:r>
      <w:r w:rsidR="00257697">
        <w:rPr>
          <w:rFonts w:asciiTheme="majorHAnsi" w:hAnsiTheme="majorHAnsi" w:cstheme="majorHAnsi"/>
          <w:noProof/>
        </w:rPr>
        <w:t xml:space="preserve">accepted under IND </w:t>
      </w:r>
      <w:r w:rsidR="001F7979">
        <w:rPr>
          <w:rFonts w:asciiTheme="majorHAnsi" w:hAnsiTheme="majorHAnsi" w:cstheme="majorHAnsi"/>
          <w:noProof/>
        </w:rPr>
        <w:t>by the</w:t>
      </w:r>
      <w:r w:rsidR="00257697">
        <w:rPr>
          <w:rFonts w:asciiTheme="majorHAnsi" w:hAnsiTheme="majorHAnsi" w:cstheme="majorHAnsi"/>
          <w:noProof/>
        </w:rPr>
        <w:t xml:space="preserve"> US</w:t>
      </w:r>
      <w:r w:rsidR="001F7979">
        <w:rPr>
          <w:rFonts w:asciiTheme="majorHAnsi" w:hAnsiTheme="majorHAnsi" w:cstheme="majorHAnsi"/>
          <w:noProof/>
        </w:rPr>
        <w:t xml:space="preserve"> Food and Drug Adminis</w:t>
      </w:r>
      <w:r w:rsidR="00E86D26">
        <w:rPr>
          <w:rFonts w:asciiTheme="majorHAnsi" w:hAnsiTheme="majorHAnsi" w:cstheme="majorHAnsi"/>
          <w:noProof/>
        </w:rPr>
        <w:t xml:space="preserve">tration (FDA) </w:t>
      </w:r>
      <w:r w:rsidR="007B2259">
        <w:rPr>
          <w:rFonts w:asciiTheme="majorHAnsi" w:hAnsiTheme="majorHAnsi" w:cstheme="majorHAnsi"/>
          <w:noProof/>
        </w:rPr>
        <w:t>and will commence enrollment in the near future</w:t>
      </w:r>
      <w:r w:rsidR="0002210C">
        <w:rPr>
          <w:rFonts w:asciiTheme="majorHAnsi" w:hAnsiTheme="majorHAnsi" w:cstheme="majorHAnsi"/>
          <w:noProof/>
        </w:rPr>
        <w:t>, with ertapenem as a comparator.</w:t>
      </w:r>
    </w:p>
    <w:p w14:paraId="29D5EF73" w14:textId="2165B9E7" w:rsidR="00F26CBB" w:rsidRDefault="00AA0B4C">
      <w:pPr>
        <w:pStyle w:val="EndNoteBibliography"/>
        <w:rPr>
          <w:rFonts w:asciiTheme="majorHAnsi" w:hAnsiTheme="majorHAnsi" w:cstheme="majorHAnsi"/>
          <w:noProof/>
        </w:rPr>
      </w:pPr>
      <w:r>
        <w:rPr>
          <w:rFonts w:asciiTheme="majorHAnsi" w:hAnsiTheme="majorHAnsi" w:cstheme="majorHAnsi"/>
          <w:noProof/>
        </w:rPr>
        <w:tab/>
      </w:r>
      <w:r w:rsidR="007B2259">
        <w:rPr>
          <w:rFonts w:asciiTheme="majorHAnsi" w:hAnsiTheme="majorHAnsi" w:cstheme="majorHAnsi"/>
          <w:noProof/>
        </w:rPr>
        <w:t xml:space="preserve">Herein, we describe the preclinical pharmacokinetics and pharmacodynamics of </w:t>
      </w:r>
      <w:r w:rsidR="00257697">
        <w:rPr>
          <w:rFonts w:asciiTheme="majorHAnsi" w:hAnsiTheme="majorHAnsi" w:cstheme="majorHAnsi"/>
          <w:noProof/>
        </w:rPr>
        <w:t>tebipenem</w:t>
      </w:r>
      <w:r w:rsidR="00E86D26">
        <w:rPr>
          <w:rFonts w:asciiTheme="majorHAnsi" w:hAnsiTheme="majorHAnsi" w:cstheme="majorHAnsi"/>
          <w:noProof/>
        </w:rPr>
        <w:t xml:space="preserve"> as a </w:t>
      </w:r>
      <w:r w:rsidR="001E1D8D">
        <w:rPr>
          <w:rFonts w:asciiTheme="majorHAnsi" w:hAnsiTheme="majorHAnsi" w:cstheme="majorHAnsi"/>
          <w:noProof/>
        </w:rPr>
        <w:t xml:space="preserve">first </w:t>
      </w:r>
      <w:r w:rsidR="00E86D26">
        <w:rPr>
          <w:rFonts w:asciiTheme="majorHAnsi" w:hAnsiTheme="majorHAnsi" w:cstheme="majorHAnsi"/>
          <w:noProof/>
        </w:rPr>
        <w:t>critical step</w:t>
      </w:r>
      <w:r w:rsidR="00CC1BB1">
        <w:rPr>
          <w:rFonts w:asciiTheme="majorHAnsi" w:hAnsiTheme="majorHAnsi" w:cstheme="majorHAnsi"/>
          <w:noProof/>
        </w:rPr>
        <w:t xml:space="preserve"> for the clinical development </w:t>
      </w:r>
      <w:r w:rsidR="00FB1C11">
        <w:rPr>
          <w:rFonts w:asciiTheme="majorHAnsi" w:hAnsiTheme="majorHAnsi" w:cstheme="majorHAnsi"/>
          <w:noProof/>
        </w:rPr>
        <w:t xml:space="preserve">of this compound </w:t>
      </w:r>
      <w:r w:rsidR="00CC1BB1">
        <w:rPr>
          <w:rFonts w:asciiTheme="majorHAnsi" w:hAnsiTheme="majorHAnsi" w:cstheme="majorHAnsi"/>
          <w:noProof/>
        </w:rPr>
        <w:t>in adults</w:t>
      </w:r>
      <w:r w:rsidR="007B2259">
        <w:rPr>
          <w:rFonts w:asciiTheme="majorHAnsi" w:hAnsiTheme="majorHAnsi" w:cstheme="majorHAnsi"/>
          <w:noProof/>
        </w:rPr>
        <w:t xml:space="preserve">.  </w:t>
      </w:r>
      <w:r w:rsidR="001E1D8D">
        <w:rPr>
          <w:rFonts w:asciiTheme="majorHAnsi" w:hAnsiTheme="majorHAnsi" w:cstheme="majorHAnsi"/>
          <w:noProof/>
        </w:rPr>
        <w:t xml:space="preserve">The principal goals of this program of work were the identification of the regimen for use in cUTI, demonstration of </w:t>
      </w:r>
      <w:r w:rsidR="001E1D8D" w:rsidRPr="008262E5">
        <w:rPr>
          <w:rFonts w:asciiTheme="majorHAnsi" w:hAnsiTheme="majorHAnsi" w:cstheme="majorHAnsi"/>
          <w:i/>
          <w:noProof/>
        </w:rPr>
        <w:t>in vivo</w:t>
      </w:r>
      <w:r w:rsidR="001E1D8D">
        <w:rPr>
          <w:rFonts w:asciiTheme="majorHAnsi" w:hAnsiTheme="majorHAnsi" w:cstheme="majorHAnsi"/>
          <w:noProof/>
        </w:rPr>
        <w:t xml:space="preserve"> activity against ESBL</w:t>
      </w:r>
      <w:r w:rsidR="008262E5">
        <w:rPr>
          <w:rFonts w:asciiTheme="majorHAnsi" w:hAnsiTheme="majorHAnsi" w:cstheme="majorHAnsi"/>
          <w:noProof/>
        </w:rPr>
        <w:t>-</w:t>
      </w:r>
      <w:r w:rsidR="001E1D8D">
        <w:rPr>
          <w:rFonts w:asciiTheme="majorHAnsi" w:hAnsiTheme="majorHAnsi" w:cstheme="majorHAnsi"/>
          <w:noProof/>
        </w:rPr>
        <w:t xml:space="preserve">producing </w:t>
      </w:r>
      <w:r w:rsidR="001E1D8D" w:rsidRPr="008B3704">
        <w:rPr>
          <w:rFonts w:asciiTheme="majorHAnsi" w:hAnsiTheme="majorHAnsi" w:cstheme="majorHAnsi"/>
          <w:i/>
          <w:noProof/>
        </w:rPr>
        <w:t>E. coli</w:t>
      </w:r>
      <w:r w:rsidR="001E1D8D">
        <w:rPr>
          <w:rFonts w:asciiTheme="majorHAnsi" w:hAnsiTheme="majorHAnsi" w:cstheme="majorHAnsi"/>
          <w:noProof/>
        </w:rPr>
        <w:t xml:space="preserve"> and </w:t>
      </w:r>
      <w:r w:rsidR="001E1D8D" w:rsidRPr="008B3704">
        <w:rPr>
          <w:rFonts w:asciiTheme="majorHAnsi" w:hAnsiTheme="majorHAnsi" w:cstheme="majorHAnsi"/>
          <w:i/>
          <w:noProof/>
        </w:rPr>
        <w:t>K. pneumoniae</w:t>
      </w:r>
      <w:r w:rsidR="00D42863">
        <w:rPr>
          <w:rFonts w:asciiTheme="majorHAnsi" w:hAnsiTheme="majorHAnsi" w:cstheme="majorHAnsi"/>
          <w:i/>
          <w:noProof/>
        </w:rPr>
        <w:t>,</w:t>
      </w:r>
      <w:r w:rsidR="001E1D8D">
        <w:rPr>
          <w:rFonts w:asciiTheme="majorHAnsi" w:hAnsiTheme="majorHAnsi" w:cstheme="majorHAnsi"/>
          <w:noProof/>
        </w:rPr>
        <w:t xml:space="preserve"> and an understanding of the relationship bet</w:t>
      </w:r>
      <w:r w:rsidR="00A15A38">
        <w:rPr>
          <w:rFonts w:asciiTheme="majorHAnsi" w:hAnsiTheme="majorHAnsi" w:cstheme="majorHAnsi"/>
          <w:noProof/>
        </w:rPr>
        <w:t>ween drug exposure and the emer</w:t>
      </w:r>
      <w:r w:rsidR="001E1D8D">
        <w:rPr>
          <w:rFonts w:asciiTheme="majorHAnsi" w:hAnsiTheme="majorHAnsi" w:cstheme="majorHAnsi"/>
          <w:noProof/>
        </w:rPr>
        <w:t>g</w:t>
      </w:r>
      <w:r w:rsidR="00A15A38">
        <w:rPr>
          <w:rFonts w:asciiTheme="majorHAnsi" w:hAnsiTheme="majorHAnsi" w:cstheme="majorHAnsi"/>
          <w:noProof/>
        </w:rPr>
        <w:t>e</w:t>
      </w:r>
      <w:r w:rsidR="001E1D8D">
        <w:rPr>
          <w:rFonts w:asciiTheme="majorHAnsi" w:hAnsiTheme="majorHAnsi" w:cstheme="majorHAnsi"/>
          <w:noProof/>
        </w:rPr>
        <w:t xml:space="preserve">nce of antimicrobial resistance.  </w:t>
      </w:r>
      <w:r w:rsidR="00426F68">
        <w:rPr>
          <w:rFonts w:asciiTheme="majorHAnsi" w:hAnsiTheme="majorHAnsi" w:cstheme="majorHAnsi"/>
          <w:noProof/>
        </w:rPr>
        <w:t>To help place the experimental findings in a c</w:t>
      </w:r>
      <w:r w:rsidR="00B44D3B">
        <w:rPr>
          <w:rFonts w:asciiTheme="majorHAnsi" w:hAnsiTheme="majorHAnsi" w:cstheme="majorHAnsi"/>
          <w:noProof/>
        </w:rPr>
        <w:t>linical context, the pharmacody</w:t>
      </w:r>
      <w:r w:rsidR="00426F68">
        <w:rPr>
          <w:rFonts w:asciiTheme="majorHAnsi" w:hAnsiTheme="majorHAnsi" w:cstheme="majorHAnsi"/>
          <w:noProof/>
        </w:rPr>
        <w:t>n</w:t>
      </w:r>
      <w:r w:rsidR="00B44D3B">
        <w:rPr>
          <w:rFonts w:asciiTheme="majorHAnsi" w:hAnsiTheme="majorHAnsi" w:cstheme="majorHAnsi"/>
          <w:noProof/>
        </w:rPr>
        <w:t>a</w:t>
      </w:r>
      <w:r w:rsidR="00426F68">
        <w:rPr>
          <w:rFonts w:asciiTheme="majorHAnsi" w:hAnsiTheme="majorHAnsi" w:cstheme="majorHAnsi"/>
          <w:noProof/>
        </w:rPr>
        <w:t xml:space="preserve">mics of </w:t>
      </w:r>
      <w:r w:rsidR="0002210C">
        <w:rPr>
          <w:rFonts w:asciiTheme="majorHAnsi" w:hAnsiTheme="majorHAnsi" w:cstheme="majorHAnsi"/>
          <w:noProof/>
        </w:rPr>
        <w:t>tebipenem</w:t>
      </w:r>
      <w:r w:rsidR="00492505">
        <w:rPr>
          <w:rFonts w:asciiTheme="majorHAnsi" w:hAnsiTheme="majorHAnsi" w:cstheme="majorHAnsi"/>
          <w:noProof/>
        </w:rPr>
        <w:t xml:space="preserve"> </w:t>
      </w:r>
      <w:r w:rsidR="00426F68">
        <w:rPr>
          <w:rFonts w:asciiTheme="majorHAnsi" w:hAnsiTheme="majorHAnsi" w:cstheme="majorHAnsi"/>
          <w:noProof/>
        </w:rPr>
        <w:t>w</w:t>
      </w:r>
      <w:r w:rsidR="00964382">
        <w:rPr>
          <w:rFonts w:asciiTheme="majorHAnsi" w:hAnsiTheme="majorHAnsi" w:cstheme="majorHAnsi"/>
          <w:noProof/>
        </w:rPr>
        <w:t>ere</w:t>
      </w:r>
      <w:r w:rsidR="00A15A38">
        <w:rPr>
          <w:rFonts w:asciiTheme="majorHAnsi" w:hAnsiTheme="majorHAnsi" w:cstheme="majorHAnsi"/>
          <w:noProof/>
        </w:rPr>
        <w:t xml:space="preserve"> benchmarked against ertapenem.  Collectively, these data and analyses accelerate and derisk the clinical development of </w:t>
      </w:r>
      <w:r w:rsidR="0002210C">
        <w:rPr>
          <w:rFonts w:asciiTheme="majorHAnsi" w:hAnsiTheme="majorHAnsi" w:cstheme="majorHAnsi"/>
          <w:noProof/>
        </w:rPr>
        <w:t>tebipenem</w:t>
      </w:r>
      <w:r w:rsidR="00A15A38">
        <w:rPr>
          <w:rFonts w:asciiTheme="majorHAnsi" w:hAnsiTheme="majorHAnsi" w:cstheme="majorHAnsi"/>
          <w:noProof/>
        </w:rPr>
        <w:t>.</w:t>
      </w:r>
    </w:p>
    <w:p w14:paraId="5ED242DF" w14:textId="77777777" w:rsidR="008F13EB" w:rsidRPr="009717C2" w:rsidRDefault="008F13EB" w:rsidP="004A2331">
      <w:pPr>
        <w:pStyle w:val="EndNoteBibliography"/>
        <w:rPr>
          <w:rFonts w:asciiTheme="majorHAnsi" w:hAnsiTheme="majorHAnsi" w:cstheme="majorHAnsi"/>
          <w:noProof/>
        </w:rPr>
      </w:pPr>
    </w:p>
    <w:p w14:paraId="42FE98A2" w14:textId="77777777" w:rsidR="00F26CBB" w:rsidRDefault="00F26CBB" w:rsidP="0087634F">
      <w:pPr>
        <w:pStyle w:val="EndNoteBibliography"/>
        <w:ind w:firstLine="720"/>
        <w:rPr>
          <w:rFonts w:asciiTheme="majorHAnsi" w:hAnsiTheme="majorHAnsi" w:cstheme="majorHAnsi"/>
          <w:noProof/>
        </w:rPr>
      </w:pPr>
    </w:p>
    <w:p w14:paraId="0D46E0DD" w14:textId="77777777" w:rsidR="00000CA0" w:rsidRPr="00150239" w:rsidRDefault="00000CA0">
      <w:pPr>
        <w:rPr>
          <w:rFonts w:asciiTheme="majorHAnsi" w:hAnsiTheme="majorHAnsi" w:cstheme="majorHAnsi"/>
        </w:rPr>
      </w:pPr>
    </w:p>
    <w:p w14:paraId="61772103" w14:textId="77777777" w:rsidR="009A2255" w:rsidRPr="00150239" w:rsidRDefault="009A2255">
      <w:pPr>
        <w:rPr>
          <w:rFonts w:asciiTheme="majorHAnsi" w:hAnsiTheme="majorHAnsi" w:cstheme="majorHAnsi"/>
        </w:rPr>
      </w:pPr>
      <w:r w:rsidRPr="00150239">
        <w:rPr>
          <w:rFonts w:asciiTheme="majorHAnsi" w:hAnsiTheme="majorHAnsi" w:cstheme="majorHAnsi"/>
        </w:rPr>
        <w:br w:type="page"/>
      </w:r>
    </w:p>
    <w:p w14:paraId="323A55D8" w14:textId="77777777" w:rsidR="009A2255" w:rsidRPr="00150239" w:rsidRDefault="009A2255">
      <w:pPr>
        <w:rPr>
          <w:rFonts w:asciiTheme="majorHAnsi" w:hAnsiTheme="majorHAnsi" w:cstheme="majorHAnsi"/>
        </w:rPr>
      </w:pPr>
      <w:r w:rsidRPr="00150239">
        <w:rPr>
          <w:rFonts w:asciiTheme="majorHAnsi" w:hAnsiTheme="majorHAnsi" w:cstheme="majorHAnsi"/>
        </w:rPr>
        <w:lastRenderedPageBreak/>
        <w:t>RESULTS</w:t>
      </w:r>
    </w:p>
    <w:p w14:paraId="02FC0C93" w14:textId="77777777" w:rsidR="009A2255" w:rsidRPr="00150239" w:rsidRDefault="009A2255">
      <w:pPr>
        <w:rPr>
          <w:rFonts w:asciiTheme="majorHAnsi" w:hAnsiTheme="majorHAnsi" w:cstheme="majorHAnsi"/>
        </w:rPr>
      </w:pPr>
    </w:p>
    <w:p w14:paraId="1A7B135C" w14:textId="6CF6F680" w:rsidR="009A2255" w:rsidRPr="00C72D3B" w:rsidRDefault="009A2255">
      <w:pPr>
        <w:rPr>
          <w:rFonts w:asciiTheme="majorHAnsi" w:hAnsiTheme="majorHAnsi" w:cstheme="majorHAnsi"/>
          <w:i/>
        </w:rPr>
      </w:pPr>
      <w:r w:rsidRPr="00C72D3B">
        <w:rPr>
          <w:rFonts w:asciiTheme="majorHAnsi" w:hAnsiTheme="majorHAnsi" w:cstheme="majorHAnsi"/>
          <w:i/>
        </w:rPr>
        <w:t xml:space="preserve">In vitro </w:t>
      </w:r>
      <w:r w:rsidR="00624E4D" w:rsidRPr="00C72D3B">
        <w:rPr>
          <w:rFonts w:asciiTheme="majorHAnsi" w:hAnsiTheme="majorHAnsi" w:cstheme="majorHAnsi"/>
          <w:i/>
        </w:rPr>
        <w:t>Susceptibility</w:t>
      </w:r>
      <w:r w:rsidR="007C5224" w:rsidRPr="00C72D3B">
        <w:rPr>
          <w:rFonts w:asciiTheme="majorHAnsi" w:hAnsiTheme="majorHAnsi" w:cstheme="majorHAnsi"/>
          <w:i/>
        </w:rPr>
        <w:t xml:space="preserve"> and Genotype</w:t>
      </w:r>
    </w:p>
    <w:p w14:paraId="384F46AD" w14:textId="553C68CC" w:rsidR="003E0AB7" w:rsidRDefault="00B14229">
      <w:pPr>
        <w:rPr>
          <w:rFonts w:asciiTheme="majorHAnsi" w:hAnsiTheme="majorHAnsi" w:cstheme="majorHAnsi"/>
        </w:rPr>
      </w:pPr>
      <w:r w:rsidRPr="00150239">
        <w:rPr>
          <w:rFonts w:asciiTheme="majorHAnsi" w:hAnsiTheme="majorHAnsi" w:cstheme="majorHAnsi"/>
        </w:rPr>
        <w:tab/>
        <w:t xml:space="preserve">The minimum inhibitory concentrations (MICs) against the strains used in this study are summarized in Table 1.  MICs were determined using Clinical </w:t>
      </w:r>
      <w:r w:rsidR="003E0AB7" w:rsidRPr="00150239">
        <w:rPr>
          <w:rFonts w:asciiTheme="majorHAnsi" w:hAnsiTheme="majorHAnsi" w:cstheme="majorHAnsi"/>
        </w:rPr>
        <w:t>Laboratory</w:t>
      </w:r>
      <w:r w:rsidRPr="00150239">
        <w:rPr>
          <w:rFonts w:asciiTheme="majorHAnsi" w:hAnsiTheme="majorHAnsi" w:cstheme="majorHAnsi"/>
        </w:rPr>
        <w:t xml:space="preserve"> Sciences Institute</w:t>
      </w:r>
      <w:r w:rsidR="00520AE5">
        <w:rPr>
          <w:rFonts w:asciiTheme="majorHAnsi" w:hAnsiTheme="majorHAnsi" w:cstheme="majorHAnsi"/>
        </w:rPr>
        <w:t xml:space="preserve"> </w:t>
      </w:r>
      <w:r w:rsidR="006068E2">
        <w:rPr>
          <w:rFonts w:asciiTheme="majorHAnsi" w:hAnsiTheme="majorHAnsi" w:cstheme="majorHAnsi"/>
        </w:rPr>
        <w:t xml:space="preserve">(CLSI) </w:t>
      </w:r>
      <w:r w:rsidR="00520AE5">
        <w:rPr>
          <w:rFonts w:asciiTheme="majorHAnsi" w:hAnsiTheme="majorHAnsi" w:cstheme="majorHAnsi"/>
        </w:rPr>
        <w:t>methodology</w:t>
      </w:r>
      <w:r w:rsidR="00BF1B27">
        <w:rPr>
          <w:rFonts w:asciiTheme="majorHAnsi" w:hAnsiTheme="majorHAnsi" w:cstheme="majorHAnsi"/>
        </w:rPr>
        <w:t xml:space="preserve"> </w:t>
      </w:r>
      <w:r w:rsidR="00BF1B27">
        <w:rPr>
          <w:rFonts w:asciiTheme="majorHAnsi" w:hAnsiTheme="majorHAnsi" w:cstheme="majorHAnsi"/>
        </w:rPr>
        <w:fldChar w:fldCharType="begin" w:fldLock="1"/>
      </w:r>
      <w:r w:rsidR="00F10449">
        <w:rPr>
          <w:rFonts w:asciiTheme="majorHAnsi" w:hAnsiTheme="majorHAnsi" w:cstheme="majorHAnsi"/>
        </w:rPr>
        <w:instrText>ADDIN CSL_CITATION {"citationItems":[{"id":"ITEM-1","itemData":{"ISBN":"1562389874","author":[{"dropping-particle":"","family":"Tenth","given":"Approved Standard","non-dropping-particle":"","parse-names":false,"suffix":""}],"id":"ITEM-1","issue":"January","issued":{"date-parts":[["2015"]]},"title":"M07-A10 Methods for Dilution Antimicrobial Susceptibility Tests for Bacteria That Grow","type":"book"},"uris":["http://www.mendeley.com/documents/?uuid=0dd41e9e-80c1-473b-9dd3-af1a499770dd"]}],"mendeley":{"formattedCitation":"(10)","plainTextFormattedCitation":"(10)","previouslyFormattedCitation":"(10)"},"properties":{"noteIndex":0},"schema":"https://github.com/citation-style-language/schema/raw/master/csl-citation.json"}</w:instrText>
      </w:r>
      <w:r w:rsidR="00BF1B27">
        <w:rPr>
          <w:rFonts w:asciiTheme="majorHAnsi" w:hAnsiTheme="majorHAnsi" w:cstheme="majorHAnsi"/>
        </w:rPr>
        <w:fldChar w:fldCharType="separate"/>
      </w:r>
      <w:r w:rsidR="0044587F" w:rsidRPr="0044587F">
        <w:rPr>
          <w:rFonts w:asciiTheme="majorHAnsi" w:hAnsiTheme="majorHAnsi" w:cstheme="majorHAnsi"/>
          <w:noProof/>
        </w:rPr>
        <w:t>(10)</w:t>
      </w:r>
      <w:r w:rsidR="00BF1B27">
        <w:rPr>
          <w:rFonts w:asciiTheme="majorHAnsi" w:hAnsiTheme="majorHAnsi" w:cstheme="majorHAnsi"/>
        </w:rPr>
        <w:fldChar w:fldCharType="end"/>
      </w:r>
      <w:r w:rsidR="003E0AB7" w:rsidRPr="00150239">
        <w:rPr>
          <w:rFonts w:asciiTheme="majorHAnsi" w:hAnsiTheme="majorHAnsi" w:cstheme="majorHAnsi"/>
        </w:rPr>
        <w:t xml:space="preserve">.  MICs were estimated using at least 10 independently conducted experiments and the mode was used for the pharmacodynamic analyses.  The MICs to other carbapenems </w:t>
      </w:r>
      <w:r w:rsidR="00527F88">
        <w:rPr>
          <w:rFonts w:asciiTheme="majorHAnsi" w:hAnsiTheme="majorHAnsi" w:cstheme="majorHAnsi"/>
        </w:rPr>
        <w:t xml:space="preserve">in clinical use </w:t>
      </w:r>
      <w:r w:rsidR="003E0AB7" w:rsidRPr="00150239">
        <w:rPr>
          <w:rFonts w:asciiTheme="majorHAnsi" w:hAnsiTheme="majorHAnsi" w:cstheme="majorHAnsi"/>
        </w:rPr>
        <w:t>were also estimated, using the same methodology and approach.</w:t>
      </w:r>
      <w:r w:rsidR="00527F88">
        <w:rPr>
          <w:rFonts w:asciiTheme="majorHAnsi" w:hAnsiTheme="majorHAnsi" w:cstheme="majorHAnsi"/>
        </w:rPr>
        <w:t xml:space="preserve">  </w:t>
      </w:r>
      <w:r w:rsidR="003E0AB7" w:rsidRPr="00150239">
        <w:rPr>
          <w:rFonts w:asciiTheme="majorHAnsi" w:hAnsiTheme="majorHAnsi" w:cstheme="majorHAnsi"/>
        </w:rPr>
        <w:t xml:space="preserve">The genotype of the challenge strains </w:t>
      </w:r>
      <w:r w:rsidR="007C5224" w:rsidRPr="00150239">
        <w:rPr>
          <w:rFonts w:asciiTheme="majorHAnsi" w:hAnsiTheme="majorHAnsi" w:cstheme="majorHAnsi"/>
        </w:rPr>
        <w:t xml:space="preserve">is shown in </w:t>
      </w:r>
      <w:r w:rsidR="00520AE5">
        <w:rPr>
          <w:rFonts w:asciiTheme="majorHAnsi" w:hAnsiTheme="majorHAnsi" w:cstheme="majorHAnsi"/>
        </w:rPr>
        <w:t>Table 1</w:t>
      </w:r>
      <w:r w:rsidR="00044AD7">
        <w:rPr>
          <w:rFonts w:asciiTheme="majorHAnsi" w:hAnsiTheme="majorHAnsi" w:cstheme="majorHAnsi"/>
        </w:rPr>
        <w:t>.</w:t>
      </w:r>
      <w:r w:rsidR="006068E2">
        <w:rPr>
          <w:rFonts w:asciiTheme="majorHAnsi" w:hAnsiTheme="majorHAnsi" w:cstheme="majorHAnsi"/>
        </w:rPr>
        <w:t xml:space="preserve"> </w:t>
      </w:r>
    </w:p>
    <w:p w14:paraId="5781ABD4" w14:textId="76734C1C" w:rsidR="00044AD7" w:rsidRDefault="00044AD7">
      <w:pPr>
        <w:rPr>
          <w:rFonts w:asciiTheme="majorHAnsi" w:hAnsiTheme="majorHAnsi" w:cstheme="majorHAnsi"/>
        </w:rPr>
      </w:pPr>
    </w:p>
    <w:p w14:paraId="3092D55A" w14:textId="6382821D" w:rsidR="00624E4D" w:rsidRPr="00150239" w:rsidRDefault="002B7869">
      <w:pPr>
        <w:rPr>
          <w:rFonts w:asciiTheme="majorHAnsi" w:hAnsiTheme="majorHAnsi" w:cstheme="majorHAnsi"/>
          <w:i/>
        </w:rPr>
      </w:pPr>
      <w:r>
        <w:rPr>
          <w:rFonts w:asciiTheme="majorHAnsi" w:hAnsiTheme="majorHAnsi" w:cstheme="majorHAnsi"/>
          <w:i/>
        </w:rPr>
        <w:t xml:space="preserve">Murine </w:t>
      </w:r>
      <w:r w:rsidR="00624E4D" w:rsidRPr="00150239">
        <w:rPr>
          <w:rFonts w:asciiTheme="majorHAnsi" w:hAnsiTheme="majorHAnsi" w:cstheme="majorHAnsi"/>
          <w:i/>
        </w:rPr>
        <w:t>Dose</w:t>
      </w:r>
      <w:r w:rsidR="002C0345">
        <w:rPr>
          <w:rFonts w:asciiTheme="majorHAnsi" w:hAnsiTheme="majorHAnsi" w:cstheme="majorHAnsi"/>
          <w:i/>
        </w:rPr>
        <w:t>-</w:t>
      </w:r>
      <w:r w:rsidR="00624E4D" w:rsidRPr="00150239">
        <w:rPr>
          <w:rFonts w:asciiTheme="majorHAnsi" w:hAnsiTheme="majorHAnsi" w:cstheme="majorHAnsi"/>
          <w:i/>
        </w:rPr>
        <w:t xml:space="preserve">Response Relationships </w:t>
      </w:r>
    </w:p>
    <w:p w14:paraId="0C0FAED9" w14:textId="7DC4EC9D" w:rsidR="00624E4D" w:rsidRPr="00150239" w:rsidRDefault="003E0AB7">
      <w:pPr>
        <w:rPr>
          <w:rFonts w:asciiTheme="majorHAnsi" w:hAnsiTheme="majorHAnsi" w:cstheme="majorHAnsi"/>
        </w:rPr>
      </w:pPr>
      <w:r w:rsidRPr="00150239">
        <w:rPr>
          <w:rFonts w:asciiTheme="majorHAnsi" w:hAnsiTheme="majorHAnsi" w:cstheme="majorHAnsi"/>
        </w:rPr>
        <w:tab/>
      </w:r>
      <w:r w:rsidR="007C5224" w:rsidRPr="00150239">
        <w:rPr>
          <w:rFonts w:asciiTheme="majorHAnsi" w:hAnsiTheme="majorHAnsi" w:cstheme="majorHAnsi"/>
        </w:rPr>
        <w:t>The d</w:t>
      </w:r>
      <w:r w:rsidR="001C6E90" w:rsidRPr="00150239">
        <w:rPr>
          <w:rFonts w:asciiTheme="majorHAnsi" w:hAnsiTheme="majorHAnsi" w:cstheme="majorHAnsi"/>
        </w:rPr>
        <w:t>os</w:t>
      </w:r>
      <w:r w:rsidR="007C5224" w:rsidRPr="00150239">
        <w:rPr>
          <w:rFonts w:asciiTheme="majorHAnsi" w:hAnsiTheme="majorHAnsi" w:cstheme="majorHAnsi"/>
        </w:rPr>
        <w:t>e-</w:t>
      </w:r>
      <w:r w:rsidR="001C6E90" w:rsidRPr="00150239">
        <w:rPr>
          <w:rFonts w:asciiTheme="majorHAnsi" w:hAnsiTheme="majorHAnsi" w:cstheme="majorHAnsi"/>
        </w:rPr>
        <w:t xml:space="preserve">response </w:t>
      </w:r>
      <w:r w:rsidR="007C5224" w:rsidRPr="00150239">
        <w:rPr>
          <w:rFonts w:asciiTheme="majorHAnsi" w:hAnsiTheme="majorHAnsi" w:cstheme="majorHAnsi"/>
        </w:rPr>
        <w:t xml:space="preserve">relationship for tebipenem </w:t>
      </w:r>
      <w:r w:rsidR="006068E2">
        <w:rPr>
          <w:rFonts w:asciiTheme="majorHAnsi" w:hAnsiTheme="majorHAnsi" w:cstheme="majorHAnsi"/>
        </w:rPr>
        <w:t xml:space="preserve">was </w:t>
      </w:r>
      <w:r w:rsidR="007C5224" w:rsidRPr="00150239">
        <w:rPr>
          <w:rFonts w:asciiTheme="majorHAnsi" w:hAnsiTheme="majorHAnsi" w:cstheme="majorHAnsi"/>
        </w:rPr>
        <w:t>defined</w:t>
      </w:r>
      <w:r w:rsidR="00D64699" w:rsidRPr="00150239">
        <w:rPr>
          <w:rFonts w:asciiTheme="majorHAnsi" w:hAnsiTheme="majorHAnsi" w:cstheme="majorHAnsi"/>
        </w:rPr>
        <w:t xml:space="preserve"> over the course of 3 </w:t>
      </w:r>
      <w:r w:rsidR="000B0442">
        <w:rPr>
          <w:rFonts w:asciiTheme="majorHAnsi" w:hAnsiTheme="majorHAnsi" w:cstheme="majorHAnsi"/>
        </w:rPr>
        <w:t xml:space="preserve">independently conducted </w:t>
      </w:r>
      <w:r w:rsidR="00D64699" w:rsidRPr="00150239">
        <w:rPr>
          <w:rFonts w:asciiTheme="majorHAnsi" w:hAnsiTheme="majorHAnsi" w:cstheme="majorHAnsi"/>
        </w:rPr>
        <w:t>experiments</w:t>
      </w:r>
      <w:r w:rsidR="007C5224" w:rsidRPr="00150239">
        <w:rPr>
          <w:rFonts w:asciiTheme="majorHAnsi" w:hAnsiTheme="majorHAnsi" w:cstheme="majorHAnsi"/>
        </w:rPr>
        <w:t xml:space="preserve"> </w:t>
      </w:r>
      <w:r w:rsidR="006068E2">
        <w:rPr>
          <w:rFonts w:asciiTheme="majorHAnsi" w:hAnsiTheme="majorHAnsi" w:cstheme="majorHAnsi"/>
        </w:rPr>
        <w:t xml:space="preserve">and a compilation of these results </w:t>
      </w:r>
      <w:r w:rsidR="007C5224" w:rsidRPr="00150239">
        <w:rPr>
          <w:rFonts w:asciiTheme="majorHAnsi" w:hAnsiTheme="majorHAnsi" w:cstheme="majorHAnsi"/>
        </w:rPr>
        <w:t>is shown in Figure 1.  The experimental conditions used to establish this relationship</w:t>
      </w:r>
      <w:r w:rsidR="00D64699" w:rsidRPr="00150239">
        <w:rPr>
          <w:rFonts w:asciiTheme="majorHAnsi" w:hAnsiTheme="majorHAnsi" w:cstheme="majorHAnsi"/>
        </w:rPr>
        <w:t xml:space="preserve"> were </w:t>
      </w:r>
      <w:r w:rsidR="000B0442">
        <w:rPr>
          <w:rFonts w:asciiTheme="majorHAnsi" w:hAnsiTheme="majorHAnsi" w:cstheme="majorHAnsi"/>
        </w:rPr>
        <w:t>derived</w:t>
      </w:r>
      <w:r w:rsidR="000B0442" w:rsidRPr="00150239">
        <w:rPr>
          <w:rFonts w:asciiTheme="majorHAnsi" w:hAnsiTheme="majorHAnsi" w:cstheme="majorHAnsi"/>
        </w:rPr>
        <w:t xml:space="preserve"> </w:t>
      </w:r>
      <w:r w:rsidR="00D64699" w:rsidRPr="00150239">
        <w:rPr>
          <w:rFonts w:asciiTheme="majorHAnsi" w:hAnsiTheme="majorHAnsi" w:cstheme="majorHAnsi"/>
        </w:rPr>
        <w:t>from preliminary dose-finding studies (data not shown)</w:t>
      </w:r>
      <w:r w:rsidR="00545319">
        <w:rPr>
          <w:rFonts w:asciiTheme="majorHAnsi" w:hAnsiTheme="majorHAnsi" w:cstheme="majorHAnsi"/>
        </w:rPr>
        <w:t xml:space="preserve"> </w:t>
      </w:r>
      <w:r w:rsidR="000B0442">
        <w:rPr>
          <w:rFonts w:asciiTheme="majorHAnsi" w:hAnsiTheme="majorHAnsi" w:cstheme="majorHAnsi"/>
        </w:rPr>
        <w:t>using</w:t>
      </w:r>
      <w:r w:rsidR="00545319">
        <w:rPr>
          <w:rFonts w:asciiTheme="majorHAnsi" w:hAnsiTheme="majorHAnsi" w:cstheme="majorHAnsi"/>
        </w:rPr>
        <w:t xml:space="preserve"> </w:t>
      </w:r>
      <w:r w:rsidR="00545319" w:rsidRPr="00F92DFD">
        <w:rPr>
          <w:rFonts w:asciiTheme="majorHAnsi" w:hAnsiTheme="majorHAnsi" w:cstheme="majorHAnsi"/>
          <w:i/>
        </w:rPr>
        <w:t>E. coli</w:t>
      </w:r>
      <w:r w:rsidR="00545319">
        <w:rPr>
          <w:rFonts w:asciiTheme="majorHAnsi" w:hAnsiTheme="majorHAnsi" w:cstheme="majorHAnsi"/>
        </w:rPr>
        <w:t xml:space="preserve"> ATCC 25922</w:t>
      </w:r>
      <w:r w:rsidR="00D64699" w:rsidRPr="00150239">
        <w:rPr>
          <w:rFonts w:asciiTheme="majorHAnsi" w:hAnsiTheme="majorHAnsi" w:cstheme="majorHAnsi"/>
        </w:rPr>
        <w:t>.</w:t>
      </w:r>
      <w:r w:rsidRPr="00150239">
        <w:rPr>
          <w:rFonts w:asciiTheme="majorHAnsi" w:hAnsiTheme="majorHAnsi" w:cstheme="majorHAnsi"/>
        </w:rPr>
        <w:t xml:space="preserve"> </w:t>
      </w:r>
      <w:r w:rsidR="00D64699" w:rsidRPr="00150239">
        <w:rPr>
          <w:rFonts w:asciiTheme="majorHAnsi" w:hAnsiTheme="majorHAnsi" w:cstheme="majorHAnsi"/>
        </w:rPr>
        <w:t xml:space="preserve"> The fit of an inhibitory sigmoid </w:t>
      </w:r>
      <w:proofErr w:type="spellStart"/>
      <w:r w:rsidR="00D64699" w:rsidRPr="00150239">
        <w:rPr>
          <w:rFonts w:asciiTheme="majorHAnsi" w:hAnsiTheme="majorHAnsi" w:cstheme="majorHAnsi"/>
        </w:rPr>
        <w:t>Emax</w:t>
      </w:r>
      <w:proofErr w:type="spellEnd"/>
      <w:r w:rsidR="00D64699" w:rsidRPr="00150239">
        <w:rPr>
          <w:rFonts w:asciiTheme="majorHAnsi" w:hAnsiTheme="majorHAnsi" w:cstheme="majorHAnsi"/>
        </w:rPr>
        <w:t xml:space="preserve"> model to the data was acceptable (Figure 1).  Half maximal effect was observed with a total daily dose of </w:t>
      </w:r>
      <w:r w:rsidR="00A15A38">
        <w:rPr>
          <w:rFonts w:asciiTheme="majorHAnsi" w:hAnsiTheme="majorHAnsi" w:cstheme="majorHAnsi"/>
        </w:rPr>
        <w:t>11.13</w:t>
      </w:r>
      <w:r w:rsidR="00A15A38" w:rsidRPr="00150239">
        <w:rPr>
          <w:rFonts w:asciiTheme="majorHAnsi" w:hAnsiTheme="majorHAnsi" w:cstheme="majorHAnsi"/>
        </w:rPr>
        <w:t xml:space="preserve"> </w:t>
      </w:r>
      <w:r w:rsidR="00D64699" w:rsidRPr="00150239">
        <w:rPr>
          <w:rFonts w:asciiTheme="majorHAnsi" w:hAnsiTheme="majorHAnsi" w:cstheme="majorHAnsi"/>
        </w:rPr>
        <w:t xml:space="preserve">mg/kg (i.e. </w:t>
      </w:r>
      <w:r w:rsidR="00A15A38">
        <w:rPr>
          <w:rFonts w:asciiTheme="majorHAnsi" w:hAnsiTheme="majorHAnsi" w:cstheme="majorHAnsi"/>
        </w:rPr>
        <w:t>3.71</w:t>
      </w:r>
      <w:r w:rsidR="00A15A38" w:rsidRPr="00150239">
        <w:rPr>
          <w:rFonts w:asciiTheme="majorHAnsi" w:hAnsiTheme="majorHAnsi" w:cstheme="majorHAnsi"/>
        </w:rPr>
        <w:t xml:space="preserve"> </w:t>
      </w:r>
      <w:r w:rsidR="00D64699" w:rsidRPr="00150239">
        <w:rPr>
          <w:rFonts w:asciiTheme="majorHAnsi" w:hAnsiTheme="majorHAnsi" w:cstheme="majorHAnsi"/>
        </w:rPr>
        <w:t>mg/kg q8h).</w:t>
      </w:r>
      <w:r w:rsidR="00993E50" w:rsidRPr="00150239">
        <w:rPr>
          <w:rFonts w:asciiTheme="majorHAnsi" w:hAnsiTheme="majorHAnsi" w:cstheme="majorHAnsi"/>
        </w:rPr>
        <w:t xml:space="preserve">  The E</w:t>
      </w:r>
      <w:r w:rsidR="00993E50" w:rsidRPr="00922F9F">
        <w:rPr>
          <w:rFonts w:asciiTheme="majorHAnsi" w:hAnsiTheme="majorHAnsi" w:cstheme="majorHAnsi"/>
          <w:vertAlign w:val="subscript"/>
        </w:rPr>
        <w:t>20</w:t>
      </w:r>
      <w:r w:rsidR="00993E50" w:rsidRPr="00150239">
        <w:rPr>
          <w:rFonts w:asciiTheme="majorHAnsi" w:hAnsiTheme="majorHAnsi" w:cstheme="majorHAnsi"/>
        </w:rPr>
        <w:t>, E</w:t>
      </w:r>
      <w:r w:rsidR="00993E50" w:rsidRPr="00922F9F">
        <w:rPr>
          <w:rFonts w:asciiTheme="majorHAnsi" w:hAnsiTheme="majorHAnsi" w:cstheme="majorHAnsi"/>
          <w:vertAlign w:val="subscript"/>
        </w:rPr>
        <w:t>40</w:t>
      </w:r>
      <w:r w:rsidR="00993E50" w:rsidRPr="00150239">
        <w:rPr>
          <w:rFonts w:asciiTheme="majorHAnsi" w:hAnsiTheme="majorHAnsi" w:cstheme="majorHAnsi"/>
        </w:rPr>
        <w:t>, E</w:t>
      </w:r>
      <w:r w:rsidR="00993E50" w:rsidRPr="00922F9F">
        <w:rPr>
          <w:rFonts w:asciiTheme="majorHAnsi" w:hAnsiTheme="majorHAnsi" w:cstheme="majorHAnsi"/>
          <w:vertAlign w:val="subscript"/>
        </w:rPr>
        <w:t>60</w:t>
      </w:r>
      <w:r w:rsidR="00993E50" w:rsidRPr="00150239">
        <w:rPr>
          <w:rFonts w:asciiTheme="majorHAnsi" w:hAnsiTheme="majorHAnsi" w:cstheme="majorHAnsi"/>
        </w:rPr>
        <w:t xml:space="preserve"> and E</w:t>
      </w:r>
      <w:r w:rsidR="00993E50" w:rsidRPr="00922F9F">
        <w:rPr>
          <w:rFonts w:asciiTheme="majorHAnsi" w:hAnsiTheme="majorHAnsi" w:cstheme="majorHAnsi"/>
          <w:vertAlign w:val="subscript"/>
        </w:rPr>
        <w:t>80</w:t>
      </w:r>
      <w:r w:rsidR="00993E50" w:rsidRPr="00150239">
        <w:rPr>
          <w:rFonts w:asciiTheme="majorHAnsi" w:hAnsiTheme="majorHAnsi" w:cstheme="majorHAnsi"/>
        </w:rPr>
        <w:t xml:space="preserve"> </w:t>
      </w:r>
      <w:r w:rsidR="000B0442">
        <w:rPr>
          <w:rFonts w:asciiTheme="majorHAnsi" w:hAnsiTheme="majorHAnsi" w:cstheme="majorHAnsi"/>
        </w:rPr>
        <w:t xml:space="preserve">defined from the inhibitory sigmoid </w:t>
      </w:r>
      <w:proofErr w:type="spellStart"/>
      <w:r w:rsidR="000B0442">
        <w:rPr>
          <w:rFonts w:asciiTheme="majorHAnsi" w:hAnsiTheme="majorHAnsi" w:cstheme="majorHAnsi"/>
        </w:rPr>
        <w:t>Emax</w:t>
      </w:r>
      <w:proofErr w:type="spellEnd"/>
      <w:r w:rsidR="000B0442">
        <w:rPr>
          <w:rFonts w:asciiTheme="majorHAnsi" w:hAnsiTheme="majorHAnsi" w:cstheme="majorHAnsi"/>
        </w:rPr>
        <w:t xml:space="preserve"> model </w:t>
      </w:r>
      <w:r w:rsidR="00993E50" w:rsidRPr="00150239">
        <w:rPr>
          <w:rFonts w:asciiTheme="majorHAnsi" w:hAnsiTheme="majorHAnsi" w:cstheme="majorHAnsi"/>
        </w:rPr>
        <w:t xml:space="preserve">was </w:t>
      </w:r>
      <w:r w:rsidR="002C2E90">
        <w:rPr>
          <w:rFonts w:asciiTheme="majorHAnsi" w:hAnsiTheme="majorHAnsi" w:cstheme="majorHAnsi"/>
        </w:rPr>
        <w:t>5</w:t>
      </w:r>
      <w:r w:rsidR="00993E50" w:rsidRPr="00150239">
        <w:rPr>
          <w:rFonts w:asciiTheme="majorHAnsi" w:hAnsiTheme="majorHAnsi" w:cstheme="majorHAnsi"/>
        </w:rPr>
        <w:t xml:space="preserve">, </w:t>
      </w:r>
      <w:r w:rsidR="002C2E90">
        <w:rPr>
          <w:rFonts w:asciiTheme="majorHAnsi" w:hAnsiTheme="majorHAnsi" w:cstheme="majorHAnsi"/>
        </w:rPr>
        <w:t>9</w:t>
      </w:r>
      <w:r w:rsidR="00993E50" w:rsidRPr="00150239">
        <w:rPr>
          <w:rFonts w:asciiTheme="majorHAnsi" w:hAnsiTheme="majorHAnsi" w:cstheme="majorHAnsi"/>
        </w:rPr>
        <w:t xml:space="preserve">, </w:t>
      </w:r>
      <w:r w:rsidR="002C2E90">
        <w:rPr>
          <w:rFonts w:asciiTheme="majorHAnsi" w:hAnsiTheme="majorHAnsi" w:cstheme="majorHAnsi"/>
        </w:rPr>
        <w:t>14</w:t>
      </w:r>
      <w:r w:rsidR="002C2E90" w:rsidRPr="00150239">
        <w:rPr>
          <w:rFonts w:asciiTheme="majorHAnsi" w:hAnsiTheme="majorHAnsi" w:cstheme="majorHAnsi"/>
        </w:rPr>
        <w:t xml:space="preserve"> </w:t>
      </w:r>
      <w:r w:rsidR="00993E50" w:rsidRPr="00150239">
        <w:rPr>
          <w:rFonts w:asciiTheme="majorHAnsi" w:hAnsiTheme="majorHAnsi" w:cstheme="majorHAnsi"/>
        </w:rPr>
        <w:t xml:space="preserve">and </w:t>
      </w:r>
      <w:r w:rsidR="002C2E90">
        <w:rPr>
          <w:rFonts w:asciiTheme="majorHAnsi" w:hAnsiTheme="majorHAnsi" w:cstheme="majorHAnsi"/>
        </w:rPr>
        <w:t>25</w:t>
      </w:r>
      <w:r w:rsidR="002C2E90" w:rsidRPr="00150239">
        <w:rPr>
          <w:rFonts w:asciiTheme="majorHAnsi" w:hAnsiTheme="majorHAnsi" w:cstheme="majorHAnsi"/>
        </w:rPr>
        <w:t xml:space="preserve"> </w:t>
      </w:r>
      <w:r w:rsidR="00993E50" w:rsidRPr="00150239">
        <w:rPr>
          <w:rFonts w:asciiTheme="majorHAnsi" w:hAnsiTheme="majorHAnsi" w:cstheme="majorHAnsi"/>
        </w:rPr>
        <w:t>mg/kg</w:t>
      </w:r>
      <w:r w:rsidR="007154AD">
        <w:rPr>
          <w:rFonts w:asciiTheme="majorHAnsi" w:hAnsiTheme="majorHAnsi" w:cstheme="majorHAnsi"/>
        </w:rPr>
        <w:t>/day</w:t>
      </w:r>
      <w:r w:rsidR="00993E50" w:rsidRPr="00150239">
        <w:rPr>
          <w:rFonts w:asciiTheme="majorHAnsi" w:hAnsiTheme="majorHAnsi" w:cstheme="majorHAnsi"/>
        </w:rPr>
        <w:t xml:space="preserve"> (i.e. </w:t>
      </w:r>
      <w:r w:rsidR="0071579A">
        <w:rPr>
          <w:rFonts w:asciiTheme="majorHAnsi" w:hAnsiTheme="majorHAnsi" w:cstheme="majorHAnsi"/>
        </w:rPr>
        <w:t>1.67</w:t>
      </w:r>
      <w:r w:rsidR="00993E50" w:rsidRPr="00150239">
        <w:rPr>
          <w:rFonts w:asciiTheme="majorHAnsi" w:hAnsiTheme="majorHAnsi" w:cstheme="majorHAnsi"/>
        </w:rPr>
        <w:t xml:space="preserve">, </w:t>
      </w:r>
      <w:r w:rsidR="0071579A">
        <w:rPr>
          <w:rFonts w:asciiTheme="majorHAnsi" w:hAnsiTheme="majorHAnsi" w:cstheme="majorHAnsi"/>
        </w:rPr>
        <w:t>3</w:t>
      </w:r>
      <w:r w:rsidR="00993E50" w:rsidRPr="00150239">
        <w:rPr>
          <w:rFonts w:asciiTheme="majorHAnsi" w:hAnsiTheme="majorHAnsi" w:cstheme="majorHAnsi"/>
        </w:rPr>
        <w:t xml:space="preserve">, </w:t>
      </w:r>
      <w:r w:rsidR="0071579A">
        <w:rPr>
          <w:rFonts w:asciiTheme="majorHAnsi" w:hAnsiTheme="majorHAnsi" w:cstheme="majorHAnsi"/>
        </w:rPr>
        <w:t>4.67</w:t>
      </w:r>
      <w:r w:rsidR="0071579A" w:rsidRPr="00150239">
        <w:rPr>
          <w:rFonts w:asciiTheme="majorHAnsi" w:hAnsiTheme="majorHAnsi" w:cstheme="majorHAnsi"/>
        </w:rPr>
        <w:t xml:space="preserve"> </w:t>
      </w:r>
      <w:r w:rsidR="00993E50" w:rsidRPr="00150239">
        <w:rPr>
          <w:rFonts w:asciiTheme="majorHAnsi" w:hAnsiTheme="majorHAnsi" w:cstheme="majorHAnsi"/>
        </w:rPr>
        <w:t xml:space="preserve">and </w:t>
      </w:r>
      <w:r w:rsidR="0071579A">
        <w:rPr>
          <w:rFonts w:asciiTheme="majorHAnsi" w:hAnsiTheme="majorHAnsi" w:cstheme="majorHAnsi"/>
        </w:rPr>
        <w:t>8.33</w:t>
      </w:r>
      <w:r w:rsidR="0071579A" w:rsidRPr="00150239">
        <w:rPr>
          <w:rFonts w:asciiTheme="majorHAnsi" w:hAnsiTheme="majorHAnsi" w:cstheme="majorHAnsi"/>
        </w:rPr>
        <w:t xml:space="preserve"> </w:t>
      </w:r>
      <w:r w:rsidR="00993E50" w:rsidRPr="00150239">
        <w:rPr>
          <w:rFonts w:asciiTheme="majorHAnsi" w:hAnsiTheme="majorHAnsi" w:cstheme="majorHAnsi"/>
        </w:rPr>
        <w:t>mg/kg q8h).</w:t>
      </w:r>
    </w:p>
    <w:p w14:paraId="50B36371" w14:textId="77777777" w:rsidR="00D64699" w:rsidRPr="00150239" w:rsidRDefault="00D64699">
      <w:pPr>
        <w:rPr>
          <w:rFonts w:asciiTheme="majorHAnsi" w:hAnsiTheme="majorHAnsi" w:cstheme="majorHAnsi"/>
        </w:rPr>
      </w:pPr>
    </w:p>
    <w:p w14:paraId="0CFAD120" w14:textId="143EF85B" w:rsidR="00624E4D" w:rsidRPr="00150239" w:rsidRDefault="002B7869">
      <w:pPr>
        <w:rPr>
          <w:rFonts w:asciiTheme="majorHAnsi" w:hAnsiTheme="majorHAnsi" w:cstheme="majorHAnsi"/>
          <w:i/>
        </w:rPr>
      </w:pPr>
      <w:r>
        <w:rPr>
          <w:rFonts w:asciiTheme="majorHAnsi" w:hAnsiTheme="majorHAnsi" w:cstheme="majorHAnsi"/>
          <w:i/>
        </w:rPr>
        <w:t xml:space="preserve">Murine </w:t>
      </w:r>
      <w:r w:rsidR="00624E4D" w:rsidRPr="00150239">
        <w:rPr>
          <w:rFonts w:asciiTheme="majorHAnsi" w:hAnsiTheme="majorHAnsi" w:cstheme="majorHAnsi"/>
          <w:i/>
        </w:rPr>
        <w:t>Pharmacokinetics</w:t>
      </w:r>
    </w:p>
    <w:p w14:paraId="0D3581C2" w14:textId="4A41B98B" w:rsidR="00624E4D" w:rsidRPr="00150239" w:rsidRDefault="001574AD">
      <w:pPr>
        <w:rPr>
          <w:rFonts w:asciiTheme="majorHAnsi" w:hAnsiTheme="majorHAnsi" w:cstheme="majorHAnsi"/>
        </w:rPr>
      </w:pPr>
      <w:r w:rsidRPr="00150239">
        <w:rPr>
          <w:rFonts w:asciiTheme="majorHAnsi" w:hAnsiTheme="majorHAnsi" w:cstheme="majorHAnsi"/>
        </w:rPr>
        <w:tab/>
        <w:t xml:space="preserve">The pharmacokinetics of tebipenem were linear over the regimens used in this study, which were </w:t>
      </w:r>
      <w:r w:rsidR="007C5224" w:rsidRPr="00150239">
        <w:rPr>
          <w:rFonts w:asciiTheme="majorHAnsi" w:hAnsiTheme="majorHAnsi" w:cstheme="majorHAnsi"/>
        </w:rPr>
        <w:t xml:space="preserve">primarily </w:t>
      </w:r>
      <w:r w:rsidRPr="00150239">
        <w:rPr>
          <w:rFonts w:asciiTheme="majorHAnsi" w:hAnsiTheme="majorHAnsi" w:cstheme="majorHAnsi"/>
        </w:rPr>
        <w:t xml:space="preserve">chosen to encompass the relevant pharmacodynamic relationships </w:t>
      </w:r>
      <w:r w:rsidR="007C5224" w:rsidRPr="00150239">
        <w:rPr>
          <w:rFonts w:asciiTheme="majorHAnsi" w:hAnsiTheme="majorHAnsi" w:cstheme="majorHAnsi"/>
        </w:rPr>
        <w:t xml:space="preserve">that had been </w:t>
      </w:r>
      <w:r w:rsidR="000B0442">
        <w:rPr>
          <w:rFonts w:asciiTheme="majorHAnsi" w:hAnsiTheme="majorHAnsi" w:cstheme="majorHAnsi"/>
        </w:rPr>
        <w:t xml:space="preserve">initially </w:t>
      </w:r>
      <w:r w:rsidRPr="00150239">
        <w:rPr>
          <w:rFonts w:asciiTheme="majorHAnsi" w:hAnsiTheme="majorHAnsi" w:cstheme="majorHAnsi"/>
        </w:rPr>
        <w:t>determined from the dose</w:t>
      </w:r>
      <w:r w:rsidR="00077170">
        <w:rPr>
          <w:rFonts w:asciiTheme="majorHAnsi" w:hAnsiTheme="majorHAnsi" w:cstheme="majorHAnsi"/>
        </w:rPr>
        <w:t>-</w:t>
      </w:r>
      <w:r w:rsidRPr="00150239">
        <w:rPr>
          <w:rFonts w:asciiTheme="majorHAnsi" w:hAnsiTheme="majorHAnsi" w:cstheme="majorHAnsi"/>
        </w:rPr>
        <w:t xml:space="preserve">response relationships.  </w:t>
      </w:r>
      <w:r w:rsidR="00A91AB9" w:rsidRPr="00150239">
        <w:rPr>
          <w:rFonts w:asciiTheme="majorHAnsi" w:hAnsiTheme="majorHAnsi" w:cstheme="majorHAnsi"/>
        </w:rPr>
        <w:t>The concentration</w:t>
      </w:r>
      <w:r w:rsidR="00D33D61">
        <w:rPr>
          <w:rFonts w:asciiTheme="majorHAnsi" w:hAnsiTheme="majorHAnsi" w:cstheme="majorHAnsi"/>
        </w:rPr>
        <w:t>-</w:t>
      </w:r>
      <w:r w:rsidR="00A91AB9" w:rsidRPr="00150239">
        <w:rPr>
          <w:rFonts w:asciiTheme="majorHAnsi" w:hAnsiTheme="majorHAnsi" w:cstheme="majorHAnsi"/>
        </w:rPr>
        <w:t>time profiles</w:t>
      </w:r>
      <w:r w:rsidR="008E44F1">
        <w:rPr>
          <w:rFonts w:asciiTheme="majorHAnsi" w:hAnsiTheme="majorHAnsi" w:cstheme="majorHAnsi"/>
        </w:rPr>
        <w:t xml:space="preserve"> for total-drug</w:t>
      </w:r>
      <w:r w:rsidR="00A91AB9" w:rsidRPr="00150239">
        <w:rPr>
          <w:rFonts w:asciiTheme="majorHAnsi" w:hAnsiTheme="majorHAnsi" w:cstheme="majorHAnsi"/>
        </w:rPr>
        <w:t xml:space="preserve"> from each dose are shown in Figure 2 and the parameter values from a population PK model fitted to the </w:t>
      </w:r>
      <w:r w:rsidR="002B4FF4">
        <w:rPr>
          <w:rFonts w:asciiTheme="majorHAnsi" w:hAnsiTheme="majorHAnsi" w:cstheme="majorHAnsi"/>
        </w:rPr>
        <w:t xml:space="preserve">total </w:t>
      </w:r>
      <w:r w:rsidR="00A91AB9" w:rsidRPr="00150239">
        <w:rPr>
          <w:rFonts w:asciiTheme="majorHAnsi" w:hAnsiTheme="majorHAnsi" w:cstheme="majorHAnsi"/>
        </w:rPr>
        <w:t>data are summarized in Table 2.</w:t>
      </w:r>
      <w:r w:rsidR="002B4FF4">
        <w:rPr>
          <w:rFonts w:asciiTheme="majorHAnsi" w:hAnsiTheme="majorHAnsi" w:cstheme="majorHAnsi"/>
        </w:rPr>
        <w:t xml:space="preserve">  Free drug concentrations were calculated by multiplying by the free fraction of 1.3%.</w:t>
      </w:r>
    </w:p>
    <w:p w14:paraId="58BFADBE" w14:textId="060E8824" w:rsidR="001574AD" w:rsidRDefault="001574AD">
      <w:pPr>
        <w:rPr>
          <w:rFonts w:asciiTheme="majorHAnsi" w:hAnsiTheme="majorHAnsi" w:cstheme="majorHAnsi"/>
        </w:rPr>
      </w:pPr>
    </w:p>
    <w:p w14:paraId="1437EA3F" w14:textId="77777777" w:rsidR="00C342B3" w:rsidRPr="00150239" w:rsidRDefault="00C342B3" w:rsidP="00C342B3">
      <w:pPr>
        <w:rPr>
          <w:rFonts w:asciiTheme="majorHAnsi" w:hAnsiTheme="majorHAnsi" w:cstheme="majorHAnsi"/>
          <w:i/>
        </w:rPr>
      </w:pPr>
      <w:r w:rsidRPr="00150239">
        <w:rPr>
          <w:rFonts w:asciiTheme="majorHAnsi" w:hAnsiTheme="majorHAnsi" w:cstheme="majorHAnsi"/>
          <w:i/>
        </w:rPr>
        <w:t>Persistent Antibacterial Effect</w:t>
      </w:r>
    </w:p>
    <w:p w14:paraId="40222BAF" w14:textId="2062FD18" w:rsidR="00C342B3" w:rsidRPr="00150239" w:rsidRDefault="00C342B3" w:rsidP="00C342B3">
      <w:pPr>
        <w:rPr>
          <w:rFonts w:asciiTheme="majorHAnsi" w:hAnsiTheme="majorHAnsi" w:cstheme="majorHAnsi"/>
        </w:rPr>
      </w:pPr>
      <w:r w:rsidRPr="00150239">
        <w:rPr>
          <w:rFonts w:asciiTheme="majorHAnsi" w:hAnsiTheme="majorHAnsi" w:cstheme="majorHAnsi"/>
        </w:rPr>
        <w:tab/>
        <w:t xml:space="preserve">In order to provide an estimate of the magnitude of any persistent effect of tebipenem, the time course of bacterial density in the thigh was determined using a serial sacrifice design.  </w:t>
      </w:r>
      <w:r w:rsidRPr="00150239">
        <w:rPr>
          <w:rFonts w:asciiTheme="majorHAnsi" w:hAnsiTheme="majorHAnsi" w:cstheme="majorHAnsi"/>
          <w:i/>
        </w:rPr>
        <w:t>E. coli</w:t>
      </w:r>
      <w:r w:rsidRPr="00150239">
        <w:rPr>
          <w:rFonts w:asciiTheme="majorHAnsi" w:hAnsiTheme="majorHAnsi" w:cstheme="majorHAnsi"/>
        </w:rPr>
        <w:t xml:space="preserve"> ATCC 25922 was used as the challenge strain and the same neutropenic thigh model was used for these experiments as described above.  </w:t>
      </w:r>
      <w:r w:rsidR="00F901D7">
        <w:rPr>
          <w:rFonts w:asciiTheme="majorHAnsi" w:hAnsiTheme="majorHAnsi" w:cstheme="majorHAnsi"/>
        </w:rPr>
        <w:t>A</w:t>
      </w:r>
      <w:r w:rsidR="00F901D7" w:rsidRPr="00150239">
        <w:rPr>
          <w:rFonts w:asciiTheme="majorHAnsi" w:hAnsiTheme="majorHAnsi" w:cstheme="majorHAnsi"/>
        </w:rPr>
        <w:t xml:space="preserve"> </w:t>
      </w:r>
      <w:r w:rsidRPr="00150239">
        <w:rPr>
          <w:rFonts w:asciiTheme="majorHAnsi" w:hAnsiTheme="majorHAnsi" w:cstheme="majorHAnsi"/>
        </w:rPr>
        <w:t xml:space="preserve">mathematical model was used to determine the difference between the time </w:t>
      </w:r>
      <w:r w:rsidR="00FF0B1A">
        <w:rPr>
          <w:rFonts w:asciiTheme="majorHAnsi" w:hAnsiTheme="majorHAnsi" w:cstheme="majorHAnsi"/>
        </w:rPr>
        <w:t xml:space="preserve">that </w:t>
      </w:r>
      <w:r w:rsidRPr="00150239">
        <w:rPr>
          <w:rFonts w:asciiTheme="majorHAnsi" w:hAnsiTheme="majorHAnsi" w:cstheme="majorHAnsi"/>
        </w:rPr>
        <w:t xml:space="preserve">free plasma concentrations dipped beneath the MIC </w:t>
      </w:r>
      <w:r>
        <w:rPr>
          <w:rFonts w:asciiTheme="majorHAnsi" w:hAnsiTheme="majorHAnsi" w:cstheme="majorHAnsi"/>
        </w:rPr>
        <w:t>of 0.01</w:t>
      </w:r>
      <w:r w:rsidR="00C50E66">
        <w:rPr>
          <w:rFonts w:asciiTheme="majorHAnsi" w:hAnsiTheme="majorHAnsi" w:cstheme="majorHAnsi"/>
        </w:rPr>
        <w:t>6</w:t>
      </w:r>
      <w:r>
        <w:rPr>
          <w:rFonts w:asciiTheme="majorHAnsi" w:hAnsiTheme="majorHAnsi" w:cstheme="majorHAnsi"/>
        </w:rPr>
        <w:t xml:space="preserve"> mg/L </w:t>
      </w:r>
      <w:r w:rsidR="00C50E66">
        <w:rPr>
          <w:rFonts w:asciiTheme="majorHAnsi" w:hAnsiTheme="majorHAnsi" w:cstheme="majorHAnsi"/>
        </w:rPr>
        <w:t>(</w:t>
      </w:r>
      <w:r w:rsidR="000C202B">
        <w:rPr>
          <w:rFonts w:asciiTheme="majorHAnsi" w:hAnsiTheme="majorHAnsi" w:cstheme="majorHAnsi"/>
        </w:rPr>
        <w:t>T</w:t>
      </w:r>
      <w:r w:rsidR="00C50E66">
        <w:rPr>
          <w:rFonts w:asciiTheme="majorHAnsi" w:hAnsiTheme="majorHAnsi" w:cstheme="majorHAnsi"/>
        </w:rPr>
        <w:t xml:space="preserve">able 1) </w:t>
      </w:r>
      <w:r w:rsidRPr="00150239">
        <w:rPr>
          <w:rFonts w:asciiTheme="majorHAnsi" w:hAnsiTheme="majorHAnsi" w:cstheme="majorHAnsi"/>
        </w:rPr>
        <w:t>and the time to regrowth.</w:t>
      </w:r>
      <w:r>
        <w:rPr>
          <w:rFonts w:asciiTheme="majorHAnsi" w:hAnsiTheme="majorHAnsi" w:cstheme="majorHAnsi"/>
        </w:rPr>
        <w:t xml:space="preserve">  </w:t>
      </w:r>
      <w:r w:rsidRPr="00077170">
        <w:rPr>
          <w:rFonts w:asciiTheme="majorHAnsi" w:hAnsiTheme="majorHAnsi" w:cstheme="majorHAnsi"/>
        </w:rPr>
        <w:t xml:space="preserve">Each cohort of mice was treated as an “individual”.  The </w:t>
      </w:r>
      <w:r w:rsidR="000C202B">
        <w:rPr>
          <w:rFonts w:asciiTheme="majorHAnsi" w:hAnsiTheme="majorHAnsi" w:cstheme="majorHAnsi"/>
        </w:rPr>
        <w:t xml:space="preserve">population </w:t>
      </w:r>
      <w:r w:rsidRPr="00077170">
        <w:rPr>
          <w:rFonts w:asciiTheme="majorHAnsi" w:hAnsiTheme="majorHAnsi" w:cstheme="majorHAnsi"/>
        </w:rPr>
        <w:t xml:space="preserve">PK </w:t>
      </w:r>
      <w:r w:rsidR="000C202B">
        <w:rPr>
          <w:rFonts w:asciiTheme="majorHAnsi" w:hAnsiTheme="majorHAnsi" w:cstheme="majorHAnsi"/>
        </w:rPr>
        <w:t>was initially solved and the parameters from that analysis (Table 2) were fixed to fit a pharmacodynamic model to the pharmacodynamic data</w:t>
      </w:r>
      <w:r w:rsidRPr="00077170">
        <w:rPr>
          <w:rFonts w:asciiTheme="majorHAnsi" w:hAnsiTheme="majorHAnsi" w:cstheme="majorHAnsi"/>
        </w:rPr>
        <w:t xml:space="preserve">.  </w:t>
      </w:r>
      <w:r w:rsidR="00196490">
        <w:rPr>
          <w:rFonts w:asciiTheme="majorHAnsi" w:hAnsiTheme="majorHAnsi" w:cstheme="majorHAnsi"/>
        </w:rPr>
        <w:t>The parameters for this analysis are shown in Table 3.</w:t>
      </w:r>
    </w:p>
    <w:p w14:paraId="18C28B16" w14:textId="25C6091C" w:rsidR="00F10449" w:rsidRDefault="00C342B3" w:rsidP="00C342B3">
      <w:pPr>
        <w:ind w:firstLine="720"/>
        <w:rPr>
          <w:rFonts w:asciiTheme="majorHAnsi" w:hAnsiTheme="majorHAnsi" w:cstheme="majorHAnsi"/>
        </w:rPr>
      </w:pPr>
      <w:r w:rsidRPr="00150239">
        <w:rPr>
          <w:rFonts w:asciiTheme="majorHAnsi" w:hAnsiTheme="majorHAnsi" w:cstheme="majorHAnsi"/>
        </w:rPr>
        <w:t>Experiments and PK-PD modelling showed that for each cohort, bacterial growth increased as soon as free plasma concentrations were &lt;MIC</w:t>
      </w:r>
      <w:r w:rsidR="00276F38">
        <w:rPr>
          <w:rFonts w:asciiTheme="majorHAnsi" w:hAnsiTheme="majorHAnsi" w:cstheme="majorHAnsi"/>
        </w:rPr>
        <w:t xml:space="preserve"> (Figure 3)</w:t>
      </w:r>
      <w:r w:rsidRPr="00150239">
        <w:rPr>
          <w:rFonts w:asciiTheme="majorHAnsi" w:hAnsiTheme="majorHAnsi" w:cstheme="majorHAnsi"/>
        </w:rPr>
        <w:t xml:space="preserve">.  Hence, tebipenem exhibited </w:t>
      </w:r>
      <w:r>
        <w:rPr>
          <w:rFonts w:asciiTheme="majorHAnsi" w:hAnsiTheme="majorHAnsi" w:cstheme="majorHAnsi"/>
        </w:rPr>
        <w:t>negligible</w:t>
      </w:r>
      <w:r w:rsidRPr="00150239">
        <w:rPr>
          <w:rFonts w:asciiTheme="majorHAnsi" w:hAnsiTheme="majorHAnsi" w:cstheme="majorHAnsi"/>
        </w:rPr>
        <w:t xml:space="preserve"> persistent effect</w:t>
      </w:r>
      <w:r>
        <w:rPr>
          <w:rFonts w:asciiTheme="majorHAnsi" w:hAnsiTheme="majorHAnsi" w:cstheme="majorHAnsi"/>
        </w:rPr>
        <w:t>s</w:t>
      </w:r>
      <w:r w:rsidRPr="00150239">
        <w:rPr>
          <w:rFonts w:asciiTheme="majorHAnsi" w:hAnsiTheme="majorHAnsi" w:cstheme="majorHAnsi"/>
        </w:rPr>
        <w:t>, which is in keeping with the pharmacodynamics of the carbapenem class.</w:t>
      </w:r>
      <w:r w:rsidR="00C5666F">
        <w:rPr>
          <w:rFonts w:asciiTheme="majorHAnsi" w:hAnsiTheme="majorHAnsi" w:cstheme="majorHAnsi"/>
        </w:rPr>
        <w:t xml:space="preserve">  </w:t>
      </w:r>
    </w:p>
    <w:p w14:paraId="63F84C8B" w14:textId="4CC4760C" w:rsidR="00C342B3" w:rsidRDefault="00C342B3">
      <w:pPr>
        <w:rPr>
          <w:rFonts w:asciiTheme="majorHAnsi" w:hAnsiTheme="majorHAnsi" w:cstheme="majorHAnsi"/>
        </w:rPr>
      </w:pPr>
    </w:p>
    <w:p w14:paraId="4C7929B0" w14:textId="4997B9D5" w:rsidR="00624E4D" w:rsidRPr="00150239" w:rsidRDefault="002B7869">
      <w:pPr>
        <w:rPr>
          <w:rFonts w:asciiTheme="majorHAnsi" w:hAnsiTheme="majorHAnsi" w:cstheme="majorHAnsi"/>
          <w:i/>
        </w:rPr>
      </w:pPr>
      <w:r>
        <w:rPr>
          <w:rFonts w:asciiTheme="majorHAnsi" w:hAnsiTheme="majorHAnsi" w:cstheme="majorHAnsi"/>
          <w:i/>
        </w:rPr>
        <w:t xml:space="preserve">Murine </w:t>
      </w:r>
      <w:r w:rsidR="00624E4D" w:rsidRPr="00150239">
        <w:rPr>
          <w:rFonts w:asciiTheme="majorHAnsi" w:hAnsiTheme="majorHAnsi" w:cstheme="majorHAnsi"/>
          <w:i/>
        </w:rPr>
        <w:t>Dose Fractionation Studies</w:t>
      </w:r>
    </w:p>
    <w:p w14:paraId="5F4132B5" w14:textId="69D8502D" w:rsidR="00624E4D" w:rsidRPr="00150239" w:rsidRDefault="00770144">
      <w:pPr>
        <w:rPr>
          <w:rFonts w:asciiTheme="majorHAnsi" w:hAnsiTheme="majorHAnsi" w:cstheme="majorHAnsi"/>
        </w:rPr>
      </w:pPr>
      <w:r w:rsidRPr="00150239">
        <w:rPr>
          <w:rFonts w:asciiTheme="majorHAnsi" w:hAnsiTheme="majorHAnsi" w:cstheme="majorHAnsi"/>
        </w:rPr>
        <w:tab/>
        <w:t xml:space="preserve">Dose fractionation studies were performed to define the pharmacodynamic index that best </w:t>
      </w:r>
      <w:r w:rsidR="00F901D7" w:rsidRPr="00150239">
        <w:rPr>
          <w:rFonts w:asciiTheme="majorHAnsi" w:hAnsiTheme="majorHAnsi" w:cstheme="majorHAnsi"/>
        </w:rPr>
        <w:t>link</w:t>
      </w:r>
      <w:r w:rsidR="00F901D7">
        <w:rPr>
          <w:rFonts w:asciiTheme="majorHAnsi" w:hAnsiTheme="majorHAnsi" w:cstheme="majorHAnsi"/>
        </w:rPr>
        <w:t>s</w:t>
      </w:r>
      <w:r w:rsidR="00F901D7" w:rsidRPr="00150239">
        <w:rPr>
          <w:rFonts w:asciiTheme="majorHAnsi" w:hAnsiTheme="majorHAnsi" w:cstheme="majorHAnsi"/>
        </w:rPr>
        <w:t xml:space="preserve"> </w:t>
      </w:r>
      <w:r w:rsidRPr="00150239">
        <w:rPr>
          <w:rFonts w:asciiTheme="majorHAnsi" w:hAnsiTheme="majorHAnsi" w:cstheme="majorHAnsi"/>
        </w:rPr>
        <w:t xml:space="preserve">the </w:t>
      </w:r>
      <w:r w:rsidR="00377DE1" w:rsidRPr="00150239">
        <w:rPr>
          <w:rFonts w:asciiTheme="majorHAnsi" w:hAnsiTheme="majorHAnsi" w:cstheme="majorHAnsi"/>
        </w:rPr>
        <w:t>administration</w:t>
      </w:r>
      <w:r w:rsidRPr="00150239">
        <w:rPr>
          <w:rFonts w:asciiTheme="majorHAnsi" w:hAnsiTheme="majorHAnsi" w:cstheme="majorHAnsi"/>
        </w:rPr>
        <w:t xml:space="preserve"> of tebipenem with the observed antibacterial effect.  </w:t>
      </w:r>
      <w:r w:rsidR="00A91AB9" w:rsidRPr="00150239">
        <w:rPr>
          <w:rFonts w:asciiTheme="majorHAnsi" w:hAnsiTheme="majorHAnsi" w:cstheme="majorHAnsi"/>
        </w:rPr>
        <w:t xml:space="preserve">A single challenge strain was used, which was </w:t>
      </w:r>
      <w:r w:rsidR="00A91AB9" w:rsidRPr="00150239">
        <w:rPr>
          <w:rFonts w:asciiTheme="majorHAnsi" w:hAnsiTheme="majorHAnsi" w:cstheme="majorHAnsi"/>
          <w:i/>
        </w:rPr>
        <w:t>E. coli</w:t>
      </w:r>
      <w:r w:rsidR="00A91AB9" w:rsidRPr="00150239">
        <w:rPr>
          <w:rFonts w:asciiTheme="majorHAnsi" w:hAnsiTheme="majorHAnsi" w:cstheme="majorHAnsi"/>
        </w:rPr>
        <w:t xml:space="preserve"> ATCC</w:t>
      </w:r>
      <w:r w:rsidR="007601F9">
        <w:rPr>
          <w:rFonts w:asciiTheme="majorHAnsi" w:hAnsiTheme="majorHAnsi" w:cstheme="majorHAnsi"/>
        </w:rPr>
        <w:t xml:space="preserve"> </w:t>
      </w:r>
      <w:r w:rsidR="00A91AB9" w:rsidRPr="00150239">
        <w:rPr>
          <w:rFonts w:asciiTheme="majorHAnsi" w:hAnsiTheme="majorHAnsi" w:cstheme="majorHAnsi"/>
        </w:rPr>
        <w:t xml:space="preserve">25922.  </w:t>
      </w:r>
      <w:r w:rsidR="00D23865" w:rsidRPr="00150239">
        <w:rPr>
          <w:rFonts w:asciiTheme="majorHAnsi" w:hAnsiTheme="majorHAnsi" w:cstheme="majorHAnsi"/>
        </w:rPr>
        <w:t>Dose fractionation</w:t>
      </w:r>
      <w:r w:rsidR="00377DE1" w:rsidRPr="00150239">
        <w:rPr>
          <w:rFonts w:asciiTheme="majorHAnsi" w:hAnsiTheme="majorHAnsi" w:cstheme="majorHAnsi"/>
        </w:rPr>
        <w:t xml:space="preserve"> studies </w:t>
      </w:r>
      <w:r w:rsidR="00377DE1" w:rsidRPr="00150239">
        <w:rPr>
          <w:rFonts w:asciiTheme="majorHAnsi" w:hAnsiTheme="majorHAnsi" w:cstheme="majorHAnsi"/>
        </w:rPr>
        <w:lastRenderedPageBreak/>
        <w:t xml:space="preserve">were designed </w:t>
      </w:r>
      <w:r w:rsidR="007C5224" w:rsidRPr="00150239">
        <w:rPr>
          <w:rFonts w:asciiTheme="majorHAnsi" w:hAnsiTheme="majorHAnsi" w:cstheme="majorHAnsi"/>
        </w:rPr>
        <w:t xml:space="preserve">using </w:t>
      </w:r>
      <w:r w:rsidR="00921715">
        <w:rPr>
          <w:rFonts w:asciiTheme="majorHAnsi" w:hAnsiTheme="majorHAnsi" w:cstheme="majorHAnsi"/>
        </w:rPr>
        <w:t xml:space="preserve">oral </w:t>
      </w:r>
      <w:r w:rsidR="007C5224" w:rsidRPr="00150239">
        <w:rPr>
          <w:rFonts w:asciiTheme="majorHAnsi" w:hAnsiTheme="majorHAnsi" w:cstheme="majorHAnsi"/>
        </w:rPr>
        <w:t>regimens</w:t>
      </w:r>
      <w:r w:rsidR="0054020A" w:rsidRPr="00150239">
        <w:rPr>
          <w:rFonts w:asciiTheme="majorHAnsi" w:hAnsiTheme="majorHAnsi" w:cstheme="majorHAnsi"/>
        </w:rPr>
        <w:t xml:space="preserve"> of </w:t>
      </w:r>
      <w:r w:rsidR="00AE199A">
        <w:rPr>
          <w:rFonts w:asciiTheme="majorHAnsi" w:hAnsiTheme="majorHAnsi" w:cstheme="majorHAnsi"/>
        </w:rPr>
        <w:t>tebipenem</w:t>
      </w:r>
      <w:r w:rsidR="0054020A" w:rsidRPr="00150239">
        <w:rPr>
          <w:rFonts w:asciiTheme="majorHAnsi" w:hAnsiTheme="majorHAnsi" w:cstheme="majorHAnsi"/>
        </w:rPr>
        <w:t xml:space="preserve"> that induced 20, 40, 60 and 80% of maximal effect</w:t>
      </w:r>
      <w:r w:rsidR="00A91AB9" w:rsidRPr="00150239">
        <w:rPr>
          <w:rFonts w:asciiTheme="majorHAnsi" w:hAnsiTheme="majorHAnsi" w:cstheme="majorHAnsi"/>
        </w:rPr>
        <w:t xml:space="preserve">.  The total daily dose at each value was administered as 4 quarter dosages q6h, 2 half dosages q12h and a single daily dose q24h.  The bacterial burden in each mouse </w:t>
      </w:r>
      <w:r w:rsidR="007C5224" w:rsidRPr="00150239">
        <w:rPr>
          <w:rFonts w:asciiTheme="majorHAnsi" w:hAnsiTheme="majorHAnsi" w:cstheme="majorHAnsi"/>
        </w:rPr>
        <w:t>(n=</w:t>
      </w:r>
      <w:r w:rsidR="002A2596">
        <w:rPr>
          <w:rFonts w:asciiTheme="majorHAnsi" w:hAnsiTheme="majorHAnsi" w:cstheme="majorHAnsi"/>
        </w:rPr>
        <w:t>4</w:t>
      </w:r>
      <w:r w:rsidR="002A2596" w:rsidRPr="00150239">
        <w:rPr>
          <w:rFonts w:asciiTheme="majorHAnsi" w:hAnsiTheme="majorHAnsi" w:cstheme="majorHAnsi"/>
        </w:rPr>
        <w:t xml:space="preserve"> </w:t>
      </w:r>
      <w:r w:rsidR="007C5224" w:rsidRPr="00150239">
        <w:rPr>
          <w:rFonts w:asciiTheme="majorHAnsi" w:hAnsiTheme="majorHAnsi" w:cstheme="majorHAnsi"/>
        </w:rPr>
        <w:t xml:space="preserve">for each condition) </w:t>
      </w:r>
      <w:r w:rsidR="00A91AB9" w:rsidRPr="00150239">
        <w:rPr>
          <w:rFonts w:asciiTheme="majorHAnsi" w:hAnsiTheme="majorHAnsi" w:cstheme="majorHAnsi"/>
        </w:rPr>
        <w:t xml:space="preserve">from each of these regimens was compared using ANOVA </w:t>
      </w:r>
      <w:r w:rsidR="007C5224" w:rsidRPr="00150239">
        <w:rPr>
          <w:rFonts w:asciiTheme="majorHAnsi" w:hAnsiTheme="majorHAnsi" w:cstheme="majorHAnsi"/>
        </w:rPr>
        <w:t xml:space="preserve">with </w:t>
      </w:r>
      <w:r w:rsidR="00E14AC5">
        <w:rPr>
          <w:rFonts w:asciiTheme="majorHAnsi" w:hAnsiTheme="majorHAnsi" w:cstheme="majorHAnsi"/>
        </w:rPr>
        <w:t>a Bonferroni</w:t>
      </w:r>
      <w:r w:rsidR="007C5224" w:rsidRPr="00150239">
        <w:rPr>
          <w:rFonts w:asciiTheme="majorHAnsi" w:hAnsiTheme="majorHAnsi" w:cstheme="majorHAnsi"/>
        </w:rPr>
        <w:t xml:space="preserve"> correction for multiple comparisons </w:t>
      </w:r>
      <w:r w:rsidR="000C202B">
        <w:rPr>
          <w:rFonts w:asciiTheme="majorHAnsi" w:hAnsiTheme="majorHAnsi" w:cstheme="majorHAnsi"/>
        </w:rPr>
        <w:t xml:space="preserve">within each dose level </w:t>
      </w:r>
      <w:r w:rsidR="007C5224" w:rsidRPr="00150239">
        <w:rPr>
          <w:rFonts w:asciiTheme="majorHAnsi" w:hAnsiTheme="majorHAnsi" w:cstheme="majorHAnsi"/>
        </w:rPr>
        <w:t>where necessary</w:t>
      </w:r>
      <w:r w:rsidR="00A91AB9" w:rsidRPr="00150239">
        <w:rPr>
          <w:rFonts w:asciiTheme="majorHAnsi" w:hAnsiTheme="majorHAnsi" w:cstheme="majorHAnsi"/>
        </w:rPr>
        <w:t xml:space="preserve">.  </w:t>
      </w:r>
      <w:r w:rsidR="00206157" w:rsidRPr="00150239">
        <w:rPr>
          <w:rFonts w:asciiTheme="majorHAnsi" w:hAnsiTheme="majorHAnsi" w:cstheme="majorHAnsi"/>
        </w:rPr>
        <w:t xml:space="preserve">More fractionated schedules of administration </w:t>
      </w:r>
      <w:r w:rsidR="0071579A">
        <w:rPr>
          <w:rFonts w:asciiTheme="majorHAnsi" w:hAnsiTheme="majorHAnsi" w:cstheme="majorHAnsi"/>
        </w:rPr>
        <w:t xml:space="preserve">generally </w:t>
      </w:r>
      <w:r w:rsidR="00206157" w:rsidRPr="00150239">
        <w:rPr>
          <w:rFonts w:asciiTheme="majorHAnsi" w:hAnsiTheme="majorHAnsi" w:cstheme="majorHAnsi"/>
        </w:rPr>
        <w:t xml:space="preserve">resulted in more antibacterial activity, which was especially apparent </w:t>
      </w:r>
      <w:r w:rsidR="007C5224" w:rsidRPr="00150239">
        <w:rPr>
          <w:rFonts w:asciiTheme="majorHAnsi" w:hAnsiTheme="majorHAnsi" w:cstheme="majorHAnsi"/>
        </w:rPr>
        <w:t>for</w:t>
      </w:r>
      <w:r w:rsidR="00206157" w:rsidRPr="00150239">
        <w:rPr>
          <w:rFonts w:asciiTheme="majorHAnsi" w:hAnsiTheme="majorHAnsi" w:cstheme="majorHAnsi"/>
        </w:rPr>
        <w:t xml:space="preserve"> the q24h schedules.</w:t>
      </w:r>
      <w:r w:rsidR="0071579A">
        <w:rPr>
          <w:rFonts w:asciiTheme="majorHAnsi" w:hAnsiTheme="majorHAnsi" w:cstheme="majorHAnsi"/>
        </w:rPr>
        <w:t xml:space="preserve">  There were no differences for the </w:t>
      </w:r>
      <w:r w:rsidR="0002587E">
        <w:rPr>
          <w:rFonts w:asciiTheme="majorHAnsi" w:hAnsiTheme="majorHAnsi" w:cstheme="majorHAnsi"/>
        </w:rPr>
        <w:t>5 mg/kg/day group (p=0.231) or the 25 mg/kg/day group (p=0.113).  However, there were statistically significant differences for the 9 mg/kg/day and 14 mg/kg/day group with a p-values of &lt;0.001 and 0.001, respectively.  For the 9 mg/kg/day group the differences between the 6h versus q12h, q6h versus q24h and q12h versus q24h schedules were 0.066, &lt;0.001 and 0.002, respectively.  Similarly, for the 14 mg/kg/day group the differences between the 6h versus q12h, q6h versus q24h and q12h versus q24h schedules were 0.604, 0.001 and 0.004, respectively.</w:t>
      </w:r>
    </w:p>
    <w:p w14:paraId="63432790" w14:textId="057D1EC6" w:rsidR="00A91AB9" w:rsidRPr="00150239" w:rsidRDefault="00A91AB9" w:rsidP="00707CD0">
      <w:pPr>
        <w:rPr>
          <w:rFonts w:asciiTheme="majorHAnsi" w:hAnsiTheme="majorHAnsi" w:cstheme="majorHAnsi"/>
        </w:rPr>
      </w:pPr>
      <w:r w:rsidRPr="00150239">
        <w:rPr>
          <w:rFonts w:asciiTheme="majorHAnsi" w:hAnsiTheme="majorHAnsi" w:cstheme="majorHAnsi"/>
        </w:rPr>
        <w:tab/>
        <w:t xml:space="preserve">The PK model was used to transform drug exposure from dose to </w:t>
      </w:r>
      <w:proofErr w:type="spellStart"/>
      <w:proofErr w:type="gramStart"/>
      <w:r w:rsidR="0025481E" w:rsidRPr="007601F9">
        <w:rPr>
          <w:rFonts w:asciiTheme="majorHAnsi" w:hAnsiTheme="majorHAnsi" w:cstheme="majorHAnsi"/>
          <w:i/>
        </w:rPr>
        <w:t>f</w:t>
      </w:r>
      <w:r w:rsidR="00D23865" w:rsidRPr="00150239">
        <w:rPr>
          <w:rFonts w:asciiTheme="majorHAnsi" w:hAnsiTheme="majorHAnsi" w:cstheme="majorHAnsi"/>
        </w:rPr>
        <w:t>AUC:MIC</w:t>
      </w:r>
      <w:proofErr w:type="spellEnd"/>
      <w:proofErr w:type="gramEnd"/>
      <w:r w:rsidR="00D23865" w:rsidRPr="00150239">
        <w:rPr>
          <w:rFonts w:asciiTheme="majorHAnsi" w:hAnsiTheme="majorHAnsi" w:cstheme="majorHAnsi"/>
        </w:rPr>
        <w:t xml:space="preserve">, </w:t>
      </w:r>
      <w:proofErr w:type="spellStart"/>
      <w:r w:rsidR="0025481E" w:rsidRPr="007601F9">
        <w:rPr>
          <w:rFonts w:asciiTheme="majorHAnsi" w:hAnsiTheme="majorHAnsi" w:cstheme="majorHAnsi"/>
          <w:i/>
        </w:rPr>
        <w:t>f</w:t>
      </w:r>
      <w:r w:rsidR="00D23865" w:rsidRPr="00150239">
        <w:rPr>
          <w:rFonts w:asciiTheme="majorHAnsi" w:hAnsiTheme="majorHAnsi" w:cstheme="majorHAnsi"/>
        </w:rPr>
        <w:t>Cmax:MIC</w:t>
      </w:r>
      <w:proofErr w:type="spellEnd"/>
      <w:r w:rsidR="00D23865" w:rsidRPr="00150239">
        <w:rPr>
          <w:rFonts w:asciiTheme="majorHAnsi" w:hAnsiTheme="majorHAnsi" w:cstheme="majorHAnsi"/>
        </w:rPr>
        <w:t xml:space="preserve"> and the </w:t>
      </w:r>
      <w:r w:rsidR="00E61E82" w:rsidRPr="00150239">
        <w:rPr>
          <w:rFonts w:asciiTheme="majorHAnsi" w:hAnsiTheme="majorHAnsi" w:cstheme="majorHAnsi"/>
        </w:rPr>
        <w:t>fraction</w:t>
      </w:r>
      <w:r w:rsidR="00D23865" w:rsidRPr="00150239">
        <w:rPr>
          <w:rFonts w:asciiTheme="majorHAnsi" w:hAnsiTheme="majorHAnsi" w:cstheme="majorHAnsi"/>
        </w:rPr>
        <w:t xml:space="preserve"> of the dosing interval</w:t>
      </w:r>
      <w:r w:rsidR="00921715">
        <w:rPr>
          <w:rFonts w:asciiTheme="majorHAnsi" w:hAnsiTheme="majorHAnsi" w:cstheme="majorHAnsi"/>
        </w:rPr>
        <w:t xml:space="preserve"> where</w:t>
      </w:r>
      <w:r w:rsidR="00D23865" w:rsidRPr="00150239">
        <w:rPr>
          <w:rFonts w:asciiTheme="majorHAnsi" w:hAnsiTheme="majorHAnsi" w:cstheme="majorHAnsi"/>
        </w:rPr>
        <w:t xml:space="preserve"> free tebipenem concentrations were greater than </w:t>
      </w:r>
      <w:r w:rsidR="00921715">
        <w:rPr>
          <w:rFonts w:asciiTheme="majorHAnsi" w:hAnsiTheme="majorHAnsi" w:cstheme="majorHAnsi"/>
        </w:rPr>
        <w:t xml:space="preserve">the </w:t>
      </w:r>
      <w:r w:rsidR="00D23865" w:rsidRPr="00150239">
        <w:rPr>
          <w:rFonts w:asciiTheme="majorHAnsi" w:hAnsiTheme="majorHAnsi" w:cstheme="majorHAnsi"/>
        </w:rPr>
        <w:t xml:space="preserve">MIC, which was estimated to be 0.015 mg/L.  </w:t>
      </w:r>
      <w:r w:rsidR="00B459E7">
        <w:rPr>
          <w:rFonts w:asciiTheme="majorHAnsi" w:hAnsiTheme="majorHAnsi" w:cstheme="majorHAnsi"/>
        </w:rPr>
        <w:t>T</w:t>
      </w:r>
      <w:r w:rsidR="00D23865" w:rsidRPr="00150239">
        <w:rPr>
          <w:rFonts w:asciiTheme="majorHAnsi" w:hAnsiTheme="majorHAnsi" w:cstheme="majorHAnsi"/>
        </w:rPr>
        <w:t xml:space="preserve">he murine plasma protein binding was estimated to be </w:t>
      </w:r>
      <w:r w:rsidR="00E61E82" w:rsidRPr="00150239">
        <w:rPr>
          <w:rFonts w:asciiTheme="majorHAnsi" w:hAnsiTheme="majorHAnsi" w:cstheme="majorHAnsi"/>
        </w:rPr>
        <w:t>98.7% (i.e. 1.3% free tebipenem)</w:t>
      </w:r>
      <w:r w:rsidR="008E44F1">
        <w:rPr>
          <w:rFonts w:asciiTheme="majorHAnsi" w:hAnsiTheme="majorHAnsi" w:cstheme="majorHAnsi"/>
        </w:rPr>
        <w:t xml:space="preserve"> and free drug conce</w:t>
      </w:r>
      <w:r w:rsidR="002B4FF4">
        <w:rPr>
          <w:rFonts w:asciiTheme="majorHAnsi" w:hAnsiTheme="majorHAnsi" w:cstheme="majorHAnsi"/>
        </w:rPr>
        <w:t>n</w:t>
      </w:r>
      <w:r w:rsidR="008E44F1">
        <w:rPr>
          <w:rFonts w:asciiTheme="majorHAnsi" w:hAnsiTheme="majorHAnsi" w:cstheme="majorHAnsi"/>
        </w:rPr>
        <w:t>trations were estimated using this value (i.e. total drug multiplied by 0.013)</w:t>
      </w:r>
      <w:r w:rsidR="00E61E82" w:rsidRPr="00150239">
        <w:rPr>
          <w:rFonts w:asciiTheme="majorHAnsi" w:hAnsiTheme="majorHAnsi" w:cstheme="majorHAnsi"/>
        </w:rPr>
        <w:t>.</w:t>
      </w:r>
      <w:r w:rsidR="00206157" w:rsidRPr="00150239">
        <w:rPr>
          <w:rFonts w:asciiTheme="majorHAnsi" w:hAnsiTheme="majorHAnsi" w:cstheme="majorHAnsi"/>
        </w:rPr>
        <w:t xml:space="preserve">  </w:t>
      </w:r>
      <w:r w:rsidR="000B0442">
        <w:rPr>
          <w:rFonts w:asciiTheme="majorHAnsi" w:hAnsiTheme="majorHAnsi" w:cstheme="majorHAnsi"/>
        </w:rPr>
        <w:t>N</w:t>
      </w:r>
      <w:r w:rsidR="00206157" w:rsidRPr="00150239">
        <w:rPr>
          <w:rFonts w:asciiTheme="majorHAnsi" w:hAnsiTheme="majorHAnsi" w:cstheme="majorHAnsi"/>
        </w:rPr>
        <w:t xml:space="preserve">one of the standard </w:t>
      </w:r>
      <w:r w:rsidR="000B0442">
        <w:rPr>
          <w:rFonts w:asciiTheme="majorHAnsi" w:hAnsiTheme="majorHAnsi" w:cstheme="majorHAnsi"/>
        </w:rPr>
        <w:t xml:space="preserve">pharmacodynamic </w:t>
      </w:r>
      <w:r w:rsidR="00CD5D7E" w:rsidRPr="00150239">
        <w:rPr>
          <w:rFonts w:asciiTheme="majorHAnsi" w:hAnsiTheme="majorHAnsi" w:cstheme="majorHAnsi"/>
        </w:rPr>
        <w:t xml:space="preserve">indices described the data well (Figure </w:t>
      </w:r>
      <w:r w:rsidR="00C342B3">
        <w:rPr>
          <w:rFonts w:asciiTheme="majorHAnsi" w:hAnsiTheme="majorHAnsi" w:cstheme="majorHAnsi"/>
        </w:rPr>
        <w:t>4</w:t>
      </w:r>
      <w:r w:rsidR="00CD5D7E" w:rsidRPr="00150239">
        <w:rPr>
          <w:rFonts w:asciiTheme="majorHAnsi" w:hAnsiTheme="majorHAnsi" w:cstheme="majorHAnsi"/>
        </w:rPr>
        <w:t>).  The coefficient of determination (</w:t>
      </w:r>
      <w:r w:rsidR="00CD5D7E" w:rsidRPr="00150239">
        <w:rPr>
          <w:rFonts w:asciiTheme="majorHAnsi" w:hAnsiTheme="majorHAnsi" w:cstheme="majorHAnsi"/>
          <w:i/>
        </w:rPr>
        <w:t>r</w:t>
      </w:r>
      <w:r w:rsidR="00CD5D7E" w:rsidRPr="00150239">
        <w:rPr>
          <w:rFonts w:asciiTheme="majorHAnsi" w:hAnsiTheme="majorHAnsi" w:cstheme="majorHAnsi"/>
          <w:i/>
          <w:vertAlign w:val="superscript"/>
        </w:rPr>
        <w:t>2</w:t>
      </w:r>
      <w:r w:rsidR="00CD5D7E" w:rsidRPr="00150239">
        <w:rPr>
          <w:rFonts w:asciiTheme="majorHAnsi" w:hAnsiTheme="majorHAnsi" w:cstheme="majorHAnsi"/>
        </w:rPr>
        <w:t xml:space="preserve">) for </w:t>
      </w:r>
      <w:proofErr w:type="spellStart"/>
      <w:proofErr w:type="gramStart"/>
      <w:r w:rsidR="00CD5D7E" w:rsidRPr="00150239">
        <w:rPr>
          <w:rFonts w:asciiTheme="majorHAnsi" w:hAnsiTheme="majorHAnsi" w:cstheme="majorHAnsi"/>
        </w:rPr>
        <w:t>Cmax:MIC</w:t>
      </w:r>
      <w:proofErr w:type="spellEnd"/>
      <w:proofErr w:type="gramEnd"/>
      <w:r w:rsidR="00CD5D7E" w:rsidRPr="00150239">
        <w:rPr>
          <w:rFonts w:asciiTheme="majorHAnsi" w:hAnsiTheme="majorHAnsi" w:cstheme="majorHAnsi"/>
        </w:rPr>
        <w:t xml:space="preserve"> and AUC:MIC was </w:t>
      </w:r>
      <w:r w:rsidR="0002587E">
        <w:rPr>
          <w:rFonts w:asciiTheme="majorHAnsi" w:hAnsiTheme="majorHAnsi" w:cstheme="majorHAnsi"/>
        </w:rPr>
        <w:t>0.33</w:t>
      </w:r>
      <w:r w:rsidR="0002587E" w:rsidRPr="00150239">
        <w:rPr>
          <w:rFonts w:asciiTheme="majorHAnsi" w:hAnsiTheme="majorHAnsi" w:cstheme="majorHAnsi"/>
        </w:rPr>
        <w:t xml:space="preserve"> </w:t>
      </w:r>
      <w:r w:rsidR="00CD5D7E" w:rsidRPr="00150239">
        <w:rPr>
          <w:rFonts w:asciiTheme="majorHAnsi" w:hAnsiTheme="majorHAnsi" w:cstheme="majorHAnsi"/>
        </w:rPr>
        <w:t xml:space="preserve">and </w:t>
      </w:r>
      <w:r w:rsidR="0002587E">
        <w:rPr>
          <w:rFonts w:asciiTheme="majorHAnsi" w:hAnsiTheme="majorHAnsi" w:cstheme="majorHAnsi"/>
        </w:rPr>
        <w:t>0.73</w:t>
      </w:r>
      <w:r w:rsidR="00CD5D7E" w:rsidRPr="00150239">
        <w:rPr>
          <w:rFonts w:asciiTheme="majorHAnsi" w:hAnsiTheme="majorHAnsi" w:cstheme="majorHAnsi"/>
        </w:rPr>
        <w:t>, respectively</w:t>
      </w:r>
      <w:r w:rsidR="00707CD0" w:rsidRPr="00150239">
        <w:rPr>
          <w:rFonts w:asciiTheme="majorHAnsi" w:hAnsiTheme="majorHAnsi" w:cstheme="majorHAnsi"/>
        </w:rPr>
        <w:t xml:space="preserve">.  The plot of </w:t>
      </w:r>
      <w:proofErr w:type="spellStart"/>
      <w:r w:rsidR="00707CD0" w:rsidRPr="00150239">
        <w:rPr>
          <w:rFonts w:asciiTheme="majorHAnsi" w:hAnsiTheme="majorHAnsi" w:cstheme="majorHAnsi"/>
          <w:i/>
        </w:rPr>
        <w:t>f</w:t>
      </w:r>
      <w:r w:rsidR="00707CD0" w:rsidRPr="00150239">
        <w:rPr>
          <w:rFonts w:asciiTheme="majorHAnsi" w:hAnsiTheme="majorHAnsi" w:cstheme="majorHAnsi"/>
        </w:rPr>
        <w:t>T</w:t>
      </w:r>
      <w:proofErr w:type="spellEnd"/>
      <w:r w:rsidR="00707CD0" w:rsidRPr="00150239">
        <w:rPr>
          <w:rFonts w:asciiTheme="majorHAnsi" w:hAnsiTheme="majorHAnsi" w:cstheme="majorHAnsi"/>
        </w:rPr>
        <w:t xml:space="preserve">&gt;MIC versus effect showed clumping of data at or near 100% with considerable </w:t>
      </w:r>
      <w:r w:rsidR="007C5224" w:rsidRPr="00150239">
        <w:rPr>
          <w:rFonts w:asciiTheme="majorHAnsi" w:hAnsiTheme="majorHAnsi" w:cstheme="majorHAnsi"/>
        </w:rPr>
        <w:t>differences</w:t>
      </w:r>
      <w:r w:rsidR="00707CD0" w:rsidRPr="00150239">
        <w:rPr>
          <w:rFonts w:asciiTheme="majorHAnsi" w:hAnsiTheme="majorHAnsi" w:cstheme="majorHAnsi"/>
        </w:rPr>
        <w:t xml:space="preserve"> in the pharmacodynamics</w:t>
      </w:r>
      <w:r w:rsidR="007C5224" w:rsidRPr="00150239">
        <w:rPr>
          <w:rFonts w:asciiTheme="majorHAnsi" w:hAnsiTheme="majorHAnsi" w:cstheme="majorHAnsi"/>
        </w:rPr>
        <w:t xml:space="preserve"> at this value</w:t>
      </w:r>
      <w:r w:rsidR="00707CD0" w:rsidRPr="00150239">
        <w:rPr>
          <w:rFonts w:asciiTheme="majorHAnsi" w:hAnsiTheme="majorHAnsi" w:cstheme="majorHAnsi"/>
        </w:rPr>
        <w:t xml:space="preserve">.  </w:t>
      </w:r>
      <w:r w:rsidR="007C5224" w:rsidRPr="00150239">
        <w:rPr>
          <w:rFonts w:asciiTheme="majorHAnsi" w:hAnsiTheme="majorHAnsi" w:cstheme="majorHAnsi"/>
        </w:rPr>
        <w:t xml:space="preserve">Hence, it was apparent that </w:t>
      </w:r>
      <w:r w:rsidR="00E21CAB">
        <w:rPr>
          <w:rFonts w:asciiTheme="majorHAnsi" w:hAnsiTheme="majorHAnsi" w:cstheme="majorHAnsi"/>
        </w:rPr>
        <w:t xml:space="preserve">the </w:t>
      </w:r>
      <w:proofErr w:type="spellStart"/>
      <w:r w:rsidR="007C5224" w:rsidRPr="00150239">
        <w:rPr>
          <w:rFonts w:asciiTheme="majorHAnsi" w:hAnsiTheme="majorHAnsi" w:cstheme="majorHAnsi"/>
          <w:i/>
        </w:rPr>
        <w:t>f</w:t>
      </w:r>
      <w:r w:rsidR="007C5224" w:rsidRPr="00150239">
        <w:rPr>
          <w:rFonts w:asciiTheme="majorHAnsi" w:hAnsiTheme="majorHAnsi" w:cstheme="majorHAnsi"/>
        </w:rPr>
        <w:t>T</w:t>
      </w:r>
      <w:proofErr w:type="spellEnd"/>
      <w:r w:rsidR="007C5224" w:rsidRPr="00150239">
        <w:rPr>
          <w:rFonts w:asciiTheme="majorHAnsi" w:hAnsiTheme="majorHAnsi" w:cstheme="majorHAnsi"/>
        </w:rPr>
        <w:t xml:space="preserve">&gt;MIC </w:t>
      </w:r>
      <w:r w:rsidR="00707CD0" w:rsidRPr="00150239">
        <w:rPr>
          <w:rFonts w:asciiTheme="majorHAnsi" w:hAnsiTheme="majorHAnsi" w:cstheme="majorHAnsi"/>
        </w:rPr>
        <w:t xml:space="preserve">metric </w:t>
      </w:r>
      <w:r w:rsidR="00E21CAB">
        <w:rPr>
          <w:rFonts w:asciiTheme="majorHAnsi" w:hAnsiTheme="majorHAnsi" w:cstheme="majorHAnsi"/>
        </w:rPr>
        <w:t>(</w:t>
      </w:r>
      <w:r w:rsidR="00707CD0" w:rsidRPr="00150239">
        <w:rPr>
          <w:rFonts w:asciiTheme="majorHAnsi" w:hAnsiTheme="majorHAnsi" w:cstheme="majorHAnsi"/>
        </w:rPr>
        <w:t>which is bounded above and below</w:t>
      </w:r>
      <w:r w:rsidR="007C5224" w:rsidRPr="00150239">
        <w:rPr>
          <w:rFonts w:asciiTheme="majorHAnsi" w:hAnsiTheme="majorHAnsi" w:cstheme="majorHAnsi"/>
        </w:rPr>
        <w:t xml:space="preserve"> by 0 and 100%, respectively</w:t>
      </w:r>
      <w:r w:rsidR="00E21CAB">
        <w:rPr>
          <w:rFonts w:asciiTheme="majorHAnsi" w:hAnsiTheme="majorHAnsi" w:cstheme="majorHAnsi"/>
        </w:rPr>
        <w:t>)</w:t>
      </w:r>
      <w:r w:rsidR="00921715">
        <w:rPr>
          <w:rFonts w:asciiTheme="majorHAnsi" w:hAnsiTheme="majorHAnsi" w:cstheme="majorHAnsi"/>
        </w:rPr>
        <w:t xml:space="preserve"> </w:t>
      </w:r>
      <w:r w:rsidR="00707CD0" w:rsidRPr="00150239">
        <w:rPr>
          <w:rFonts w:asciiTheme="majorHAnsi" w:hAnsiTheme="majorHAnsi" w:cstheme="majorHAnsi"/>
        </w:rPr>
        <w:t xml:space="preserve">could not be readily used to describe </w:t>
      </w:r>
      <w:r w:rsidR="004D051C">
        <w:rPr>
          <w:rFonts w:asciiTheme="majorHAnsi" w:hAnsiTheme="majorHAnsi" w:cstheme="majorHAnsi"/>
        </w:rPr>
        <w:t xml:space="preserve">the pharmacodynamics of </w:t>
      </w:r>
      <w:r w:rsidR="00707CD0" w:rsidRPr="00150239">
        <w:rPr>
          <w:rFonts w:asciiTheme="majorHAnsi" w:hAnsiTheme="majorHAnsi" w:cstheme="majorHAnsi"/>
        </w:rPr>
        <w:t>tebipenem</w:t>
      </w:r>
      <w:r w:rsidR="00921715">
        <w:rPr>
          <w:rFonts w:asciiTheme="majorHAnsi" w:hAnsiTheme="majorHAnsi" w:cstheme="majorHAnsi"/>
        </w:rPr>
        <w:t xml:space="preserve"> in murine models of infection</w:t>
      </w:r>
      <w:r w:rsidR="00707CD0" w:rsidRPr="00150239">
        <w:rPr>
          <w:rFonts w:asciiTheme="majorHAnsi" w:hAnsiTheme="majorHAnsi" w:cstheme="majorHAnsi"/>
        </w:rPr>
        <w:t>.  Since time-dependent pharmacodynamics w</w:t>
      </w:r>
      <w:r w:rsidR="00D33D61">
        <w:rPr>
          <w:rFonts w:asciiTheme="majorHAnsi" w:hAnsiTheme="majorHAnsi" w:cstheme="majorHAnsi"/>
        </w:rPr>
        <w:t>ere</w:t>
      </w:r>
      <w:r w:rsidR="00707CD0" w:rsidRPr="00150239">
        <w:rPr>
          <w:rFonts w:asciiTheme="majorHAnsi" w:hAnsiTheme="majorHAnsi" w:cstheme="majorHAnsi"/>
        </w:rPr>
        <w:t xml:space="preserve"> apparent from </w:t>
      </w:r>
      <w:r w:rsidR="007C5224" w:rsidRPr="00150239">
        <w:rPr>
          <w:rFonts w:asciiTheme="majorHAnsi" w:hAnsiTheme="majorHAnsi" w:cstheme="majorHAnsi"/>
        </w:rPr>
        <w:t>inspection of the raw</w:t>
      </w:r>
      <w:r w:rsidR="00707CD0" w:rsidRPr="00150239">
        <w:rPr>
          <w:rFonts w:asciiTheme="majorHAnsi" w:hAnsiTheme="majorHAnsi" w:cstheme="majorHAnsi"/>
        </w:rPr>
        <w:t xml:space="preserve"> data as well as from ANOVA, two additional metrics </w:t>
      </w:r>
      <w:r w:rsidR="007C5224" w:rsidRPr="00150239">
        <w:rPr>
          <w:rFonts w:asciiTheme="majorHAnsi" w:hAnsiTheme="majorHAnsi" w:cstheme="majorHAnsi"/>
        </w:rPr>
        <w:t xml:space="preserve">that enable time-dependent pharmacodynamics to be described </w:t>
      </w:r>
      <w:r w:rsidR="00707CD0" w:rsidRPr="00150239">
        <w:rPr>
          <w:rFonts w:asciiTheme="majorHAnsi" w:hAnsiTheme="majorHAnsi" w:cstheme="majorHAnsi"/>
        </w:rPr>
        <w:t>were explored</w:t>
      </w:r>
      <w:r w:rsidR="00E21CAB">
        <w:rPr>
          <w:rFonts w:asciiTheme="majorHAnsi" w:hAnsiTheme="majorHAnsi" w:cstheme="majorHAnsi"/>
        </w:rPr>
        <w:t>:</w:t>
      </w:r>
      <w:r w:rsidR="00707CD0" w:rsidRPr="00150239">
        <w:rPr>
          <w:rFonts w:asciiTheme="majorHAnsi" w:hAnsiTheme="majorHAnsi" w:cstheme="majorHAnsi"/>
        </w:rPr>
        <w:t xml:space="preserve"> </w:t>
      </w:r>
      <w:proofErr w:type="spellStart"/>
      <w:proofErr w:type="gramStart"/>
      <w:r w:rsidR="00707CD0" w:rsidRPr="00150239">
        <w:rPr>
          <w:rFonts w:asciiTheme="majorHAnsi" w:hAnsiTheme="majorHAnsi" w:cstheme="majorHAnsi"/>
        </w:rPr>
        <w:t>Cmin:MIC</w:t>
      </w:r>
      <w:proofErr w:type="spellEnd"/>
      <w:proofErr w:type="gramEnd"/>
      <w:r w:rsidR="00707CD0" w:rsidRPr="00150239">
        <w:rPr>
          <w:rFonts w:asciiTheme="majorHAnsi" w:hAnsiTheme="majorHAnsi" w:cstheme="majorHAnsi"/>
        </w:rPr>
        <w:t xml:space="preserve"> and the AUC:MIC </w:t>
      </w:r>
      <w:r w:rsidR="00847F44" w:rsidRPr="00150239">
        <w:rPr>
          <w:rFonts w:asciiTheme="majorHAnsi" w:hAnsiTheme="majorHAnsi" w:cstheme="majorHAnsi"/>
        </w:rPr>
        <w:t>per</w:t>
      </w:r>
      <w:r w:rsidR="00707CD0" w:rsidRPr="00150239">
        <w:rPr>
          <w:rFonts w:asciiTheme="majorHAnsi" w:hAnsiTheme="majorHAnsi" w:cstheme="majorHAnsi"/>
        </w:rPr>
        <w:t xml:space="preserve"> </w:t>
      </w:r>
      <w:r w:rsidR="004D051C">
        <w:rPr>
          <w:rFonts w:asciiTheme="majorHAnsi" w:hAnsiTheme="majorHAnsi" w:cstheme="majorHAnsi"/>
        </w:rPr>
        <w:t xml:space="preserve">length of </w:t>
      </w:r>
      <w:r w:rsidR="00707CD0" w:rsidRPr="00150239">
        <w:rPr>
          <w:rFonts w:asciiTheme="majorHAnsi" w:hAnsiTheme="majorHAnsi" w:cstheme="majorHAnsi"/>
        </w:rPr>
        <w:t xml:space="preserve">dosing interval (AUC:MIC </w:t>
      </w:r>
      <w:r w:rsidR="00707CD0" w:rsidRPr="00150239">
        <w:rPr>
          <w:rFonts w:asciiTheme="majorHAnsi" w:hAnsiTheme="majorHAnsi" w:cstheme="majorHAnsi"/>
          <w:bCs/>
        </w:rPr>
        <w:t xml:space="preserve">1/tau).  The regressions using these two indices is shown in Figure </w:t>
      </w:r>
      <w:r w:rsidR="00A701C1">
        <w:rPr>
          <w:rFonts w:asciiTheme="majorHAnsi" w:hAnsiTheme="majorHAnsi" w:cstheme="majorHAnsi"/>
          <w:bCs/>
        </w:rPr>
        <w:t>4</w:t>
      </w:r>
      <w:r w:rsidR="00707CD0" w:rsidRPr="00150239">
        <w:rPr>
          <w:rFonts w:asciiTheme="majorHAnsi" w:hAnsiTheme="majorHAnsi" w:cstheme="majorHAnsi"/>
          <w:bCs/>
        </w:rPr>
        <w:t xml:space="preserve">.  </w:t>
      </w:r>
      <w:r w:rsidR="00C33A68" w:rsidRPr="00150239">
        <w:rPr>
          <w:rFonts w:asciiTheme="majorHAnsi" w:hAnsiTheme="majorHAnsi" w:cstheme="majorHAnsi"/>
          <w:bCs/>
        </w:rPr>
        <w:t xml:space="preserve">Both described the data well with an </w:t>
      </w:r>
      <w:r w:rsidR="00C33A68" w:rsidRPr="00150239">
        <w:rPr>
          <w:rFonts w:asciiTheme="majorHAnsi" w:hAnsiTheme="majorHAnsi" w:cstheme="majorHAnsi"/>
          <w:bCs/>
          <w:i/>
        </w:rPr>
        <w:t>r</w:t>
      </w:r>
      <w:r w:rsidR="00C33A68" w:rsidRPr="00150239">
        <w:rPr>
          <w:rFonts w:asciiTheme="majorHAnsi" w:hAnsiTheme="majorHAnsi" w:cstheme="majorHAnsi"/>
          <w:bCs/>
          <w:i/>
          <w:vertAlign w:val="superscript"/>
        </w:rPr>
        <w:t>2</w:t>
      </w:r>
      <w:r w:rsidR="00C33A68" w:rsidRPr="00150239">
        <w:rPr>
          <w:rFonts w:asciiTheme="majorHAnsi" w:hAnsiTheme="majorHAnsi" w:cstheme="majorHAnsi"/>
          <w:bCs/>
        </w:rPr>
        <w:t xml:space="preserve"> of </w:t>
      </w:r>
      <w:r w:rsidR="0002587E">
        <w:rPr>
          <w:rFonts w:asciiTheme="majorHAnsi" w:hAnsiTheme="majorHAnsi" w:cstheme="majorHAnsi"/>
          <w:bCs/>
        </w:rPr>
        <w:t>0.90</w:t>
      </w:r>
      <w:r w:rsidR="0002587E" w:rsidRPr="00150239">
        <w:rPr>
          <w:rFonts w:asciiTheme="majorHAnsi" w:hAnsiTheme="majorHAnsi" w:cstheme="majorHAnsi"/>
          <w:bCs/>
        </w:rPr>
        <w:t xml:space="preserve"> </w:t>
      </w:r>
      <w:r w:rsidR="00C33A68" w:rsidRPr="00150239">
        <w:rPr>
          <w:rFonts w:asciiTheme="majorHAnsi" w:hAnsiTheme="majorHAnsi" w:cstheme="majorHAnsi"/>
          <w:bCs/>
        </w:rPr>
        <w:t xml:space="preserve">and </w:t>
      </w:r>
      <w:r w:rsidR="0002587E">
        <w:rPr>
          <w:rFonts w:asciiTheme="majorHAnsi" w:hAnsiTheme="majorHAnsi" w:cstheme="majorHAnsi"/>
          <w:bCs/>
        </w:rPr>
        <w:t>0.96</w:t>
      </w:r>
      <w:r w:rsidR="0002587E" w:rsidRPr="00150239">
        <w:rPr>
          <w:rFonts w:asciiTheme="majorHAnsi" w:hAnsiTheme="majorHAnsi" w:cstheme="majorHAnsi"/>
          <w:bCs/>
        </w:rPr>
        <w:t xml:space="preserve"> </w:t>
      </w:r>
      <w:r w:rsidR="00C33A68" w:rsidRPr="00150239">
        <w:rPr>
          <w:rFonts w:asciiTheme="majorHAnsi" w:hAnsiTheme="majorHAnsi" w:cstheme="majorHAnsi"/>
          <w:bCs/>
        </w:rPr>
        <w:t xml:space="preserve">for </w:t>
      </w:r>
      <w:proofErr w:type="spellStart"/>
      <w:proofErr w:type="gramStart"/>
      <w:r w:rsidR="00C33A68" w:rsidRPr="00150239">
        <w:rPr>
          <w:rFonts w:asciiTheme="majorHAnsi" w:hAnsiTheme="majorHAnsi" w:cstheme="majorHAnsi"/>
          <w:bCs/>
        </w:rPr>
        <w:t>Cmin:MIC</w:t>
      </w:r>
      <w:proofErr w:type="spellEnd"/>
      <w:proofErr w:type="gramEnd"/>
      <w:r w:rsidR="00C33A68" w:rsidRPr="00150239">
        <w:rPr>
          <w:rFonts w:asciiTheme="majorHAnsi" w:hAnsiTheme="majorHAnsi" w:cstheme="majorHAnsi"/>
          <w:bCs/>
        </w:rPr>
        <w:t xml:space="preserve"> and AUC:MIC*</w:t>
      </w:r>
      <w:r w:rsidR="00C33A68" w:rsidRPr="00150239">
        <w:rPr>
          <w:rFonts w:asciiTheme="majorHAnsi" w:hAnsiTheme="majorHAnsi" w:cstheme="majorHAnsi"/>
        </w:rPr>
        <w:t xml:space="preserve">1/tau, respectively.  The </w:t>
      </w:r>
      <w:proofErr w:type="gramStart"/>
      <w:r w:rsidR="00C33A68" w:rsidRPr="00150239">
        <w:rPr>
          <w:rFonts w:asciiTheme="majorHAnsi" w:hAnsiTheme="majorHAnsi" w:cstheme="majorHAnsi"/>
        </w:rPr>
        <w:t>AUC:MIC</w:t>
      </w:r>
      <w:proofErr w:type="gramEnd"/>
      <w:r w:rsidR="00C33A68" w:rsidRPr="00150239">
        <w:rPr>
          <w:rFonts w:asciiTheme="majorHAnsi" w:hAnsiTheme="majorHAnsi" w:cstheme="majorHAnsi"/>
        </w:rPr>
        <w:t xml:space="preserve">*1/tau </w:t>
      </w:r>
      <w:r w:rsidR="007E70EC">
        <w:rPr>
          <w:rFonts w:asciiTheme="majorHAnsi" w:hAnsiTheme="majorHAnsi" w:cstheme="majorHAnsi"/>
        </w:rPr>
        <w:t xml:space="preserve">index </w:t>
      </w:r>
      <w:r w:rsidR="00C33A68" w:rsidRPr="00150239">
        <w:rPr>
          <w:rFonts w:asciiTheme="majorHAnsi" w:hAnsiTheme="majorHAnsi" w:cstheme="majorHAnsi"/>
        </w:rPr>
        <w:t xml:space="preserve">performed slightly better and was used </w:t>
      </w:r>
      <w:r w:rsidR="0090030A" w:rsidRPr="00150239">
        <w:rPr>
          <w:rFonts w:asciiTheme="majorHAnsi" w:hAnsiTheme="majorHAnsi" w:cstheme="majorHAnsi"/>
        </w:rPr>
        <w:t>in the subsequent analyses.</w:t>
      </w:r>
    </w:p>
    <w:p w14:paraId="475EB38F" w14:textId="77777777" w:rsidR="00DA70BE" w:rsidRPr="00150239" w:rsidRDefault="00DA70BE">
      <w:pPr>
        <w:rPr>
          <w:rFonts w:asciiTheme="majorHAnsi" w:hAnsiTheme="majorHAnsi" w:cstheme="majorHAnsi"/>
        </w:rPr>
      </w:pPr>
    </w:p>
    <w:p w14:paraId="347AE29B" w14:textId="77777777" w:rsidR="00D2145C" w:rsidRPr="00150239" w:rsidRDefault="00D2145C" w:rsidP="00D2145C">
      <w:pPr>
        <w:rPr>
          <w:rFonts w:asciiTheme="majorHAnsi" w:hAnsiTheme="majorHAnsi" w:cstheme="majorHAnsi"/>
          <w:i/>
        </w:rPr>
      </w:pPr>
      <w:r w:rsidRPr="00150239">
        <w:rPr>
          <w:rFonts w:asciiTheme="majorHAnsi" w:hAnsiTheme="majorHAnsi" w:cstheme="majorHAnsi"/>
          <w:i/>
        </w:rPr>
        <w:t>Pharmacodynamics of Tebipenem Against Enterobacteriaceae</w:t>
      </w:r>
    </w:p>
    <w:p w14:paraId="5D58BB07" w14:textId="2CEF15B7" w:rsidR="00D2145C" w:rsidRDefault="00D2145C" w:rsidP="00D2145C">
      <w:pPr>
        <w:rPr>
          <w:rFonts w:asciiTheme="majorHAnsi" w:hAnsiTheme="majorHAnsi" w:cstheme="majorHAnsi"/>
        </w:rPr>
      </w:pPr>
      <w:r w:rsidRPr="00150239">
        <w:rPr>
          <w:rFonts w:asciiTheme="majorHAnsi" w:hAnsiTheme="majorHAnsi" w:cstheme="majorHAnsi"/>
        </w:rPr>
        <w:tab/>
        <w:t xml:space="preserve">The pharmacodynamics of tebipenem against </w:t>
      </w:r>
      <w:r w:rsidRPr="00150239">
        <w:rPr>
          <w:rFonts w:asciiTheme="majorHAnsi" w:hAnsiTheme="majorHAnsi" w:cstheme="majorHAnsi"/>
          <w:i/>
        </w:rPr>
        <w:t>E. coli</w:t>
      </w:r>
      <w:r w:rsidRPr="00150239">
        <w:rPr>
          <w:rFonts w:asciiTheme="majorHAnsi" w:hAnsiTheme="majorHAnsi" w:cstheme="majorHAnsi"/>
        </w:rPr>
        <w:t xml:space="preserve"> (n=6) and </w:t>
      </w:r>
      <w:r w:rsidR="00063F69">
        <w:rPr>
          <w:rFonts w:asciiTheme="majorHAnsi" w:hAnsiTheme="majorHAnsi" w:cstheme="majorHAnsi"/>
          <w:i/>
        </w:rPr>
        <w:t>K.</w:t>
      </w:r>
      <w:r w:rsidRPr="00150239">
        <w:rPr>
          <w:rFonts w:asciiTheme="majorHAnsi" w:hAnsiTheme="majorHAnsi" w:cstheme="majorHAnsi"/>
          <w:i/>
        </w:rPr>
        <w:t xml:space="preserve"> pneumoniae</w:t>
      </w:r>
      <w:r w:rsidRPr="00150239">
        <w:rPr>
          <w:rFonts w:asciiTheme="majorHAnsi" w:hAnsiTheme="majorHAnsi" w:cstheme="majorHAnsi"/>
        </w:rPr>
        <w:t xml:space="preserve"> (n=</w:t>
      </w:r>
      <w:r>
        <w:rPr>
          <w:rFonts w:asciiTheme="majorHAnsi" w:hAnsiTheme="majorHAnsi" w:cstheme="majorHAnsi"/>
        </w:rPr>
        <w:t>5</w:t>
      </w:r>
      <w:r w:rsidRPr="00150239">
        <w:rPr>
          <w:rFonts w:asciiTheme="majorHAnsi" w:hAnsiTheme="majorHAnsi" w:cstheme="majorHAnsi"/>
        </w:rPr>
        <w:t>) w</w:t>
      </w:r>
      <w:r w:rsidR="002539FC">
        <w:rPr>
          <w:rFonts w:asciiTheme="majorHAnsi" w:hAnsiTheme="majorHAnsi" w:cstheme="majorHAnsi"/>
        </w:rPr>
        <w:t>as</w:t>
      </w:r>
      <w:r w:rsidRPr="00150239">
        <w:rPr>
          <w:rFonts w:asciiTheme="majorHAnsi" w:hAnsiTheme="majorHAnsi" w:cstheme="majorHAnsi"/>
        </w:rPr>
        <w:t xml:space="preserve"> determined to identify on the magnitude of the </w:t>
      </w:r>
      <w:proofErr w:type="gramStart"/>
      <w:r w:rsidRPr="00150239">
        <w:rPr>
          <w:rFonts w:asciiTheme="majorHAnsi" w:hAnsiTheme="majorHAnsi" w:cstheme="majorHAnsi"/>
        </w:rPr>
        <w:t>AUC:MIC</w:t>
      </w:r>
      <w:proofErr w:type="gramEnd"/>
      <w:r w:rsidRPr="00150239">
        <w:rPr>
          <w:rFonts w:asciiTheme="majorHAnsi" w:hAnsiTheme="majorHAnsi" w:cstheme="majorHAnsi"/>
        </w:rPr>
        <w:t>*1/tau</w:t>
      </w:r>
      <w:r w:rsidR="007E70EC">
        <w:rPr>
          <w:rFonts w:asciiTheme="majorHAnsi" w:hAnsiTheme="majorHAnsi" w:cstheme="majorHAnsi"/>
        </w:rPr>
        <w:t xml:space="preserve"> index</w:t>
      </w:r>
      <w:r w:rsidRPr="00150239">
        <w:rPr>
          <w:rFonts w:asciiTheme="majorHAnsi" w:hAnsiTheme="majorHAnsi" w:cstheme="majorHAnsi"/>
        </w:rPr>
        <w:t xml:space="preserve"> that was required to achieve stasis</w:t>
      </w:r>
      <w:r>
        <w:rPr>
          <w:rFonts w:asciiTheme="majorHAnsi" w:hAnsiTheme="majorHAnsi" w:cstheme="majorHAnsi"/>
        </w:rPr>
        <w:t xml:space="preserve"> in the murine thigh infection model</w:t>
      </w:r>
      <w:r w:rsidRPr="00150239">
        <w:rPr>
          <w:rFonts w:asciiTheme="majorHAnsi" w:hAnsiTheme="majorHAnsi" w:cstheme="majorHAnsi"/>
        </w:rPr>
        <w:t xml:space="preserve">.  The MIC and genotype of these strains are summarized in Table 1.  Tebipenem induced orders of logarithmic killing in all strains.  </w:t>
      </w:r>
      <w:r w:rsidR="001E6890">
        <w:rPr>
          <w:rFonts w:asciiTheme="majorHAnsi" w:hAnsiTheme="majorHAnsi" w:cstheme="majorHAnsi"/>
        </w:rPr>
        <w:t xml:space="preserve">There was no difference in the pharmacodynamics between E. coli and Klebsiella pneumoniae or between ESBL-producing and non-ESBL-producing strains (Figure 5).  </w:t>
      </w:r>
      <w:r w:rsidRPr="00150239">
        <w:rPr>
          <w:rFonts w:asciiTheme="majorHAnsi" w:hAnsiTheme="majorHAnsi" w:cstheme="majorHAnsi"/>
        </w:rPr>
        <w:t xml:space="preserve">A histogram of the magnitude of </w:t>
      </w:r>
      <w:proofErr w:type="gramStart"/>
      <w:r w:rsidRPr="00150239">
        <w:rPr>
          <w:rFonts w:asciiTheme="majorHAnsi" w:hAnsiTheme="majorHAnsi" w:cstheme="majorHAnsi"/>
        </w:rPr>
        <w:t>AUC:MIC</w:t>
      </w:r>
      <w:proofErr w:type="gramEnd"/>
      <w:r w:rsidRPr="00150239">
        <w:rPr>
          <w:rFonts w:asciiTheme="majorHAnsi" w:hAnsiTheme="majorHAnsi" w:cstheme="majorHAnsi"/>
        </w:rPr>
        <w:t xml:space="preserve">*1/tau </w:t>
      </w:r>
      <w:r w:rsidR="007E70EC">
        <w:rPr>
          <w:rFonts w:asciiTheme="majorHAnsi" w:hAnsiTheme="majorHAnsi" w:cstheme="majorHAnsi"/>
        </w:rPr>
        <w:t>value</w:t>
      </w:r>
      <w:r w:rsidR="001E6890">
        <w:rPr>
          <w:rFonts w:asciiTheme="majorHAnsi" w:hAnsiTheme="majorHAnsi" w:cstheme="majorHAnsi"/>
        </w:rPr>
        <w:t>s</w:t>
      </w:r>
      <w:r w:rsidR="007E70EC">
        <w:rPr>
          <w:rFonts w:asciiTheme="majorHAnsi" w:hAnsiTheme="majorHAnsi" w:cstheme="majorHAnsi"/>
        </w:rPr>
        <w:t xml:space="preserve"> </w:t>
      </w:r>
      <w:r w:rsidRPr="00150239">
        <w:rPr>
          <w:rFonts w:asciiTheme="majorHAnsi" w:hAnsiTheme="majorHAnsi" w:cstheme="majorHAnsi"/>
        </w:rPr>
        <w:t xml:space="preserve">that induced stasis is shown in Figure </w:t>
      </w:r>
      <w:r w:rsidR="001E6890">
        <w:rPr>
          <w:rFonts w:asciiTheme="majorHAnsi" w:hAnsiTheme="majorHAnsi" w:cstheme="majorHAnsi"/>
        </w:rPr>
        <w:t>6</w:t>
      </w:r>
      <w:r w:rsidRPr="00150239">
        <w:rPr>
          <w:rFonts w:asciiTheme="majorHAnsi" w:hAnsiTheme="majorHAnsi" w:cstheme="majorHAnsi"/>
        </w:rPr>
        <w:t xml:space="preserve">.  </w:t>
      </w:r>
      <w:r>
        <w:rPr>
          <w:rFonts w:asciiTheme="majorHAnsi" w:hAnsiTheme="majorHAnsi" w:cstheme="majorHAnsi"/>
        </w:rPr>
        <w:t xml:space="preserve">There was a wide range of pharmacodynamic </w:t>
      </w:r>
      <w:proofErr w:type="gramStart"/>
      <w:r>
        <w:rPr>
          <w:rFonts w:asciiTheme="majorHAnsi" w:hAnsiTheme="majorHAnsi" w:cstheme="majorHAnsi"/>
        </w:rPr>
        <w:t>targets</w:t>
      </w:r>
      <w:proofErr w:type="gramEnd"/>
      <w:r>
        <w:rPr>
          <w:rFonts w:asciiTheme="majorHAnsi" w:hAnsiTheme="majorHAnsi" w:cstheme="majorHAnsi"/>
        </w:rPr>
        <w:t xml:space="preserve"> and the distribution was log normal.  The median </w:t>
      </w:r>
      <w:proofErr w:type="spellStart"/>
      <w:proofErr w:type="gramStart"/>
      <w:r w:rsidRPr="007601F9">
        <w:rPr>
          <w:rFonts w:asciiTheme="majorHAnsi" w:hAnsiTheme="majorHAnsi" w:cstheme="majorHAnsi"/>
          <w:i/>
        </w:rPr>
        <w:t>f</w:t>
      </w:r>
      <w:r>
        <w:rPr>
          <w:rFonts w:asciiTheme="majorHAnsi" w:hAnsiTheme="majorHAnsi" w:cstheme="majorHAnsi"/>
        </w:rPr>
        <w:t>AUC:MIC</w:t>
      </w:r>
      <w:proofErr w:type="spellEnd"/>
      <w:proofErr w:type="gramEnd"/>
      <w:r>
        <w:rPr>
          <w:rFonts w:asciiTheme="majorHAnsi" w:hAnsiTheme="majorHAnsi" w:cstheme="majorHAnsi"/>
        </w:rPr>
        <w:t xml:space="preserve">*1/tau </w:t>
      </w:r>
      <w:r w:rsidR="007E70EC">
        <w:rPr>
          <w:rFonts w:asciiTheme="majorHAnsi" w:hAnsiTheme="majorHAnsi" w:cstheme="majorHAnsi"/>
        </w:rPr>
        <w:t xml:space="preserve">value </w:t>
      </w:r>
      <w:r>
        <w:rPr>
          <w:rFonts w:asciiTheme="majorHAnsi" w:hAnsiTheme="majorHAnsi" w:cstheme="majorHAnsi"/>
        </w:rPr>
        <w:t xml:space="preserve">was </w:t>
      </w:r>
      <w:r w:rsidR="00F901D7">
        <w:rPr>
          <w:rFonts w:asciiTheme="majorHAnsi" w:hAnsiTheme="majorHAnsi" w:cstheme="majorHAnsi"/>
        </w:rPr>
        <w:t>23</w:t>
      </w:r>
      <w:r w:rsidR="001E6890">
        <w:rPr>
          <w:rFonts w:asciiTheme="majorHAnsi" w:hAnsiTheme="majorHAnsi" w:cstheme="majorHAnsi"/>
        </w:rPr>
        <w:t xml:space="preserve"> (Figure 6)</w:t>
      </w:r>
      <w:r>
        <w:rPr>
          <w:rFonts w:asciiTheme="majorHAnsi" w:hAnsiTheme="majorHAnsi" w:cstheme="majorHAnsi"/>
        </w:rPr>
        <w:t>.</w:t>
      </w:r>
    </w:p>
    <w:p w14:paraId="0540DC13" w14:textId="1C450E27" w:rsidR="00B459E7" w:rsidRDefault="00B459E7" w:rsidP="00D2145C">
      <w:pPr>
        <w:rPr>
          <w:rFonts w:asciiTheme="majorHAnsi" w:hAnsiTheme="majorHAnsi" w:cstheme="majorHAnsi"/>
        </w:rPr>
      </w:pPr>
    </w:p>
    <w:p w14:paraId="57DBD1D3" w14:textId="77777777" w:rsidR="001E6890" w:rsidRPr="00150239" w:rsidRDefault="001E6890" w:rsidP="001E6890">
      <w:pPr>
        <w:rPr>
          <w:rFonts w:asciiTheme="majorHAnsi" w:hAnsiTheme="majorHAnsi" w:cstheme="majorHAnsi"/>
          <w:i/>
        </w:rPr>
      </w:pPr>
      <w:r w:rsidRPr="00150239">
        <w:rPr>
          <w:rFonts w:asciiTheme="majorHAnsi" w:hAnsiTheme="majorHAnsi" w:cstheme="majorHAnsi"/>
          <w:i/>
        </w:rPr>
        <w:t>Pharmacodynamics of Ertapenem</w:t>
      </w:r>
    </w:p>
    <w:p w14:paraId="270D5E86" w14:textId="02592AC1" w:rsidR="001E6890" w:rsidRDefault="001E6890" w:rsidP="001E6890">
      <w:pPr>
        <w:rPr>
          <w:rFonts w:asciiTheme="majorHAnsi" w:hAnsiTheme="majorHAnsi" w:cstheme="majorHAnsi"/>
        </w:rPr>
      </w:pPr>
      <w:r w:rsidRPr="00150239">
        <w:rPr>
          <w:rFonts w:asciiTheme="majorHAnsi" w:hAnsiTheme="majorHAnsi" w:cstheme="majorHAnsi"/>
        </w:rPr>
        <w:tab/>
        <w:t xml:space="preserve">The pharmacodynamics of ertapenem was investigated to benchmark the behaviour of tebipenem and was estimated using 3 strains of </w:t>
      </w:r>
      <w:r w:rsidRPr="00635FDD">
        <w:rPr>
          <w:rFonts w:asciiTheme="majorHAnsi" w:hAnsiTheme="majorHAnsi" w:cstheme="majorHAnsi"/>
          <w:i/>
        </w:rPr>
        <w:t>E. coli</w:t>
      </w:r>
      <w:r w:rsidRPr="00150239">
        <w:rPr>
          <w:rFonts w:asciiTheme="majorHAnsi" w:hAnsiTheme="majorHAnsi" w:cstheme="majorHAnsi"/>
        </w:rPr>
        <w:t xml:space="preserve"> with differing MICs.  An inhibitory sigmoid </w:t>
      </w:r>
      <w:proofErr w:type="spellStart"/>
      <w:r w:rsidRPr="00150239">
        <w:rPr>
          <w:rFonts w:asciiTheme="majorHAnsi" w:hAnsiTheme="majorHAnsi" w:cstheme="majorHAnsi"/>
        </w:rPr>
        <w:t>Emax</w:t>
      </w:r>
      <w:proofErr w:type="spellEnd"/>
      <w:r w:rsidRPr="00150239">
        <w:rPr>
          <w:rFonts w:asciiTheme="majorHAnsi" w:hAnsiTheme="majorHAnsi" w:cstheme="majorHAnsi"/>
        </w:rPr>
        <w:t xml:space="preserve"> model fitted the data well and is shown in Figure </w:t>
      </w:r>
      <w:r>
        <w:rPr>
          <w:rFonts w:asciiTheme="majorHAnsi" w:hAnsiTheme="majorHAnsi" w:cstheme="majorHAnsi"/>
        </w:rPr>
        <w:t>7</w:t>
      </w:r>
      <w:r w:rsidRPr="00150239">
        <w:rPr>
          <w:rFonts w:asciiTheme="majorHAnsi" w:hAnsiTheme="majorHAnsi" w:cstheme="majorHAnsi"/>
        </w:rPr>
        <w:t xml:space="preserve">.  Drug exposure was </w:t>
      </w:r>
      <w:r w:rsidRPr="00150239">
        <w:rPr>
          <w:rFonts w:asciiTheme="majorHAnsi" w:hAnsiTheme="majorHAnsi" w:cstheme="majorHAnsi"/>
        </w:rPr>
        <w:lastRenderedPageBreak/>
        <w:t xml:space="preserve">quantified in terms of the </w:t>
      </w:r>
      <w:proofErr w:type="spellStart"/>
      <w:r w:rsidRPr="00150239">
        <w:rPr>
          <w:rFonts w:asciiTheme="majorHAnsi" w:hAnsiTheme="majorHAnsi" w:cstheme="majorHAnsi"/>
          <w:i/>
        </w:rPr>
        <w:t>f</w:t>
      </w:r>
      <w:r w:rsidRPr="00150239">
        <w:rPr>
          <w:rFonts w:asciiTheme="majorHAnsi" w:hAnsiTheme="majorHAnsi" w:cstheme="majorHAnsi"/>
        </w:rPr>
        <w:t>T</w:t>
      </w:r>
      <w:proofErr w:type="spellEnd"/>
      <w:r w:rsidRPr="00150239">
        <w:rPr>
          <w:rFonts w:asciiTheme="majorHAnsi" w:hAnsiTheme="majorHAnsi" w:cstheme="majorHAnsi"/>
        </w:rPr>
        <w:t xml:space="preserve">&gt;MIC and </w:t>
      </w:r>
      <w:proofErr w:type="gramStart"/>
      <w:r w:rsidRPr="00150239">
        <w:rPr>
          <w:rFonts w:asciiTheme="majorHAnsi" w:hAnsiTheme="majorHAnsi" w:cstheme="majorHAnsi"/>
        </w:rPr>
        <w:t>AUC:MIC</w:t>
      </w:r>
      <w:proofErr w:type="gramEnd"/>
      <w:r w:rsidRPr="00150239">
        <w:rPr>
          <w:rFonts w:asciiTheme="majorHAnsi" w:hAnsiTheme="majorHAnsi" w:cstheme="majorHAnsi"/>
        </w:rPr>
        <w:t xml:space="preserve">*1/tau and stasis was achieved with values of 0.6 and 48, respectively.  </w:t>
      </w:r>
    </w:p>
    <w:p w14:paraId="31C9D946" w14:textId="77777777" w:rsidR="00944619" w:rsidRPr="00150239" w:rsidRDefault="00944619" w:rsidP="001E6890">
      <w:pPr>
        <w:rPr>
          <w:rFonts w:asciiTheme="majorHAnsi" w:hAnsiTheme="majorHAnsi" w:cstheme="majorHAnsi"/>
        </w:rPr>
      </w:pPr>
    </w:p>
    <w:p w14:paraId="243A4E2C" w14:textId="77777777" w:rsidR="00B459E7" w:rsidRPr="007601F9" w:rsidRDefault="00B459E7" w:rsidP="00B459E7">
      <w:pPr>
        <w:rPr>
          <w:rFonts w:asciiTheme="majorHAnsi" w:hAnsiTheme="majorHAnsi" w:cstheme="majorHAnsi"/>
          <w:i/>
        </w:rPr>
      </w:pPr>
      <w:r w:rsidRPr="007601F9">
        <w:rPr>
          <w:rFonts w:asciiTheme="majorHAnsi" w:hAnsiTheme="majorHAnsi" w:cstheme="majorHAnsi"/>
          <w:i/>
        </w:rPr>
        <w:t>Emergence of Resistance</w:t>
      </w:r>
    </w:p>
    <w:p w14:paraId="6BD5AE6C" w14:textId="1E03C462" w:rsidR="00B459E7" w:rsidRDefault="00B459E7" w:rsidP="00B459E7">
      <w:pPr>
        <w:rPr>
          <w:rFonts w:asciiTheme="majorHAnsi" w:hAnsiTheme="majorHAnsi" w:cstheme="majorHAnsi"/>
        </w:rPr>
      </w:pPr>
      <w:r>
        <w:rPr>
          <w:rFonts w:asciiTheme="majorHAnsi" w:hAnsiTheme="majorHAnsi" w:cstheme="majorHAnsi"/>
        </w:rPr>
        <w:tab/>
        <w:t xml:space="preserve">The pharmacodynamics of the emergence of resistance to tebipenem was studied using a hollow fibre infection model (HFIM) with an ESBL-producing </w:t>
      </w:r>
      <w:r w:rsidRPr="007601F9">
        <w:rPr>
          <w:rFonts w:asciiTheme="majorHAnsi" w:hAnsiTheme="majorHAnsi" w:cstheme="majorHAnsi"/>
          <w:i/>
        </w:rPr>
        <w:t>E. coli</w:t>
      </w:r>
      <w:r>
        <w:rPr>
          <w:rFonts w:asciiTheme="majorHAnsi" w:hAnsiTheme="majorHAnsi" w:cstheme="majorHAnsi"/>
        </w:rPr>
        <w:t xml:space="preserve"> </w:t>
      </w:r>
      <w:r w:rsidRPr="00053912">
        <w:rPr>
          <w:rFonts w:asciiTheme="majorHAnsi" w:hAnsiTheme="majorHAnsi" w:cstheme="majorHAnsi"/>
        </w:rPr>
        <w:t>SPT 719</w:t>
      </w:r>
      <w:r>
        <w:rPr>
          <w:rFonts w:asciiTheme="majorHAnsi" w:hAnsiTheme="majorHAnsi" w:cstheme="majorHAnsi"/>
        </w:rPr>
        <w:t xml:space="preserve"> as the challenge organism</w:t>
      </w:r>
      <w:r w:rsidR="001E6890">
        <w:rPr>
          <w:rFonts w:asciiTheme="majorHAnsi" w:hAnsiTheme="majorHAnsi" w:cstheme="majorHAnsi"/>
        </w:rPr>
        <w:t xml:space="preserve"> (Figure 8)</w:t>
      </w:r>
      <w:r>
        <w:rPr>
          <w:rFonts w:asciiTheme="majorHAnsi" w:hAnsiTheme="majorHAnsi" w:cstheme="majorHAnsi"/>
        </w:rPr>
        <w:t xml:space="preserve">.  A preliminary dose ranging experiment was performed to identify the regimens that resulted in information-rich portions of the relationships for drug exposure versus cell kill and drug exposure versus the emergence of resistance.  A fractionation experiment was then performed where the total daily dose was administered once, two half dosages administered q12h, three one-third dosages administered q8h, and four quarter dosages administered q6h.  The total bacterial burden and a resistant subpopulation able to grow on agar containing 0.125 mg/L SPR859 were quantified.  Progressively more fractionated regimens resulted in progressively more cell kill and suppression of resistance.  A </w:t>
      </w:r>
      <w:proofErr w:type="spellStart"/>
      <w:proofErr w:type="gramStart"/>
      <w:r w:rsidRPr="00CB1873">
        <w:rPr>
          <w:rFonts w:asciiTheme="majorHAnsi" w:hAnsiTheme="majorHAnsi" w:cstheme="majorHAnsi"/>
          <w:i/>
        </w:rPr>
        <w:t>f</w:t>
      </w:r>
      <w:r>
        <w:rPr>
          <w:rFonts w:asciiTheme="majorHAnsi" w:hAnsiTheme="majorHAnsi" w:cstheme="majorHAnsi"/>
        </w:rPr>
        <w:t>AUC:MIC</w:t>
      </w:r>
      <w:proofErr w:type="spellEnd"/>
      <w:proofErr w:type="gramEnd"/>
      <w:r>
        <w:rPr>
          <w:rFonts w:asciiTheme="majorHAnsi" w:hAnsiTheme="majorHAnsi" w:cstheme="majorHAnsi"/>
        </w:rPr>
        <w:t xml:space="preserve">*1/tau </w:t>
      </w:r>
      <w:r w:rsidR="00C129EB">
        <w:rPr>
          <w:rFonts w:asciiTheme="majorHAnsi" w:hAnsiTheme="majorHAnsi" w:cstheme="majorHAnsi"/>
        </w:rPr>
        <w:t xml:space="preserve">value </w:t>
      </w:r>
      <w:r>
        <w:rPr>
          <w:rFonts w:asciiTheme="majorHAnsi" w:hAnsiTheme="majorHAnsi" w:cstheme="majorHAnsi"/>
        </w:rPr>
        <w:t xml:space="preserve">of </w:t>
      </w:r>
      <w:r w:rsidR="007D0DC1">
        <w:rPr>
          <w:rFonts w:asciiTheme="majorHAnsi" w:hAnsiTheme="majorHAnsi" w:cstheme="majorHAnsi"/>
        </w:rPr>
        <w:t xml:space="preserve">between </w:t>
      </w:r>
      <w:r>
        <w:rPr>
          <w:rFonts w:asciiTheme="majorHAnsi" w:hAnsiTheme="majorHAnsi" w:cstheme="majorHAnsi"/>
        </w:rPr>
        <w:t>34.58</w:t>
      </w:r>
      <w:r w:rsidR="007D0DC1">
        <w:rPr>
          <w:rFonts w:asciiTheme="majorHAnsi" w:hAnsiTheme="majorHAnsi" w:cstheme="majorHAnsi"/>
        </w:rPr>
        <w:t xml:space="preserve"> and </w:t>
      </w:r>
      <w:r>
        <w:rPr>
          <w:rFonts w:asciiTheme="majorHAnsi" w:hAnsiTheme="majorHAnsi" w:cstheme="majorHAnsi"/>
        </w:rPr>
        <w:t>51.87 resulted in logarithmic killing</w:t>
      </w:r>
      <w:r w:rsidR="00AC30B4">
        <w:rPr>
          <w:rFonts w:asciiTheme="majorHAnsi" w:hAnsiTheme="majorHAnsi" w:cstheme="majorHAnsi"/>
        </w:rPr>
        <w:t>,</w:t>
      </w:r>
      <w:r>
        <w:rPr>
          <w:rFonts w:asciiTheme="majorHAnsi" w:hAnsiTheme="majorHAnsi" w:cstheme="majorHAnsi"/>
        </w:rPr>
        <w:t xml:space="preserve"> </w:t>
      </w:r>
      <w:r w:rsidR="00AC30B4">
        <w:rPr>
          <w:rFonts w:asciiTheme="majorHAnsi" w:hAnsiTheme="majorHAnsi" w:cstheme="majorHAnsi"/>
        </w:rPr>
        <w:t>with a value of 69.15 causing</w:t>
      </w:r>
      <w:r>
        <w:rPr>
          <w:rFonts w:asciiTheme="majorHAnsi" w:hAnsiTheme="majorHAnsi" w:cstheme="majorHAnsi"/>
        </w:rPr>
        <w:t xml:space="preserve"> suppression of resistance</w:t>
      </w:r>
      <w:r w:rsidR="001E6890">
        <w:rPr>
          <w:rFonts w:asciiTheme="majorHAnsi" w:hAnsiTheme="majorHAnsi" w:cstheme="majorHAnsi"/>
        </w:rPr>
        <w:t xml:space="preserve"> (Figure 8)</w:t>
      </w:r>
      <w:r>
        <w:rPr>
          <w:rFonts w:asciiTheme="majorHAnsi" w:hAnsiTheme="majorHAnsi" w:cstheme="majorHAnsi"/>
        </w:rPr>
        <w:t>.</w:t>
      </w:r>
    </w:p>
    <w:p w14:paraId="2109C8CB" w14:textId="1005D8FE" w:rsidR="00B459E7" w:rsidRDefault="00B459E7" w:rsidP="00D2145C">
      <w:pPr>
        <w:rPr>
          <w:rFonts w:asciiTheme="majorHAnsi" w:hAnsiTheme="majorHAnsi" w:cstheme="majorHAnsi"/>
        </w:rPr>
      </w:pPr>
    </w:p>
    <w:p w14:paraId="4B624950" w14:textId="77777777" w:rsidR="00B459E7" w:rsidRPr="00150239" w:rsidRDefault="00B459E7" w:rsidP="00D2145C">
      <w:pPr>
        <w:rPr>
          <w:rFonts w:asciiTheme="majorHAnsi" w:hAnsiTheme="majorHAnsi" w:cstheme="majorHAnsi"/>
        </w:rPr>
      </w:pPr>
    </w:p>
    <w:p w14:paraId="726D78CE" w14:textId="77777777" w:rsidR="00F24EC5" w:rsidRPr="00150239" w:rsidRDefault="00F24EC5">
      <w:pPr>
        <w:rPr>
          <w:rFonts w:asciiTheme="majorHAnsi" w:hAnsiTheme="majorHAnsi" w:cstheme="majorHAnsi"/>
        </w:rPr>
      </w:pPr>
    </w:p>
    <w:p w14:paraId="2B28D623" w14:textId="77777777" w:rsidR="00770144" w:rsidRPr="00150239" w:rsidRDefault="00770144">
      <w:pPr>
        <w:rPr>
          <w:rFonts w:asciiTheme="majorHAnsi" w:hAnsiTheme="majorHAnsi" w:cstheme="majorHAnsi"/>
        </w:rPr>
      </w:pPr>
      <w:r w:rsidRPr="00150239">
        <w:rPr>
          <w:rFonts w:asciiTheme="majorHAnsi" w:hAnsiTheme="majorHAnsi" w:cstheme="majorHAnsi"/>
        </w:rPr>
        <w:br w:type="page"/>
      </w:r>
    </w:p>
    <w:p w14:paraId="166E5F78" w14:textId="77777777" w:rsidR="00396D24" w:rsidRDefault="00396D24">
      <w:pPr>
        <w:rPr>
          <w:rFonts w:asciiTheme="majorHAnsi" w:hAnsiTheme="majorHAnsi" w:cstheme="majorHAnsi"/>
        </w:rPr>
      </w:pPr>
    </w:p>
    <w:p w14:paraId="51FFA684" w14:textId="3C474D54" w:rsidR="00770144" w:rsidRPr="00150239" w:rsidRDefault="00770144">
      <w:pPr>
        <w:rPr>
          <w:rFonts w:asciiTheme="majorHAnsi" w:hAnsiTheme="majorHAnsi" w:cstheme="majorHAnsi"/>
        </w:rPr>
      </w:pPr>
      <w:r w:rsidRPr="00150239">
        <w:rPr>
          <w:rFonts w:asciiTheme="majorHAnsi" w:hAnsiTheme="majorHAnsi" w:cstheme="majorHAnsi"/>
        </w:rPr>
        <w:t>DISCUSSION</w:t>
      </w:r>
    </w:p>
    <w:p w14:paraId="70E5EA3A" w14:textId="54D78602" w:rsidR="00151FA5" w:rsidRDefault="00151FA5" w:rsidP="00862AB6">
      <w:pPr>
        <w:rPr>
          <w:rFonts w:asciiTheme="majorHAnsi" w:hAnsiTheme="majorHAnsi" w:cstheme="majorHAnsi"/>
        </w:rPr>
      </w:pPr>
      <w:r>
        <w:rPr>
          <w:rFonts w:asciiTheme="majorHAnsi" w:hAnsiTheme="majorHAnsi" w:cstheme="majorHAnsi"/>
        </w:rPr>
        <w:tab/>
      </w:r>
      <w:r w:rsidR="00F068BE">
        <w:rPr>
          <w:rFonts w:asciiTheme="majorHAnsi" w:hAnsiTheme="majorHAnsi" w:cstheme="majorHAnsi"/>
        </w:rPr>
        <w:t>The spectrum of antimicrobial activity of tebipenem is comparable to currently available carbapenems</w:t>
      </w:r>
      <w:r w:rsidR="00C14191">
        <w:rPr>
          <w:rFonts w:asciiTheme="majorHAnsi" w:hAnsiTheme="majorHAnsi" w:cstheme="majorHAnsi"/>
        </w:rPr>
        <w:t>, particularly ertapenem</w:t>
      </w:r>
      <w:r w:rsidR="00F068BE">
        <w:rPr>
          <w:rFonts w:asciiTheme="majorHAnsi" w:hAnsiTheme="majorHAnsi" w:cstheme="majorHAnsi"/>
        </w:rPr>
        <w:t xml:space="preserve">.  Tebipenem has potent </w:t>
      </w:r>
      <w:r w:rsidR="00F901D7" w:rsidRPr="00053912">
        <w:rPr>
          <w:rFonts w:asciiTheme="majorHAnsi" w:hAnsiTheme="majorHAnsi" w:cstheme="majorHAnsi"/>
          <w:i/>
        </w:rPr>
        <w:t>in vitro</w:t>
      </w:r>
      <w:r w:rsidR="00F901D7">
        <w:rPr>
          <w:rFonts w:asciiTheme="majorHAnsi" w:hAnsiTheme="majorHAnsi" w:cstheme="majorHAnsi"/>
        </w:rPr>
        <w:t xml:space="preserve"> </w:t>
      </w:r>
      <w:r w:rsidR="00F068BE">
        <w:rPr>
          <w:rFonts w:asciiTheme="majorHAnsi" w:hAnsiTheme="majorHAnsi" w:cstheme="majorHAnsi"/>
        </w:rPr>
        <w:t>activity</w:t>
      </w:r>
      <w:r w:rsidR="005760C1">
        <w:rPr>
          <w:rFonts w:asciiTheme="majorHAnsi" w:hAnsiTheme="majorHAnsi" w:cstheme="majorHAnsi"/>
        </w:rPr>
        <w:t xml:space="preserve"> against </w:t>
      </w:r>
      <w:r w:rsidR="00461B42" w:rsidRPr="00461B42">
        <w:rPr>
          <w:rFonts w:asciiTheme="majorHAnsi" w:hAnsiTheme="majorHAnsi" w:cstheme="majorHAnsi"/>
        </w:rPr>
        <w:t>Enterobacteriaceae and</w:t>
      </w:r>
      <w:r w:rsidR="00F068BE">
        <w:rPr>
          <w:rFonts w:asciiTheme="majorHAnsi" w:hAnsiTheme="majorHAnsi" w:cstheme="majorHAnsi"/>
        </w:rPr>
        <w:t xml:space="preserve"> is unaffected by c</w:t>
      </w:r>
      <w:r w:rsidR="00DC15C4">
        <w:rPr>
          <w:rFonts w:asciiTheme="majorHAnsi" w:hAnsiTheme="majorHAnsi" w:cstheme="majorHAnsi"/>
        </w:rPr>
        <w:t>ommonly encountered beta</w:t>
      </w:r>
      <w:r w:rsidR="006964E0">
        <w:rPr>
          <w:rFonts w:asciiTheme="majorHAnsi" w:hAnsiTheme="majorHAnsi" w:cstheme="majorHAnsi"/>
        </w:rPr>
        <w:t>-</w:t>
      </w:r>
      <w:r w:rsidR="00DC15C4">
        <w:rPr>
          <w:rFonts w:asciiTheme="majorHAnsi" w:hAnsiTheme="majorHAnsi" w:cstheme="majorHAnsi"/>
        </w:rPr>
        <w:t>lactamases</w:t>
      </w:r>
      <w:r w:rsidR="00461B42">
        <w:rPr>
          <w:rFonts w:asciiTheme="majorHAnsi" w:hAnsiTheme="majorHAnsi" w:cstheme="majorHAnsi"/>
        </w:rPr>
        <w:t>,</w:t>
      </w:r>
      <w:r w:rsidR="00DC15C4">
        <w:rPr>
          <w:rFonts w:asciiTheme="majorHAnsi" w:hAnsiTheme="majorHAnsi" w:cstheme="majorHAnsi"/>
        </w:rPr>
        <w:t xml:space="preserve"> such as extended spectrum beta lactamases (ESBLs) and </w:t>
      </w:r>
      <w:proofErr w:type="spellStart"/>
      <w:r w:rsidR="00DC15C4">
        <w:rPr>
          <w:rFonts w:asciiTheme="majorHAnsi" w:hAnsiTheme="majorHAnsi" w:cstheme="majorHAnsi"/>
        </w:rPr>
        <w:t>AmpC</w:t>
      </w:r>
      <w:proofErr w:type="spellEnd"/>
      <w:r w:rsidR="005760C1">
        <w:rPr>
          <w:rFonts w:asciiTheme="majorHAnsi" w:hAnsiTheme="majorHAnsi" w:cstheme="majorHAnsi"/>
        </w:rPr>
        <w:t>.</w:t>
      </w:r>
      <w:r w:rsidR="009B4BCC">
        <w:rPr>
          <w:rFonts w:asciiTheme="majorHAnsi" w:hAnsiTheme="majorHAnsi" w:cstheme="majorHAnsi"/>
        </w:rPr>
        <w:t xml:space="preserve"> </w:t>
      </w:r>
      <w:r w:rsidR="005760C1">
        <w:rPr>
          <w:rFonts w:asciiTheme="majorHAnsi" w:hAnsiTheme="majorHAnsi" w:cstheme="majorHAnsi"/>
        </w:rPr>
        <w:t xml:space="preserve"> </w:t>
      </w:r>
      <w:r w:rsidR="00DC15C4">
        <w:rPr>
          <w:rFonts w:asciiTheme="majorHAnsi" w:hAnsiTheme="majorHAnsi" w:cstheme="majorHAnsi"/>
        </w:rPr>
        <w:t xml:space="preserve">MICs to </w:t>
      </w:r>
      <w:r w:rsidR="00DC15C4" w:rsidRPr="00027CE7">
        <w:rPr>
          <w:rFonts w:asciiTheme="majorHAnsi" w:hAnsiTheme="majorHAnsi" w:cstheme="majorHAnsi"/>
          <w:i/>
        </w:rPr>
        <w:t>Pseudomonas aeruginosa</w:t>
      </w:r>
      <w:r w:rsidR="00DC15C4">
        <w:rPr>
          <w:rFonts w:asciiTheme="majorHAnsi" w:hAnsiTheme="majorHAnsi" w:cstheme="majorHAnsi"/>
        </w:rPr>
        <w:t xml:space="preserve"> </w:t>
      </w:r>
      <w:r w:rsidR="00236DD4">
        <w:rPr>
          <w:rFonts w:asciiTheme="majorHAnsi" w:hAnsiTheme="majorHAnsi" w:cstheme="majorHAnsi"/>
        </w:rPr>
        <w:t xml:space="preserve">typically ranged between 8 and 32 mg/L, </w:t>
      </w:r>
      <w:r w:rsidR="00DC15C4">
        <w:rPr>
          <w:rFonts w:asciiTheme="majorHAnsi" w:hAnsiTheme="majorHAnsi" w:cstheme="majorHAnsi"/>
        </w:rPr>
        <w:t xml:space="preserve">and </w:t>
      </w:r>
      <w:r w:rsidR="00DC15C4" w:rsidRPr="00027CE7">
        <w:rPr>
          <w:rFonts w:asciiTheme="majorHAnsi" w:hAnsiTheme="majorHAnsi" w:cstheme="majorHAnsi"/>
          <w:i/>
        </w:rPr>
        <w:t>Acinetobacter</w:t>
      </w:r>
      <w:r w:rsidR="00DC15C4">
        <w:rPr>
          <w:rFonts w:asciiTheme="majorHAnsi" w:hAnsiTheme="majorHAnsi" w:cstheme="majorHAnsi"/>
        </w:rPr>
        <w:t xml:space="preserve"> spp. </w:t>
      </w:r>
      <w:r w:rsidR="00236DD4">
        <w:rPr>
          <w:rFonts w:asciiTheme="majorHAnsi" w:hAnsiTheme="majorHAnsi" w:cstheme="majorHAnsi"/>
        </w:rPr>
        <w:t>MICs showed a</w:t>
      </w:r>
      <w:r w:rsidR="00125B25">
        <w:rPr>
          <w:rFonts w:asciiTheme="majorHAnsi" w:hAnsiTheme="majorHAnsi" w:cstheme="majorHAnsi"/>
        </w:rPr>
        <w:t xml:space="preserve"> broad</w:t>
      </w:r>
      <w:r w:rsidR="00236DD4">
        <w:rPr>
          <w:rFonts w:asciiTheme="majorHAnsi" w:hAnsiTheme="majorHAnsi" w:cstheme="majorHAnsi"/>
        </w:rPr>
        <w:t xml:space="preserve"> range of </w:t>
      </w:r>
      <w:r w:rsidR="00125B25">
        <w:rPr>
          <w:rFonts w:asciiTheme="majorHAnsi" w:hAnsiTheme="majorHAnsi" w:cstheme="majorHAnsi"/>
        </w:rPr>
        <w:t xml:space="preserve">values between </w:t>
      </w:r>
      <w:r w:rsidR="00236DD4">
        <w:rPr>
          <w:rFonts w:asciiTheme="majorHAnsi" w:hAnsiTheme="majorHAnsi" w:cstheme="majorHAnsi"/>
        </w:rPr>
        <w:t xml:space="preserve">0.06 and 8 </w:t>
      </w:r>
      <w:r w:rsidR="00DC15C4">
        <w:rPr>
          <w:rFonts w:asciiTheme="majorHAnsi" w:hAnsiTheme="majorHAnsi" w:cstheme="majorHAnsi"/>
        </w:rPr>
        <w:t xml:space="preserve">mg/L, meaning that </w:t>
      </w:r>
      <w:r w:rsidR="00236DD4">
        <w:rPr>
          <w:rFonts w:asciiTheme="majorHAnsi" w:hAnsiTheme="majorHAnsi" w:cstheme="majorHAnsi"/>
        </w:rPr>
        <w:t xml:space="preserve">overall </w:t>
      </w:r>
      <w:r w:rsidR="00DC15C4">
        <w:rPr>
          <w:rFonts w:asciiTheme="majorHAnsi" w:hAnsiTheme="majorHAnsi" w:cstheme="majorHAnsi"/>
        </w:rPr>
        <w:t xml:space="preserve">there is little clinical utility </w:t>
      </w:r>
      <w:r w:rsidR="002B1E62">
        <w:rPr>
          <w:rFonts w:asciiTheme="majorHAnsi" w:hAnsiTheme="majorHAnsi" w:cstheme="majorHAnsi"/>
        </w:rPr>
        <w:t>against</w:t>
      </w:r>
      <w:r w:rsidR="00DC15C4">
        <w:rPr>
          <w:rFonts w:asciiTheme="majorHAnsi" w:hAnsiTheme="majorHAnsi" w:cstheme="majorHAnsi"/>
        </w:rPr>
        <w:t xml:space="preserve"> these pathogens</w:t>
      </w:r>
      <w:r w:rsidR="00D12ACD">
        <w:rPr>
          <w:rFonts w:asciiTheme="majorHAnsi" w:hAnsiTheme="majorHAnsi" w:cstheme="majorHAnsi"/>
        </w:rPr>
        <w:t xml:space="preserve"> </w:t>
      </w:r>
      <w:r w:rsidR="00D12ACD">
        <w:rPr>
          <w:rFonts w:asciiTheme="majorHAnsi" w:hAnsiTheme="majorHAnsi" w:cstheme="majorHAnsi"/>
        </w:rPr>
        <w:fldChar w:fldCharType="begin" w:fldLock="1"/>
      </w:r>
      <w:r w:rsidR="00093E93">
        <w:rPr>
          <w:rFonts w:asciiTheme="majorHAnsi" w:hAnsiTheme="majorHAnsi" w:cstheme="majorHAnsi"/>
        </w:rPr>
        <w:instrText>ADDIN CSL_CITATION {"citationItems":[{"id":"ITEM-1","itemData":{"DOI":"10.3390/molecules21010062","abstract":"Aims: To systemically investigate the in vitro and in vivo antibacterial properties of tebipenem pivoxil tablet. In addition, acute toxicity of this preparation was also studied. Methods: In vitro, minimum inhibitory concentration (MIC) or minimal inhibitory concentration (MBC) were determined by using the serial 2-fold broth or agar dilution methods. Further, cumulative MIC inhibition curves were then made to assess the antibacterial effects of the drug at various concentrations. In vivo, minimum lethal dose (MLD) in combination with maximum tolerance dose (MTD) was used to measure the acute toxicity of the tebipenem pivoxil tablet in mice. After that, sepsis mouse models challenged with Escherichia coli, Staphylococcus aureus, Pseudomonas aeruginosa, and Klebsiella pneumoniae, respectively, were established to evaluate the anti-infective effect of this preparation. Results: The MIC90 values of tebipenem pivoxil against Gram-positive bacteria such as methicillin-sensitive Staphylococcus aureus (MSSA), methicillin-resistant Staphylococcus aureus (MRSA), methicillin-sensitive Staphylococcus epidermidis (MSSE), methicillin-resistant Staphylococcus epidermidis (MRSE), Pyogenic streptococcus, and Enterococcus faecalis were 0.125, 16, 0.5, 8, 0.125, and 32 g/mL, respectively. Correspondingly, the MIC90 values of tebipenem pivoxil against Escherichia coli, Klebsiella pneumoniae, Enterobacter aerogenes, Haemophilus influenzae, Pseudomonas aeruginosa, and Acinetobacter baumannii were 1, 0.5, 0.125, 0.25, 64, 64 g/mL, respectively. The MBC values of tebipenem pivoxil against Escherichia coli, Staphylococcus aureus, Klebsiella pneumoniae were 0.016–2, 0.063–32, 0.031–32 g/mL, respectively. The acute toxicity study showed that the MLD of the tebipenem pivoxil tablet was 4.00 g/kg and the MTD was 3.40 g/kg in mice. In all the sepsis mouse models, the simultaneous administration of the tebipenem pivoxil tablets significantly reduced mortality of the sepsis-model mice as compared with the control. Furthermore, the survival rate in the tebipenem pivoxil tablet group was remarkably higher than that in the meropenem group in all the sepsis mouse models tested. In the sepsis model challenged with Staphylococcus aureus ATCC29213, Escherichia coli ATCC25922, Pseudomonas aeruginosa ATCC27853, and Pseudomonas aeruginosa clinical strain, respectively, tebipenem pivoxil tablet (100 mg/kg) displayed a better protective effect than tebipenem pivoxil granules (100 mg/kg). Conclus…","author":[{"dropping-particle":"","family":"Yao","given":"Qi","non-dropping-particle":"","parse-names":false,"suffix":""},{"dropping-particle":"","family":"Wang","given":"Jingkun","non-dropping-particle":"","parse-names":false,"suffix":""},{"dropping-particle":"","family":"Cui","given":"Tao","non-dropping-particle":"","parse-names":false,"suffix":""},{"dropping-particle":"","family":"Yang","given":"Zhi","non-dropping-particle":"","parse-names":false,"suffix":""},{"dropping-particle":"","family":"Su","given":"Mei","non-dropping-particle":"","parse-names":false,"suffix":""},{"dropping-particle":"","family":"Zhao","given":"Peiyue","non-dropping-particle":"","parse-names":false,"suffix":""},{"dropping-particle":"","family":"Yan","given":"Hong","non-dropping-particle":"","parse-names":false,"suffix":""},{"dropping-particle":"","family":"Zhan","given":"Yi","non-dropping-particle":"","parse-names":false,"suffix":""}],"id":"ITEM-1","issued":{"date-parts":[["2016"]]},"title":"Antibacterial Properties of Tebipenem Pivoxil Tablet , a New Oral Carbapenem Preparation against a Variety of Pathogenic Bacteria in Vitro and in Vivo","type":"article-journal"},"uris":["http://www.mendeley.com/documents/?uuid=78d53969-45d8-4094-bf76-f1499ab46915"]}],"mendeley":{"formattedCitation":"(13)","plainTextFormattedCitation":"(13)","previouslyFormattedCitation":"(13)"},"properties":{"noteIndex":0},"schema":"https://github.com/citation-style-language/schema/raw/master/csl-citation.json"}</w:instrText>
      </w:r>
      <w:r w:rsidR="00D12ACD">
        <w:rPr>
          <w:rFonts w:asciiTheme="majorHAnsi" w:hAnsiTheme="majorHAnsi" w:cstheme="majorHAnsi"/>
        </w:rPr>
        <w:fldChar w:fldCharType="separate"/>
      </w:r>
      <w:r w:rsidR="00F10449" w:rsidRPr="00F10449">
        <w:rPr>
          <w:rFonts w:asciiTheme="majorHAnsi" w:hAnsiTheme="majorHAnsi" w:cstheme="majorHAnsi"/>
          <w:noProof/>
        </w:rPr>
        <w:t>(13)</w:t>
      </w:r>
      <w:r w:rsidR="00D12ACD">
        <w:rPr>
          <w:rFonts w:asciiTheme="majorHAnsi" w:hAnsiTheme="majorHAnsi" w:cstheme="majorHAnsi"/>
        </w:rPr>
        <w:fldChar w:fldCharType="end"/>
      </w:r>
      <w:r w:rsidR="00DC15C4">
        <w:rPr>
          <w:rFonts w:asciiTheme="majorHAnsi" w:hAnsiTheme="majorHAnsi" w:cstheme="majorHAnsi"/>
        </w:rPr>
        <w:t xml:space="preserve">.  The rise of quinolone resistance (approximately </w:t>
      </w:r>
      <w:r w:rsidR="00D12ACD">
        <w:rPr>
          <w:rFonts w:asciiTheme="majorHAnsi" w:hAnsiTheme="majorHAnsi" w:cstheme="majorHAnsi"/>
        </w:rPr>
        <w:t>25</w:t>
      </w:r>
      <w:r w:rsidR="00DC15C4">
        <w:rPr>
          <w:rFonts w:asciiTheme="majorHAnsi" w:hAnsiTheme="majorHAnsi" w:cstheme="majorHAnsi"/>
        </w:rPr>
        <w:t>-</w:t>
      </w:r>
      <w:r w:rsidR="00D12ACD">
        <w:rPr>
          <w:rFonts w:asciiTheme="majorHAnsi" w:hAnsiTheme="majorHAnsi" w:cstheme="majorHAnsi"/>
        </w:rPr>
        <w:t>35</w:t>
      </w:r>
      <w:r w:rsidR="00DC15C4">
        <w:rPr>
          <w:rFonts w:asciiTheme="majorHAnsi" w:hAnsiTheme="majorHAnsi" w:cstheme="majorHAnsi"/>
        </w:rPr>
        <w:t>% in recent studies)</w:t>
      </w:r>
      <w:r w:rsidR="0044587F">
        <w:rPr>
          <w:rFonts w:asciiTheme="majorHAnsi" w:hAnsiTheme="majorHAnsi" w:cstheme="majorHAnsi"/>
        </w:rPr>
        <w:t xml:space="preserve"> and co-resistance to </w:t>
      </w:r>
      <w:r w:rsidR="00AD0076">
        <w:rPr>
          <w:rFonts w:asciiTheme="majorHAnsi" w:hAnsiTheme="majorHAnsi" w:cstheme="majorHAnsi"/>
          <w:noProof/>
        </w:rPr>
        <w:t>TMP-SMX</w:t>
      </w:r>
      <w:r w:rsidR="00DC15C4">
        <w:rPr>
          <w:rFonts w:asciiTheme="majorHAnsi" w:hAnsiTheme="majorHAnsi" w:cstheme="majorHAnsi"/>
        </w:rPr>
        <w:t xml:space="preserve"> means </w:t>
      </w:r>
      <w:r w:rsidR="00AD0076">
        <w:rPr>
          <w:rFonts w:asciiTheme="majorHAnsi" w:hAnsiTheme="majorHAnsi" w:cstheme="majorHAnsi"/>
        </w:rPr>
        <w:t>that patients</w:t>
      </w:r>
      <w:r w:rsidR="00DC15C4">
        <w:rPr>
          <w:rFonts w:asciiTheme="majorHAnsi" w:hAnsiTheme="majorHAnsi" w:cstheme="majorHAnsi"/>
        </w:rPr>
        <w:t xml:space="preserve"> frequently </w:t>
      </w:r>
      <w:r w:rsidR="00AD0076">
        <w:rPr>
          <w:rFonts w:asciiTheme="majorHAnsi" w:hAnsiTheme="majorHAnsi" w:cstheme="majorHAnsi"/>
        </w:rPr>
        <w:t xml:space="preserve">have </w:t>
      </w:r>
      <w:r w:rsidR="00DC15C4">
        <w:rPr>
          <w:rFonts w:asciiTheme="majorHAnsi" w:hAnsiTheme="majorHAnsi" w:cstheme="majorHAnsi"/>
        </w:rPr>
        <w:t xml:space="preserve">no options for oral </w:t>
      </w:r>
      <w:r w:rsidR="00AD0076">
        <w:rPr>
          <w:rFonts w:asciiTheme="majorHAnsi" w:hAnsiTheme="majorHAnsi" w:cstheme="majorHAnsi"/>
        </w:rPr>
        <w:t>agents</w:t>
      </w:r>
      <w:r w:rsidR="00DC15C4">
        <w:rPr>
          <w:rFonts w:asciiTheme="majorHAnsi" w:hAnsiTheme="majorHAnsi" w:cstheme="majorHAnsi"/>
        </w:rPr>
        <w:t xml:space="preserve"> </w:t>
      </w:r>
      <w:r w:rsidR="00A12688">
        <w:rPr>
          <w:rFonts w:asciiTheme="majorHAnsi" w:hAnsiTheme="majorHAnsi" w:cstheme="majorHAnsi"/>
        </w:rPr>
        <w:t xml:space="preserve">for </w:t>
      </w:r>
      <w:r w:rsidR="00DC15C4">
        <w:rPr>
          <w:rFonts w:asciiTheme="majorHAnsi" w:hAnsiTheme="majorHAnsi" w:cstheme="majorHAnsi"/>
        </w:rPr>
        <w:t>either induction or maintenance therapy</w:t>
      </w:r>
      <w:r w:rsidR="000333E9">
        <w:rPr>
          <w:rFonts w:asciiTheme="majorHAnsi" w:hAnsiTheme="majorHAnsi" w:cstheme="majorHAnsi"/>
        </w:rPr>
        <w:t xml:space="preserve"> </w:t>
      </w:r>
      <w:r w:rsidR="000333E9">
        <w:rPr>
          <w:rFonts w:asciiTheme="majorHAnsi" w:hAnsiTheme="majorHAnsi" w:cstheme="majorHAnsi"/>
        </w:rPr>
        <w:fldChar w:fldCharType="begin" w:fldLock="1"/>
      </w:r>
      <w:r w:rsidR="00093E93">
        <w:rPr>
          <w:rFonts w:asciiTheme="majorHAnsi" w:hAnsiTheme="majorHAnsi" w:cstheme="majorHAnsi"/>
        </w:rPr>
        <w:instrText>ADDIN CSL_CITATION {"citationItems":[{"id":"ITEM-1","itemData":{"author":[{"dropping-particle":"","family":"Kim","given":"Eu Suk","non-dropping-particle":"","parse-names":false,"suffix":""},{"dropping-particle":"","family":"Hooper","given":"David C","non-dropping-particle":"","parse-names":false,"suffix":""}],"id":"ITEM-1","issue":"4","issued":{"date-parts":[["2014"]]},"page":"226-238","title":"Clinical Importance and Epidemiology of Quinolone Resistance","type":"article-journal","volume":"46"},"uris":["http://www.mendeley.com/documents/?uuid=2581b823-50f6-4147-b5b8-fba7f4d02174"]},{"id":"ITEM-2","itemData":{"DOI":"10.1128/AAC.02505-15.Address","author":[{"dropping-particle":"","family":"Bidell","given":"Monique R","non-dropping-particle":"","parse-names":false,"suffix":""},{"dropping-particle":"","family":"Palchak","given":"Melissa","non-dropping-particle":"","parse-names":false,"suffix":""},{"dropping-particle":"","family":"Mohr","given":"John","non-dropping-particle":"","parse-names":false,"suffix":""},{"dropping-particle":"","family":"Lodise","given":"P","non-dropping-particle":"","parse-names":false,"suffix":""}],"id":"ITEM-2","issue":"5","issued":{"date-parts":[["2016"]]},"page":"3170-3173","title":"among Hospitalized Patients with Urinary Tract Infections Due to Escherichia coli : Do Rates Vary by Hospital Characteristics and Geographic Region ?","type":"article-journal","volume":"60"},"uris":["http://www.mendeley.com/documents/?uuid=bf4b0ff8-57ff-4e7a-87b1-fd58635a0ca8"]}],"mendeley":{"formattedCitation":"(14, 15)","manualFormatting":"(6, 13, 14)","plainTextFormattedCitation":"(14, 15)","previouslyFormattedCitation":"(14, 15)"},"properties":{"noteIndex":0},"schema":"https://github.com/citation-style-language/schema/raw/master/csl-citation.json"}</w:instrText>
      </w:r>
      <w:r w:rsidR="000333E9">
        <w:rPr>
          <w:rFonts w:asciiTheme="majorHAnsi" w:hAnsiTheme="majorHAnsi" w:cstheme="majorHAnsi"/>
        </w:rPr>
        <w:fldChar w:fldCharType="separate"/>
      </w:r>
      <w:r w:rsidR="0044587F" w:rsidRPr="0044587F">
        <w:rPr>
          <w:rFonts w:asciiTheme="majorHAnsi" w:hAnsiTheme="majorHAnsi" w:cstheme="majorHAnsi"/>
          <w:noProof/>
        </w:rPr>
        <w:t>(</w:t>
      </w:r>
      <w:r w:rsidR="0044587F">
        <w:rPr>
          <w:rFonts w:asciiTheme="majorHAnsi" w:hAnsiTheme="majorHAnsi" w:cstheme="majorHAnsi"/>
          <w:noProof/>
        </w:rPr>
        <w:t xml:space="preserve">6, </w:t>
      </w:r>
      <w:r w:rsidR="0044587F" w:rsidRPr="0044587F">
        <w:rPr>
          <w:rFonts w:asciiTheme="majorHAnsi" w:hAnsiTheme="majorHAnsi" w:cstheme="majorHAnsi"/>
          <w:noProof/>
        </w:rPr>
        <w:t>13, 14)</w:t>
      </w:r>
      <w:r w:rsidR="000333E9">
        <w:rPr>
          <w:rFonts w:asciiTheme="majorHAnsi" w:hAnsiTheme="majorHAnsi" w:cstheme="majorHAnsi"/>
        </w:rPr>
        <w:fldChar w:fldCharType="end"/>
      </w:r>
      <w:r w:rsidR="00DC15C4">
        <w:rPr>
          <w:rFonts w:asciiTheme="majorHAnsi" w:hAnsiTheme="majorHAnsi" w:cstheme="majorHAnsi"/>
        </w:rPr>
        <w:t xml:space="preserve">.  This mandates the use of an </w:t>
      </w:r>
      <w:r w:rsidR="00A12688">
        <w:rPr>
          <w:rFonts w:asciiTheme="majorHAnsi" w:hAnsiTheme="majorHAnsi" w:cstheme="majorHAnsi"/>
        </w:rPr>
        <w:t>injectable</w:t>
      </w:r>
      <w:r w:rsidR="00DC15C4">
        <w:rPr>
          <w:rFonts w:asciiTheme="majorHAnsi" w:hAnsiTheme="majorHAnsi" w:cstheme="majorHAnsi"/>
        </w:rPr>
        <w:t xml:space="preserve"> </w:t>
      </w:r>
      <w:r w:rsidR="00AD0076">
        <w:rPr>
          <w:rFonts w:asciiTheme="majorHAnsi" w:hAnsiTheme="majorHAnsi" w:cstheme="majorHAnsi"/>
        </w:rPr>
        <w:t>antibiotic</w:t>
      </w:r>
      <w:r w:rsidR="00DC15C4">
        <w:rPr>
          <w:rFonts w:asciiTheme="majorHAnsi" w:hAnsiTheme="majorHAnsi" w:cstheme="majorHAnsi"/>
        </w:rPr>
        <w:t xml:space="preserve"> with the attendant cost, inconvenience</w:t>
      </w:r>
      <w:r w:rsidR="00461B42">
        <w:rPr>
          <w:rFonts w:asciiTheme="majorHAnsi" w:hAnsiTheme="majorHAnsi" w:cstheme="majorHAnsi"/>
        </w:rPr>
        <w:t>,</w:t>
      </w:r>
      <w:r w:rsidR="00DC15C4">
        <w:rPr>
          <w:rFonts w:asciiTheme="majorHAnsi" w:hAnsiTheme="majorHAnsi" w:cstheme="majorHAnsi"/>
        </w:rPr>
        <w:t xml:space="preserve"> and </w:t>
      </w:r>
      <w:r w:rsidR="00A12688">
        <w:rPr>
          <w:rFonts w:asciiTheme="majorHAnsi" w:hAnsiTheme="majorHAnsi" w:cstheme="majorHAnsi"/>
        </w:rPr>
        <w:t>infection risk</w:t>
      </w:r>
      <w:r w:rsidR="00DC15C4">
        <w:rPr>
          <w:rFonts w:asciiTheme="majorHAnsi" w:hAnsiTheme="majorHAnsi" w:cstheme="majorHAnsi"/>
        </w:rPr>
        <w:t xml:space="preserve"> of an i.v. line</w:t>
      </w:r>
      <w:r w:rsidR="000333E9">
        <w:rPr>
          <w:rFonts w:asciiTheme="majorHAnsi" w:hAnsiTheme="majorHAnsi" w:cstheme="majorHAnsi"/>
        </w:rPr>
        <w:t xml:space="preserve"> </w:t>
      </w:r>
      <w:r w:rsidR="000333E9">
        <w:rPr>
          <w:rFonts w:asciiTheme="majorHAnsi" w:hAnsiTheme="majorHAnsi" w:cstheme="majorHAnsi"/>
        </w:rPr>
        <w:fldChar w:fldCharType="begin" w:fldLock="1"/>
      </w:r>
      <w:r w:rsidR="00093E93">
        <w:rPr>
          <w:rFonts w:asciiTheme="majorHAnsi" w:hAnsiTheme="majorHAnsi" w:cstheme="majorHAnsi"/>
        </w:rPr>
        <w:instrText xml:space="preserve">ADDIN CSL_CITATION {"citationItems":[{"id":"ITEM-1","itemData":{"DOI":"10.1128/CMR.18.4.657","author":[{"dropping-particle":"","family":"Paterson","given":"David L","non-dropping-particle":"","parse-names":false,"suffix":""},{"dropping-particle":"","family":"Bonomo","given":"Robert A","non-dropping-particle":"","parse-names":false,"suffix":""}],"id":"ITEM-1","issue":"4","issued":{"date-parts":[["2005"]]},"page":"657-686","title":"Extended-Spectrum </w:instrText>
      </w:r>
      <w:r w:rsidR="00093E93">
        <w:rPr>
          <w:rFonts w:ascii="Segoe UI Symbol" w:hAnsi="Segoe UI Symbol" w:cs="Segoe UI Symbol"/>
        </w:rPr>
        <w:instrText>␤</w:instrText>
      </w:r>
      <w:r w:rsidR="00093E93">
        <w:rPr>
          <w:rFonts w:asciiTheme="majorHAnsi" w:hAnsiTheme="majorHAnsi" w:cstheme="majorHAnsi"/>
        </w:rPr>
        <w:instrText xml:space="preserve"> -Lactamases : a Clinical Update","type":"article-journal","volume":"18"},"uris":["http://www.mendeley.com/documents/?uuid=359393d1-d0f9-4e92-b7d7-b437ca8ab1e7"]}],"mendeley":{"formattedCitation":"(16)","plainTextFormattedCitation":"(16)","previouslyFormattedCitation":"(16)"},"properties":{"noteIndex":0},"schema":"https://github.com/citation-style-language/schema/raw/master/csl-citation.json"}</w:instrText>
      </w:r>
      <w:r w:rsidR="000333E9">
        <w:rPr>
          <w:rFonts w:asciiTheme="majorHAnsi" w:hAnsiTheme="majorHAnsi" w:cstheme="majorHAnsi"/>
        </w:rPr>
        <w:fldChar w:fldCharType="separate"/>
      </w:r>
      <w:r w:rsidR="00F10449" w:rsidRPr="00F10449">
        <w:rPr>
          <w:rFonts w:asciiTheme="majorHAnsi" w:hAnsiTheme="majorHAnsi" w:cstheme="majorHAnsi"/>
          <w:noProof/>
        </w:rPr>
        <w:t>(16)</w:t>
      </w:r>
      <w:r w:rsidR="000333E9">
        <w:rPr>
          <w:rFonts w:asciiTheme="majorHAnsi" w:hAnsiTheme="majorHAnsi" w:cstheme="majorHAnsi"/>
        </w:rPr>
        <w:fldChar w:fldCharType="end"/>
      </w:r>
      <w:r w:rsidR="00DC15C4">
        <w:rPr>
          <w:rFonts w:asciiTheme="majorHAnsi" w:hAnsiTheme="majorHAnsi" w:cstheme="majorHAnsi"/>
        </w:rPr>
        <w:t xml:space="preserve">.  </w:t>
      </w:r>
      <w:r w:rsidR="005041BA">
        <w:rPr>
          <w:rFonts w:asciiTheme="majorHAnsi" w:hAnsiTheme="majorHAnsi" w:cstheme="majorHAnsi"/>
        </w:rPr>
        <w:t>The orally bioavailable formulation of t</w:t>
      </w:r>
      <w:r w:rsidR="00862AB6">
        <w:rPr>
          <w:rFonts w:asciiTheme="majorHAnsi" w:hAnsiTheme="majorHAnsi" w:cstheme="majorHAnsi"/>
        </w:rPr>
        <w:t>ebipenem</w:t>
      </w:r>
      <w:r w:rsidR="005041BA">
        <w:rPr>
          <w:rFonts w:asciiTheme="majorHAnsi" w:hAnsiTheme="majorHAnsi" w:cstheme="majorHAnsi"/>
        </w:rPr>
        <w:t>, TBPM-PI-HBr,</w:t>
      </w:r>
      <w:r w:rsidR="00862AB6">
        <w:rPr>
          <w:rFonts w:asciiTheme="majorHAnsi" w:hAnsiTheme="majorHAnsi" w:cstheme="majorHAnsi"/>
        </w:rPr>
        <w:t xml:space="preserve"> </w:t>
      </w:r>
      <w:r w:rsidR="00D33C1D">
        <w:rPr>
          <w:rFonts w:asciiTheme="majorHAnsi" w:hAnsiTheme="majorHAnsi" w:cstheme="majorHAnsi"/>
        </w:rPr>
        <w:t>provide</w:t>
      </w:r>
      <w:r w:rsidR="00DC15C4">
        <w:rPr>
          <w:rFonts w:asciiTheme="majorHAnsi" w:hAnsiTheme="majorHAnsi" w:cstheme="majorHAnsi"/>
        </w:rPr>
        <w:t>s</w:t>
      </w:r>
      <w:r w:rsidR="00D33C1D">
        <w:rPr>
          <w:rFonts w:asciiTheme="majorHAnsi" w:hAnsiTheme="majorHAnsi" w:cstheme="majorHAnsi"/>
        </w:rPr>
        <w:t xml:space="preserve"> an alternative </w:t>
      </w:r>
      <w:r w:rsidR="00DC15C4">
        <w:rPr>
          <w:rFonts w:asciiTheme="majorHAnsi" w:hAnsiTheme="majorHAnsi" w:cstheme="majorHAnsi"/>
        </w:rPr>
        <w:t xml:space="preserve">oral </w:t>
      </w:r>
      <w:r w:rsidR="00D33C1D">
        <w:rPr>
          <w:rFonts w:asciiTheme="majorHAnsi" w:hAnsiTheme="majorHAnsi" w:cstheme="majorHAnsi"/>
        </w:rPr>
        <w:t>treatment option</w:t>
      </w:r>
      <w:r w:rsidR="00DC15C4">
        <w:rPr>
          <w:rFonts w:asciiTheme="majorHAnsi" w:hAnsiTheme="majorHAnsi" w:cstheme="majorHAnsi"/>
        </w:rPr>
        <w:t xml:space="preserve"> for otherwise resistant Gram</w:t>
      </w:r>
      <w:r w:rsidR="000333E9">
        <w:rPr>
          <w:rFonts w:asciiTheme="majorHAnsi" w:hAnsiTheme="majorHAnsi" w:cstheme="majorHAnsi"/>
        </w:rPr>
        <w:t>-</w:t>
      </w:r>
      <w:r w:rsidR="00DC15C4">
        <w:rPr>
          <w:rFonts w:asciiTheme="majorHAnsi" w:hAnsiTheme="majorHAnsi" w:cstheme="majorHAnsi"/>
        </w:rPr>
        <w:t>negative pathogens</w:t>
      </w:r>
      <w:r w:rsidR="00631EB4">
        <w:rPr>
          <w:rFonts w:asciiTheme="majorHAnsi" w:hAnsiTheme="majorHAnsi" w:cstheme="majorHAnsi"/>
        </w:rPr>
        <w:t xml:space="preserve"> and the ability to manage MDR infections in both inpatient and ambulatory settings</w:t>
      </w:r>
      <w:r w:rsidR="00862AB6">
        <w:rPr>
          <w:rFonts w:asciiTheme="majorHAnsi" w:hAnsiTheme="majorHAnsi" w:cstheme="majorHAnsi"/>
        </w:rPr>
        <w:t xml:space="preserve">.  </w:t>
      </w:r>
    </w:p>
    <w:p w14:paraId="13CD4A00" w14:textId="76611FDD" w:rsidR="003E0D11" w:rsidRDefault="003279B2" w:rsidP="00682296">
      <w:pPr>
        <w:rPr>
          <w:rFonts w:asciiTheme="majorHAnsi" w:hAnsiTheme="majorHAnsi" w:cstheme="majorHAnsi"/>
        </w:rPr>
      </w:pPr>
      <w:r>
        <w:rPr>
          <w:rFonts w:asciiTheme="majorHAnsi" w:hAnsiTheme="majorHAnsi" w:cstheme="majorHAnsi"/>
        </w:rPr>
        <w:tab/>
      </w:r>
      <w:r w:rsidR="007D24DF">
        <w:rPr>
          <w:rFonts w:asciiTheme="majorHAnsi" w:hAnsiTheme="majorHAnsi" w:cstheme="majorHAnsi"/>
        </w:rPr>
        <w:t xml:space="preserve">There have been significant advances in the use of PK-PD to develop new antibacterial and antifungal drugs.  </w:t>
      </w:r>
      <w:r w:rsidR="00957F47">
        <w:rPr>
          <w:rFonts w:asciiTheme="majorHAnsi" w:hAnsiTheme="majorHAnsi" w:cstheme="majorHAnsi"/>
        </w:rPr>
        <w:t>The EMA and FDA each have recommendations for pre-clinical data that should be considered to progress to human clinical trials</w:t>
      </w:r>
      <w:r w:rsidR="00AB2E46">
        <w:rPr>
          <w:rFonts w:asciiTheme="majorHAnsi" w:hAnsiTheme="majorHAnsi" w:cstheme="majorHAnsi"/>
        </w:rPr>
        <w:t>,</w:t>
      </w:r>
      <w:r w:rsidR="00957F47">
        <w:rPr>
          <w:rFonts w:asciiTheme="majorHAnsi" w:hAnsiTheme="majorHAnsi" w:cstheme="majorHAnsi"/>
        </w:rPr>
        <w:t xml:space="preserve"> </w:t>
      </w:r>
      <w:r w:rsidR="007D1353">
        <w:rPr>
          <w:rFonts w:asciiTheme="majorHAnsi" w:hAnsiTheme="majorHAnsi" w:cstheme="majorHAnsi"/>
        </w:rPr>
        <w:t xml:space="preserve">and this topic has </w:t>
      </w:r>
      <w:r w:rsidR="00464D36">
        <w:rPr>
          <w:rFonts w:asciiTheme="majorHAnsi" w:hAnsiTheme="majorHAnsi" w:cstheme="majorHAnsi"/>
        </w:rPr>
        <w:t xml:space="preserve">also </w:t>
      </w:r>
      <w:r w:rsidR="007D1353">
        <w:rPr>
          <w:rFonts w:asciiTheme="majorHAnsi" w:hAnsiTheme="majorHAnsi" w:cstheme="majorHAnsi"/>
        </w:rPr>
        <w:t xml:space="preserve">been considered in a recent publication sponsored by </w:t>
      </w:r>
      <w:r w:rsidR="00127FDF" w:rsidRPr="00BF1B27">
        <w:rPr>
          <w:rFonts w:asciiTheme="majorHAnsi" w:hAnsiTheme="majorHAnsi" w:cstheme="majorHAnsi"/>
        </w:rPr>
        <w:t>NIH</w:t>
      </w:r>
      <w:r w:rsidR="00127FDF">
        <w:rPr>
          <w:rFonts w:asciiTheme="majorHAnsi" w:hAnsiTheme="majorHAnsi" w:cstheme="majorHAnsi"/>
        </w:rPr>
        <w:t>/</w:t>
      </w:r>
      <w:r w:rsidR="007D1353">
        <w:rPr>
          <w:rFonts w:asciiTheme="majorHAnsi" w:hAnsiTheme="majorHAnsi" w:cstheme="majorHAnsi"/>
        </w:rPr>
        <w:t>NIAID</w:t>
      </w:r>
      <w:r w:rsidR="00BF1B27" w:rsidRPr="00BF1B27">
        <w:rPr>
          <w:rFonts w:asciiTheme="majorHAnsi" w:hAnsiTheme="majorHAnsi" w:cstheme="majorHAnsi"/>
        </w:rPr>
        <w:t xml:space="preserve"> </w:t>
      </w:r>
      <w:r w:rsidR="00BF1B27">
        <w:rPr>
          <w:rFonts w:asciiTheme="majorHAnsi" w:hAnsiTheme="majorHAnsi" w:cstheme="majorHAnsi"/>
        </w:rPr>
        <w:fldChar w:fldCharType="begin" w:fldLock="1"/>
      </w:r>
      <w:r w:rsidR="00093E93">
        <w:rPr>
          <w:rFonts w:asciiTheme="majorHAnsi" w:hAnsiTheme="majorHAnsi" w:cstheme="majorHAnsi"/>
        </w:rPr>
        <w:instrText>ADDIN CSL_CITATION {"citationItems":[{"id":"ITEM-1","itemData":{"DOI":"10.1128/AAC.02927-15","ISSN":"10986596","PMID":"27067324","abstract":"Infections caused by multidrug-resistantAcinetobacter baumanniiare a major public health problem and polymyxins are often the last line of therapy for recalcitrant infections by such isolates. The pharmacokinetics of the two clinically-used polymyxins, polymyxin B and colistin, differ considerably, since colistin is administered as an inactive prodrug that undergoes slow conversion to colistin. However, the impact of these substantial pharmacokinetic differences on bacterial killing and resistance emergence is poorly understood. We assessed clinically relevant polymyxin B and colistin dosage regimens against one reference and three clinicalA. baumanniistrains in a dynamic one-compartmentin vitromodel. A new mechanism-based pharmacodynamic model was developed to describe and predict the drug concentrations and viable counts of the total and resistant populations. Rapid attainment of target concentrations was shown to be critical for polymyxin-induced bacterial killing. All polymyxin B regimens achieved peak concentrations of at least 1 mg/L within 1 h and caused ≥ 4 log10killing at 1 h. In contrast, the slow rise of colistin concentrations to 3 mg/L over 48 h resulted in markedly reduced bacterial killing. Significant (4 - 6 log10CFU/mL) amplification of resistant bacterial populations was common to all dosage regimens. The developed mechanism-based model explained the observed bacterial killing, regrowth, and resistance. The model also implicated adaptive polymyxin resistance as a key driver of bacterial regrowth, and predicted the amplification of pre-existing, highly polymyxin-resistant bacterial populations following polymyxin treatment. Antibiotic combination therapies seem the most promising option for minimizing the emergence of polymyxin resistance.","author":[{"dropping-particle":"","family":"Cheah","given":"Soon Ee","non-dropping-particle":"","parse-names":false,"suffix":""},{"dropping-particle":"","family":"Li","given":"Jian","non-dropping-particle":"","parse-names":false,"suffix":""},{"dropping-particle":"","family":"Tsuji","given":"Brian T.","non-dropping-particle":"","parse-names":false,"suffix":""},{"dropping-particle":"","family":"Forrest","given":"Alan","non-dropping-particle":"","parse-names":false,"suffix":""},{"dropping-particle":"","family":"Bulitta","given":"Jürgen B.","non-dropping-particle":"","parse-names":false,"suffix":""},{"dropping-particle":"","family":"Nation","given":"Roger L.","non-dropping-particle":"","parse-names":false,"suffix":""}],"container-title":"Antimicrobial Agents and Chemotherapy","id":"ITEM-1","issue":"7","issued":{"date-parts":[["2016"]]},"page":"3921-3933","title":"Colistin and polymyxin B dosage regimens against Acinetobacter baumannii: Differences in activity and the emergence of resistance","type":"article-journal","volume":"60"},"uris":["http://www.mendeley.com/documents/?uuid=3a38da94-5293-49ad-99f9-0143f9157895"]}],"mendeley":{"formattedCitation":"(17)","plainTextFormattedCitation":"(17)","previouslyFormattedCitation":"(17)"},"properties":{"noteIndex":0},"schema":"https://github.com/citation-style-language/schema/raw/master/csl-citation.json"}</w:instrText>
      </w:r>
      <w:r w:rsidR="00BF1B27">
        <w:rPr>
          <w:rFonts w:asciiTheme="majorHAnsi" w:hAnsiTheme="majorHAnsi" w:cstheme="majorHAnsi"/>
        </w:rPr>
        <w:fldChar w:fldCharType="separate"/>
      </w:r>
      <w:r w:rsidR="00F10449" w:rsidRPr="00F10449">
        <w:rPr>
          <w:rFonts w:asciiTheme="majorHAnsi" w:hAnsiTheme="majorHAnsi" w:cstheme="majorHAnsi"/>
          <w:noProof/>
        </w:rPr>
        <w:t>(17)</w:t>
      </w:r>
      <w:r w:rsidR="00BF1B27">
        <w:rPr>
          <w:rFonts w:asciiTheme="majorHAnsi" w:hAnsiTheme="majorHAnsi" w:cstheme="majorHAnsi"/>
        </w:rPr>
        <w:fldChar w:fldCharType="end"/>
      </w:r>
      <w:r w:rsidR="00957F47">
        <w:rPr>
          <w:rFonts w:asciiTheme="majorHAnsi" w:hAnsiTheme="majorHAnsi" w:cstheme="majorHAnsi"/>
        </w:rPr>
        <w:t xml:space="preserve">.  </w:t>
      </w:r>
      <w:r w:rsidR="007D24DF">
        <w:rPr>
          <w:rFonts w:asciiTheme="majorHAnsi" w:hAnsiTheme="majorHAnsi" w:cstheme="majorHAnsi"/>
        </w:rPr>
        <w:t>A deep understanding of dose-exposure-response relationships substantially de-risks development program</w:t>
      </w:r>
      <w:r w:rsidR="009B7574">
        <w:rPr>
          <w:rFonts w:asciiTheme="majorHAnsi" w:hAnsiTheme="majorHAnsi" w:cstheme="majorHAnsi"/>
        </w:rPr>
        <w:t>s</w:t>
      </w:r>
      <w:r w:rsidR="00027CE7">
        <w:rPr>
          <w:rFonts w:asciiTheme="majorHAnsi" w:hAnsiTheme="majorHAnsi" w:cstheme="majorHAnsi"/>
        </w:rPr>
        <w:t xml:space="preserve"> </w:t>
      </w:r>
      <w:r w:rsidR="00027CE7">
        <w:rPr>
          <w:rFonts w:asciiTheme="majorHAnsi" w:hAnsiTheme="majorHAnsi" w:cstheme="majorHAnsi"/>
        </w:rPr>
        <w:fldChar w:fldCharType="begin" w:fldLock="1"/>
      </w:r>
      <w:r w:rsidR="00093E93">
        <w:rPr>
          <w:rFonts w:asciiTheme="majorHAnsi" w:hAnsiTheme="majorHAnsi" w:cstheme="majorHAnsi"/>
        </w:rPr>
        <w:instrText>ADDIN CSL_CITATION {"citationItems":[{"id":"ITEM-1","itemData":{"DOI":"10.1016/j.tips.2008.01.007","ISBN":"0165-6147 (Print)\\n0165-6147 (Linking)","ISSN":"01656147","PMID":"18353445","abstract":"The use of pharmacokinetic-pharmacodynamic (PK-PD) modeling in translational drug research is a promising approach that provides better understanding of drug efficacy and safety. It is applied to predict efficacy and safety in humans using in vitro bioassay and/or in vivo animal data. Current research in PK-PD modeling focuses on the development of mechanism-based models with improved extrapolation and prediction properties. A key element in mechanism-based PK-PD modeling is the explicit distinction between parameters for describing (i) drug-specific properties and (ii) biological system-specific properties. Mechanism-based PK-PD models contain specific expressions for the characterization of processes on the causal path between drug exposure and drug response. The different terms represent: target-site distribution, target binding and activation and transduction. Ultimately, mechanism-based PK-PD models will also characterize the interaction of the drug effect with disease processes and disease progression. In this review, the principles of mechanism-based PK-PD modeling are described and illustrated by recent applications. © 2008 Elsevier Ltd. All rights reserved.","author":[{"dropping-particle":"","family":"Danhof","given":"Meindert","non-dropping-particle":"","parse-names":false,"suffix":""},{"dropping-particle":"","family":"Lange","given":"Elizabeth C.M.","non-dropping-particle":"de","parse-names":false,"suffix":""},{"dropping-particle":"","family":"Pasqua","given":"Oscar E.","non-dropping-particle":"Della","parse-names":false,"suffix":""},{"dropping-particle":"","family":"Ploeger","given":"Bart A.","non-dropping-particle":"","parse-names":false,"suffix":""},{"dropping-particle":"","family":"Voskuyl","given":"Rob A.","non-dropping-particle":"","parse-names":false,"suffix":""}],"container-title":"Trends in Pharmacological Sciences","id":"ITEM-1","issue":"4","issued":{"date-parts":[["2008"]]},"page":"186-191","title":"Mechanism-based pharmacokinetic-pharmacodynamic (PK-PD) modeling in translational drug research","type":"article-journal","volume":"29"},"uris":["http://www.mendeley.com/documents/?uuid=9897680e-6487-4c2d-9895-b914cf246489"]}],"mendeley":{"formattedCitation":"(18)","plainTextFormattedCitation":"(18)","previouslyFormattedCitation":"(18)"},"properties":{"noteIndex":0},"schema":"https://github.com/citation-style-language/schema/raw/master/csl-citation.json"}</w:instrText>
      </w:r>
      <w:r w:rsidR="00027CE7">
        <w:rPr>
          <w:rFonts w:asciiTheme="majorHAnsi" w:hAnsiTheme="majorHAnsi" w:cstheme="majorHAnsi"/>
        </w:rPr>
        <w:fldChar w:fldCharType="separate"/>
      </w:r>
      <w:r w:rsidR="00F10449" w:rsidRPr="00F10449">
        <w:rPr>
          <w:rFonts w:asciiTheme="majorHAnsi" w:hAnsiTheme="majorHAnsi" w:cstheme="majorHAnsi"/>
          <w:noProof/>
        </w:rPr>
        <w:t>(18)</w:t>
      </w:r>
      <w:r w:rsidR="00027CE7">
        <w:rPr>
          <w:rFonts w:asciiTheme="majorHAnsi" w:hAnsiTheme="majorHAnsi" w:cstheme="majorHAnsi"/>
        </w:rPr>
        <w:fldChar w:fldCharType="end"/>
      </w:r>
      <w:r w:rsidR="007D24DF">
        <w:rPr>
          <w:rFonts w:asciiTheme="majorHAnsi" w:hAnsiTheme="majorHAnsi" w:cstheme="majorHAnsi"/>
        </w:rPr>
        <w:t xml:space="preserve">.  PK-PD can be used to identify regimens for early and later phase clinical trials that are likely to be safe and effective; </w:t>
      </w:r>
      <w:r w:rsidR="006324EE">
        <w:rPr>
          <w:rFonts w:asciiTheme="majorHAnsi" w:hAnsiTheme="majorHAnsi" w:cstheme="majorHAnsi"/>
        </w:rPr>
        <w:t>provide evidence for the biological information transmitted by the MIC</w:t>
      </w:r>
      <w:r w:rsidR="00D36FD2">
        <w:rPr>
          <w:rFonts w:asciiTheme="majorHAnsi" w:hAnsiTheme="majorHAnsi" w:cstheme="majorHAnsi"/>
        </w:rPr>
        <w:t>;</w:t>
      </w:r>
      <w:r w:rsidR="006324EE">
        <w:rPr>
          <w:rFonts w:asciiTheme="majorHAnsi" w:hAnsiTheme="majorHAnsi" w:cstheme="majorHAnsi"/>
        </w:rPr>
        <w:t xml:space="preserve"> and provide evidence for activity against resistance mechanisms that are likely to be encountered in clinical studies</w:t>
      </w:r>
      <w:r w:rsidR="009B7574">
        <w:rPr>
          <w:rFonts w:asciiTheme="majorHAnsi" w:hAnsiTheme="majorHAnsi" w:cstheme="majorHAnsi"/>
        </w:rPr>
        <w:t xml:space="preserve"> </w:t>
      </w:r>
      <w:r w:rsidR="009B7574">
        <w:rPr>
          <w:rFonts w:asciiTheme="majorHAnsi" w:hAnsiTheme="majorHAnsi" w:cstheme="majorHAnsi"/>
        </w:rPr>
        <w:fldChar w:fldCharType="begin" w:fldLock="1"/>
      </w:r>
      <w:r w:rsidR="00093E93">
        <w:rPr>
          <w:rFonts w:asciiTheme="majorHAnsi" w:hAnsiTheme="majorHAnsi" w:cstheme="majorHAnsi"/>
        </w:rPr>
        <w:instrText>ADDIN CSL_CITATION {"citationItems":[{"id":"ITEM-1","itemData":{"DOI":"10.3389/fphar.2014.00174","ISBN":"1663-9812 (Electronic)\\r1663-9812 (Linking)","ISSN":"16639812","PMID":"25120485","abstract":"Characterizing the relationship between the pharmacokinetics (PK, concentration vs. time) and pharmacodynamics (PD, effect vs. time) is an important tool in the discovery and development of new drugs in the pharmaceutical industry. The purpose of this publication is to serve as a guide for drug discovery scientists toward optimal design and conduct of PK/PD studies in the research phase. This review is a result of the collaborative efforts of DMPK scientists from various Metabolism and Pharmacokinetic (MAP) departments of the global organization Novartis Institute of Biomedical Research (NIBR). We recommend that PK/PD strategies be implemented in early research phases of drug discovery projects to enable successful transition to drug development. Effective PK/PD study design, analysis, and interpretation can help scientists elucidate the relationship between PK and PD, understand the mechanism of drug action, and identify PK properties for further improvement and optimal compound design. Additionally, PK/PD modeling can help increase the translation of in vitro compound potency to the in vivo setting, reduce the number of in vivo animal studies, and improve translation of findings from preclinical species into the clinical setting. This review focuses on three important elements of successful PK/PD studies, namely partnership among key scientists involved in the study execution; parameters that influence study designs; and data analysis and interpretation. Specific examples and case studies are highlighted to help demonstrate key points for consideration. The intent is to provide a broad PK/PD foundation for colleagues in the pharmaceutical industry and serve as a tool to promote appropriate discussions on early research project teams with key scientists involved in PK/PD studies.","author":[{"dropping-particle":"","family":"Tuntland","given":"Tove","non-dropping-particle":"","parse-names":false,"suffix":""},{"dropping-particle":"","family":"Ethell","given":"Brian","non-dropping-particle":"","parse-names":false,"suffix":""},{"dropping-particle":"","family":"Kosaka","given":"Takatoshi","non-dropping-particle":"","parse-names":false,"suffix":""},{"dropping-particle":"","family":"Blasco","given":"Francesca","non-dropping-particle":"","parse-names":false,"suffix":""},{"dropping-particle":"","family":"Zang","given":"Richard","non-dropping-particle":"","parse-names":false,"suffix":""},{"dropping-particle":"","family":"Jain","given":"Monish","non-dropping-particle":"","parse-names":false,"suffix":""},{"dropping-particle":"","family":"Gould","given":"Ty","non-dropping-particle":"","parse-names":false,"suffix":""},{"dropping-particle":"","family":"Hoffmaster","given":"Keith","non-dropping-particle":"","parse-names":false,"suffix":""}],"container-title":"Frontiers in Pharmacology","id":"ITEM-1","issue":"July","issued":{"date-parts":[["2014"]]},"page":"1-16","title":"Implementation of pharmacokinetic and pharmacodynamic strategies in early research phases of drug discovery and development at novartis institute of biomedical research","type":"article-journal","volume":"5 JUL"},"uris":["http://www.mendeley.com/documents/?uuid=6fb1bf15-e91a-4c86-9b4c-4759c14c0438"]}],"mendeley":{"formattedCitation":"(19)","plainTextFormattedCitation":"(19)","previouslyFormattedCitation":"(19)"},"properties":{"noteIndex":0},"schema":"https://github.com/citation-style-language/schema/raw/master/csl-citation.json"}</w:instrText>
      </w:r>
      <w:r w:rsidR="009B7574">
        <w:rPr>
          <w:rFonts w:asciiTheme="majorHAnsi" w:hAnsiTheme="majorHAnsi" w:cstheme="majorHAnsi"/>
        </w:rPr>
        <w:fldChar w:fldCharType="separate"/>
      </w:r>
      <w:r w:rsidR="00F10449" w:rsidRPr="00F10449">
        <w:rPr>
          <w:rFonts w:asciiTheme="majorHAnsi" w:hAnsiTheme="majorHAnsi" w:cstheme="majorHAnsi"/>
          <w:noProof/>
        </w:rPr>
        <w:t>(19)</w:t>
      </w:r>
      <w:r w:rsidR="009B7574">
        <w:rPr>
          <w:rFonts w:asciiTheme="majorHAnsi" w:hAnsiTheme="majorHAnsi" w:cstheme="majorHAnsi"/>
        </w:rPr>
        <w:fldChar w:fldCharType="end"/>
      </w:r>
      <w:r w:rsidR="006324EE">
        <w:rPr>
          <w:rFonts w:asciiTheme="majorHAnsi" w:hAnsiTheme="majorHAnsi" w:cstheme="majorHAnsi"/>
        </w:rPr>
        <w:t xml:space="preserve">.  </w:t>
      </w:r>
      <w:r w:rsidR="008906D6">
        <w:rPr>
          <w:rFonts w:asciiTheme="majorHAnsi" w:hAnsiTheme="majorHAnsi" w:cstheme="majorHAnsi"/>
        </w:rPr>
        <w:t>More recently</w:t>
      </w:r>
      <w:r w:rsidR="009B7574">
        <w:rPr>
          <w:rFonts w:asciiTheme="majorHAnsi" w:hAnsiTheme="majorHAnsi" w:cstheme="majorHAnsi"/>
        </w:rPr>
        <w:t>,</w:t>
      </w:r>
      <w:r w:rsidR="008906D6">
        <w:rPr>
          <w:rFonts w:asciiTheme="majorHAnsi" w:hAnsiTheme="majorHAnsi" w:cstheme="majorHAnsi"/>
        </w:rPr>
        <w:t xml:space="preserve"> PK-PD has also been used to </w:t>
      </w:r>
      <w:r w:rsidR="006F7050">
        <w:rPr>
          <w:rFonts w:asciiTheme="majorHAnsi" w:hAnsiTheme="majorHAnsi" w:cstheme="majorHAnsi"/>
        </w:rPr>
        <w:t xml:space="preserve">design regimens that minimize the emergence of </w:t>
      </w:r>
      <w:r w:rsidR="00D36FD2">
        <w:rPr>
          <w:rFonts w:asciiTheme="majorHAnsi" w:hAnsiTheme="majorHAnsi" w:cstheme="majorHAnsi"/>
        </w:rPr>
        <w:t>resistance</w:t>
      </w:r>
      <w:r w:rsidR="001E46B1">
        <w:rPr>
          <w:rFonts w:asciiTheme="majorHAnsi" w:hAnsiTheme="majorHAnsi" w:cstheme="majorHAnsi"/>
        </w:rPr>
        <w:t xml:space="preserve"> </w:t>
      </w:r>
      <w:r w:rsidR="001E46B1">
        <w:rPr>
          <w:rFonts w:asciiTheme="majorHAnsi" w:hAnsiTheme="majorHAnsi" w:cstheme="majorHAnsi"/>
        </w:rPr>
        <w:fldChar w:fldCharType="begin" w:fldLock="1"/>
      </w:r>
      <w:r w:rsidR="00093E93">
        <w:rPr>
          <w:rFonts w:asciiTheme="majorHAnsi" w:hAnsiTheme="majorHAnsi" w:cstheme="majorHAnsi"/>
        </w:rPr>
        <w:instrText>ADDIN CSL_CITATION {"citationItems":[{"id":"ITEM-1","itemData":{"DOI":"10.1086/344653","ISBN":"1537-6591 (Electronic)\\r1058-4838 (Linking)","ISSN":"00418633","PMID":"12516029","abstract":"Drug-resistant microorganisms have become a major problem around the world. In nosocomial and community settings, many important pathogens have demonstrated high-grade resistance to many of our most important agents. In addition, the adverse impact of resistance has not been limited to the bacterial realm. In chemotherapy to treat human immunodeficiency virus (HIV) and other viral diseases, resistance has become a major problem. We are starting to see the beginnings of a resistance problem, even among fungi. Strangely, little attention has been focused on the impact of dosing on the probability with which emergence of resistance occurs. After delineation of the pharmacodynamically linked variable, it is possible to generate dosing regimens that can lower the probability of resistance. In addition, circumstances exist in which combination therapy may be required (e.g., therapy of HIV and tuberculosis). Here, too, it is possible to optimize therapy to prevent resistance by understanding how the drugs in the regimen interact. We can do better with our choices of dose, schedule, and combinations of agents. We will need to lower the probability of resistance and maintain the utility of the drugs currently in our therapeutic armamentarium.","author":[{"dropping-particle":"","family":"Drusano","given":"G. L.","non-dropping-particle":"","parse-names":false,"suffix":""}],"container-title":"Clinical Infectious Diseases","id":"ITEM-1","issue":"Supplement_1","issued":{"date-parts":[["2003"]]},"page":"S42-S50","title":"Prevention of Resistance: A Goal for Dose Selection for Antimicrobial Agents","type":"article-journal","volume":"36"},"uris":["http://www.mendeley.com/documents/?uuid=f80ea8f1-7700-48d3-8bc9-979afd312e38"]},{"id":"ITEM-2","itemData":{"DOI":"10.1086/510079","ISBN":"1537-6591 (Electronic)\\n1058-4838 (Linking)","ISSN":"1058-4838","PMID":"17143821","abstract":"Since the advent of the modern era of antimicrobial chemotherapy in the 1930s, animal infection models have allowed for the in vivo evaluation of antimicrobial agents for the treatment of experimentally induced infection. Today, animal pharmacokinetic-pharmacodynamic (PK-PD) infection models serve as a cornerstone of the preclinical assessment process for antibacterial agents and dose and dosing interval selection, as decision support for setting in vitro susceptibility breakpoints, and, finally, for the evaluation of the meaning of in vitro resistance. Over the past 15 years, considerable PK-PD data have been derived from infected patients for many classes of antimicrobial agents. These data provide the opportunity to confirm knowledge gained from animal PK-PD infection models.","author":[{"dropping-particle":"","family":"Ambrose","given":"Paul G.","non-dropping-particle":"","parse-names":false,"suffix":""},{"dropping-particle":"","family":"Bhavnani","given":"Sujata M.","non-dropping-particle":"","parse-names":false,"suffix":""},{"dropping-particle":"","family":"Rubino","given":"Christopher M.","non-dropping-particle":"","parse-names":false,"suffix":""},{"dropping-particle":"","family":"Louie","given":"Arnold","non-dropping-particle":"","parse-names":false,"suffix":""},{"dropping-particle":"","family":"Gumbo","given":"Tawanda","non-dropping-particle":"","parse-names":false,"suffix":""},{"dropping-particle":"","family":"Forrest","given":"Alan","non-dropping-particle":"","parse-names":false,"suffix":""},{"dropping-particle":"","family":"Drusano","given":"George L.","non-dropping-particle":"","parse-names":false,"suffix":""}],"container-title":"Clinical Infectious Diseases","id":"ITEM-2","issue":"1","issued":{"date-parts":[["2007"]]},"page":"79-86","title":"Antimicrobial Resistance: Pharmacokinetics‐Pharmacodynamics of Antimicrobial Therapy: It’s Not Just for Mice Anymore","type":"article-journal","volume":"44"},"uris":["http://www.mendeley.com/documents/?uuid=0f1cafac-da19-43bf-a682-629af914fa3e"]}],"mendeley":{"formattedCitation":"(20, 21)","plainTextFormattedCitation":"(20, 21)","previouslyFormattedCitation":"(20, 21)"},"properties":{"noteIndex":0},"schema":"https://github.com/citation-style-language/schema/raw/master/csl-citation.json"}</w:instrText>
      </w:r>
      <w:r w:rsidR="001E46B1">
        <w:rPr>
          <w:rFonts w:asciiTheme="majorHAnsi" w:hAnsiTheme="majorHAnsi" w:cstheme="majorHAnsi"/>
        </w:rPr>
        <w:fldChar w:fldCharType="separate"/>
      </w:r>
      <w:r w:rsidR="00F10449" w:rsidRPr="00F10449">
        <w:rPr>
          <w:rFonts w:asciiTheme="majorHAnsi" w:hAnsiTheme="majorHAnsi" w:cstheme="majorHAnsi"/>
          <w:noProof/>
        </w:rPr>
        <w:t>(20, 21)</w:t>
      </w:r>
      <w:r w:rsidR="001E46B1">
        <w:rPr>
          <w:rFonts w:asciiTheme="majorHAnsi" w:hAnsiTheme="majorHAnsi" w:cstheme="majorHAnsi"/>
        </w:rPr>
        <w:fldChar w:fldCharType="end"/>
      </w:r>
      <w:r w:rsidR="006F7050">
        <w:rPr>
          <w:rFonts w:asciiTheme="majorHAnsi" w:hAnsiTheme="majorHAnsi" w:cstheme="majorHAnsi"/>
        </w:rPr>
        <w:t xml:space="preserve">.  All of these facets were </w:t>
      </w:r>
      <w:r w:rsidR="00D36FD2">
        <w:rPr>
          <w:rFonts w:asciiTheme="majorHAnsi" w:hAnsiTheme="majorHAnsi" w:cstheme="majorHAnsi"/>
        </w:rPr>
        <w:t>used in this study</w:t>
      </w:r>
      <w:r w:rsidR="00957F47">
        <w:rPr>
          <w:rFonts w:asciiTheme="majorHAnsi" w:hAnsiTheme="majorHAnsi" w:cstheme="majorHAnsi"/>
        </w:rPr>
        <w:t>: tebipenem displays time-dependent pharmacodynamics; pharmacodynamic targets that can be used for PK-PD bridging studies were defined (</w:t>
      </w:r>
      <w:r w:rsidR="00D32AE8" w:rsidRPr="007B02E7">
        <w:rPr>
          <w:rFonts w:asciiTheme="majorHAnsi" w:hAnsiTheme="majorHAnsi" w:cstheme="majorHAnsi"/>
          <w:i/>
        </w:rPr>
        <w:t>f</w:t>
      </w:r>
      <w:r w:rsidR="00957F47">
        <w:rPr>
          <w:rFonts w:asciiTheme="majorHAnsi" w:hAnsiTheme="majorHAnsi" w:cstheme="majorHAnsi"/>
        </w:rPr>
        <w:t>AUC</w:t>
      </w:r>
      <w:r w:rsidR="002B1E62" w:rsidRPr="00027CE7">
        <w:rPr>
          <w:rFonts w:asciiTheme="majorHAnsi" w:hAnsiTheme="majorHAnsi" w:cstheme="majorHAnsi"/>
          <w:vertAlign w:val="subscript"/>
        </w:rPr>
        <w:t>0-24</w:t>
      </w:r>
      <w:r w:rsidR="00957F47">
        <w:rPr>
          <w:rFonts w:asciiTheme="majorHAnsi" w:hAnsiTheme="majorHAnsi" w:cstheme="majorHAnsi"/>
        </w:rPr>
        <w:t xml:space="preserve">:MIC*1/tau </w:t>
      </w:r>
      <w:r w:rsidR="00BC4B37">
        <w:rPr>
          <w:rFonts w:asciiTheme="majorHAnsi" w:hAnsiTheme="majorHAnsi" w:cstheme="majorHAnsi"/>
        </w:rPr>
        <w:t xml:space="preserve">= </w:t>
      </w:r>
      <w:r w:rsidR="00957F47">
        <w:rPr>
          <w:rFonts w:asciiTheme="majorHAnsi" w:hAnsiTheme="majorHAnsi" w:cstheme="majorHAnsi"/>
        </w:rPr>
        <w:t>23, see below)</w:t>
      </w:r>
      <w:r w:rsidR="00483AF5">
        <w:rPr>
          <w:rFonts w:asciiTheme="majorHAnsi" w:hAnsiTheme="majorHAnsi" w:cstheme="majorHAnsi"/>
        </w:rPr>
        <w:t>, the activity of tebipenem against ESBL</w:t>
      </w:r>
      <w:r w:rsidR="00532A80">
        <w:rPr>
          <w:rFonts w:asciiTheme="majorHAnsi" w:hAnsiTheme="majorHAnsi" w:cstheme="majorHAnsi"/>
        </w:rPr>
        <w:t>-</w:t>
      </w:r>
      <w:r w:rsidR="00483AF5">
        <w:rPr>
          <w:rFonts w:asciiTheme="majorHAnsi" w:hAnsiTheme="majorHAnsi" w:cstheme="majorHAnsi"/>
        </w:rPr>
        <w:t xml:space="preserve">producing </w:t>
      </w:r>
      <w:r w:rsidR="00483AF5" w:rsidRPr="00027CE7">
        <w:rPr>
          <w:rFonts w:asciiTheme="majorHAnsi" w:hAnsiTheme="majorHAnsi" w:cstheme="majorHAnsi"/>
          <w:i/>
        </w:rPr>
        <w:t>E. coli</w:t>
      </w:r>
      <w:r w:rsidR="00483AF5">
        <w:rPr>
          <w:rFonts w:asciiTheme="majorHAnsi" w:hAnsiTheme="majorHAnsi" w:cstheme="majorHAnsi"/>
        </w:rPr>
        <w:t xml:space="preserve"> and </w:t>
      </w:r>
      <w:r w:rsidR="00483AF5" w:rsidRPr="00027CE7">
        <w:rPr>
          <w:rFonts w:asciiTheme="majorHAnsi" w:hAnsiTheme="majorHAnsi" w:cstheme="majorHAnsi"/>
          <w:i/>
        </w:rPr>
        <w:t>K. pneumoniae</w:t>
      </w:r>
      <w:r w:rsidR="00483AF5">
        <w:rPr>
          <w:rFonts w:asciiTheme="majorHAnsi" w:hAnsiTheme="majorHAnsi" w:cstheme="majorHAnsi"/>
        </w:rPr>
        <w:t xml:space="preserve"> was established (exposure</w:t>
      </w:r>
      <w:r w:rsidR="00532A80">
        <w:rPr>
          <w:rFonts w:asciiTheme="majorHAnsi" w:hAnsiTheme="majorHAnsi" w:cstheme="majorHAnsi"/>
        </w:rPr>
        <w:t>-</w:t>
      </w:r>
      <w:r w:rsidR="00483AF5">
        <w:rPr>
          <w:rFonts w:asciiTheme="majorHAnsi" w:hAnsiTheme="majorHAnsi" w:cstheme="majorHAnsi"/>
        </w:rPr>
        <w:t xml:space="preserve">response relationships from these strains was the same as wild-type) and incorporation of MIC into </w:t>
      </w:r>
      <w:r w:rsidR="00546782">
        <w:rPr>
          <w:rFonts w:asciiTheme="majorHAnsi" w:hAnsiTheme="majorHAnsi" w:cstheme="majorHAnsi"/>
        </w:rPr>
        <w:t>exposure</w:t>
      </w:r>
      <w:r w:rsidR="00532A80">
        <w:rPr>
          <w:rFonts w:asciiTheme="majorHAnsi" w:hAnsiTheme="majorHAnsi" w:cstheme="majorHAnsi"/>
        </w:rPr>
        <w:t>-</w:t>
      </w:r>
      <w:r w:rsidR="00546782">
        <w:rPr>
          <w:rFonts w:asciiTheme="majorHAnsi" w:hAnsiTheme="majorHAnsi" w:cstheme="majorHAnsi"/>
        </w:rPr>
        <w:t xml:space="preserve">response relationships collapses the </w:t>
      </w:r>
      <w:r w:rsidR="00293EA8">
        <w:rPr>
          <w:rFonts w:asciiTheme="majorHAnsi" w:hAnsiTheme="majorHAnsi" w:cstheme="majorHAnsi"/>
        </w:rPr>
        <w:t>dose</w:t>
      </w:r>
      <w:r w:rsidR="00532A80">
        <w:rPr>
          <w:rFonts w:asciiTheme="majorHAnsi" w:hAnsiTheme="majorHAnsi" w:cstheme="majorHAnsi"/>
        </w:rPr>
        <w:t>-</w:t>
      </w:r>
      <w:r w:rsidR="00293EA8">
        <w:rPr>
          <w:rFonts w:asciiTheme="majorHAnsi" w:hAnsiTheme="majorHAnsi" w:cstheme="majorHAnsi"/>
        </w:rPr>
        <w:t>exposure</w:t>
      </w:r>
      <w:r w:rsidR="00532A80">
        <w:rPr>
          <w:rFonts w:asciiTheme="majorHAnsi" w:hAnsiTheme="majorHAnsi" w:cstheme="majorHAnsi"/>
        </w:rPr>
        <w:t>-</w:t>
      </w:r>
      <w:r w:rsidR="00293EA8">
        <w:rPr>
          <w:rFonts w:asciiTheme="majorHAnsi" w:hAnsiTheme="majorHAnsi" w:cstheme="majorHAnsi"/>
        </w:rPr>
        <w:t>response relationships</w:t>
      </w:r>
      <w:r w:rsidR="00532A80">
        <w:rPr>
          <w:rFonts w:asciiTheme="majorHAnsi" w:hAnsiTheme="majorHAnsi" w:cstheme="majorHAnsi"/>
        </w:rPr>
        <w:t>,</w:t>
      </w:r>
      <w:r w:rsidR="00293EA8">
        <w:rPr>
          <w:rFonts w:asciiTheme="majorHAnsi" w:hAnsiTheme="majorHAnsi" w:cstheme="majorHAnsi"/>
        </w:rPr>
        <w:t xml:space="preserve"> suggesting it accounts for a significant portion of </w:t>
      </w:r>
      <w:r w:rsidR="00D46755">
        <w:rPr>
          <w:rFonts w:asciiTheme="majorHAnsi" w:hAnsiTheme="majorHAnsi" w:cstheme="majorHAnsi"/>
        </w:rPr>
        <w:t xml:space="preserve">observed </w:t>
      </w:r>
      <w:r w:rsidR="00293EA8">
        <w:rPr>
          <w:rFonts w:asciiTheme="majorHAnsi" w:hAnsiTheme="majorHAnsi" w:cstheme="majorHAnsi"/>
        </w:rPr>
        <w:t>variance</w:t>
      </w:r>
      <w:r w:rsidR="00D36FD2">
        <w:rPr>
          <w:rFonts w:asciiTheme="majorHAnsi" w:hAnsiTheme="majorHAnsi" w:cstheme="majorHAnsi"/>
        </w:rPr>
        <w:t xml:space="preserve">.  </w:t>
      </w:r>
    </w:p>
    <w:p w14:paraId="37CADDE3" w14:textId="5BE96569" w:rsidR="00BC4B37" w:rsidRPr="002B1E62" w:rsidRDefault="00533433" w:rsidP="00B438E5">
      <w:pPr>
        <w:rPr>
          <w:rFonts w:asciiTheme="majorHAnsi" w:hAnsiTheme="majorHAnsi" w:cstheme="majorHAnsi"/>
          <w:noProof/>
        </w:rPr>
      </w:pPr>
      <w:r>
        <w:rPr>
          <w:rFonts w:asciiTheme="majorHAnsi" w:hAnsiTheme="majorHAnsi" w:cstheme="majorHAnsi"/>
        </w:rPr>
        <w:tab/>
      </w:r>
      <w:r w:rsidR="00957F47">
        <w:rPr>
          <w:rFonts w:asciiTheme="majorHAnsi" w:hAnsiTheme="majorHAnsi" w:cstheme="majorHAnsi"/>
        </w:rPr>
        <w:t xml:space="preserve">For carbapenems, the traditional </w:t>
      </w:r>
      <w:r w:rsidR="00957F47">
        <w:rPr>
          <w:rFonts w:asciiTheme="majorHAnsi" w:hAnsiTheme="majorHAnsi" w:cstheme="majorHAnsi"/>
          <w:noProof/>
        </w:rPr>
        <w:t xml:space="preserve">PK-PD index that best links drug exposure to antibiotic activity is the fraction of the dosing interval that free drug concentrations are </w:t>
      </w:r>
      <w:r w:rsidR="004F69C4">
        <w:rPr>
          <w:rFonts w:asciiTheme="majorHAnsi" w:hAnsiTheme="majorHAnsi" w:cstheme="majorHAnsi"/>
          <w:noProof/>
        </w:rPr>
        <w:t xml:space="preserve">above the </w:t>
      </w:r>
      <w:r w:rsidR="00957F47">
        <w:rPr>
          <w:rFonts w:asciiTheme="majorHAnsi" w:hAnsiTheme="majorHAnsi" w:cstheme="majorHAnsi"/>
          <w:noProof/>
        </w:rPr>
        <w:t>MIC (</w:t>
      </w:r>
      <w:r w:rsidR="00957F47" w:rsidRPr="00054CC9">
        <w:rPr>
          <w:rFonts w:asciiTheme="majorHAnsi" w:hAnsiTheme="majorHAnsi" w:cstheme="majorHAnsi"/>
          <w:i/>
          <w:noProof/>
        </w:rPr>
        <w:t>f</w:t>
      </w:r>
      <w:r w:rsidR="00957F47">
        <w:rPr>
          <w:rFonts w:asciiTheme="majorHAnsi" w:hAnsiTheme="majorHAnsi" w:cstheme="majorHAnsi"/>
          <w:noProof/>
        </w:rPr>
        <w:t>T&gt;MIC)</w:t>
      </w:r>
      <w:r w:rsidR="00232B8F">
        <w:rPr>
          <w:rFonts w:asciiTheme="majorHAnsi" w:hAnsiTheme="majorHAnsi" w:cstheme="majorHAnsi"/>
          <w:noProof/>
        </w:rPr>
        <w:t xml:space="preserve"> </w:t>
      </w:r>
      <w:r w:rsidR="00232B8F">
        <w:rPr>
          <w:rFonts w:asciiTheme="majorHAnsi" w:hAnsiTheme="majorHAnsi" w:cstheme="majorHAnsi"/>
          <w:noProof/>
        </w:rPr>
        <w:fldChar w:fldCharType="begin" w:fldLock="1"/>
      </w:r>
      <w:r w:rsidR="00093E93">
        <w:rPr>
          <w:rFonts w:asciiTheme="majorHAnsi" w:hAnsiTheme="majorHAnsi" w:cstheme="majorHAnsi"/>
          <w:noProof/>
        </w:rPr>
        <w:instrText>ADDIN CSL_CITATION {"citationItems":[{"id":"ITEM-1","itemData":{"DOI":"10.1007/s10156-003-0279-x","ISBN":"1860545394","ISSN":"1341321X","PMID":"14691648","abstract":"In patients with infection, improving the probability of positive treatment outcomes depends on optimizing the interactions between the host, pathogen, and drug. In this setting, optimal regimens must be utilized which not only maximize effectiveness in a specific patient, but also minimize the development of microbial resistance. The probability of achieving a specifically targeted antimicrobial exposure can be assessed using Monte Carlo simulation, a technique which integrates an agent's in vitro potency distribution (i.e., minimum inhibitory concentrations [MICs]) with the pharmacokinetic profile. The targeted pharmacodynamic parameters assessed by this technique include the ratio of peak concentration (C(max)) to MIC (C(max) : MIC); the ratio of the area under the plasma concentration-time curve (AUC) to MIC (AUC : MIC), and the time the drug concentration exceeds the MIC (T &gt; MIC). Some antimicrobials, e.g., the aminoglycosides, are most effective/bactericidal when they have a high C(max) : MIC ratio; others, e.g., the fluoroquinolones, are more effective when the AUC : MIC ratio is high. In both of these scenarios, organism eradication is concentration-dependent, and the therapeutic goal is to maximize drug exposure. Like the fluoroquinolones, the efficacy of telithromycin, a newly developed ketolide, is most related to the AUC : MIC ratio. Outcome for other agents, such as the beta-lactams, is best predicted by the T &gt; MIC; in this case, organism eradication is time-dependent, and the therapeutic goal is to optimize the duration of antimicrobial exposure. This article discusses how the use of currently available antimicrobials can be optimized through an appreciation of pharmacodynamic profiling.","author":[{"dropping-particle":"","family":"Nicolau","given":"David P.","non-dropping-particle":"","parse-names":false,"suffix":""}],"container-title":"Journal of Infection and Chemotherapy","id":"ITEM-1","issue":"4","issued":{"date-parts":[["2003"]]},"page":"292-296","publisher":"Elsevier","title":"Optimizing outcomes with antimicrobial therapy through pharmacodynamic profiling","type":"article-journal","volume":"9"},"uris":["http://www.mendeley.com/documents/?uuid=5188111c-9e8b-4646-9bb9-da8037eae12e"]}],"mendeley":{"formattedCitation":"(22)","plainTextFormattedCitation":"(22)","previouslyFormattedCitation":"(22)"},"properties":{"noteIndex":0},"schema":"https://github.com/citation-style-language/schema/raw/master/csl-citation.json"}</w:instrText>
      </w:r>
      <w:r w:rsidR="00232B8F">
        <w:rPr>
          <w:rFonts w:asciiTheme="majorHAnsi" w:hAnsiTheme="majorHAnsi" w:cstheme="majorHAnsi"/>
          <w:noProof/>
        </w:rPr>
        <w:fldChar w:fldCharType="separate"/>
      </w:r>
      <w:r w:rsidR="00F10449" w:rsidRPr="00F10449">
        <w:rPr>
          <w:rFonts w:asciiTheme="majorHAnsi" w:hAnsiTheme="majorHAnsi" w:cstheme="majorHAnsi"/>
          <w:noProof/>
        </w:rPr>
        <w:t>(22)</w:t>
      </w:r>
      <w:r w:rsidR="00232B8F">
        <w:rPr>
          <w:rFonts w:asciiTheme="majorHAnsi" w:hAnsiTheme="majorHAnsi" w:cstheme="majorHAnsi"/>
          <w:noProof/>
        </w:rPr>
        <w:fldChar w:fldCharType="end"/>
      </w:r>
      <w:r w:rsidR="00957F47">
        <w:rPr>
          <w:rFonts w:asciiTheme="majorHAnsi" w:hAnsiTheme="majorHAnsi" w:cstheme="majorHAnsi"/>
          <w:noProof/>
        </w:rPr>
        <w:t>.  Currently licensed carbapenems generally achieve their maximal effect at 40% time above the MIC</w:t>
      </w:r>
      <w:r w:rsidR="00AB2E46">
        <w:rPr>
          <w:rFonts w:asciiTheme="majorHAnsi" w:hAnsiTheme="majorHAnsi" w:cstheme="majorHAnsi"/>
          <w:noProof/>
        </w:rPr>
        <w:t xml:space="preserve"> </w:t>
      </w:r>
      <w:r w:rsidR="00AB2E46" w:rsidRPr="0069705F">
        <w:rPr>
          <w:rFonts w:asciiTheme="majorHAnsi" w:hAnsiTheme="majorHAnsi" w:cstheme="majorHAnsi"/>
          <w:noProof/>
        </w:rPr>
        <w:fldChar w:fldCharType="begin" w:fldLock="1"/>
      </w:r>
      <w:r w:rsidR="00093E93">
        <w:rPr>
          <w:rFonts w:asciiTheme="majorHAnsi" w:hAnsiTheme="majorHAnsi" w:cstheme="majorHAnsi"/>
          <w:noProof/>
        </w:rPr>
        <w:instrText>ADDIN CSL_CITATION {"citationItems":[{"id":"ITEM-1","itemData":{"DOI":"10.1086/516284","ISBN":"1058-4838 (Print)\\n1058-4838 (Linking)","ISSN":"1058-4838","PMID":"9455502","abstract":"Investigations over the past 20 years have demonstrated that antibacterials can vary markedly in the time course of antimicrobial activity. These differences in pharmacodynamic activity have implications for optimal dosage regimens. The results of more recent studies suggest that the magnitude of the pharmacokinetic/pharmacodynamic parameters required for efficacy are relatively similar in animal infection models and in human infections. However, there is still much to learn. Additional studies are needed to further correlate pharmacokinetic/pharmacodynamic parameters for many antibacterials with therapeutic efficacy in a variety of animal infection models and in human infections. The potential value of using pharmacokinetic/pharmacodynamic parameters as guides for establishing optimal dosing regimens for new and old drugs and for new emerging pathogens and resistant organisms, for setting susceptibility breakpoints, and for reducing the cost of drug development should make the continuing search for the therapeutic rationale of antibacterial dosing of mice and men worthwhile.","author":[{"dropping-particle":"","family":"Craig","given":"William A.","non-dropping-particle":"","parse-names":false,"suffix":""}],"container-title":"Clinical Infectious Diseases","id":"ITEM-1","issue":"1","issued":{"date-parts":[["1998"]]},"page":"1-10","title":"State‐of‐the‐Art Clinical Article: Pharmacokinetic/Pharmacodynamic Parameters: Rationale for Antibacterial Dosing of Mice and Men","type":"article-journal","volume":"26"},"uris":["http://www.mendeley.com/documents/?uuid=9aa4d5d6-f504-4945-8486-8c8d14338a78"]}],"mendeley":{"formattedCitation":"(23)","plainTextFormattedCitation":"(23)","previouslyFormattedCitation":"(23)"},"properties":{"noteIndex":0},"schema":"https://github.com/citation-style-language/schema/raw/master/csl-citation.json"}</w:instrText>
      </w:r>
      <w:r w:rsidR="00AB2E46" w:rsidRPr="0069705F">
        <w:rPr>
          <w:rFonts w:asciiTheme="majorHAnsi" w:hAnsiTheme="majorHAnsi" w:cstheme="majorHAnsi"/>
          <w:noProof/>
        </w:rPr>
        <w:fldChar w:fldCharType="separate"/>
      </w:r>
      <w:r w:rsidR="00F10449" w:rsidRPr="00F10449">
        <w:rPr>
          <w:rFonts w:asciiTheme="majorHAnsi" w:hAnsiTheme="majorHAnsi" w:cstheme="majorHAnsi"/>
          <w:noProof/>
        </w:rPr>
        <w:t>(23)</w:t>
      </w:r>
      <w:r w:rsidR="00AB2E46" w:rsidRPr="0069705F">
        <w:rPr>
          <w:rFonts w:asciiTheme="majorHAnsi" w:hAnsiTheme="majorHAnsi" w:cstheme="majorHAnsi"/>
          <w:noProof/>
        </w:rPr>
        <w:fldChar w:fldCharType="end"/>
      </w:r>
      <w:r w:rsidR="004F69C4" w:rsidRPr="0069705F">
        <w:rPr>
          <w:rFonts w:asciiTheme="majorHAnsi" w:hAnsiTheme="majorHAnsi" w:cstheme="majorHAnsi"/>
          <w:noProof/>
        </w:rPr>
        <w:t>,</w:t>
      </w:r>
      <w:r w:rsidR="004F69C4">
        <w:rPr>
          <w:rFonts w:asciiTheme="majorHAnsi" w:hAnsiTheme="majorHAnsi" w:cstheme="majorHAnsi"/>
          <w:noProof/>
        </w:rPr>
        <w:t xml:space="preserve"> although in the current study ertapenem achieved stasis with a fT&gt;MIC of 60%. </w:t>
      </w:r>
      <w:r w:rsidR="00957F47">
        <w:rPr>
          <w:rFonts w:asciiTheme="majorHAnsi" w:hAnsiTheme="majorHAnsi" w:cstheme="majorHAnsi"/>
          <w:noProof/>
        </w:rPr>
        <w:t xml:space="preserve"> </w:t>
      </w:r>
      <w:r w:rsidR="00483AF5">
        <w:rPr>
          <w:rFonts w:asciiTheme="majorHAnsi" w:hAnsiTheme="majorHAnsi" w:cstheme="majorHAnsi"/>
          <w:noProof/>
        </w:rPr>
        <w:t>T</w:t>
      </w:r>
      <w:r w:rsidR="00957F47">
        <w:rPr>
          <w:rFonts w:asciiTheme="majorHAnsi" w:hAnsiTheme="majorHAnsi" w:cstheme="majorHAnsi"/>
          <w:noProof/>
        </w:rPr>
        <w:t>ebipenem</w:t>
      </w:r>
      <w:r w:rsidR="00483AF5">
        <w:rPr>
          <w:rFonts w:asciiTheme="majorHAnsi" w:hAnsiTheme="majorHAnsi" w:cstheme="majorHAnsi"/>
          <w:noProof/>
        </w:rPr>
        <w:t xml:space="preserve"> display</w:t>
      </w:r>
      <w:r w:rsidR="009049F5">
        <w:rPr>
          <w:rFonts w:asciiTheme="majorHAnsi" w:hAnsiTheme="majorHAnsi" w:cstheme="majorHAnsi"/>
          <w:noProof/>
        </w:rPr>
        <w:t>s</w:t>
      </w:r>
      <w:r w:rsidR="00483AF5">
        <w:rPr>
          <w:rFonts w:asciiTheme="majorHAnsi" w:hAnsiTheme="majorHAnsi" w:cstheme="majorHAnsi"/>
          <w:noProof/>
        </w:rPr>
        <w:t xml:space="preserve"> unequivocal time-dependent pharmacodynamics</w:t>
      </w:r>
      <w:r w:rsidR="002B1E62">
        <w:rPr>
          <w:rFonts w:asciiTheme="majorHAnsi" w:hAnsiTheme="majorHAnsi" w:cstheme="majorHAnsi"/>
          <w:noProof/>
        </w:rPr>
        <w:t xml:space="preserve">. </w:t>
      </w:r>
      <w:r w:rsidR="00957F47">
        <w:rPr>
          <w:rFonts w:asciiTheme="majorHAnsi" w:hAnsiTheme="majorHAnsi" w:cstheme="majorHAnsi"/>
          <w:noProof/>
        </w:rPr>
        <w:t xml:space="preserve"> </w:t>
      </w:r>
      <w:r w:rsidR="002B1E62">
        <w:rPr>
          <w:rFonts w:asciiTheme="majorHAnsi" w:hAnsiTheme="majorHAnsi" w:cstheme="majorHAnsi"/>
          <w:noProof/>
        </w:rPr>
        <w:t>M</w:t>
      </w:r>
      <w:r w:rsidR="00957F47">
        <w:rPr>
          <w:rFonts w:asciiTheme="majorHAnsi" w:hAnsiTheme="majorHAnsi" w:cstheme="majorHAnsi"/>
          <w:noProof/>
        </w:rPr>
        <w:t>ore fractionated regimens in the mouse and HFIM resulted in stastically greater antibacterial activity</w:t>
      </w:r>
      <w:r w:rsidR="009049F5">
        <w:rPr>
          <w:rFonts w:asciiTheme="majorHAnsi" w:hAnsiTheme="majorHAnsi" w:cstheme="majorHAnsi"/>
          <w:noProof/>
        </w:rPr>
        <w:t xml:space="preserve"> in murine models and HFIM</w:t>
      </w:r>
      <w:r w:rsidR="00957F47">
        <w:rPr>
          <w:rFonts w:asciiTheme="majorHAnsi" w:hAnsiTheme="majorHAnsi" w:cstheme="majorHAnsi"/>
          <w:noProof/>
        </w:rPr>
        <w:t xml:space="preserve">.  However, </w:t>
      </w:r>
      <w:r w:rsidR="00483AF5">
        <w:rPr>
          <w:rFonts w:asciiTheme="majorHAnsi" w:hAnsiTheme="majorHAnsi" w:cstheme="majorHAnsi"/>
          <w:noProof/>
        </w:rPr>
        <w:t xml:space="preserve">in the murine studies this </w:t>
      </w:r>
      <w:r w:rsidR="009049F5">
        <w:rPr>
          <w:rFonts w:asciiTheme="majorHAnsi" w:hAnsiTheme="majorHAnsi" w:cstheme="majorHAnsi"/>
          <w:noProof/>
        </w:rPr>
        <w:t>time dependency</w:t>
      </w:r>
      <w:r w:rsidR="00483AF5">
        <w:rPr>
          <w:rFonts w:asciiTheme="majorHAnsi" w:hAnsiTheme="majorHAnsi" w:cstheme="majorHAnsi"/>
          <w:noProof/>
        </w:rPr>
        <w:t xml:space="preserve"> could not be quantified using</w:t>
      </w:r>
      <w:r w:rsidR="00957F47">
        <w:rPr>
          <w:rFonts w:asciiTheme="majorHAnsi" w:hAnsiTheme="majorHAnsi" w:cstheme="majorHAnsi"/>
          <w:noProof/>
        </w:rPr>
        <w:t xml:space="preserve"> </w:t>
      </w:r>
      <w:r w:rsidR="00957F47" w:rsidRPr="00054CC9">
        <w:rPr>
          <w:rFonts w:asciiTheme="majorHAnsi" w:hAnsiTheme="majorHAnsi" w:cstheme="majorHAnsi"/>
          <w:i/>
          <w:noProof/>
        </w:rPr>
        <w:t>f</w:t>
      </w:r>
      <w:r w:rsidR="00957F47">
        <w:rPr>
          <w:rFonts w:asciiTheme="majorHAnsi" w:hAnsiTheme="majorHAnsi" w:cstheme="majorHAnsi"/>
          <w:noProof/>
        </w:rPr>
        <w:t xml:space="preserve">T&gt;MIC </w:t>
      </w:r>
      <w:r w:rsidR="00483AF5">
        <w:rPr>
          <w:rFonts w:asciiTheme="majorHAnsi" w:hAnsiTheme="majorHAnsi" w:cstheme="majorHAnsi"/>
          <w:noProof/>
        </w:rPr>
        <w:t>because of</w:t>
      </w:r>
      <w:r w:rsidR="00957F47">
        <w:rPr>
          <w:rFonts w:asciiTheme="majorHAnsi" w:hAnsiTheme="majorHAnsi" w:cstheme="majorHAnsi"/>
          <w:noProof/>
        </w:rPr>
        <w:t xml:space="preserve"> </w:t>
      </w:r>
      <w:r w:rsidR="007A7C57">
        <w:rPr>
          <w:rFonts w:asciiTheme="majorHAnsi" w:hAnsiTheme="majorHAnsi" w:cstheme="majorHAnsi"/>
          <w:noProof/>
        </w:rPr>
        <w:t>clumping</w:t>
      </w:r>
      <w:r w:rsidR="00957F47">
        <w:rPr>
          <w:rFonts w:asciiTheme="majorHAnsi" w:hAnsiTheme="majorHAnsi" w:cstheme="majorHAnsi"/>
          <w:noProof/>
        </w:rPr>
        <w:t xml:space="preserve"> of data at 100% </w:t>
      </w:r>
      <w:r w:rsidR="00957F47" w:rsidRPr="00054CC9">
        <w:rPr>
          <w:rFonts w:asciiTheme="majorHAnsi" w:hAnsiTheme="majorHAnsi" w:cstheme="majorHAnsi"/>
          <w:i/>
          <w:noProof/>
        </w:rPr>
        <w:t>f</w:t>
      </w:r>
      <w:r w:rsidR="00957F47">
        <w:rPr>
          <w:rFonts w:asciiTheme="majorHAnsi" w:hAnsiTheme="majorHAnsi" w:cstheme="majorHAnsi"/>
          <w:noProof/>
        </w:rPr>
        <w:t>T&gt;MIC</w:t>
      </w:r>
      <w:r w:rsidR="009049F5">
        <w:rPr>
          <w:rFonts w:asciiTheme="majorHAnsi" w:hAnsiTheme="majorHAnsi" w:cstheme="majorHAnsi"/>
          <w:noProof/>
        </w:rPr>
        <w:t>.</w:t>
      </w:r>
      <w:r w:rsidR="002B1E62">
        <w:rPr>
          <w:rFonts w:asciiTheme="majorHAnsi" w:hAnsiTheme="majorHAnsi" w:cstheme="majorHAnsi"/>
          <w:noProof/>
        </w:rPr>
        <w:t xml:space="preserve"> </w:t>
      </w:r>
      <w:r w:rsidR="009049F5">
        <w:rPr>
          <w:rFonts w:asciiTheme="majorHAnsi" w:hAnsiTheme="majorHAnsi" w:cstheme="majorHAnsi"/>
          <w:noProof/>
        </w:rPr>
        <w:t xml:space="preserve"> B</w:t>
      </w:r>
      <w:r w:rsidR="00957F47">
        <w:rPr>
          <w:rFonts w:asciiTheme="majorHAnsi" w:hAnsiTheme="majorHAnsi" w:cstheme="majorHAnsi"/>
          <w:noProof/>
        </w:rPr>
        <w:t xml:space="preserve">oth submaximal and near maximal antibacterial activity </w:t>
      </w:r>
      <w:r w:rsidR="009049F5">
        <w:rPr>
          <w:rFonts w:asciiTheme="majorHAnsi" w:hAnsiTheme="majorHAnsi" w:cstheme="majorHAnsi"/>
          <w:noProof/>
        </w:rPr>
        <w:t>was</w:t>
      </w:r>
      <w:r w:rsidR="00957F47">
        <w:rPr>
          <w:rFonts w:asciiTheme="majorHAnsi" w:hAnsiTheme="majorHAnsi" w:cstheme="majorHAnsi"/>
          <w:noProof/>
        </w:rPr>
        <w:t xml:space="preserve"> observed </w:t>
      </w:r>
      <w:r w:rsidR="00483AF5">
        <w:rPr>
          <w:rFonts w:asciiTheme="majorHAnsi" w:hAnsiTheme="majorHAnsi" w:cstheme="majorHAnsi"/>
          <w:noProof/>
        </w:rPr>
        <w:t xml:space="preserve">at this value </w:t>
      </w:r>
      <w:r w:rsidR="00957F47">
        <w:rPr>
          <w:rFonts w:asciiTheme="majorHAnsi" w:hAnsiTheme="majorHAnsi" w:cstheme="majorHAnsi"/>
          <w:noProof/>
        </w:rPr>
        <w:t xml:space="preserve">(see Figure </w:t>
      </w:r>
      <w:r w:rsidR="00600C10">
        <w:rPr>
          <w:rFonts w:asciiTheme="majorHAnsi" w:hAnsiTheme="majorHAnsi" w:cstheme="majorHAnsi"/>
          <w:noProof/>
        </w:rPr>
        <w:t>4</w:t>
      </w:r>
      <w:r w:rsidR="00483AF5">
        <w:rPr>
          <w:rFonts w:asciiTheme="majorHAnsi" w:hAnsiTheme="majorHAnsi" w:cstheme="majorHAnsi"/>
          <w:noProof/>
        </w:rPr>
        <w:t xml:space="preserve"> Panel </w:t>
      </w:r>
      <w:r w:rsidR="00600C10">
        <w:rPr>
          <w:rFonts w:asciiTheme="majorHAnsi" w:hAnsiTheme="majorHAnsi" w:cstheme="majorHAnsi"/>
          <w:noProof/>
        </w:rPr>
        <w:t>B</w:t>
      </w:r>
      <w:r w:rsidR="00957F47">
        <w:rPr>
          <w:rFonts w:asciiTheme="majorHAnsi" w:hAnsiTheme="majorHAnsi" w:cstheme="majorHAnsi"/>
          <w:noProof/>
        </w:rPr>
        <w:t xml:space="preserve">).  This is </w:t>
      </w:r>
      <w:r w:rsidR="00F372AD">
        <w:rPr>
          <w:rFonts w:asciiTheme="majorHAnsi" w:hAnsiTheme="majorHAnsi" w:cstheme="majorHAnsi"/>
          <w:noProof/>
        </w:rPr>
        <w:t xml:space="preserve">primarily </w:t>
      </w:r>
      <w:r w:rsidR="00957F47">
        <w:rPr>
          <w:rFonts w:asciiTheme="majorHAnsi" w:hAnsiTheme="majorHAnsi" w:cstheme="majorHAnsi"/>
          <w:noProof/>
        </w:rPr>
        <w:t xml:space="preserve">a result of the inherent limitation of </w:t>
      </w:r>
      <w:r w:rsidR="00957F47" w:rsidRPr="00027CE7">
        <w:rPr>
          <w:rFonts w:asciiTheme="majorHAnsi" w:hAnsiTheme="majorHAnsi" w:cstheme="majorHAnsi"/>
          <w:i/>
          <w:noProof/>
        </w:rPr>
        <w:t>f</w:t>
      </w:r>
      <w:r w:rsidR="00957F47">
        <w:rPr>
          <w:rFonts w:asciiTheme="majorHAnsi" w:hAnsiTheme="majorHAnsi" w:cstheme="majorHAnsi"/>
          <w:noProof/>
        </w:rPr>
        <w:t xml:space="preserve">T&gt;MIC, which is bounded from below </w:t>
      </w:r>
      <w:r w:rsidR="00905D84">
        <w:rPr>
          <w:rFonts w:asciiTheme="majorHAnsi" w:hAnsiTheme="majorHAnsi" w:cstheme="majorHAnsi"/>
          <w:noProof/>
        </w:rPr>
        <w:t xml:space="preserve">and above </w:t>
      </w:r>
      <w:r w:rsidR="00957F47">
        <w:rPr>
          <w:rFonts w:asciiTheme="majorHAnsi" w:hAnsiTheme="majorHAnsi" w:cstheme="majorHAnsi"/>
          <w:noProof/>
        </w:rPr>
        <w:t xml:space="preserve">by </w:t>
      </w:r>
      <w:r w:rsidR="00905D84">
        <w:rPr>
          <w:rFonts w:asciiTheme="majorHAnsi" w:hAnsiTheme="majorHAnsi" w:cstheme="majorHAnsi"/>
          <w:noProof/>
        </w:rPr>
        <w:t>0 and 100</w:t>
      </w:r>
      <w:r w:rsidR="00957F47">
        <w:rPr>
          <w:rFonts w:asciiTheme="majorHAnsi" w:hAnsiTheme="majorHAnsi" w:cstheme="majorHAnsi"/>
          <w:noProof/>
        </w:rPr>
        <w:t xml:space="preserve">%, respectively.  </w:t>
      </w:r>
      <w:r w:rsidR="00483AF5">
        <w:rPr>
          <w:rFonts w:asciiTheme="majorHAnsi" w:hAnsiTheme="majorHAnsi" w:cstheme="majorHAnsi"/>
          <w:noProof/>
        </w:rPr>
        <w:t xml:space="preserve">We have encountered this </w:t>
      </w:r>
      <w:r w:rsidR="002B1E62">
        <w:rPr>
          <w:rFonts w:asciiTheme="majorHAnsi" w:hAnsiTheme="majorHAnsi" w:cstheme="majorHAnsi"/>
          <w:noProof/>
        </w:rPr>
        <w:t>issue</w:t>
      </w:r>
      <w:r w:rsidR="00BC4B37">
        <w:rPr>
          <w:rFonts w:asciiTheme="majorHAnsi" w:hAnsiTheme="majorHAnsi" w:cstheme="majorHAnsi"/>
          <w:noProof/>
        </w:rPr>
        <w:t xml:space="preserve"> for other drug-pathogen </w:t>
      </w:r>
      <w:r w:rsidR="00BC4B37" w:rsidRPr="00905D84">
        <w:rPr>
          <w:rFonts w:asciiTheme="majorHAnsi" w:hAnsiTheme="majorHAnsi" w:cstheme="majorHAnsi"/>
          <w:noProof/>
        </w:rPr>
        <w:t xml:space="preserve">combinations and have </w:t>
      </w:r>
      <w:r w:rsidR="00905D84" w:rsidRPr="00905D84">
        <w:rPr>
          <w:rFonts w:asciiTheme="majorHAnsi" w:hAnsiTheme="majorHAnsi" w:cstheme="majorHAnsi"/>
          <w:noProof/>
        </w:rPr>
        <w:t>previousl</w:t>
      </w:r>
      <w:r w:rsidR="00BC4B37" w:rsidRPr="00905D84">
        <w:rPr>
          <w:rFonts w:asciiTheme="majorHAnsi" w:hAnsiTheme="majorHAnsi" w:cstheme="majorHAnsi"/>
          <w:noProof/>
        </w:rPr>
        <w:t>y used the Cmin:MIC as the index to describe the time-depende</w:t>
      </w:r>
      <w:r w:rsidR="00BC4B37" w:rsidRPr="002B1E62">
        <w:rPr>
          <w:rFonts w:asciiTheme="majorHAnsi" w:hAnsiTheme="majorHAnsi" w:cstheme="majorHAnsi"/>
          <w:noProof/>
        </w:rPr>
        <w:t>nt pharmacodynamics</w:t>
      </w:r>
      <w:r w:rsidR="003307AB">
        <w:rPr>
          <w:rFonts w:asciiTheme="majorHAnsi" w:hAnsiTheme="majorHAnsi" w:cstheme="majorHAnsi"/>
          <w:noProof/>
        </w:rPr>
        <w:t xml:space="preserve"> </w:t>
      </w:r>
      <w:r w:rsidR="003307AB">
        <w:rPr>
          <w:rFonts w:asciiTheme="majorHAnsi" w:hAnsiTheme="majorHAnsi" w:cstheme="majorHAnsi"/>
          <w:noProof/>
        </w:rPr>
        <w:fldChar w:fldCharType="begin" w:fldLock="1"/>
      </w:r>
      <w:r w:rsidR="00093E93">
        <w:rPr>
          <w:rFonts w:asciiTheme="majorHAnsi" w:hAnsiTheme="majorHAnsi" w:cstheme="majorHAnsi"/>
          <w:noProof/>
        </w:rPr>
        <w:instrText>ADDIN CSL_CITATION {"citationItems":[{"id":"ITEM-1","itemData":{"author":[{"dropping-particle":"","family":"Hope","given":"William W","non-dropping-particle":"","parse-names":false,"suffix":""},{"dropping-particle":"","family":"Mcentee","given":"Laura","non-dropping-particle":"","parse-names":false,"suffix":""},{"dropping-particle":"","family":"Livermore","given":"Joanne","non-dropping-particle":"","parse-names":false,"suffix":""},{"dropping-particle":"","family":"Whalley","given":"Sarah","non-dropping-particle":"","parse-names":false,"suffix":""},{"dropping-particle":"","family":"Johnson","given":"Adam","non-dropping-particle":"","parse-names":false,"suffix":""},{"dropping-particle":"","family":"Farrington","given":"Nicola","non-dropping-particle":"","parse-names":false,"suffix":""},{"dropping-particle":"","family":"Kolamunnage-dona","given":"Ruwanthi","non-dropping-particle":"","parse-names":false,"suffix":""},{"dropping-particle":"","family":"Schwartz","given":"Julie","non-dropping-particle":"","parse-names":false,"suffix":""},{"dropping-particle":"","family":"Kennedy","given":"Anthony","non-dropping-particle":"","parse-names":false,"suffix":""},{"dropping-particle":"","family":"Law","given":"Derek","non-dropping-particle":"","parse-names":false,"suffix":""},{"dropping-particle":"","family":"Birch","given":"Michael","non-dropping-particle":"","parse-names":false,"suffix":""},{"dropping-particle":"","family":"Rex","given":"H","non-dropping-particle":"","parse-names":false,"suffix":""}],"id":"ITEM-1","issue":"4","issued":{"date-parts":[["2017"]]},"page":"1-17","title":"crossm Pharmacodynamics of the Orotomides against Aspergillus fumigatus : New Opportunities for Treatment of Multidrug-Resistant Fungal Disease","type":"article-journal","volume":"8"},"uris":["http://www.mendeley.com/documents/?uuid=f915525a-8f82-440c-9144-73b2960ca62d"]}],"mendeley":{"formattedCitation":"(24)","plainTextFormattedCitation":"(24)","previouslyFormattedCitation":"(24)"},"properties":{"noteIndex":0},"schema":"https://github.com/citation-style-language/schema/raw/master/csl-citation.json"}</w:instrText>
      </w:r>
      <w:r w:rsidR="003307AB">
        <w:rPr>
          <w:rFonts w:asciiTheme="majorHAnsi" w:hAnsiTheme="majorHAnsi" w:cstheme="majorHAnsi"/>
          <w:noProof/>
        </w:rPr>
        <w:fldChar w:fldCharType="separate"/>
      </w:r>
      <w:r w:rsidR="00F10449" w:rsidRPr="00F10449">
        <w:rPr>
          <w:rFonts w:asciiTheme="majorHAnsi" w:hAnsiTheme="majorHAnsi" w:cstheme="majorHAnsi"/>
          <w:noProof/>
        </w:rPr>
        <w:t>(24)</w:t>
      </w:r>
      <w:r w:rsidR="003307AB">
        <w:rPr>
          <w:rFonts w:asciiTheme="majorHAnsi" w:hAnsiTheme="majorHAnsi" w:cstheme="majorHAnsi"/>
          <w:noProof/>
        </w:rPr>
        <w:fldChar w:fldCharType="end"/>
      </w:r>
      <w:r w:rsidR="00BC4B37" w:rsidRPr="002B1E62">
        <w:rPr>
          <w:rFonts w:asciiTheme="majorHAnsi" w:hAnsiTheme="majorHAnsi" w:cstheme="majorHAnsi"/>
          <w:noProof/>
        </w:rPr>
        <w:t xml:space="preserve">. </w:t>
      </w:r>
      <w:r w:rsidR="00957F47" w:rsidRPr="002B1E62">
        <w:rPr>
          <w:rFonts w:asciiTheme="majorHAnsi" w:hAnsiTheme="majorHAnsi" w:cstheme="majorHAnsi"/>
          <w:noProof/>
        </w:rPr>
        <w:t xml:space="preserve"> </w:t>
      </w:r>
      <w:r w:rsidR="00BC4B37" w:rsidRPr="002B1E62">
        <w:rPr>
          <w:rFonts w:asciiTheme="majorHAnsi" w:hAnsiTheme="majorHAnsi" w:cstheme="majorHAnsi"/>
          <w:noProof/>
        </w:rPr>
        <w:t xml:space="preserve">In this study we used </w:t>
      </w:r>
      <w:r w:rsidR="00905D84" w:rsidRPr="002B1E62">
        <w:rPr>
          <w:rFonts w:asciiTheme="majorHAnsi" w:hAnsiTheme="majorHAnsi" w:cstheme="majorHAnsi"/>
          <w:i/>
          <w:noProof/>
        </w:rPr>
        <w:t>f</w:t>
      </w:r>
      <w:r w:rsidR="00905D84" w:rsidRPr="002B1E62">
        <w:rPr>
          <w:rFonts w:asciiTheme="majorHAnsi" w:hAnsiTheme="majorHAnsi" w:cstheme="majorHAnsi"/>
          <w:noProof/>
        </w:rPr>
        <w:t>AUC:MIC*1/tau, which is a</w:t>
      </w:r>
      <w:r w:rsidR="00BC4B37" w:rsidRPr="002B1E62">
        <w:rPr>
          <w:rFonts w:asciiTheme="majorHAnsi" w:hAnsiTheme="majorHAnsi" w:cstheme="majorHAnsi"/>
          <w:noProof/>
        </w:rPr>
        <w:t xml:space="preserve"> recently desc</w:t>
      </w:r>
      <w:r w:rsidR="00D22482">
        <w:rPr>
          <w:rFonts w:asciiTheme="majorHAnsi" w:hAnsiTheme="majorHAnsi" w:cstheme="majorHAnsi"/>
          <w:noProof/>
        </w:rPr>
        <w:t>r</w:t>
      </w:r>
      <w:r w:rsidR="00BC4B37" w:rsidRPr="002B1E62">
        <w:rPr>
          <w:rFonts w:asciiTheme="majorHAnsi" w:hAnsiTheme="majorHAnsi" w:cstheme="majorHAnsi"/>
          <w:noProof/>
        </w:rPr>
        <w:t xml:space="preserve">ibed </w:t>
      </w:r>
      <w:r w:rsidR="00905D84" w:rsidRPr="002B1E62">
        <w:rPr>
          <w:rFonts w:asciiTheme="majorHAnsi" w:hAnsiTheme="majorHAnsi" w:cstheme="majorHAnsi"/>
          <w:noProof/>
        </w:rPr>
        <w:t>PD index that enables time</w:t>
      </w:r>
      <w:r w:rsidR="00127FDF">
        <w:rPr>
          <w:rFonts w:asciiTheme="majorHAnsi" w:hAnsiTheme="majorHAnsi" w:cstheme="majorHAnsi"/>
          <w:noProof/>
        </w:rPr>
        <w:t>-</w:t>
      </w:r>
      <w:r w:rsidR="00905D84" w:rsidRPr="002B1E62">
        <w:rPr>
          <w:rFonts w:asciiTheme="majorHAnsi" w:hAnsiTheme="majorHAnsi" w:cstheme="majorHAnsi"/>
          <w:noProof/>
        </w:rPr>
        <w:t>dependent PD to be described</w:t>
      </w:r>
      <w:r w:rsidR="0028343D">
        <w:rPr>
          <w:rFonts w:asciiTheme="majorHAnsi" w:hAnsiTheme="majorHAnsi" w:cstheme="majorHAnsi"/>
          <w:noProof/>
        </w:rPr>
        <w:t xml:space="preserve"> </w:t>
      </w:r>
      <w:r w:rsidR="0028343D">
        <w:rPr>
          <w:rFonts w:asciiTheme="majorHAnsi" w:hAnsiTheme="majorHAnsi" w:cstheme="majorHAnsi"/>
          <w:noProof/>
        </w:rPr>
        <w:fldChar w:fldCharType="begin" w:fldLock="1"/>
      </w:r>
      <w:r w:rsidR="00093E93">
        <w:rPr>
          <w:rFonts w:asciiTheme="majorHAnsi" w:hAnsiTheme="majorHAnsi" w:cstheme="majorHAnsi"/>
          <w:noProof/>
        </w:rPr>
        <w:instrText>ADDIN CSL_CITATION {"citationItems":[{"id":"ITEM-1","itemData":{"author":[{"dropping-particle":"","family":"Lakota","given":"Elizabeth A","non-dropping-particle":"","parse-names":false,"suffix":""},{"dropping-particle":"","family":"Pharm","given":"D","non-dropping-particle":"","parse-names":false,"suffix":""},{"dropping-particle":"","family":"Bader","given":"Justin C","non-dropping-particle":"","parse-names":false,"suffix":""},{"dropping-particle":"","family":"Pharm","given":"D","non-dropping-particle":"","parse-names":false,"suffix":""},{"dropping-particle":"","family":"Bhavnani","given":"M","non-dropping-particle":"","parse-names":false,"suffix":""},{"dropping-particle":"","family":"Pharm","given":"D","non-dropping-particle":"","parse-names":false,"suffix":""},{"dropping-particle":"","family":"Andes","given":"David R","non-dropping-particle":"","parse-names":false,"suffix":""},{"dropping-particle":"","family":"Ambrose","given":"Paul G","non-dropping-particle":"","parse-names":false,"suffix":""}],"id":"ITEM-1","issue":"October","issued":{"date-parts":[["2017"]]},"page":"4294210","title":"Thursday, October 5, 2017: 12:30 PM Background.","type":"paper-conference","volume":"4"},"uris":["http://www.mendeley.com/documents/?uuid=b90afe0e-20b6-429b-a57f-9e13e28c7647"]}],"mendeley":{"formattedCitation":"(25)","plainTextFormattedCitation":"(25)","previouslyFormattedCitation":"(25)"},"properties":{"noteIndex":0},"schema":"https://github.com/citation-style-language/schema/raw/master/csl-citation.json"}</w:instrText>
      </w:r>
      <w:r w:rsidR="0028343D">
        <w:rPr>
          <w:rFonts w:asciiTheme="majorHAnsi" w:hAnsiTheme="majorHAnsi" w:cstheme="majorHAnsi"/>
          <w:noProof/>
        </w:rPr>
        <w:fldChar w:fldCharType="separate"/>
      </w:r>
      <w:r w:rsidR="00F10449" w:rsidRPr="00F10449">
        <w:rPr>
          <w:rFonts w:asciiTheme="majorHAnsi" w:hAnsiTheme="majorHAnsi" w:cstheme="majorHAnsi"/>
          <w:noProof/>
        </w:rPr>
        <w:t>(25)</w:t>
      </w:r>
      <w:r w:rsidR="0028343D">
        <w:rPr>
          <w:rFonts w:asciiTheme="majorHAnsi" w:hAnsiTheme="majorHAnsi" w:cstheme="majorHAnsi"/>
          <w:noProof/>
        </w:rPr>
        <w:fldChar w:fldCharType="end"/>
      </w:r>
      <w:r w:rsidR="0028343D">
        <w:rPr>
          <w:rFonts w:asciiTheme="majorHAnsi" w:hAnsiTheme="majorHAnsi" w:cstheme="majorHAnsi"/>
          <w:noProof/>
        </w:rPr>
        <w:t>.</w:t>
      </w:r>
      <w:r w:rsidR="00393485">
        <w:rPr>
          <w:rFonts w:asciiTheme="majorHAnsi" w:hAnsiTheme="majorHAnsi" w:cstheme="majorHAnsi"/>
          <w:noProof/>
        </w:rPr>
        <w:t xml:space="preserve">  This index has the advantage of being unbounded </w:t>
      </w:r>
      <w:r w:rsidR="000A3B15">
        <w:rPr>
          <w:rFonts w:asciiTheme="majorHAnsi" w:hAnsiTheme="majorHAnsi" w:cstheme="majorHAnsi"/>
          <w:noProof/>
        </w:rPr>
        <w:t xml:space="preserve">from </w:t>
      </w:r>
      <w:r w:rsidR="000A3B15">
        <w:rPr>
          <w:rFonts w:asciiTheme="majorHAnsi" w:hAnsiTheme="majorHAnsi" w:cstheme="majorHAnsi"/>
          <w:noProof/>
        </w:rPr>
        <w:lastRenderedPageBreak/>
        <w:t xml:space="preserve">above </w:t>
      </w:r>
      <w:r w:rsidR="00393485">
        <w:rPr>
          <w:rFonts w:asciiTheme="majorHAnsi" w:hAnsiTheme="majorHAnsi" w:cstheme="majorHAnsi"/>
          <w:noProof/>
        </w:rPr>
        <w:t xml:space="preserve">and therefore able to adequately describe pharmacodynamic data at the extremes of dosing. </w:t>
      </w:r>
      <w:r w:rsidR="00AB1BF0">
        <w:rPr>
          <w:rFonts w:asciiTheme="majorHAnsi" w:hAnsiTheme="majorHAnsi" w:cstheme="majorHAnsi"/>
          <w:noProof/>
        </w:rPr>
        <w:t xml:space="preserve"> </w:t>
      </w:r>
    </w:p>
    <w:p w14:paraId="5AB61B54" w14:textId="1312C5BC" w:rsidR="00BC4B37" w:rsidRPr="00905D84" w:rsidRDefault="00905D84" w:rsidP="00393485">
      <w:pPr>
        <w:ind w:firstLine="720"/>
        <w:rPr>
          <w:rFonts w:asciiTheme="majorHAnsi" w:hAnsiTheme="majorHAnsi" w:cstheme="majorHAnsi"/>
          <w:noProof/>
        </w:rPr>
      </w:pPr>
      <w:r w:rsidRPr="002B1E62">
        <w:rPr>
          <w:rFonts w:asciiTheme="majorHAnsi" w:hAnsiTheme="majorHAnsi" w:cstheme="majorHAnsi"/>
          <w:color w:val="000000"/>
        </w:rPr>
        <w:t>The d</w:t>
      </w:r>
      <w:r w:rsidRPr="00027CE7">
        <w:rPr>
          <w:rFonts w:asciiTheme="majorHAnsi" w:hAnsiTheme="majorHAnsi" w:cstheme="majorHAnsi"/>
          <w:color w:val="000000"/>
        </w:rPr>
        <w:t>ose fractionation stud</w:t>
      </w:r>
      <w:r w:rsidRPr="00905D84">
        <w:rPr>
          <w:rFonts w:asciiTheme="majorHAnsi" w:hAnsiTheme="majorHAnsi" w:cstheme="majorHAnsi"/>
          <w:color w:val="000000"/>
        </w:rPr>
        <w:t>y</w:t>
      </w:r>
      <w:r w:rsidRPr="00027CE7">
        <w:rPr>
          <w:rFonts w:asciiTheme="majorHAnsi" w:hAnsiTheme="majorHAnsi" w:cstheme="majorHAnsi"/>
          <w:color w:val="000000"/>
        </w:rPr>
        <w:t xml:space="preserve"> show</w:t>
      </w:r>
      <w:r w:rsidRPr="00905D84">
        <w:rPr>
          <w:rFonts w:asciiTheme="majorHAnsi" w:hAnsiTheme="majorHAnsi" w:cstheme="majorHAnsi"/>
          <w:color w:val="000000"/>
        </w:rPr>
        <w:t>ed</w:t>
      </w:r>
      <w:r w:rsidRPr="00027CE7">
        <w:rPr>
          <w:rFonts w:asciiTheme="majorHAnsi" w:hAnsiTheme="majorHAnsi" w:cstheme="majorHAnsi"/>
          <w:color w:val="000000"/>
        </w:rPr>
        <w:t xml:space="preserve"> layering of data with each schedule</w:t>
      </w:r>
      <w:r w:rsidRPr="00905D84">
        <w:rPr>
          <w:rFonts w:asciiTheme="majorHAnsi" w:hAnsiTheme="majorHAnsi" w:cstheme="majorHAnsi"/>
          <w:color w:val="000000"/>
        </w:rPr>
        <w:t xml:space="preserve"> (see Figure </w:t>
      </w:r>
      <w:r w:rsidR="00600C10">
        <w:rPr>
          <w:rFonts w:asciiTheme="majorHAnsi" w:hAnsiTheme="majorHAnsi" w:cstheme="majorHAnsi"/>
          <w:color w:val="000000"/>
        </w:rPr>
        <w:t>4</w:t>
      </w:r>
      <w:r w:rsidRPr="00905D84">
        <w:rPr>
          <w:rFonts w:asciiTheme="majorHAnsi" w:hAnsiTheme="majorHAnsi" w:cstheme="majorHAnsi"/>
          <w:color w:val="000000"/>
        </w:rPr>
        <w:t>)</w:t>
      </w:r>
      <w:r w:rsidRPr="006128BC">
        <w:rPr>
          <w:rFonts w:asciiTheme="majorHAnsi" w:hAnsiTheme="majorHAnsi" w:cstheme="majorHAnsi"/>
          <w:color w:val="000000"/>
        </w:rPr>
        <w:t>.</w:t>
      </w:r>
      <w:r w:rsidRPr="00027CE7">
        <w:rPr>
          <w:rFonts w:asciiTheme="majorHAnsi" w:hAnsiTheme="majorHAnsi" w:cstheme="majorHAnsi"/>
          <w:color w:val="000000"/>
        </w:rPr>
        <w:t xml:space="preserve">  </w:t>
      </w:r>
      <w:r w:rsidRPr="00905D84">
        <w:rPr>
          <w:rFonts w:asciiTheme="majorHAnsi" w:hAnsiTheme="majorHAnsi" w:cstheme="majorHAnsi"/>
          <w:color w:val="000000"/>
        </w:rPr>
        <w:t xml:space="preserve">Each schedule </w:t>
      </w:r>
      <w:r w:rsidR="002B1E62">
        <w:rPr>
          <w:rFonts w:asciiTheme="majorHAnsi" w:hAnsiTheme="majorHAnsi" w:cstheme="majorHAnsi"/>
          <w:color w:val="000000"/>
        </w:rPr>
        <w:t xml:space="preserve">of drug administration </w:t>
      </w:r>
      <w:r w:rsidR="00F372AD">
        <w:rPr>
          <w:rFonts w:asciiTheme="majorHAnsi" w:hAnsiTheme="majorHAnsi" w:cstheme="majorHAnsi"/>
          <w:color w:val="000000"/>
        </w:rPr>
        <w:t>i</w:t>
      </w:r>
      <w:r w:rsidRPr="00905D84">
        <w:rPr>
          <w:rFonts w:asciiTheme="majorHAnsi" w:hAnsiTheme="majorHAnsi" w:cstheme="majorHAnsi"/>
          <w:color w:val="000000"/>
        </w:rPr>
        <w:t xml:space="preserve">s </w:t>
      </w:r>
      <w:r w:rsidRPr="00027CE7">
        <w:rPr>
          <w:rFonts w:asciiTheme="majorHAnsi" w:hAnsiTheme="majorHAnsi" w:cstheme="majorHAnsi"/>
          <w:color w:val="000000"/>
        </w:rPr>
        <w:t xml:space="preserve">associated with its own unique exposure response relationship </w:t>
      </w:r>
      <w:r w:rsidRPr="00905D84">
        <w:rPr>
          <w:rFonts w:asciiTheme="majorHAnsi" w:hAnsiTheme="majorHAnsi" w:cstheme="majorHAnsi"/>
          <w:color w:val="000000"/>
        </w:rPr>
        <w:t>that c</w:t>
      </w:r>
      <w:r w:rsidR="00F372AD">
        <w:rPr>
          <w:rFonts w:asciiTheme="majorHAnsi" w:hAnsiTheme="majorHAnsi" w:cstheme="majorHAnsi"/>
          <w:color w:val="000000"/>
        </w:rPr>
        <w:t>an</w:t>
      </w:r>
      <w:r w:rsidRPr="00905D84">
        <w:rPr>
          <w:rFonts w:asciiTheme="majorHAnsi" w:hAnsiTheme="majorHAnsi" w:cstheme="majorHAnsi"/>
          <w:color w:val="000000"/>
        </w:rPr>
        <w:t xml:space="preserve"> be </w:t>
      </w:r>
      <w:r w:rsidR="000855D7">
        <w:rPr>
          <w:rFonts w:asciiTheme="majorHAnsi" w:hAnsiTheme="majorHAnsi" w:cstheme="majorHAnsi"/>
          <w:color w:val="000000"/>
        </w:rPr>
        <w:t xml:space="preserve">each be </w:t>
      </w:r>
      <w:r w:rsidRPr="00027CE7">
        <w:rPr>
          <w:rFonts w:asciiTheme="majorHAnsi" w:hAnsiTheme="majorHAnsi" w:cstheme="majorHAnsi"/>
          <w:color w:val="000000"/>
        </w:rPr>
        <w:t xml:space="preserve">quantified in terms of </w:t>
      </w:r>
      <w:proofErr w:type="gramStart"/>
      <w:r w:rsidRPr="00027CE7">
        <w:rPr>
          <w:rFonts w:asciiTheme="majorHAnsi" w:hAnsiTheme="majorHAnsi" w:cstheme="majorHAnsi"/>
          <w:color w:val="000000"/>
        </w:rPr>
        <w:t>AUC:MIC.</w:t>
      </w:r>
      <w:proofErr w:type="gramEnd"/>
      <w:r w:rsidRPr="00905D84">
        <w:rPr>
          <w:rFonts w:asciiTheme="majorHAnsi" w:hAnsiTheme="majorHAnsi" w:cstheme="majorHAnsi"/>
          <w:color w:val="000000"/>
        </w:rPr>
        <w:t xml:space="preserve">  </w:t>
      </w:r>
      <w:r w:rsidRPr="00027CE7">
        <w:rPr>
          <w:rFonts w:asciiTheme="majorHAnsi" w:hAnsiTheme="majorHAnsi" w:cstheme="majorHAnsi"/>
          <w:color w:val="000000"/>
        </w:rPr>
        <w:t xml:space="preserve">Dividing by the </w:t>
      </w:r>
      <w:r w:rsidR="007A7C57">
        <w:rPr>
          <w:rFonts w:asciiTheme="majorHAnsi" w:hAnsiTheme="majorHAnsi" w:cstheme="majorHAnsi"/>
          <w:color w:val="000000"/>
        </w:rPr>
        <w:t xml:space="preserve">length of the </w:t>
      </w:r>
      <w:r w:rsidRPr="00027CE7">
        <w:rPr>
          <w:rFonts w:asciiTheme="majorHAnsi" w:hAnsiTheme="majorHAnsi" w:cstheme="majorHAnsi"/>
          <w:color w:val="000000"/>
        </w:rPr>
        <w:t xml:space="preserve">dosing interval (tau) collapses these relationships so that they can be described using a single metric, which is </w:t>
      </w:r>
      <w:r w:rsidRPr="00027CE7">
        <w:rPr>
          <w:rFonts w:asciiTheme="majorHAnsi" w:hAnsiTheme="majorHAnsi" w:cstheme="majorHAnsi"/>
          <w:i/>
          <w:color w:val="000000"/>
        </w:rPr>
        <w:t>f</w:t>
      </w:r>
      <w:r w:rsidRPr="00027CE7">
        <w:rPr>
          <w:rFonts w:asciiTheme="majorHAnsi" w:hAnsiTheme="majorHAnsi" w:cstheme="majorHAnsi"/>
          <w:color w:val="000000"/>
        </w:rPr>
        <w:t>AUC</w:t>
      </w:r>
      <w:r w:rsidR="00F372AD" w:rsidRPr="00054CC9">
        <w:rPr>
          <w:rFonts w:asciiTheme="majorHAnsi" w:hAnsiTheme="majorHAnsi" w:cstheme="majorHAnsi"/>
          <w:color w:val="000000"/>
          <w:vertAlign w:val="subscript"/>
        </w:rPr>
        <w:t>0-</w:t>
      </w:r>
      <w:proofErr w:type="gramStart"/>
      <w:r w:rsidR="00F372AD" w:rsidRPr="00054CC9">
        <w:rPr>
          <w:rFonts w:asciiTheme="majorHAnsi" w:hAnsiTheme="majorHAnsi" w:cstheme="majorHAnsi"/>
          <w:color w:val="000000"/>
          <w:vertAlign w:val="subscript"/>
        </w:rPr>
        <w:t>24</w:t>
      </w:r>
      <w:r w:rsidRPr="00027CE7">
        <w:rPr>
          <w:rFonts w:asciiTheme="majorHAnsi" w:hAnsiTheme="majorHAnsi" w:cstheme="majorHAnsi"/>
          <w:color w:val="000000"/>
        </w:rPr>
        <w:t>:MIC</w:t>
      </w:r>
      <w:proofErr w:type="gramEnd"/>
      <w:r w:rsidRPr="00027CE7">
        <w:rPr>
          <w:rFonts w:asciiTheme="majorHAnsi" w:hAnsiTheme="majorHAnsi" w:cstheme="majorHAnsi"/>
          <w:color w:val="000000"/>
        </w:rPr>
        <w:t xml:space="preserve">/tau.  </w:t>
      </w:r>
      <w:r w:rsidR="00AB1BF0">
        <w:rPr>
          <w:rFonts w:asciiTheme="majorHAnsi" w:hAnsiTheme="majorHAnsi" w:cstheme="majorHAnsi"/>
          <w:noProof/>
        </w:rPr>
        <w:t xml:space="preserve">This index can be used to describe the behaviour of other drugs that display time-dependent pharmacodyanmics and yields similar (but not identical) results for dose prediction as other indices such as fT&gt;MIC and fCmin:MIC.  Hence, the pharmacodynamics of other carbapenems can be described using </w:t>
      </w:r>
      <w:r w:rsidR="00AB1BF0" w:rsidRPr="00027CE7">
        <w:rPr>
          <w:rFonts w:asciiTheme="majorHAnsi" w:hAnsiTheme="majorHAnsi" w:cstheme="majorHAnsi"/>
          <w:i/>
          <w:color w:val="000000"/>
        </w:rPr>
        <w:t>f</w:t>
      </w:r>
      <w:r w:rsidR="00AB1BF0" w:rsidRPr="00027CE7">
        <w:rPr>
          <w:rFonts w:asciiTheme="majorHAnsi" w:hAnsiTheme="majorHAnsi" w:cstheme="majorHAnsi"/>
          <w:color w:val="000000"/>
        </w:rPr>
        <w:t>AUC</w:t>
      </w:r>
      <w:r w:rsidR="00AB1BF0" w:rsidRPr="00054CC9">
        <w:rPr>
          <w:rFonts w:asciiTheme="majorHAnsi" w:hAnsiTheme="majorHAnsi" w:cstheme="majorHAnsi"/>
          <w:color w:val="000000"/>
          <w:vertAlign w:val="subscript"/>
        </w:rPr>
        <w:t>0-</w:t>
      </w:r>
      <w:proofErr w:type="gramStart"/>
      <w:r w:rsidR="00AB1BF0" w:rsidRPr="00054CC9">
        <w:rPr>
          <w:rFonts w:asciiTheme="majorHAnsi" w:hAnsiTheme="majorHAnsi" w:cstheme="majorHAnsi"/>
          <w:color w:val="000000"/>
          <w:vertAlign w:val="subscript"/>
        </w:rPr>
        <w:t>24</w:t>
      </w:r>
      <w:r w:rsidR="00AB1BF0" w:rsidRPr="00027CE7">
        <w:rPr>
          <w:rFonts w:asciiTheme="majorHAnsi" w:hAnsiTheme="majorHAnsi" w:cstheme="majorHAnsi"/>
          <w:color w:val="000000"/>
        </w:rPr>
        <w:t>:MIC</w:t>
      </w:r>
      <w:proofErr w:type="gramEnd"/>
      <w:r w:rsidR="00AB1BF0" w:rsidRPr="00027CE7">
        <w:rPr>
          <w:rFonts w:asciiTheme="majorHAnsi" w:hAnsiTheme="majorHAnsi" w:cstheme="majorHAnsi"/>
          <w:color w:val="000000"/>
        </w:rPr>
        <w:t xml:space="preserve">/tau </w:t>
      </w:r>
      <w:r w:rsidR="00AB1BF0">
        <w:rPr>
          <w:rFonts w:asciiTheme="majorHAnsi" w:hAnsiTheme="majorHAnsi" w:cstheme="majorHAnsi"/>
          <w:color w:val="000000"/>
        </w:rPr>
        <w:t xml:space="preserve">as demonstrated in Figure </w:t>
      </w:r>
      <w:r w:rsidR="000855D7">
        <w:rPr>
          <w:rFonts w:asciiTheme="majorHAnsi" w:hAnsiTheme="majorHAnsi" w:cstheme="majorHAnsi"/>
          <w:color w:val="000000"/>
        </w:rPr>
        <w:t>7</w:t>
      </w:r>
      <w:r w:rsidR="00AB1BF0">
        <w:rPr>
          <w:rFonts w:asciiTheme="majorHAnsi" w:hAnsiTheme="majorHAnsi" w:cstheme="majorHAnsi"/>
          <w:color w:val="000000"/>
        </w:rPr>
        <w:t xml:space="preserve">.  </w:t>
      </w:r>
      <w:r w:rsidRPr="00027CE7">
        <w:rPr>
          <w:rFonts w:asciiTheme="majorHAnsi" w:hAnsiTheme="majorHAnsi" w:cstheme="majorHAnsi"/>
          <w:color w:val="000000"/>
        </w:rPr>
        <w:t xml:space="preserve">A logical conclusion of being able to describe the pharmacodynamic data </w:t>
      </w:r>
      <w:r w:rsidR="008D6530">
        <w:rPr>
          <w:rFonts w:asciiTheme="majorHAnsi" w:hAnsiTheme="majorHAnsi" w:cstheme="majorHAnsi"/>
          <w:color w:val="000000"/>
        </w:rPr>
        <w:t xml:space="preserve">using </w:t>
      </w:r>
      <w:r w:rsidR="00AB1BF0">
        <w:rPr>
          <w:rFonts w:asciiTheme="majorHAnsi" w:hAnsiTheme="majorHAnsi" w:cstheme="majorHAnsi"/>
          <w:color w:val="000000"/>
        </w:rPr>
        <w:t xml:space="preserve">the </w:t>
      </w:r>
      <w:r w:rsidR="00AB1BF0" w:rsidRPr="00027CE7">
        <w:rPr>
          <w:rFonts w:asciiTheme="majorHAnsi" w:hAnsiTheme="majorHAnsi" w:cstheme="majorHAnsi"/>
          <w:i/>
          <w:color w:val="000000"/>
        </w:rPr>
        <w:t>f</w:t>
      </w:r>
      <w:r w:rsidR="00AB1BF0" w:rsidRPr="00027CE7">
        <w:rPr>
          <w:rFonts w:asciiTheme="majorHAnsi" w:hAnsiTheme="majorHAnsi" w:cstheme="majorHAnsi"/>
          <w:color w:val="000000"/>
        </w:rPr>
        <w:t>AUC</w:t>
      </w:r>
      <w:r w:rsidR="00AB1BF0" w:rsidRPr="00054CC9">
        <w:rPr>
          <w:rFonts w:asciiTheme="majorHAnsi" w:hAnsiTheme="majorHAnsi" w:cstheme="majorHAnsi"/>
          <w:color w:val="000000"/>
          <w:vertAlign w:val="subscript"/>
        </w:rPr>
        <w:t>0-</w:t>
      </w:r>
      <w:proofErr w:type="gramStart"/>
      <w:r w:rsidR="00AB1BF0" w:rsidRPr="00054CC9">
        <w:rPr>
          <w:rFonts w:asciiTheme="majorHAnsi" w:hAnsiTheme="majorHAnsi" w:cstheme="majorHAnsi"/>
          <w:color w:val="000000"/>
          <w:vertAlign w:val="subscript"/>
        </w:rPr>
        <w:t>24</w:t>
      </w:r>
      <w:r w:rsidR="00AB1BF0" w:rsidRPr="00027CE7">
        <w:rPr>
          <w:rFonts w:asciiTheme="majorHAnsi" w:hAnsiTheme="majorHAnsi" w:cstheme="majorHAnsi"/>
          <w:color w:val="000000"/>
        </w:rPr>
        <w:t>:MIC</w:t>
      </w:r>
      <w:proofErr w:type="gramEnd"/>
      <w:r w:rsidR="00AB1BF0" w:rsidRPr="00027CE7">
        <w:rPr>
          <w:rFonts w:asciiTheme="majorHAnsi" w:hAnsiTheme="majorHAnsi" w:cstheme="majorHAnsi"/>
          <w:color w:val="000000"/>
        </w:rPr>
        <w:t>/tau</w:t>
      </w:r>
      <w:r w:rsidR="008D6530">
        <w:rPr>
          <w:rFonts w:asciiTheme="majorHAnsi" w:hAnsiTheme="majorHAnsi" w:cstheme="majorHAnsi"/>
          <w:color w:val="000000"/>
        </w:rPr>
        <w:t xml:space="preserve"> is that the magnitude of the target is proportional</w:t>
      </w:r>
      <w:r w:rsidRPr="00027CE7">
        <w:rPr>
          <w:rFonts w:asciiTheme="majorHAnsi" w:hAnsiTheme="majorHAnsi" w:cstheme="majorHAnsi"/>
          <w:color w:val="000000"/>
        </w:rPr>
        <w:t xml:space="preserve"> to the length of the dosing interval.  If the length of the interval triples (e.g. q8h is increased to q24h)</w:t>
      </w:r>
      <w:r w:rsidR="001A4116">
        <w:rPr>
          <w:rFonts w:asciiTheme="majorHAnsi" w:hAnsiTheme="majorHAnsi" w:cstheme="majorHAnsi"/>
          <w:color w:val="000000"/>
        </w:rPr>
        <w:t>,</w:t>
      </w:r>
      <w:r w:rsidRPr="00027CE7">
        <w:rPr>
          <w:rFonts w:asciiTheme="majorHAnsi" w:hAnsiTheme="majorHAnsi" w:cstheme="majorHAnsi"/>
          <w:color w:val="000000"/>
        </w:rPr>
        <w:t xml:space="preserve"> the </w:t>
      </w:r>
      <w:r w:rsidRPr="00027CE7">
        <w:rPr>
          <w:rFonts w:asciiTheme="majorHAnsi" w:hAnsiTheme="majorHAnsi" w:cstheme="majorHAnsi"/>
          <w:i/>
          <w:color w:val="000000"/>
        </w:rPr>
        <w:t>f</w:t>
      </w:r>
      <w:r w:rsidRPr="00027CE7">
        <w:rPr>
          <w:rFonts w:asciiTheme="majorHAnsi" w:hAnsiTheme="majorHAnsi" w:cstheme="majorHAnsi"/>
          <w:color w:val="000000"/>
        </w:rPr>
        <w:t>AUC</w:t>
      </w:r>
      <w:r w:rsidR="002B1E62" w:rsidRPr="00054CC9">
        <w:rPr>
          <w:rFonts w:asciiTheme="majorHAnsi" w:hAnsiTheme="majorHAnsi" w:cstheme="majorHAnsi"/>
          <w:color w:val="000000"/>
          <w:vertAlign w:val="subscript"/>
        </w:rPr>
        <w:t>0-</w:t>
      </w:r>
      <w:proofErr w:type="gramStart"/>
      <w:r w:rsidR="002B1E62" w:rsidRPr="00054CC9">
        <w:rPr>
          <w:rFonts w:asciiTheme="majorHAnsi" w:hAnsiTheme="majorHAnsi" w:cstheme="majorHAnsi"/>
          <w:color w:val="000000"/>
          <w:vertAlign w:val="subscript"/>
        </w:rPr>
        <w:t>24</w:t>
      </w:r>
      <w:r w:rsidRPr="00027CE7">
        <w:rPr>
          <w:rFonts w:asciiTheme="majorHAnsi" w:hAnsiTheme="majorHAnsi" w:cstheme="majorHAnsi"/>
          <w:color w:val="000000"/>
        </w:rPr>
        <w:t>:MIC</w:t>
      </w:r>
      <w:proofErr w:type="gramEnd"/>
      <w:r w:rsidRPr="00027CE7">
        <w:rPr>
          <w:rFonts w:asciiTheme="majorHAnsi" w:hAnsiTheme="majorHAnsi" w:cstheme="majorHAnsi"/>
          <w:color w:val="000000"/>
        </w:rPr>
        <w:t xml:space="preserve"> target </w:t>
      </w:r>
      <w:r w:rsidR="00906C1A">
        <w:rPr>
          <w:rFonts w:asciiTheme="majorHAnsi" w:hAnsiTheme="majorHAnsi" w:cstheme="majorHAnsi"/>
          <w:color w:val="000000"/>
        </w:rPr>
        <w:t xml:space="preserve">value </w:t>
      </w:r>
      <w:r w:rsidRPr="00027CE7">
        <w:rPr>
          <w:rFonts w:asciiTheme="majorHAnsi" w:hAnsiTheme="majorHAnsi" w:cstheme="majorHAnsi"/>
          <w:color w:val="000000"/>
        </w:rPr>
        <w:t>must also triple.</w:t>
      </w:r>
      <w:r w:rsidR="006128BC">
        <w:rPr>
          <w:rFonts w:asciiTheme="majorHAnsi" w:hAnsiTheme="majorHAnsi" w:cstheme="majorHAnsi"/>
          <w:color w:val="000000"/>
        </w:rPr>
        <w:t xml:space="preserve">  Hence the </w:t>
      </w:r>
      <w:r w:rsidR="006128BC" w:rsidRPr="00054CC9">
        <w:rPr>
          <w:rFonts w:asciiTheme="majorHAnsi" w:hAnsiTheme="majorHAnsi" w:cstheme="majorHAnsi"/>
          <w:i/>
          <w:color w:val="000000"/>
        </w:rPr>
        <w:t>f</w:t>
      </w:r>
      <w:r w:rsidR="006128BC" w:rsidRPr="00054CC9">
        <w:rPr>
          <w:rFonts w:asciiTheme="majorHAnsi" w:hAnsiTheme="majorHAnsi" w:cstheme="majorHAnsi"/>
          <w:color w:val="000000"/>
        </w:rPr>
        <w:t>AUC</w:t>
      </w:r>
      <w:r w:rsidR="0000133A" w:rsidRPr="00027CE7">
        <w:rPr>
          <w:rFonts w:asciiTheme="majorHAnsi" w:hAnsiTheme="majorHAnsi" w:cstheme="majorHAnsi"/>
          <w:color w:val="000000"/>
          <w:vertAlign w:val="subscript"/>
        </w:rPr>
        <w:t>0-</w:t>
      </w:r>
      <w:proofErr w:type="gramStart"/>
      <w:r w:rsidR="0000133A" w:rsidRPr="00027CE7">
        <w:rPr>
          <w:rFonts w:asciiTheme="majorHAnsi" w:hAnsiTheme="majorHAnsi" w:cstheme="majorHAnsi"/>
          <w:color w:val="000000"/>
          <w:vertAlign w:val="subscript"/>
        </w:rPr>
        <w:t>24</w:t>
      </w:r>
      <w:r w:rsidR="006128BC" w:rsidRPr="00054CC9">
        <w:rPr>
          <w:rFonts w:asciiTheme="majorHAnsi" w:hAnsiTheme="majorHAnsi" w:cstheme="majorHAnsi"/>
          <w:color w:val="000000"/>
        </w:rPr>
        <w:t>:MIC</w:t>
      </w:r>
      <w:proofErr w:type="gramEnd"/>
      <w:r w:rsidR="006128BC" w:rsidRPr="00054CC9">
        <w:rPr>
          <w:rFonts w:asciiTheme="majorHAnsi" w:hAnsiTheme="majorHAnsi" w:cstheme="majorHAnsi"/>
          <w:color w:val="000000"/>
        </w:rPr>
        <w:t>*1/tau</w:t>
      </w:r>
      <w:r w:rsidR="006128BC">
        <w:rPr>
          <w:rFonts w:asciiTheme="majorHAnsi" w:hAnsiTheme="majorHAnsi" w:cstheme="majorHAnsi"/>
          <w:color w:val="000000"/>
        </w:rPr>
        <w:t xml:space="preserve"> target of 23 in this study is contingent on </w:t>
      </w:r>
      <w:r w:rsidR="002B1E62">
        <w:rPr>
          <w:rFonts w:asciiTheme="majorHAnsi" w:hAnsiTheme="majorHAnsi" w:cstheme="majorHAnsi"/>
          <w:color w:val="000000"/>
        </w:rPr>
        <w:t xml:space="preserve">the use of </w:t>
      </w:r>
      <w:r w:rsidR="006128BC">
        <w:rPr>
          <w:rFonts w:asciiTheme="majorHAnsi" w:hAnsiTheme="majorHAnsi" w:cstheme="majorHAnsi"/>
          <w:color w:val="000000"/>
        </w:rPr>
        <w:t xml:space="preserve">q8h </w:t>
      </w:r>
      <w:r w:rsidR="002B1E62">
        <w:rPr>
          <w:rFonts w:asciiTheme="majorHAnsi" w:hAnsiTheme="majorHAnsi" w:cstheme="majorHAnsi"/>
          <w:color w:val="000000"/>
        </w:rPr>
        <w:t>schedule</w:t>
      </w:r>
      <w:r w:rsidR="006128BC">
        <w:rPr>
          <w:rFonts w:asciiTheme="majorHAnsi" w:hAnsiTheme="majorHAnsi" w:cstheme="majorHAnsi"/>
          <w:color w:val="000000"/>
        </w:rPr>
        <w:t xml:space="preserve">.  The PD </w:t>
      </w:r>
      <w:r w:rsidR="00D46755">
        <w:rPr>
          <w:rFonts w:asciiTheme="majorHAnsi" w:hAnsiTheme="majorHAnsi" w:cstheme="majorHAnsi"/>
          <w:color w:val="000000"/>
        </w:rPr>
        <w:t xml:space="preserve">index </w:t>
      </w:r>
      <w:r w:rsidR="006128BC">
        <w:rPr>
          <w:rFonts w:asciiTheme="majorHAnsi" w:hAnsiTheme="majorHAnsi" w:cstheme="majorHAnsi"/>
          <w:color w:val="000000"/>
        </w:rPr>
        <w:t xml:space="preserve">can also be written as </w:t>
      </w:r>
      <w:r w:rsidR="006128BC" w:rsidRPr="00054CC9">
        <w:rPr>
          <w:rFonts w:asciiTheme="majorHAnsi" w:hAnsiTheme="majorHAnsi" w:cstheme="majorHAnsi"/>
          <w:i/>
          <w:color w:val="000000"/>
        </w:rPr>
        <w:t>f</w:t>
      </w:r>
      <w:r w:rsidR="006128BC" w:rsidRPr="00054CC9">
        <w:rPr>
          <w:rFonts w:asciiTheme="majorHAnsi" w:hAnsiTheme="majorHAnsi" w:cstheme="majorHAnsi"/>
          <w:color w:val="000000"/>
        </w:rPr>
        <w:t>AUC</w:t>
      </w:r>
      <w:r w:rsidR="006128BC" w:rsidRPr="00027CE7">
        <w:rPr>
          <w:rFonts w:asciiTheme="majorHAnsi" w:hAnsiTheme="majorHAnsi" w:cstheme="majorHAnsi"/>
          <w:color w:val="000000"/>
          <w:vertAlign w:val="subscript"/>
        </w:rPr>
        <w:t>0-</w:t>
      </w:r>
      <w:proofErr w:type="gramStart"/>
      <w:r w:rsidR="006128BC" w:rsidRPr="00027CE7">
        <w:rPr>
          <w:rFonts w:asciiTheme="majorHAnsi" w:hAnsiTheme="majorHAnsi" w:cstheme="majorHAnsi"/>
          <w:color w:val="000000"/>
          <w:vertAlign w:val="subscript"/>
        </w:rPr>
        <w:t>8</w:t>
      </w:r>
      <w:r w:rsidR="006128BC" w:rsidRPr="00054CC9">
        <w:rPr>
          <w:rFonts w:asciiTheme="majorHAnsi" w:hAnsiTheme="majorHAnsi" w:cstheme="majorHAnsi"/>
          <w:color w:val="000000"/>
        </w:rPr>
        <w:t>:MIC</w:t>
      </w:r>
      <w:proofErr w:type="gramEnd"/>
      <w:r w:rsidR="0000133A">
        <w:rPr>
          <w:rFonts w:asciiTheme="majorHAnsi" w:hAnsiTheme="majorHAnsi" w:cstheme="majorHAnsi"/>
          <w:color w:val="000000"/>
        </w:rPr>
        <w:t xml:space="preserve"> = 23.  The corresponding target for a q12h and q24h schedule is 34.5 and 69, respectively (i.e. </w:t>
      </w:r>
      <w:r w:rsidR="0000133A" w:rsidRPr="00054CC9">
        <w:rPr>
          <w:rFonts w:asciiTheme="majorHAnsi" w:hAnsiTheme="majorHAnsi" w:cstheme="majorHAnsi"/>
          <w:i/>
          <w:color w:val="000000"/>
        </w:rPr>
        <w:t>f</w:t>
      </w:r>
      <w:r w:rsidR="0000133A" w:rsidRPr="00054CC9">
        <w:rPr>
          <w:rFonts w:asciiTheme="majorHAnsi" w:hAnsiTheme="majorHAnsi" w:cstheme="majorHAnsi"/>
          <w:color w:val="000000"/>
        </w:rPr>
        <w:t>AUC</w:t>
      </w:r>
      <w:r w:rsidR="0000133A" w:rsidRPr="00054CC9">
        <w:rPr>
          <w:rFonts w:asciiTheme="majorHAnsi" w:hAnsiTheme="majorHAnsi" w:cstheme="majorHAnsi"/>
          <w:color w:val="000000"/>
          <w:vertAlign w:val="subscript"/>
        </w:rPr>
        <w:t>0-</w:t>
      </w:r>
      <w:proofErr w:type="gramStart"/>
      <w:r w:rsidR="0000133A">
        <w:rPr>
          <w:rFonts w:asciiTheme="majorHAnsi" w:hAnsiTheme="majorHAnsi" w:cstheme="majorHAnsi"/>
          <w:color w:val="000000"/>
          <w:vertAlign w:val="subscript"/>
        </w:rPr>
        <w:t>12</w:t>
      </w:r>
      <w:r w:rsidR="0000133A" w:rsidRPr="00054CC9">
        <w:rPr>
          <w:rFonts w:asciiTheme="majorHAnsi" w:hAnsiTheme="majorHAnsi" w:cstheme="majorHAnsi"/>
          <w:color w:val="000000"/>
        </w:rPr>
        <w:t>:MIC</w:t>
      </w:r>
      <w:proofErr w:type="gramEnd"/>
      <w:r w:rsidR="0000133A">
        <w:rPr>
          <w:rFonts w:asciiTheme="majorHAnsi" w:hAnsiTheme="majorHAnsi" w:cstheme="majorHAnsi"/>
          <w:color w:val="000000"/>
        </w:rPr>
        <w:t xml:space="preserve"> = 34.5 and </w:t>
      </w:r>
      <w:r w:rsidR="0000133A" w:rsidRPr="00054CC9">
        <w:rPr>
          <w:rFonts w:asciiTheme="majorHAnsi" w:hAnsiTheme="majorHAnsi" w:cstheme="majorHAnsi"/>
          <w:i/>
          <w:color w:val="000000"/>
        </w:rPr>
        <w:t>f</w:t>
      </w:r>
      <w:r w:rsidR="0000133A" w:rsidRPr="00054CC9">
        <w:rPr>
          <w:rFonts w:asciiTheme="majorHAnsi" w:hAnsiTheme="majorHAnsi" w:cstheme="majorHAnsi"/>
          <w:color w:val="000000"/>
        </w:rPr>
        <w:t>AUC</w:t>
      </w:r>
      <w:r w:rsidR="0000133A" w:rsidRPr="00054CC9">
        <w:rPr>
          <w:rFonts w:asciiTheme="majorHAnsi" w:hAnsiTheme="majorHAnsi" w:cstheme="majorHAnsi"/>
          <w:color w:val="000000"/>
          <w:vertAlign w:val="subscript"/>
        </w:rPr>
        <w:t>0-</w:t>
      </w:r>
      <w:r w:rsidR="0000133A">
        <w:rPr>
          <w:rFonts w:asciiTheme="majorHAnsi" w:hAnsiTheme="majorHAnsi" w:cstheme="majorHAnsi"/>
          <w:color w:val="000000"/>
          <w:vertAlign w:val="subscript"/>
        </w:rPr>
        <w:t>24</w:t>
      </w:r>
      <w:r w:rsidR="0000133A" w:rsidRPr="00054CC9">
        <w:rPr>
          <w:rFonts w:asciiTheme="majorHAnsi" w:hAnsiTheme="majorHAnsi" w:cstheme="majorHAnsi"/>
          <w:color w:val="000000"/>
        </w:rPr>
        <w:t>:MIC</w:t>
      </w:r>
      <w:r w:rsidR="0000133A">
        <w:rPr>
          <w:rFonts w:asciiTheme="majorHAnsi" w:hAnsiTheme="majorHAnsi" w:cstheme="majorHAnsi"/>
          <w:color w:val="000000"/>
        </w:rPr>
        <w:t xml:space="preserve"> = 69).  The schedu</w:t>
      </w:r>
      <w:r w:rsidR="002B1E62">
        <w:rPr>
          <w:rFonts w:asciiTheme="majorHAnsi" w:hAnsiTheme="majorHAnsi" w:cstheme="majorHAnsi"/>
          <w:color w:val="000000"/>
        </w:rPr>
        <w:t xml:space="preserve">le-dependent changes in the magnitude of the PD index is </w:t>
      </w:r>
      <w:r w:rsidR="008A1F24">
        <w:rPr>
          <w:rFonts w:asciiTheme="majorHAnsi" w:hAnsiTheme="majorHAnsi" w:cstheme="majorHAnsi"/>
          <w:color w:val="000000"/>
        </w:rPr>
        <w:t xml:space="preserve">at odds with more </w:t>
      </w:r>
      <w:r w:rsidR="00F372AD">
        <w:rPr>
          <w:rFonts w:asciiTheme="majorHAnsi" w:hAnsiTheme="majorHAnsi" w:cstheme="majorHAnsi"/>
          <w:color w:val="000000"/>
        </w:rPr>
        <w:t>traditional</w:t>
      </w:r>
      <w:r w:rsidR="008A1F24">
        <w:rPr>
          <w:rFonts w:asciiTheme="majorHAnsi" w:hAnsiTheme="majorHAnsi" w:cstheme="majorHAnsi"/>
          <w:color w:val="000000"/>
        </w:rPr>
        <w:t xml:space="preserve"> </w:t>
      </w:r>
      <w:r w:rsidR="00906C1A">
        <w:rPr>
          <w:rFonts w:asciiTheme="majorHAnsi" w:hAnsiTheme="majorHAnsi" w:cstheme="majorHAnsi"/>
          <w:color w:val="000000"/>
        </w:rPr>
        <w:t xml:space="preserve">pharmacodynamic </w:t>
      </w:r>
      <w:r w:rsidR="008A1F24">
        <w:rPr>
          <w:rFonts w:asciiTheme="majorHAnsi" w:hAnsiTheme="majorHAnsi" w:cstheme="majorHAnsi"/>
          <w:color w:val="000000"/>
        </w:rPr>
        <w:t>metric</w:t>
      </w:r>
      <w:r w:rsidR="00906C1A">
        <w:rPr>
          <w:rFonts w:asciiTheme="majorHAnsi" w:hAnsiTheme="majorHAnsi" w:cstheme="majorHAnsi"/>
          <w:color w:val="000000"/>
        </w:rPr>
        <w:t>e</w:t>
      </w:r>
      <w:r w:rsidR="008A1F24">
        <w:rPr>
          <w:rFonts w:asciiTheme="majorHAnsi" w:hAnsiTheme="majorHAnsi" w:cstheme="majorHAnsi"/>
          <w:color w:val="000000"/>
        </w:rPr>
        <w:t>s</w:t>
      </w:r>
      <w:r w:rsidR="00E428FF">
        <w:rPr>
          <w:rFonts w:asciiTheme="majorHAnsi" w:hAnsiTheme="majorHAnsi" w:cstheme="majorHAnsi"/>
          <w:color w:val="000000"/>
        </w:rPr>
        <w:t>,</w:t>
      </w:r>
      <w:r w:rsidR="008A1F24">
        <w:rPr>
          <w:rFonts w:asciiTheme="majorHAnsi" w:hAnsiTheme="majorHAnsi" w:cstheme="majorHAnsi"/>
          <w:color w:val="000000"/>
        </w:rPr>
        <w:t xml:space="preserve"> where the target is fixed and </w:t>
      </w:r>
      <w:r w:rsidR="00906C1A">
        <w:rPr>
          <w:rFonts w:asciiTheme="majorHAnsi" w:hAnsiTheme="majorHAnsi" w:cstheme="majorHAnsi"/>
          <w:color w:val="000000"/>
        </w:rPr>
        <w:t xml:space="preserve">is </w:t>
      </w:r>
      <w:r w:rsidR="008A1F24">
        <w:rPr>
          <w:rFonts w:asciiTheme="majorHAnsi" w:hAnsiTheme="majorHAnsi" w:cstheme="majorHAnsi"/>
          <w:color w:val="000000"/>
        </w:rPr>
        <w:t xml:space="preserve">independent of schedule (e.g. </w:t>
      </w:r>
      <w:r w:rsidR="002D0741">
        <w:rPr>
          <w:rFonts w:asciiTheme="majorHAnsi" w:hAnsiTheme="majorHAnsi" w:cstheme="majorHAnsi"/>
          <w:color w:val="000000"/>
        </w:rPr>
        <w:t>the</w:t>
      </w:r>
      <w:r w:rsidR="008A1F24">
        <w:rPr>
          <w:rFonts w:asciiTheme="majorHAnsi" w:hAnsiTheme="majorHAnsi" w:cstheme="majorHAnsi"/>
          <w:color w:val="000000"/>
        </w:rPr>
        <w:t xml:space="preserve"> AUC:MIC target of 125 for the </w:t>
      </w:r>
      <w:r w:rsidR="002D0741">
        <w:rPr>
          <w:rFonts w:asciiTheme="majorHAnsi" w:hAnsiTheme="majorHAnsi" w:cstheme="majorHAnsi"/>
          <w:color w:val="000000"/>
        </w:rPr>
        <w:t>quinolones is independent of the schedule</w:t>
      </w:r>
      <w:r w:rsidR="00E428FF">
        <w:rPr>
          <w:rFonts w:asciiTheme="majorHAnsi" w:hAnsiTheme="majorHAnsi" w:cstheme="majorHAnsi"/>
          <w:color w:val="000000"/>
        </w:rPr>
        <w:t xml:space="preserve"> </w:t>
      </w:r>
      <w:r w:rsidR="00E428FF">
        <w:rPr>
          <w:rFonts w:asciiTheme="majorHAnsi" w:hAnsiTheme="majorHAnsi" w:cstheme="majorHAnsi"/>
          <w:color w:val="000000"/>
        </w:rPr>
        <w:fldChar w:fldCharType="begin" w:fldLock="1"/>
      </w:r>
      <w:r w:rsidR="00093E93">
        <w:rPr>
          <w:rFonts w:asciiTheme="majorHAnsi" w:hAnsiTheme="majorHAnsi" w:cstheme="majorHAnsi"/>
          <w:color w:val="000000"/>
        </w:rPr>
        <w:instrText>ADDIN CSL_CITATION {"citationItems":[{"id":"ITEM-1","itemData":{"DOI":"10.1016/j.rmclc.2016.08.001","ISSN":"0716-8640","author":[{"dropping-particle":"","family":"Pharmd","given":"Joseph L Kuti","non-dropping-particle":"","parse-names":false,"suffix":""}],"container-title":"Revista Clínica Las Condes","id":"ITEM-1","issue":"5","issued":{"date-parts":[["2016"]]},"page":"615-624","publisher":"Clínica Las Condes","title":"OPTIMIZING ANTIMICROBIAL PHARMACODYNAMICS : A GUIDE FOR YOUR STEWARDSHIP PROGRAM","type":"article-journal","volume":"27"},"uris":["http://www.mendeley.com/documents/?uuid=bd1d3788-765a-47be-9df9-fc259cd0d8da"]}],"mendeley":{"formattedCitation":"(26)","plainTextFormattedCitation":"(26)","previouslyFormattedCitation":"(26)"},"properties":{"noteIndex":0},"schema":"https://github.com/citation-style-language/schema/raw/master/csl-citation.json"}</w:instrText>
      </w:r>
      <w:r w:rsidR="00E428FF">
        <w:rPr>
          <w:rFonts w:asciiTheme="majorHAnsi" w:hAnsiTheme="majorHAnsi" w:cstheme="majorHAnsi"/>
          <w:color w:val="000000"/>
        </w:rPr>
        <w:fldChar w:fldCharType="separate"/>
      </w:r>
      <w:r w:rsidR="00F10449" w:rsidRPr="00F10449">
        <w:rPr>
          <w:rFonts w:asciiTheme="majorHAnsi" w:hAnsiTheme="majorHAnsi" w:cstheme="majorHAnsi"/>
          <w:noProof/>
          <w:color w:val="000000"/>
        </w:rPr>
        <w:t>(26)</w:t>
      </w:r>
      <w:r w:rsidR="00E428FF">
        <w:rPr>
          <w:rFonts w:asciiTheme="majorHAnsi" w:hAnsiTheme="majorHAnsi" w:cstheme="majorHAnsi"/>
          <w:color w:val="000000"/>
        </w:rPr>
        <w:fldChar w:fldCharType="end"/>
      </w:r>
      <w:r w:rsidR="002D0741">
        <w:rPr>
          <w:rFonts w:asciiTheme="majorHAnsi" w:hAnsiTheme="majorHAnsi" w:cstheme="majorHAnsi"/>
          <w:color w:val="000000"/>
        </w:rPr>
        <w:t>).</w:t>
      </w:r>
      <w:r w:rsidR="008A1F24">
        <w:rPr>
          <w:rFonts w:asciiTheme="majorHAnsi" w:hAnsiTheme="majorHAnsi" w:cstheme="majorHAnsi"/>
          <w:color w:val="000000"/>
        </w:rPr>
        <w:t xml:space="preserve"> </w:t>
      </w:r>
      <w:r w:rsidR="0000133A">
        <w:rPr>
          <w:rFonts w:asciiTheme="majorHAnsi" w:hAnsiTheme="majorHAnsi" w:cstheme="majorHAnsi"/>
          <w:color w:val="000000"/>
        </w:rPr>
        <w:t xml:space="preserve"> </w:t>
      </w:r>
    </w:p>
    <w:p w14:paraId="640D368B" w14:textId="52388BB5" w:rsidR="009E7575" w:rsidRDefault="00766BA3" w:rsidP="00546782">
      <w:pPr>
        <w:ind w:firstLine="720"/>
        <w:rPr>
          <w:rFonts w:asciiTheme="majorHAnsi" w:hAnsiTheme="majorHAnsi" w:cstheme="majorHAnsi"/>
        </w:rPr>
      </w:pPr>
      <w:r>
        <w:rPr>
          <w:rFonts w:asciiTheme="majorHAnsi" w:hAnsiTheme="majorHAnsi" w:cstheme="majorHAnsi"/>
        </w:rPr>
        <w:t xml:space="preserve">A variety of endpoints from preclinical pharmacodynamic models are used to define the magnitude of the relevant pharmacodynamic index for </w:t>
      </w:r>
      <w:r w:rsidR="008737CC">
        <w:rPr>
          <w:rFonts w:asciiTheme="majorHAnsi" w:hAnsiTheme="majorHAnsi" w:cstheme="majorHAnsi"/>
        </w:rPr>
        <w:t>preclinical-to-clinical</w:t>
      </w:r>
      <w:r>
        <w:rPr>
          <w:rFonts w:asciiTheme="majorHAnsi" w:hAnsiTheme="majorHAnsi" w:cstheme="majorHAnsi"/>
        </w:rPr>
        <w:t xml:space="preserve"> bridging studies</w:t>
      </w:r>
      <w:r w:rsidR="006964E0">
        <w:rPr>
          <w:rFonts w:asciiTheme="majorHAnsi" w:hAnsiTheme="majorHAnsi" w:cstheme="majorHAnsi"/>
        </w:rPr>
        <w:t xml:space="preserve"> </w:t>
      </w:r>
      <w:r w:rsidR="006964E0">
        <w:rPr>
          <w:rFonts w:asciiTheme="majorHAnsi" w:hAnsiTheme="majorHAnsi" w:cstheme="majorHAnsi"/>
        </w:rPr>
        <w:fldChar w:fldCharType="begin" w:fldLock="1"/>
      </w:r>
      <w:r w:rsidR="00093E93">
        <w:rPr>
          <w:rFonts w:asciiTheme="majorHAnsi" w:hAnsiTheme="majorHAnsi" w:cstheme="majorHAnsi"/>
        </w:rPr>
        <w:instrText>ADDIN CSL_CITATION {"citationItems":[{"id":"ITEM-1","itemData":{"DOI":"10.1016/j.bmc.2016.11.008","ISBN":"0968-0896","ISSN":"14643391","PMID":"27887963","abstract":"Animal infection models in the pharmacokinetic/pharmacodynamic (PK/PD) evaluation of antimicrobial therapy serve an important role in preclinical assessments of new antibiotics, dosing optimization for those that are clinically approved, and setting or confirming susceptibility breakpoints. The goal of animal model studies is to mimic the infectious diseases seen in humans to allow for robust PK/PD studies to find the optimal drug exposures that lead to therapeutic success. The PK/PD index and target drug exposures obtained in validated animal infection models are critical components in optimizing dosing regimen design in order to maximize efficacy while minimize the cost and duration of clinical trials. This review outlines the key components in animal infection models which have been used extensively in antibiotic discovery and development including PK/PD analyses.","author":[{"dropping-particle":"","family":"Zhao","given":"Miao","non-dropping-particle":"","parse-names":false,"suffix":""},{"dropping-particle":"","family":"Lepak","given":"Alexander J.","non-dropping-particle":"","parse-names":false,"suffix":""},{"dropping-particle":"","family":"Andes","given":"David R.","non-dropping-particle":"","parse-names":false,"suffix":""}],"container-title":"Bioorganic and Medicinal Chemistry","id":"ITEM-1","issue":"24","issued":{"date-parts":[["2016"]]},"page":"6390-6400","publisher":"Elsevier Ltd","title":"Animal models in the pharmacokinetic/pharmacodynamic evaluation of antimicrobial agents","type":"article-journal","volume":"24"},"uris":["http://www.mendeley.com/documents/?uuid=e6aabb0a-9646-439f-8a17-49a3112353f5"]},{"id":"ITEM-2","itemData":{"DOI":"10.1111/j.1365-2125.2011.03925.x","ISBN":"1365-2125","ISSN":"03065251","PMID":"21272054","abstract":"The key concepts that underpin the choice of drug and dosing regimen are an understanding of the drugs' effectiveness, the potential for adverse effects, and the expected time course over which both desired and adverse effects are likely to occur. Research in clinical pharmacology should therefore address three fundamental questions: (1) What is the magnitude of drug effects (beneficial or adverse) from a given dose? (2) How quickly will any given effects occur? (3) How long will these effects last? Under steady-state conditions, only the magnitude of drug effects can be examined. This requires researchers to consider non-steady-state conditions, which require more complex models and an understanding of the mechanisms that drive the time course of drug effect. The aim of this review is to provide a conceptual framework for understanding the time course of drug effects using pharmacokinetic-pharmacodynamic models. Key examples will illustrate how this can inform the optimal use of drugs in the clinic.","author":[{"dropping-particle":"","family":"Wright","given":"Daniel F B","non-dropping-particle":"","parse-names":false,"suffix":""},{"dropping-particle":"","family":"Winter","given":"Helen R.","non-dropping-particle":"","parse-names":false,"suffix":""},{"dropping-particle":"","family":"Duffull","given":"Stephen B.","non-dropping-particle":"","parse-names":false,"suffix":""}],"container-title":"British Journal of Clinical Pharmacology","id":"ITEM-2","issue":"6","issued":{"date-parts":[["2011"]]},"page":"815-823","title":"Understanding the time course of pharmacological effect: A PKPD approach","type":"article-journal","volume":"71"},"uris":["http://www.mendeley.com/documents/?uuid=f8842d0c-e461-459c-8390-ff1b6f20d561"]},{"id":"ITEM-3","itemData":{"DOI":"10.1086/516284","ISBN":"1058-4838 (Print)\\n1058-4838 (Linking)","ISSN":"1058-4838","PMID":"9455502","abstract":"Investigations over the past 20 years have demonstrated that antibacterials can vary markedly in the time course of antimicrobial activity. These differences in pharmacodynamic activity have implications for optimal dosage regimens. The results of more recent studies suggest that the magnitude of the pharmacokinetic/pharmacodynamic parameters required for efficacy are relatively similar in animal infection models and in human infections. However, there is still much to learn. Additional studies are needed to further correlate pharmacokinetic/pharmacodynamic parameters for many antibacterials with therapeutic efficacy in a variety of animal infection models and in human infections. The potential value of using pharmacokinetic/pharmacodynamic parameters as guides for establishing optimal dosing regimens for new and old drugs and for new emerging pathogens and resistant organisms, for setting susceptibility breakpoints, and for reducing the cost of drug development should make the continuing search for the therapeutic rationale of antibacterial dosing of mice and men worthwhile.","author":[{"dropping-particle":"","family":"Craig","given":"William A.","non-dropping-particle":"","parse-names":false,"suffix":""}],"container-title":"Clinical Infectious Diseases","id":"ITEM-3","issue":"1","issued":{"date-parts":[["1998"]]},"page":"1-10","title":"State‐of‐the‐Art Clinical Article: Pharmacokinetic/Pharmacodynamic Parameters: Rationale for Antibacterial Dosing of Mice and Men","type":"article-journal","volume":"26"},"uris":["http://www.mendeley.com/documents/?uuid=9aa4d5d6-f504-4945-8486-8c8d14338a78"]},{"id":"ITEM-4","itemData":{"DOI":"10.1016/j.clinthera.2016.06.015","ISBN":"0149-2918","ISSN":"1879114X","PMID":"27449411","abstract":"Purpose An understanding of the pharmacokinetic (PK) and pharmacodynamic (PD) principles that determine response to antimicrobial therapy can provide the clinician with better-informed dosing regimens. Factors influential on antibiotic disposition and clinical outcome are presented, with a focus on the primary site of infection. Techniques to better understand antibiotic PK and optimize PD are acknowledged. Methods PubMed (inception–April 2016) was reviewed for relevant publications assessing antimicrobial exposures within different anatomic locations and clinical outcomes for various infection sites. Findings A limited literature base indicates variable penetration of antibiotics to different target sites of infection, with drug solubility and extent of protein binding providing significant PK influences in addition to the major clearing pathway of the agent. PD indices derived from in vitro studies and animal models determine the optimal magnitude and frequency of dosing regimens for patients. PK/PD modeling and simulation has been shown an efficient means of assessing these PD endpoints against a variety of PK determinants, clarifying the unique effects of infection site and patient characteristics to inform the adequacy of a given antibiotic regimen. Implications Appreciation of the PK properties of an antibiotic and its PD measure of efficacy can maximize the utility of these life-saving drugs. Unfortunately, clinical data remain limited for a number of infection site–antibiotic exposure relationships. Modeling and simulation can bridge preclinical and patient data for the prescription of optimal antibiotic dosing regimens, consistent with the tenets of personalized medicine.","author":[{"dropping-particle":"","family":"Onufrak","given":"Nikolas J.","non-dropping-particle":"","parse-names":false,"suffix":""},{"dropping-particle":"","family":"Forrest","given":"Alan","non-dropping-particle":"","parse-names":false,"suffix":""},{"dropping-particle":"","family":"Gonzalez","given":"Daniel","non-dropping-particle":"","parse-names":false,"suffix":""}],"container-title":"Clinical Therapeutics","id":"ITEM-4","issue":"9","issued":{"date-parts":[["2016"]]},"page":"1930-1947","publisher":"Elsevier","title":"Pharmacokinetic and Pharmacodynamic Principles of Anti-infective Dosing","type":"article-journal","volume":"38"},"uris":["http://www.mendeley.com/documents/?uuid=3fcbbf65-93ef-48dc-9928-d735f953dc52"]},{"id":"ITEM-5","itemData":{"DOI":"10.1016/j.jiac.2015.02.001","ISBN":"1341-321X","ISSN":"14377780","PMID":"25737147","abstract":"The alarming increase of resistance against multiple currently available antibiotics is leading to a rapid lose of treatment options against infectious diseases. Since the antibiotic resistance is partially due to a misuse or abuse of the antibiotics, this situation can be reverted when improving their use. One strategy is the optimization of the antimicrobial dosing regimens. In fact, inappropriate drug choice and suboptimal dosing are two major factors that should be considered because they lead to the emergence of drug resistance and consequently, poorer clinical outcomes. Pharmacokinetic/pharmacodynamic (PK/PD) analysis in combination with Monte Carlo simulation allows to optimize dosing regimens of the antibiotic agents in order to conserve their therapeutic value. Therefore, the aim of this review is to explain the basis of the PK/PD analysis and associated techniques, and provide a brief revision of the applications of PK/PD analysis from a therapeutic point-of-view. The establishment and reevaluation of clinical breakpoints is the sticking point in antibiotic therapy as the clinical use of the antibiotics depends on them. Two methodologies are described to establish the PK/PD breakpoints, which are a big part of the clinical breakpoint setting machine. Furthermore, the main subpopulations of patients with altered characteristics that can condition the PK/PD behavior (such as critically ill, elderly, pediatric or obese patients) and therefore, the outcome of the antibiotic therapy, are reviewed. Finally, some recommendations are provided from a PK/PD point of view to enhance the efficacy of prophylaxis protocols used in surgery.","author":[{"dropping-particle":"","family":"Asín-Prieto","given":"Eduardo","non-dropping-particle":"","parse-names":false,"suffix":""},{"dropping-particle":"","family":"Rodríguez-Gascón","given":"Alicia","non-dropping-particle":"","parse-names":false,"suffix":""},{"dropping-particle":"","family":"Isla","given":"Arantxazu","non-dropping-particle":"","parse-names":false,"suffix":""}],"container-title":"Journal of Infection and Chemotherapy","id":"ITEM-5","issue":"5","issued":{"date-parts":[["2015"]]},"page":"319-329","title":"Applications of the pharmacokinetic/pharmacodynamic (PK/PD) analysis of antimicrobial agents","type":"article-journal","volume":"21"},"uris":["http://www.mendeley.com/documents/?uuid=1e4a010a-9ad2-40fc-92b8-fd656d5d199c"]}],"mendeley":{"formattedCitation":"(23, 27–30)","plainTextFormattedCitation":"(23, 27–30)","previouslyFormattedCitation":"(23, 27–30)"},"properties":{"noteIndex":0},"schema":"https://github.com/citation-style-language/schema/raw/master/csl-citation.json"}</w:instrText>
      </w:r>
      <w:r w:rsidR="006964E0">
        <w:rPr>
          <w:rFonts w:asciiTheme="majorHAnsi" w:hAnsiTheme="majorHAnsi" w:cstheme="majorHAnsi"/>
        </w:rPr>
        <w:fldChar w:fldCharType="separate"/>
      </w:r>
      <w:r w:rsidR="00F10449" w:rsidRPr="00F10449">
        <w:rPr>
          <w:rFonts w:asciiTheme="majorHAnsi" w:hAnsiTheme="majorHAnsi" w:cstheme="majorHAnsi"/>
          <w:noProof/>
        </w:rPr>
        <w:t>(23, 27–30)</w:t>
      </w:r>
      <w:r w:rsidR="006964E0">
        <w:rPr>
          <w:rFonts w:asciiTheme="majorHAnsi" w:hAnsiTheme="majorHAnsi" w:cstheme="majorHAnsi"/>
        </w:rPr>
        <w:fldChar w:fldCharType="end"/>
      </w:r>
      <w:r>
        <w:rPr>
          <w:rFonts w:asciiTheme="majorHAnsi" w:hAnsiTheme="majorHAnsi" w:cstheme="majorHAnsi"/>
        </w:rPr>
        <w:t xml:space="preserve">.  </w:t>
      </w:r>
      <w:r w:rsidR="00A00BD3">
        <w:rPr>
          <w:rFonts w:asciiTheme="majorHAnsi" w:hAnsiTheme="majorHAnsi" w:cstheme="majorHAnsi"/>
        </w:rPr>
        <w:t>For murine studies these</w:t>
      </w:r>
      <w:r>
        <w:rPr>
          <w:rFonts w:asciiTheme="majorHAnsi" w:hAnsiTheme="majorHAnsi" w:cstheme="majorHAnsi"/>
        </w:rPr>
        <w:t xml:space="preserve"> include stasis and </w:t>
      </w:r>
      <w:r w:rsidR="008A1F24">
        <w:rPr>
          <w:rFonts w:asciiTheme="majorHAnsi" w:hAnsiTheme="majorHAnsi" w:cstheme="majorHAnsi"/>
        </w:rPr>
        <w:t xml:space="preserve">various </w:t>
      </w:r>
      <w:r>
        <w:rPr>
          <w:rFonts w:asciiTheme="majorHAnsi" w:hAnsiTheme="majorHAnsi" w:cstheme="majorHAnsi"/>
        </w:rPr>
        <w:t xml:space="preserve">orders of logarithmic killing.  </w:t>
      </w:r>
      <w:r w:rsidR="008737CC">
        <w:rPr>
          <w:rFonts w:asciiTheme="majorHAnsi" w:hAnsiTheme="majorHAnsi" w:cstheme="majorHAnsi"/>
        </w:rPr>
        <w:t xml:space="preserve">Stasis has generally been considered suitable for dose identification </w:t>
      </w:r>
      <w:r w:rsidR="0080039F">
        <w:rPr>
          <w:rFonts w:asciiTheme="majorHAnsi" w:hAnsiTheme="majorHAnsi" w:cstheme="majorHAnsi"/>
        </w:rPr>
        <w:t>in</w:t>
      </w:r>
      <w:r w:rsidR="008737CC">
        <w:rPr>
          <w:rFonts w:asciiTheme="majorHAnsi" w:hAnsiTheme="majorHAnsi" w:cstheme="majorHAnsi"/>
        </w:rPr>
        <w:t xml:space="preserve"> </w:t>
      </w:r>
      <w:r w:rsidR="00E82D68">
        <w:rPr>
          <w:rFonts w:asciiTheme="majorHAnsi" w:hAnsiTheme="majorHAnsi" w:cstheme="majorHAnsi"/>
        </w:rPr>
        <w:t xml:space="preserve">patients with </w:t>
      </w:r>
      <w:proofErr w:type="spellStart"/>
      <w:r w:rsidR="008737CC">
        <w:rPr>
          <w:rFonts w:asciiTheme="majorHAnsi" w:hAnsiTheme="majorHAnsi" w:cstheme="majorHAnsi"/>
        </w:rPr>
        <w:t>cUTI</w:t>
      </w:r>
      <w:proofErr w:type="spellEnd"/>
      <w:r w:rsidR="008737CC">
        <w:rPr>
          <w:rFonts w:asciiTheme="majorHAnsi" w:hAnsiTheme="majorHAnsi" w:cstheme="majorHAnsi"/>
        </w:rPr>
        <w:t>; whereas, orders of logarithmic killing are used for more serious high burden infections such as HAP/VAP</w:t>
      </w:r>
      <w:r w:rsidR="00BF1B27">
        <w:rPr>
          <w:rFonts w:asciiTheme="majorHAnsi" w:hAnsiTheme="majorHAnsi" w:cstheme="majorHAnsi"/>
        </w:rPr>
        <w:t xml:space="preserve"> </w:t>
      </w:r>
      <w:r w:rsidR="00BF1B27">
        <w:rPr>
          <w:rFonts w:asciiTheme="majorHAnsi" w:hAnsiTheme="majorHAnsi" w:cstheme="majorHAnsi"/>
        </w:rPr>
        <w:fldChar w:fldCharType="begin" w:fldLock="1"/>
      </w:r>
      <w:r w:rsidR="00093E93">
        <w:rPr>
          <w:rFonts w:asciiTheme="majorHAnsi" w:hAnsiTheme="majorHAnsi" w:cstheme="majorHAnsi"/>
        </w:rPr>
        <w:instrText>ADDIN CSL_CITATION {"citationItems":[{"id":"ITEM-1","itemData":{"DOI":"10.1128/AAC.02927-15","ISSN":"10986596","PMID":"27067324","abstract":"Infections caused by multidrug-resistantAcinetobacter baumanniiare a major public health problem and polymyxins are often the last line of therapy for recalcitrant infections by such isolates. The pharmacokinetics of the two clinically-used polymyxins, polymyxin B and colistin, differ considerably, since colistin is administered as an inactive prodrug that undergoes slow conversion to colistin. However, the impact of these substantial pharmacokinetic differences on bacterial killing and resistance emergence is poorly understood. We assessed clinically relevant polymyxin B and colistin dosage regimens against one reference and three clinicalA. baumanniistrains in a dynamic one-compartmentin vitromodel. A new mechanism-based pharmacodynamic model was developed to describe and predict the drug concentrations and viable counts of the total and resistant populations. Rapid attainment of target concentrations was shown to be critical for polymyxin-induced bacterial killing. All polymyxin B regimens achieved peak concentrations of at least 1 mg/L within 1 h and caused ≥ 4 log10killing at 1 h. In contrast, the slow rise of colistin concentrations to 3 mg/L over 48 h resulted in markedly reduced bacterial killing. Significant (4 - 6 log10CFU/mL) amplification of resistant bacterial populations was common to all dosage regimens. The developed mechanism-based model explained the observed bacterial killing, regrowth, and resistance. The model also implicated adaptive polymyxin resistance as a key driver of bacterial regrowth, and predicted the amplification of pre-existing, highly polymyxin-resistant bacterial populations following polymyxin treatment. Antibiotic combination therapies seem the most promising option for minimizing the emergence of polymyxin resistance.","author":[{"dropping-particle":"","family":"Cheah","given":"Soon Ee","non-dropping-particle":"","parse-names":false,"suffix":""},{"dropping-particle":"","family":"Li","given":"Jian","non-dropping-particle":"","parse-names":false,"suffix":""},{"dropping-particle":"","family":"Tsuji","given":"Brian T.","non-dropping-particle":"","parse-names":false,"suffix":""},{"dropping-particle":"","family":"Forrest","given":"Alan","non-dropping-particle":"","parse-names":false,"suffix":""},{"dropping-particle":"","family":"Bulitta","given":"Jürgen B.","non-dropping-particle":"","parse-names":false,"suffix":""},{"dropping-particle":"","family":"Nation","given":"Roger L.","non-dropping-particle":"","parse-names":false,"suffix":""}],"container-title":"Antimicrobial Agents and Chemotherapy","id":"ITEM-1","issue":"7","issued":{"date-parts":[["2016"]]},"page":"3921-3933","title":"Colistin and polymyxin B dosage regimens against Acinetobacter baumannii: Differences in activity and the emergence of resistance","type":"article-journal","volume":"60"},"uris":["http://www.mendeley.com/documents/?uuid=3a38da94-5293-49ad-99f9-0143f9157895"]}],"mendeley":{"formattedCitation":"(17)","plainTextFormattedCitation":"(17)","previouslyFormattedCitation":"(17)"},"properties":{"noteIndex":0},"schema":"https://github.com/citation-style-language/schema/raw/master/csl-citation.json"}</w:instrText>
      </w:r>
      <w:r w:rsidR="00BF1B27">
        <w:rPr>
          <w:rFonts w:asciiTheme="majorHAnsi" w:hAnsiTheme="majorHAnsi" w:cstheme="majorHAnsi"/>
        </w:rPr>
        <w:fldChar w:fldCharType="separate"/>
      </w:r>
      <w:r w:rsidR="00F10449" w:rsidRPr="00F10449">
        <w:rPr>
          <w:rFonts w:asciiTheme="majorHAnsi" w:hAnsiTheme="majorHAnsi" w:cstheme="majorHAnsi"/>
          <w:noProof/>
        </w:rPr>
        <w:t>(17)</w:t>
      </w:r>
      <w:r w:rsidR="00BF1B27">
        <w:rPr>
          <w:rFonts w:asciiTheme="majorHAnsi" w:hAnsiTheme="majorHAnsi" w:cstheme="majorHAnsi"/>
        </w:rPr>
        <w:fldChar w:fldCharType="end"/>
      </w:r>
      <w:r w:rsidR="00BF1B27">
        <w:rPr>
          <w:rFonts w:asciiTheme="majorHAnsi" w:hAnsiTheme="majorHAnsi" w:cstheme="majorHAnsi"/>
        </w:rPr>
        <w:t xml:space="preserve">. </w:t>
      </w:r>
      <w:r w:rsidR="008737CC">
        <w:rPr>
          <w:rFonts w:asciiTheme="majorHAnsi" w:hAnsiTheme="majorHAnsi" w:cstheme="majorHAnsi"/>
        </w:rPr>
        <w:t xml:space="preserve"> </w:t>
      </w:r>
      <w:r w:rsidR="008A1F24">
        <w:rPr>
          <w:rFonts w:asciiTheme="majorHAnsi" w:hAnsiTheme="majorHAnsi" w:cstheme="majorHAnsi"/>
        </w:rPr>
        <w:t>Importantly, however, there are some</w:t>
      </w:r>
      <w:r w:rsidR="008737CC">
        <w:rPr>
          <w:rFonts w:asciiTheme="majorHAnsi" w:hAnsiTheme="majorHAnsi" w:cstheme="majorHAnsi"/>
        </w:rPr>
        <w:t xml:space="preserve"> additional </w:t>
      </w:r>
      <w:r w:rsidR="008A1F24">
        <w:rPr>
          <w:rFonts w:asciiTheme="majorHAnsi" w:hAnsiTheme="majorHAnsi" w:cstheme="majorHAnsi"/>
        </w:rPr>
        <w:t>subtleties</w:t>
      </w:r>
      <w:r w:rsidR="00E82D68">
        <w:rPr>
          <w:rFonts w:asciiTheme="majorHAnsi" w:hAnsiTheme="majorHAnsi" w:cstheme="majorHAnsi"/>
        </w:rPr>
        <w:t xml:space="preserve">.  A determination of the magnitude of the pharmacodynamic </w:t>
      </w:r>
      <w:r w:rsidR="00A00BD3">
        <w:rPr>
          <w:rFonts w:asciiTheme="majorHAnsi" w:hAnsiTheme="majorHAnsi" w:cstheme="majorHAnsi"/>
        </w:rPr>
        <w:t xml:space="preserve">index requires </w:t>
      </w:r>
      <w:r w:rsidR="00546782">
        <w:rPr>
          <w:rFonts w:asciiTheme="majorHAnsi" w:hAnsiTheme="majorHAnsi" w:cstheme="majorHAnsi"/>
        </w:rPr>
        <w:t>definition of both the study</w:t>
      </w:r>
      <w:r w:rsidR="00A00BD3">
        <w:rPr>
          <w:rFonts w:asciiTheme="majorHAnsi" w:hAnsiTheme="majorHAnsi" w:cstheme="majorHAnsi"/>
        </w:rPr>
        <w:t xml:space="preserve"> </w:t>
      </w:r>
      <w:r w:rsidR="00546782">
        <w:rPr>
          <w:rFonts w:asciiTheme="majorHAnsi" w:hAnsiTheme="majorHAnsi" w:cstheme="majorHAnsi"/>
        </w:rPr>
        <w:t xml:space="preserve">endpoint (e.g. stasis, 1-log kill, 2-log kill), but also a collective measure of response for the challenge strains used to determine the relevant magnitude.  This may include the mean or median </w:t>
      </w:r>
      <w:r w:rsidR="00F513B2">
        <w:rPr>
          <w:rFonts w:asciiTheme="majorHAnsi" w:hAnsiTheme="majorHAnsi" w:cstheme="majorHAnsi"/>
        </w:rPr>
        <w:t xml:space="preserve">value </w:t>
      </w:r>
      <w:r w:rsidR="00546782">
        <w:rPr>
          <w:rFonts w:asciiTheme="majorHAnsi" w:hAnsiTheme="majorHAnsi" w:cstheme="majorHAnsi"/>
        </w:rPr>
        <w:t>or some other statistical measure</w:t>
      </w:r>
      <w:r w:rsidR="00F513B2">
        <w:rPr>
          <w:rFonts w:asciiTheme="majorHAnsi" w:hAnsiTheme="majorHAnsi" w:cstheme="majorHAnsi"/>
        </w:rPr>
        <w:t xml:space="preserve"> that captures the pharmacodynamics of the collection of strains</w:t>
      </w:r>
      <w:r w:rsidR="00546782">
        <w:rPr>
          <w:rFonts w:asciiTheme="majorHAnsi" w:hAnsiTheme="majorHAnsi" w:cstheme="majorHAnsi"/>
        </w:rPr>
        <w:t xml:space="preserve">.  In the current study the median was used </w:t>
      </w:r>
      <w:r w:rsidR="00196490">
        <w:rPr>
          <w:rFonts w:asciiTheme="majorHAnsi" w:hAnsiTheme="majorHAnsi" w:cstheme="majorHAnsi"/>
        </w:rPr>
        <w:t>given the nature of the distribution</w:t>
      </w:r>
      <w:r w:rsidR="00546782">
        <w:rPr>
          <w:rFonts w:asciiTheme="majorHAnsi" w:hAnsiTheme="majorHAnsi" w:cstheme="majorHAnsi"/>
        </w:rPr>
        <w:t xml:space="preserve">, see Figure </w:t>
      </w:r>
      <w:r w:rsidR="007B0409">
        <w:rPr>
          <w:rFonts w:asciiTheme="majorHAnsi" w:hAnsiTheme="majorHAnsi" w:cstheme="majorHAnsi"/>
        </w:rPr>
        <w:t>5</w:t>
      </w:r>
      <w:r w:rsidR="00546782">
        <w:rPr>
          <w:rFonts w:asciiTheme="majorHAnsi" w:hAnsiTheme="majorHAnsi" w:cstheme="majorHAnsi"/>
        </w:rPr>
        <w:t xml:space="preserve">).  Stasis has been used </w:t>
      </w:r>
      <w:r w:rsidR="00127FDF">
        <w:rPr>
          <w:rFonts w:asciiTheme="majorHAnsi" w:hAnsiTheme="majorHAnsi" w:cstheme="majorHAnsi"/>
        </w:rPr>
        <w:t xml:space="preserve">as an endpoint </w:t>
      </w:r>
      <w:r w:rsidR="00546782">
        <w:rPr>
          <w:rFonts w:asciiTheme="majorHAnsi" w:hAnsiTheme="majorHAnsi" w:cstheme="majorHAnsi"/>
        </w:rPr>
        <w:t>for</w:t>
      </w:r>
      <w:r w:rsidR="00041694">
        <w:rPr>
          <w:rFonts w:asciiTheme="majorHAnsi" w:hAnsiTheme="majorHAnsi" w:cstheme="majorHAnsi"/>
        </w:rPr>
        <w:t xml:space="preserve"> </w:t>
      </w:r>
      <w:r w:rsidR="00546782">
        <w:rPr>
          <w:rFonts w:asciiTheme="majorHAnsi" w:hAnsiTheme="majorHAnsi" w:cstheme="majorHAnsi"/>
        </w:rPr>
        <w:t xml:space="preserve">dose justification for </w:t>
      </w:r>
      <w:proofErr w:type="spellStart"/>
      <w:r w:rsidR="00546782">
        <w:rPr>
          <w:rFonts w:asciiTheme="majorHAnsi" w:hAnsiTheme="majorHAnsi" w:cstheme="majorHAnsi"/>
        </w:rPr>
        <w:t>cUTI</w:t>
      </w:r>
      <w:proofErr w:type="spellEnd"/>
      <w:r w:rsidR="00546782">
        <w:rPr>
          <w:rFonts w:asciiTheme="majorHAnsi" w:hAnsiTheme="majorHAnsi" w:cstheme="majorHAnsi"/>
        </w:rPr>
        <w:t xml:space="preserve"> for </w:t>
      </w:r>
      <w:r w:rsidR="00F513B2">
        <w:rPr>
          <w:rFonts w:asciiTheme="majorHAnsi" w:hAnsiTheme="majorHAnsi" w:cstheme="majorHAnsi"/>
        </w:rPr>
        <w:t xml:space="preserve">recently approved compounds such as </w:t>
      </w:r>
      <w:proofErr w:type="spellStart"/>
      <w:r w:rsidR="00546782">
        <w:rPr>
          <w:rFonts w:asciiTheme="majorHAnsi" w:hAnsiTheme="majorHAnsi" w:cstheme="majorHAnsi"/>
        </w:rPr>
        <w:t>p</w:t>
      </w:r>
      <w:r w:rsidR="009E7575">
        <w:rPr>
          <w:rFonts w:asciiTheme="majorHAnsi" w:hAnsiTheme="majorHAnsi" w:cstheme="majorHAnsi"/>
        </w:rPr>
        <w:t>lazomicin</w:t>
      </w:r>
      <w:proofErr w:type="spellEnd"/>
      <w:r w:rsidR="00546782">
        <w:rPr>
          <w:rFonts w:asciiTheme="majorHAnsi" w:hAnsiTheme="majorHAnsi" w:cstheme="majorHAnsi"/>
        </w:rPr>
        <w:t xml:space="preserve">, </w:t>
      </w:r>
      <w:r w:rsidR="00D46755">
        <w:rPr>
          <w:rFonts w:asciiTheme="majorHAnsi" w:hAnsiTheme="majorHAnsi" w:cstheme="majorHAnsi"/>
        </w:rPr>
        <w:t>meropenem-</w:t>
      </w:r>
      <w:proofErr w:type="spellStart"/>
      <w:r w:rsidR="00D46755">
        <w:rPr>
          <w:rFonts w:asciiTheme="majorHAnsi" w:hAnsiTheme="majorHAnsi" w:cstheme="majorHAnsi"/>
        </w:rPr>
        <w:t>vaborbactam</w:t>
      </w:r>
      <w:proofErr w:type="spellEnd"/>
      <w:r w:rsidR="00546782">
        <w:rPr>
          <w:rFonts w:asciiTheme="majorHAnsi" w:hAnsiTheme="majorHAnsi" w:cstheme="majorHAnsi"/>
        </w:rPr>
        <w:t xml:space="preserve">, </w:t>
      </w:r>
      <w:r w:rsidR="00D46755">
        <w:rPr>
          <w:rFonts w:asciiTheme="majorHAnsi" w:hAnsiTheme="majorHAnsi" w:cstheme="majorHAnsi"/>
        </w:rPr>
        <w:t xml:space="preserve">ceftazidime-avibactam </w:t>
      </w:r>
      <w:r w:rsidR="00546782">
        <w:rPr>
          <w:rFonts w:asciiTheme="majorHAnsi" w:hAnsiTheme="majorHAnsi" w:cstheme="majorHAnsi"/>
        </w:rPr>
        <w:t xml:space="preserve">and </w:t>
      </w:r>
      <w:proofErr w:type="spellStart"/>
      <w:r w:rsidR="00D46755">
        <w:rPr>
          <w:rFonts w:asciiTheme="majorHAnsi" w:hAnsiTheme="majorHAnsi" w:cstheme="majorHAnsi"/>
        </w:rPr>
        <w:t>ceftolozane</w:t>
      </w:r>
      <w:proofErr w:type="spellEnd"/>
      <w:r w:rsidR="00D46755">
        <w:rPr>
          <w:rFonts w:asciiTheme="majorHAnsi" w:hAnsiTheme="majorHAnsi" w:cstheme="majorHAnsi"/>
        </w:rPr>
        <w:t>-tazobactam</w:t>
      </w:r>
      <w:r w:rsidR="00FB1AAA">
        <w:rPr>
          <w:rFonts w:asciiTheme="majorHAnsi" w:hAnsiTheme="majorHAnsi" w:cstheme="majorHAnsi"/>
        </w:rPr>
        <w:t xml:space="preserve"> </w:t>
      </w:r>
      <w:r w:rsidR="00FB1AAA">
        <w:rPr>
          <w:rFonts w:asciiTheme="majorHAnsi" w:hAnsiTheme="majorHAnsi" w:cstheme="majorHAnsi"/>
        </w:rPr>
        <w:fldChar w:fldCharType="begin" w:fldLock="1"/>
      </w:r>
      <w:r w:rsidR="00093E93">
        <w:rPr>
          <w:rFonts w:asciiTheme="majorHAnsi" w:hAnsiTheme="majorHAnsi" w:cstheme="majorHAnsi"/>
        </w:rPr>
        <w:instrText>ADDIN CSL_CITATION {"citationItems":[{"id":"ITEM-1","itemData":{"author":[{"dropping-particle":"","family":"Evaluation","given":"Drug","non-dropping-particle":"","parse-names":false,"suffix":""}],"id":"ITEM-1","issued":{"date-parts":[["0"]]},"title":"CENTER FOR DRUG EVALUATION AND CLINICAL MICROBIOLOGY / VIROLOGY REVIEW ( S ) Applicant Name : Date Reviewed : Dosage Strength : Dosage Forms :","type":"article-journal"},"uris":["http://www.mendeley.com/documents/?uuid=cd2a09a9-7b03-42a9-a2ef-819ced3a8c42"]},{"id":"ITEM-2","itemData":{"author":[{"dropping-particle":"","family":"No","given":"Procedure","non-dropping-particle":"","parse-names":false,"suffix":""}],"id":"ITEM-2","issue":"June","issued":{"date-parts":[["2018"]]},"title":"Assessment Report: Vabormere","type":"report","volume":"44"},"uris":["http://www.mendeley.com/documents/?uuid=e3b819fb-a685-4ef0-87cc-bcb28441037a"]},{"id":"ITEM-3","itemData":{"author":[{"dropping-particle":"","family":"No","given":"Procedure","non-dropping-particle":"","parse-names":false,"suffix":""}],"id":"ITEM-3","issue":"April","issued":{"date-parts":[["2016"]]},"title":"Assessment report","type":"article-journal","volume":"44"},"uris":["http://www.mendeley.com/documents/?uuid=c95f98dc-68ac-4dfc-b467-2fcca926762a"]},{"id":"ITEM-4","itemData":{"author":[{"dropping-particle":"","family":"International","given":"Zerbaxa","non-dropping-particle":"","parse-names":false,"suffix":""},{"dropping-particle":"","family":"No","given":"Procedure","non-dropping-particle":"","parse-names":false,"suffix":""}],"id":"ITEM-4","issue":"July","issued":{"date-parts":[["2015"]]},"title":"CHMP assessment report","type":"article-journal","volume":"44"},"uris":["http://www.mendeley.com/documents/?uuid=ae31bbb5-fcaa-4f64-89ab-a58e4a759f87"]}],"mendeley":{"formattedCitation":"(31–34)","plainTextFormattedCitation":"(31–34)","previouslyFormattedCitation":"(31–34)"},"properties":{"noteIndex":0},"schema":"https://github.com/citation-style-language/schema/raw/master/csl-citation.json"}</w:instrText>
      </w:r>
      <w:r w:rsidR="00FB1AAA">
        <w:rPr>
          <w:rFonts w:asciiTheme="majorHAnsi" w:hAnsiTheme="majorHAnsi" w:cstheme="majorHAnsi"/>
        </w:rPr>
        <w:fldChar w:fldCharType="separate"/>
      </w:r>
      <w:r w:rsidR="00F10449" w:rsidRPr="00F10449">
        <w:rPr>
          <w:rFonts w:asciiTheme="majorHAnsi" w:hAnsiTheme="majorHAnsi" w:cstheme="majorHAnsi"/>
          <w:noProof/>
        </w:rPr>
        <w:t>(31–34)</w:t>
      </w:r>
      <w:r w:rsidR="00FB1AAA">
        <w:rPr>
          <w:rFonts w:asciiTheme="majorHAnsi" w:hAnsiTheme="majorHAnsi" w:cstheme="majorHAnsi"/>
        </w:rPr>
        <w:fldChar w:fldCharType="end"/>
      </w:r>
      <w:r w:rsidR="00FB1AAA">
        <w:rPr>
          <w:rFonts w:asciiTheme="majorHAnsi" w:hAnsiTheme="majorHAnsi" w:cstheme="majorHAnsi"/>
        </w:rPr>
        <w:t>.</w:t>
      </w:r>
      <w:r w:rsidR="007D3FCB">
        <w:rPr>
          <w:rFonts w:asciiTheme="majorHAnsi" w:hAnsiTheme="majorHAnsi" w:cstheme="majorHAnsi"/>
        </w:rPr>
        <w:t xml:space="preserve"> </w:t>
      </w:r>
      <w:r w:rsidR="00D32AE8">
        <w:rPr>
          <w:rFonts w:asciiTheme="majorHAnsi" w:hAnsiTheme="majorHAnsi" w:cstheme="majorHAnsi"/>
        </w:rPr>
        <w:t xml:space="preserve"> The relevance of the use of stasis as an endpoint was further supported by the benchmarking studies with ertapenem (Figure 8).  The drug exposure </w:t>
      </w:r>
      <w:r w:rsidR="00AB1BF0">
        <w:rPr>
          <w:rFonts w:asciiTheme="majorHAnsi" w:hAnsiTheme="majorHAnsi" w:cstheme="majorHAnsi"/>
        </w:rPr>
        <w:t xml:space="preserve">in humans </w:t>
      </w:r>
      <w:r w:rsidR="00D32AE8">
        <w:rPr>
          <w:rFonts w:asciiTheme="majorHAnsi" w:hAnsiTheme="majorHAnsi" w:cstheme="majorHAnsi"/>
        </w:rPr>
        <w:t xml:space="preserve">(quantified in terms of </w:t>
      </w:r>
      <w:proofErr w:type="spellStart"/>
      <w:r w:rsidR="00D32AE8" w:rsidRPr="007B02E7">
        <w:rPr>
          <w:rFonts w:asciiTheme="majorHAnsi" w:hAnsiTheme="majorHAnsi" w:cstheme="majorHAnsi"/>
          <w:i/>
        </w:rPr>
        <w:t>f</w:t>
      </w:r>
      <w:r w:rsidR="00D32AE8">
        <w:rPr>
          <w:rFonts w:asciiTheme="majorHAnsi" w:hAnsiTheme="majorHAnsi" w:cstheme="majorHAnsi"/>
        </w:rPr>
        <w:t>T</w:t>
      </w:r>
      <w:proofErr w:type="spellEnd"/>
      <w:r w:rsidR="00D32AE8">
        <w:rPr>
          <w:rFonts w:asciiTheme="majorHAnsi" w:hAnsiTheme="majorHAnsi" w:cstheme="majorHAnsi"/>
        </w:rPr>
        <w:t xml:space="preserve">&gt;MIC and </w:t>
      </w:r>
      <w:proofErr w:type="spellStart"/>
      <w:proofErr w:type="gramStart"/>
      <w:r w:rsidR="00D32AE8" w:rsidRPr="007B02E7">
        <w:rPr>
          <w:rFonts w:asciiTheme="majorHAnsi" w:hAnsiTheme="majorHAnsi" w:cstheme="majorHAnsi"/>
          <w:i/>
        </w:rPr>
        <w:t>f</w:t>
      </w:r>
      <w:r w:rsidR="00D32AE8">
        <w:rPr>
          <w:rFonts w:asciiTheme="majorHAnsi" w:hAnsiTheme="majorHAnsi" w:cstheme="majorHAnsi"/>
        </w:rPr>
        <w:t>AUC</w:t>
      </w:r>
      <w:r w:rsidR="00AB1BF0">
        <w:rPr>
          <w:rFonts w:asciiTheme="majorHAnsi" w:hAnsiTheme="majorHAnsi" w:cstheme="majorHAnsi"/>
        </w:rPr>
        <w:t>:MIC</w:t>
      </w:r>
      <w:proofErr w:type="spellEnd"/>
      <w:proofErr w:type="gramEnd"/>
      <w:r w:rsidR="00AB1BF0">
        <w:rPr>
          <w:rFonts w:asciiTheme="majorHAnsi" w:hAnsiTheme="majorHAnsi" w:cstheme="majorHAnsi"/>
        </w:rPr>
        <w:t>*1/tau) generated by 1 gram i.v. q24h also produces stasis in the murine thigh infection model.</w:t>
      </w:r>
    </w:p>
    <w:p w14:paraId="34F5751F" w14:textId="16BE49F0" w:rsidR="00CA2753" w:rsidRDefault="00A15A38" w:rsidP="00027CE7">
      <w:pPr>
        <w:rPr>
          <w:rFonts w:asciiTheme="majorHAnsi" w:hAnsiTheme="majorHAnsi" w:cstheme="majorHAnsi"/>
        </w:rPr>
      </w:pPr>
      <w:r>
        <w:rPr>
          <w:rFonts w:asciiTheme="majorHAnsi" w:hAnsiTheme="majorHAnsi" w:cstheme="majorHAnsi"/>
        </w:rPr>
        <w:tab/>
      </w:r>
      <w:r w:rsidR="00127FDF">
        <w:rPr>
          <w:rFonts w:asciiTheme="majorHAnsi" w:hAnsiTheme="majorHAnsi" w:cstheme="majorHAnsi"/>
        </w:rPr>
        <w:t>T</w:t>
      </w:r>
      <w:r w:rsidR="0091436E">
        <w:rPr>
          <w:rFonts w:asciiTheme="majorHAnsi" w:hAnsiTheme="majorHAnsi" w:cstheme="majorHAnsi"/>
        </w:rPr>
        <w:t>ebipenem</w:t>
      </w:r>
      <w:r w:rsidR="00F2397A">
        <w:rPr>
          <w:rFonts w:asciiTheme="majorHAnsi" w:hAnsiTheme="majorHAnsi" w:cstheme="majorHAnsi"/>
        </w:rPr>
        <w:t xml:space="preserve"> has a relatively long half-life</w:t>
      </w:r>
      <w:r w:rsidR="0091436E">
        <w:rPr>
          <w:rFonts w:asciiTheme="majorHAnsi" w:hAnsiTheme="majorHAnsi" w:cstheme="majorHAnsi"/>
        </w:rPr>
        <w:t xml:space="preserve"> in mice (</w:t>
      </w:r>
      <w:r w:rsidR="0091436E" w:rsidRPr="0091436E">
        <w:rPr>
          <w:rFonts w:asciiTheme="majorHAnsi" w:hAnsiTheme="majorHAnsi" w:cstheme="majorHAnsi"/>
          <w:i/>
        </w:rPr>
        <w:t>circa</w:t>
      </w:r>
      <w:r w:rsidR="0091436E">
        <w:rPr>
          <w:rFonts w:asciiTheme="majorHAnsi" w:hAnsiTheme="majorHAnsi" w:cstheme="majorHAnsi"/>
        </w:rPr>
        <w:t xml:space="preserve"> </w:t>
      </w:r>
      <w:r w:rsidR="008F463C">
        <w:rPr>
          <w:rFonts w:asciiTheme="majorHAnsi" w:hAnsiTheme="majorHAnsi" w:cstheme="majorHAnsi"/>
        </w:rPr>
        <w:t xml:space="preserve">2.72 </w:t>
      </w:r>
      <w:r w:rsidR="0091436E">
        <w:rPr>
          <w:rFonts w:asciiTheme="majorHAnsi" w:hAnsiTheme="majorHAnsi" w:cstheme="majorHAnsi"/>
        </w:rPr>
        <w:t>hours)</w:t>
      </w:r>
      <w:r w:rsidR="00F2397A">
        <w:rPr>
          <w:rFonts w:asciiTheme="majorHAnsi" w:hAnsiTheme="majorHAnsi" w:cstheme="majorHAnsi"/>
        </w:rPr>
        <w:t xml:space="preserve"> and high </w:t>
      </w:r>
      <w:r w:rsidR="00621A38">
        <w:rPr>
          <w:rFonts w:asciiTheme="majorHAnsi" w:hAnsiTheme="majorHAnsi" w:cstheme="majorHAnsi"/>
        </w:rPr>
        <w:t xml:space="preserve">murine </w:t>
      </w:r>
      <w:r w:rsidR="00F2397A">
        <w:rPr>
          <w:rFonts w:asciiTheme="majorHAnsi" w:hAnsiTheme="majorHAnsi" w:cstheme="majorHAnsi"/>
        </w:rPr>
        <w:t>protein binding.  However, t</w:t>
      </w:r>
      <w:r>
        <w:rPr>
          <w:rFonts w:asciiTheme="majorHAnsi" w:hAnsiTheme="majorHAnsi" w:cstheme="majorHAnsi"/>
        </w:rPr>
        <w:t xml:space="preserve">he </w:t>
      </w:r>
      <w:r w:rsidR="00127FDF">
        <w:rPr>
          <w:rFonts w:asciiTheme="majorHAnsi" w:hAnsiTheme="majorHAnsi" w:cstheme="majorHAnsi"/>
        </w:rPr>
        <w:t xml:space="preserve">pharmacodynamic </w:t>
      </w:r>
      <w:r>
        <w:rPr>
          <w:rFonts w:asciiTheme="majorHAnsi" w:hAnsiTheme="majorHAnsi" w:cstheme="majorHAnsi"/>
        </w:rPr>
        <w:t>data from the murine models and HFIM</w:t>
      </w:r>
      <w:r w:rsidR="00F2397A">
        <w:rPr>
          <w:rFonts w:asciiTheme="majorHAnsi" w:hAnsiTheme="majorHAnsi" w:cstheme="majorHAnsi"/>
        </w:rPr>
        <w:t xml:space="preserve"> (</w:t>
      </w:r>
      <w:r w:rsidR="00127FDF">
        <w:rPr>
          <w:rFonts w:asciiTheme="majorHAnsi" w:hAnsiTheme="majorHAnsi" w:cstheme="majorHAnsi"/>
        </w:rPr>
        <w:t xml:space="preserve">using </w:t>
      </w:r>
      <w:r w:rsidR="00F2397A">
        <w:rPr>
          <w:rFonts w:asciiTheme="majorHAnsi" w:hAnsiTheme="majorHAnsi" w:cstheme="majorHAnsi"/>
        </w:rPr>
        <w:t xml:space="preserve">a </w:t>
      </w:r>
      <w:r w:rsidR="00127FDF">
        <w:rPr>
          <w:rFonts w:asciiTheme="majorHAnsi" w:hAnsiTheme="majorHAnsi" w:cstheme="majorHAnsi"/>
        </w:rPr>
        <w:t xml:space="preserve">PK </w:t>
      </w:r>
      <w:r w:rsidR="00F2397A">
        <w:rPr>
          <w:rFonts w:asciiTheme="majorHAnsi" w:hAnsiTheme="majorHAnsi" w:cstheme="majorHAnsi"/>
        </w:rPr>
        <w:t xml:space="preserve">profile based on </w:t>
      </w:r>
      <w:r w:rsidR="00127FDF">
        <w:rPr>
          <w:rFonts w:asciiTheme="majorHAnsi" w:hAnsiTheme="majorHAnsi" w:cstheme="majorHAnsi"/>
        </w:rPr>
        <w:t>healthy volunteers</w:t>
      </w:r>
      <w:r w:rsidR="00F2397A">
        <w:rPr>
          <w:rFonts w:asciiTheme="majorHAnsi" w:hAnsiTheme="majorHAnsi" w:cstheme="majorHAnsi"/>
        </w:rPr>
        <w:t>)</w:t>
      </w:r>
      <w:r>
        <w:rPr>
          <w:rFonts w:asciiTheme="majorHAnsi" w:hAnsiTheme="majorHAnsi" w:cstheme="majorHAnsi"/>
        </w:rPr>
        <w:t xml:space="preserve"> were remarkably consistent</w:t>
      </w:r>
      <w:r w:rsidR="00603081">
        <w:rPr>
          <w:rFonts w:asciiTheme="majorHAnsi" w:hAnsiTheme="majorHAnsi" w:cstheme="majorHAnsi"/>
        </w:rPr>
        <w:t xml:space="preserve">.  </w:t>
      </w:r>
      <w:r w:rsidR="00D43CAB">
        <w:rPr>
          <w:rFonts w:asciiTheme="majorHAnsi" w:hAnsiTheme="majorHAnsi" w:cstheme="majorHAnsi"/>
        </w:rPr>
        <w:t xml:space="preserve">Confidence in the </w:t>
      </w:r>
      <w:r w:rsidR="00603081">
        <w:rPr>
          <w:rFonts w:asciiTheme="majorHAnsi" w:hAnsiTheme="majorHAnsi" w:cstheme="majorHAnsi"/>
        </w:rPr>
        <w:t xml:space="preserve">findings </w:t>
      </w:r>
      <w:r w:rsidR="003D011D">
        <w:rPr>
          <w:rFonts w:asciiTheme="majorHAnsi" w:hAnsiTheme="majorHAnsi" w:cstheme="majorHAnsi"/>
        </w:rPr>
        <w:t>w</w:t>
      </w:r>
      <w:r w:rsidR="00D43CAB">
        <w:rPr>
          <w:rFonts w:asciiTheme="majorHAnsi" w:hAnsiTheme="majorHAnsi" w:cstheme="majorHAnsi"/>
        </w:rPr>
        <w:t>as</w:t>
      </w:r>
      <w:r w:rsidR="003D011D">
        <w:rPr>
          <w:rFonts w:asciiTheme="majorHAnsi" w:hAnsiTheme="majorHAnsi" w:cstheme="majorHAnsi"/>
        </w:rPr>
        <w:t xml:space="preserve"> further</w:t>
      </w:r>
      <w:r w:rsidR="000928D2">
        <w:rPr>
          <w:rFonts w:asciiTheme="majorHAnsi" w:hAnsiTheme="majorHAnsi" w:cstheme="majorHAnsi"/>
        </w:rPr>
        <w:t xml:space="preserve"> </w:t>
      </w:r>
      <w:r w:rsidR="00D43CAB">
        <w:rPr>
          <w:rFonts w:asciiTheme="majorHAnsi" w:hAnsiTheme="majorHAnsi" w:cstheme="majorHAnsi"/>
        </w:rPr>
        <w:t>increased</w:t>
      </w:r>
      <w:r w:rsidR="00603081">
        <w:rPr>
          <w:rFonts w:asciiTheme="majorHAnsi" w:hAnsiTheme="majorHAnsi" w:cstheme="majorHAnsi"/>
        </w:rPr>
        <w:t xml:space="preserve"> by </w:t>
      </w:r>
      <w:r w:rsidR="00D43CAB">
        <w:rPr>
          <w:rFonts w:asciiTheme="majorHAnsi" w:hAnsiTheme="majorHAnsi" w:cstheme="majorHAnsi"/>
        </w:rPr>
        <w:t xml:space="preserve">the same conclusions from </w:t>
      </w:r>
      <w:r w:rsidR="00603081">
        <w:rPr>
          <w:rFonts w:asciiTheme="majorHAnsi" w:hAnsiTheme="majorHAnsi" w:cstheme="majorHAnsi"/>
        </w:rPr>
        <w:t xml:space="preserve">dose fractionation studies performed in two experimental model systems </w:t>
      </w:r>
      <w:r w:rsidR="000928D2">
        <w:rPr>
          <w:rFonts w:asciiTheme="majorHAnsi" w:hAnsiTheme="majorHAnsi" w:cstheme="majorHAnsi"/>
        </w:rPr>
        <w:t>(mice and HFIM)</w:t>
      </w:r>
      <w:r w:rsidR="003D152B">
        <w:rPr>
          <w:rFonts w:asciiTheme="majorHAnsi" w:hAnsiTheme="majorHAnsi" w:cstheme="majorHAnsi"/>
        </w:rPr>
        <w:t xml:space="preserve">, </w:t>
      </w:r>
      <w:r w:rsidR="00D43CAB">
        <w:rPr>
          <w:rFonts w:asciiTheme="majorHAnsi" w:hAnsiTheme="majorHAnsi" w:cstheme="majorHAnsi"/>
        </w:rPr>
        <w:t xml:space="preserve">the </w:t>
      </w:r>
      <w:r w:rsidR="00174CE4">
        <w:rPr>
          <w:rFonts w:asciiTheme="majorHAnsi" w:hAnsiTheme="majorHAnsi" w:cstheme="majorHAnsi"/>
        </w:rPr>
        <w:t>pharmacodynamic</w:t>
      </w:r>
      <w:r w:rsidR="003D152B">
        <w:rPr>
          <w:rFonts w:asciiTheme="majorHAnsi" w:hAnsiTheme="majorHAnsi" w:cstheme="majorHAnsi"/>
        </w:rPr>
        <w:t xml:space="preserve"> assessment of</w:t>
      </w:r>
      <w:r w:rsidR="00603081">
        <w:rPr>
          <w:rFonts w:asciiTheme="majorHAnsi" w:hAnsiTheme="majorHAnsi" w:cstheme="majorHAnsi"/>
        </w:rPr>
        <w:t xml:space="preserve"> </w:t>
      </w:r>
      <w:r w:rsidR="00D43CAB">
        <w:rPr>
          <w:rFonts w:asciiTheme="majorHAnsi" w:hAnsiTheme="majorHAnsi" w:cstheme="majorHAnsi"/>
        </w:rPr>
        <w:t xml:space="preserve">11 </w:t>
      </w:r>
      <w:r w:rsidR="003D152B">
        <w:rPr>
          <w:rFonts w:asciiTheme="majorHAnsi" w:hAnsiTheme="majorHAnsi" w:cstheme="majorHAnsi"/>
        </w:rPr>
        <w:t xml:space="preserve">different strains of </w:t>
      </w:r>
      <w:r w:rsidR="003D152B" w:rsidRPr="00E819F3">
        <w:rPr>
          <w:rFonts w:asciiTheme="majorHAnsi" w:hAnsiTheme="majorHAnsi" w:cstheme="majorHAnsi"/>
        </w:rPr>
        <w:t>Enterobacteriaceae</w:t>
      </w:r>
      <w:r w:rsidR="00174CE4" w:rsidRPr="00E819F3">
        <w:rPr>
          <w:rFonts w:asciiTheme="majorHAnsi" w:hAnsiTheme="majorHAnsi" w:cstheme="majorHAnsi"/>
        </w:rPr>
        <w:t xml:space="preserve"> </w:t>
      </w:r>
      <w:r w:rsidR="00174CE4">
        <w:rPr>
          <w:rFonts w:asciiTheme="majorHAnsi" w:hAnsiTheme="majorHAnsi" w:cstheme="majorHAnsi"/>
        </w:rPr>
        <w:t>with a variety of resistance mechanisms</w:t>
      </w:r>
      <w:r w:rsidR="007171B3">
        <w:rPr>
          <w:rFonts w:asciiTheme="majorHAnsi" w:hAnsiTheme="majorHAnsi" w:cstheme="majorHAnsi"/>
        </w:rPr>
        <w:t>,</w:t>
      </w:r>
      <w:r w:rsidR="00174CE4">
        <w:rPr>
          <w:rFonts w:asciiTheme="majorHAnsi" w:hAnsiTheme="majorHAnsi" w:cstheme="majorHAnsi"/>
        </w:rPr>
        <w:t xml:space="preserve"> and an understanding of the liability for the emergence of resistance with the candidate regimen for patients with </w:t>
      </w:r>
      <w:proofErr w:type="spellStart"/>
      <w:r w:rsidR="00174CE4">
        <w:rPr>
          <w:rFonts w:asciiTheme="majorHAnsi" w:hAnsiTheme="majorHAnsi" w:cstheme="majorHAnsi"/>
        </w:rPr>
        <w:t>cUTI</w:t>
      </w:r>
      <w:proofErr w:type="spellEnd"/>
      <w:r w:rsidR="00174CE4">
        <w:rPr>
          <w:rFonts w:asciiTheme="majorHAnsi" w:hAnsiTheme="majorHAnsi" w:cstheme="majorHAnsi"/>
        </w:rPr>
        <w:t xml:space="preserve">.  </w:t>
      </w:r>
      <w:r w:rsidR="000B3F5E">
        <w:rPr>
          <w:rFonts w:asciiTheme="majorHAnsi" w:hAnsiTheme="majorHAnsi" w:cstheme="majorHAnsi"/>
        </w:rPr>
        <w:t xml:space="preserve">Together with human pharmacokinetic data, these </w:t>
      </w:r>
      <w:r w:rsidR="000B3F5E">
        <w:rPr>
          <w:rFonts w:asciiTheme="majorHAnsi" w:hAnsiTheme="majorHAnsi" w:cstheme="majorHAnsi"/>
        </w:rPr>
        <w:lastRenderedPageBreak/>
        <w:t xml:space="preserve">pharmacodynamic </w:t>
      </w:r>
      <w:r w:rsidR="006C7CB8">
        <w:rPr>
          <w:rFonts w:asciiTheme="majorHAnsi" w:hAnsiTheme="majorHAnsi" w:cstheme="majorHAnsi"/>
        </w:rPr>
        <w:t xml:space="preserve">models </w:t>
      </w:r>
      <w:r w:rsidR="00127FDF">
        <w:rPr>
          <w:rFonts w:asciiTheme="majorHAnsi" w:hAnsiTheme="majorHAnsi" w:cstheme="majorHAnsi"/>
        </w:rPr>
        <w:t>provide a rationale for the</w:t>
      </w:r>
      <w:r w:rsidR="006C7CB8">
        <w:rPr>
          <w:rFonts w:asciiTheme="majorHAnsi" w:hAnsiTheme="majorHAnsi" w:cstheme="majorHAnsi"/>
        </w:rPr>
        <w:t xml:space="preserve"> selection of a </w:t>
      </w:r>
      <w:r w:rsidR="00737C82">
        <w:rPr>
          <w:rFonts w:asciiTheme="majorHAnsi" w:hAnsiTheme="majorHAnsi" w:cstheme="majorHAnsi"/>
        </w:rPr>
        <w:t>TBPM</w:t>
      </w:r>
      <w:r w:rsidR="006C7CB8">
        <w:rPr>
          <w:rFonts w:asciiTheme="majorHAnsi" w:hAnsiTheme="majorHAnsi" w:cstheme="majorHAnsi"/>
        </w:rPr>
        <w:t xml:space="preserve">-PI-HBr regimen for a Phase </w:t>
      </w:r>
      <w:r w:rsidR="00737C82">
        <w:rPr>
          <w:rFonts w:asciiTheme="majorHAnsi" w:hAnsiTheme="majorHAnsi" w:cstheme="majorHAnsi"/>
        </w:rPr>
        <w:t>III</w:t>
      </w:r>
      <w:r w:rsidR="006C7CB8">
        <w:rPr>
          <w:rFonts w:asciiTheme="majorHAnsi" w:hAnsiTheme="majorHAnsi" w:cstheme="majorHAnsi"/>
        </w:rPr>
        <w:t xml:space="preserve"> trial comparing oral tebipenem to intravenous ertapenem in patients with </w:t>
      </w:r>
      <w:proofErr w:type="spellStart"/>
      <w:r w:rsidR="00737C82">
        <w:rPr>
          <w:rFonts w:asciiTheme="majorHAnsi" w:hAnsiTheme="majorHAnsi" w:cstheme="majorHAnsi"/>
        </w:rPr>
        <w:t>cUTI</w:t>
      </w:r>
      <w:proofErr w:type="spellEnd"/>
      <w:r w:rsidR="00737C82">
        <w:rPr>
          <w:rFonts w:asciiTheme="majorHAnsi" w:hAnsiTheme="majorHAnsi" w:cstheme="majorHAnsi"/>
        </w:rPr>
        <w:t>.</w:t>
      </w:r>
    </w:p>
    <w:p w14:paraId="6F91E0D6" w14:textId="77777777" w:rsidR="000B3F5E" w:rsidRDefault="000B3F5E" w:rsidP="00027CE7">
      <w:pPr>
        <w:rPr>
          <w:rFonts w:asciiTheme="majorHAnsi" w:hAnsiTheme="majorHAnsi" w:cstheme="majorHAnsi"/>
        </w:rPr>
      </w:pPr>
    </w:p>
    <w:p w14:paraId="6FD2C133" w14:textId="62F24FE2" w:rsidR="00CA2753" w:rsidRDefault="00CA2753">
      <w:pPr>
        <w:ind w:firstLine="720"/>
        <w:rPr>
          <w:rFonts w:asciiTheme="majorHAnsi" w:hAnsiTheme="majorHAnsi" w:cstheme="majorHAnsi"/>
        </w:rPr>
      </w:pPr>
    </w:p>
    <w:p w14:paraId="04EF82D9" w14:textId="77777777" w:rsidR="00CA2753" w:rsidRDefault="00CA2753" w:rsidP="000468CD">
      <w:pPr>
        <w:ind w:firstLine="720"/>
        <w:rPr>
          <w:rFonts w:asciiTheme="majorHAnsi" w:hAnsiTheme="majorHAnsi" w:cstheme="majorHAnsi"/>
        </w:rPr>
      </w:pPr>
    </w:p>
    <w:p w14:paraId="0B93A522" w14:textId="41E89A64" w:rsidR="00E96E28" w:rsidRDefault="00E96E28">
      <w:pPr>
        <w:rPr>
          <w:rFonts w:asciiTheme="majorHAnsi" w:hAnsiTheme="majorHAnsi" w:cstheme="majorHAnsi"/>
        </w:rPr>
      </w:pPr>
    </w:p>
    <w:p w14:paraId="6A4B3058" w14:textId="77777777" w:rsidR="007B5401" w:rsidRDefault="007B5401" w:rsidP="00D85A8C">
      <w:pPr>
        <w:pStyle w:val="EndNoteBibliography"/>
        <w:ind w:firstLine="720"/>
        <w:rPr>
          <w:rFonts w:asciiTheme="majorHAnsi" w:hAnsiTheme="majorHAnsi" w:cstheme="majorHAnsi"/>
          <w:noProof/>
        </w:rPr>
      </w:pPr>
    </w:p>
    <w:p w14:paraId="29630782" w14:textId="7A38112B" w:rsidR="00770144" w:rsidRDefault="00770144" w:rsidP="00027CE7">
      <w:pPr>
        <w:ind w:left="720"/>
        <w:rPr>
          <w:rFonts w:asciiTheme="majorHAnsi" w:hAnsiTheme="majorHAnsi" w:cstheme="majorHAnsi"/>
        </w:rPr>
      </w:pPr>
      <w:r w:rsidRPr="00150239">
        <w:rPr>
          <w:rFonts w:asciiTheme="majorHAnsi" w:hAnsiTheme="majorHAnsi" w:cstheme="majorHAnsi"/>
        </w:rPr>
        <w:br w:type="page"/>
      </w:r>
    </w:p>
    <w:p w14:paraId="53F791C9" w14:textId="77777777" w:rsidR="00FF7117" w:rsidRPr="00150239" w:rsidRDefault="00FF7117">
      <w:pPr>
        <w:rPr>
          <w:rFonts w:asciiTheme="majorHAnsi" w:hAnsiTheme="majorHAnsi" w:cstheme="majorHAnsi"/>
        </w:rPr>
      </w:pPr>
    </w:p>
    <w:p w14:paraId="5723C9E3" w14:textId="77777777" w:rsidR="00770144" w:rsidRPr="00150239" w:rsidRDefault="00770144">
      <w:pPr>
        <w:rPr>
          <w:rFonts w:asciiTheme="majorHAnsi" w:hAnsiTheme="majorHAnsi" w:cstheme="majorHAnsi"/>
        </w:rPr>
      </w:pPr>
      <w:r w:rsidRPr="00150239">
        <w:rPr>
          <w:rFonts w:asciiTheme="majorHAnsi" w:hAnsiTheme="majorHAnsi" w:cstheme="majorHAnsi"/>
        </w:rPr>
        <w:t>METHODS</w:t>
      </w:r>
    </w:p>
    <w:p w14:paraId="1304FB22" w14:textId="77777777" w:rsidR="00770144" w:rsidRPr="00150239" w:rsidRDefault="00770144">
      <w:pPr>
        <w:rPr>
          <w:rFonts w:asciiTheme="majorHAnsi" w:hAnsiTheme="majorHAnsi" w:cstheme="majorHAnsi"/>
        </w:rPr>
      </w:pPr>
    </w:p>
    <w:p w14:paraId="41230FE2" w14:textId="6FD71E45" w:rsidR="00770144" w:rsidRPr="00150239" w:rsidRDefault="00770144">
      <w:pPr>
        <w:rPr>
          <w:rFonts w:asciiTheme="majorHAnsi" w:hAnsiTheme="majorHAnsi" w:cstheme="majorHAnsi"/>
          <w:i/>
        </w:rPr>
      </w:pPr>
      <w:r w:rsidRPr="00150239">
        <w:rPr>
          <w:rFonts w:asciiTheme="majorHAnsi" w:hAnsiTheme="majorHAnsi" w:cstheme="majorHAnsi"/>
          <w:i/>
        </w:rPr>
        <w:t>Drug</w:t>
      </w:r>
    </w:p>
    <w:p w14:paraId="59077663" w14:textId="5102E7A8" w:rsidR="00150239" w:rsidRDefault="00F24EC5" w:rsidP="001C681C">
      <w:pPr>
        <w:rPr>
          <w:rFonts w:asciiTheme="majorHAnsi" w:hAnsiTheme="majorHAnsi" w:cstheme="majorHAnsi"/>
          <w:lang w:val="en-US"/>
        </w:rPr>
      </w:pPr>
      <w:r w:rsidRPr="00150239">
        <w:rPr>
          <w:rFonts w:asciiTheme="majorHAnsi" w:hAnsiTheme="majorHAnsi" w:cstheme="majorHAnsi"/>
        </w:rPr>
        <w:tab/>
        <w:t xml:space="preserve">Tebipenem </w:t>
      </w:r>
      <w:r w:rsidR="00D703E2">
        <w:rPr>
          <w:rFonts w:asciiTheme="majorHAnsi" w:hAnsiTheme="majorHAnsi" w:cstheme="majorHAnsi"/>
        </w:rPr>
        <w:t xml:space="preserve">(pure active compound) </w:t>
      </w:r>
      <w:r w:rsidRPr="00150239">
        <w:rPr>
          <w:rFonts w:asciiTheme="majorHAnsi" w:hAnsiTheme="majorHAnsi" w:cstheme="majorHAnsi"/>
        </w:rPr>
        <w:t xml:space="preserve">was supplied by Spero Therapeutics as </w:t>
      </w:r>
      <w:r w:rsidR="007B72AC" w:rsidRPr="00150239">
        <w:rPr>
          <w:rFonts w:asciiTheme="majorHAnsi" w:hAnsiTheme="majorHAnsi" w:cstheme="majorHAnsi"/>
        </w:rPr>
        <w:t>SPR8</w:t>
      </w:r>
      <w:r w:rsidR="009C1614" w:rsidRPr="00150239">
        <w:rPr>
          <w:rFonts w:asciiTheme="majorHAnsi" w:hAnsiTheme="majorHAnsi" w:cstheme="majorHAnsi"/>
        </w:rPr>
        <w:t>59</w:t>
      </w:r>
      <w:r w:rsidR="007B72AC" w:rsidRPr="00150239">
        <w:rPr>
          <w:rFonts w:asciiTheme="majorHAnsi" w:hAnsiTheme="majorHAnsi" w:cstheme="majorHAnsi"/>
        </w:rPr>
        <w:t xml:space="preserve"> (pure </w:t>
      </w:r>
      <w:r w:rsidR="00150239">
        <w:rPr>
          <w:rFonts w:asciiTheme="majorHAnsi" w:hAnsiTheme="majorHAnsi" w:cstheme="majorHAnsi"/>
        </w:rPr>
        <w:t xml:space="preserve">active </w:t>
      </w:r>
      <w:r w:rsidR="007B72AC" w:rsidRPr="00150239">
        <w:rPr>
          <w:rFonts w:asciiTheme="majorHAnsi" w:hAnsiTheme="majorHAnsi" w:cstheme="majorHAnsi"/>
        </w:rPr>
        <w:t>compound</w:t>
      </w:r>
      <w:r w:rsidR="00150239">
        <w:rPr>
          <w:rFonts w:asciiTheme="majorHAnsi" w:hAnsiTheme="majorHAnsi" w:cstheme="majorHAnsi"/>
        </w:rPr>
        <w:t>)</w:t>
      </w:r>
      <w:r w:rsidR="007B72AC" w:rsidRPr="00150239">
        <w:rPr>
          <w:rFonts w:asciiTheme="majorHAnsi" w:hAnsiTheme="majorHAnsi" w:cstheme="majorHAnsi"/>
        </w:rPr>
        <w:t xml:space="preserve"> for LC/MS/MS, hollow fibre studies, MICs and incorporation into agar for emergence of resistance.  The </w:t>
      </w:r>
      <w:r w:rsidR="00D703E2">
        <w:rPr>
          <w:rFonts w:asciiTheme="majorHAnsi" w:hAnsiTheme="majorHAnsi" w:cstheme="majorHAnsi"/>
        </w:rPr>
        <w:t>orally bioavailable</w:t>
      </w:r>
      <w:r w:rsidR="00150239">
        <w:rPr>
          <w:rFonts w:asciiTheme="majorHAnsi" w:hAnsiTheme="majorHAnsi" w:cstheme="majorHAnsi"/>
        </w:rPr>
        <w:t xml:space="preserve"> prodrug</w:t>
      </w:r>
      <w:r w:rsidR="009C1614" w:rsidRPr="00150239">
        <w:rPr>
          <w:rFonts w:asciiTheme="majorHAnsi" w:hAnsiTheme="majorHAnsi" w:cstheme="majorHAnsi"/>
        </w:rPr>
        <w:t xml:space="preserve"> (</w:t>
      </w:r>
      <w:r w:rsidR="00B219A3">
        <w:rPr>
          <w:rFonts w:asciiTheme="majorHAnsi" w:hAnsiTheme="majorHAnsi" w:cstheme="majorHAnsi"/>
        </w:rPr>
        <w:t>TBPM-PI</w:t>
      </w:r>
      <w:r w:rsidR="00AB67E3">
        <w:rPr>
          <w:rFonts w:asciiTheme="majorHAnsi" w:hAnsiTheme="majorHAnsi" w:cstheme="majorHAnsi"/>
        </w:rPr>
        <w:t>-</w:t>
      </w:r>
      <w:proofErr w:type="spellStart"/>
      <w:r w:rsidR="00AB67E3">
        <w:rPr>
          <w:rFonts w:asciiTheme="majorHAnsi" w:hAnsiTheme="majorHAnsi" w:cstheme="majorHAnsi"/>
        </w:rPr>
        <w:t>Hbr</w:t>
      </w:r>
      <w:proofErr w:type="spellEnd"/>
      <w:r w:rsidR="009C1614" w:rsidRPr="00150239">
        <w:rPr>
          <w:rFonts w:asciiTheme="majorHAnsi" w:hAnsiTheme="majorHAnsi" w:cstheme="majorHAnsi"/>
        </w:rPr>
        <w:t>)</w:t>
      </w:r>
      <w:r w:rsidR="007B72AC" w:rsidRPr="00150239">
        <w:rPr>
          <w:rFonts w:asciiTheme="majorHAnsi" w:hAnsiTheme="majorHAnsi" w:cstheme="majorHAnsi"/>
        </w:rPr>
        <w:t xml:space="preserve"> was used for all murine studies.  </w:t>
      </w:r>
      <w:r w:rsidR="009C1614" w:rsidRPr="00150239">
        <w:rPr>
          <w:rFonts w:asciiTheme="majorHAnsi" w:hAnsiTheme="majorHAnsi" w:cstheme="majorHAnsi"/>
          <w:lang w:val="en-US"/>
        </w:rPr>
        <w:t>Dose formulations were stored on the bench at ambient temperature for the length of the study</w:t>
      </w:r>
      <w:r w:rsidR="00B541DB">
        <w:rPr>
          <w:rFonts w:asciiTheme="majorHAnsi" w:hAnsiTheme="majorHAnsi" w:cstheme="majorHAnsi"/>
          <w:lang w:val="en-US"/>
        </w:rPr>
        <w:t xml:space="preserve"> and stability in these conditions was established</w:t>
      </w:r>
      <w:r w:rsidR="00B54A6A">
        <w:rPr>
          <w:rFonts w:asciiTheme="majorHAnsi" w:hAnsiTheme="majorHAnsi" w:cstheme="majorHAnsi"/>
          <w:lang w:val="en-US"/>
        </w:rPr>
        <w:t xml:space="preserve"> </w:t>
      </w:r>
      <w:r w:rsidR="009C1614" w:rsidRPr="00150239">
        <w:rPr>
          <w:rFonts w:asciiTheme="majorHAnsi" w:hAnsiTheme="majorHAnsi" w:cstheme="majorHAnsi"/>
          <w:lang w:val="en-US"/>
        </w:rPr>
        <w:t xml:space="preserve">(no longer than 24 hours). </w:t>
      </w:r>
    </w:p>
    <w:p w14:paraId="79252458" w14:textId="26FB7BD4" w:rsidR="00770144" w:rsidRPr="00150239" w:rsidRDefault="009C1614" w:rsidP="00150239">
      <w:pPr>
        <w:autoSpaceDE w:val="0"/>
        <w:autoSpaceDN w:val="0"/>
        <w:adjustRightInd w:val="0"/>
        <w:ind w:firstLine="720"/>
        <w:rPr>
          <w:rFonts w:asciiTheme="majorHAnsi" w:hAnsiTheme="majorHAnsi" w:cstheme="majorHAnsi"/>
        </w:rPr>
      </w:pPr>
      <w:r w:rsidRPr="00150239">
        <w:rPr>
          <w:rFonts w:asciiTheme="majorHAnsi" w:hAnsiTheme="majorHAnsi" w:cstheme="majorHAnsi"/>
          <w:lang w:val="en-US"/>
        </w:rPr>
        <w:t>All test articles were prepared based on a dosing volume of</w:t>
      </w:r>
      <w:r w:rsidR="00150239">
        <w:rPr>
          <w:rFonts w:asciiTheme="majorHAnsi" w:hAnsiTheme="majorHAnsi" w:cstheme="majorHAnsi"/>
          <w:lang w:val="en-US"/>
        </w:rPr>
        <w:t xml:space="preserve"> </w:t>
      </w:r>
      <w:r w:rsidRPr="00150239">
        <w:rPr>
          <w:rFonts w:asciiTheme="majorHAnsi" w:hAnsiTheme="majorHAnsi" w:cstheme="majorHAnsi"/>
          <w:lang w:val="en-US"/>
        </w:rPr>
        <w:t xml:space="preserve">10 mL/kg. </w:t>
      </w:r>
      <w:r w:rsidR="00150239">
        <w:rPr>
          <w:rFonts w:asciiTheme="majorHAnsi" w:hAnsiTheme="majorHAnsi" w:cstheme="majorHAnsi"/>
          <w:lang w:val="en-US"/>
        </w:rPr>
        <w:t xml:space="preserve"> </w:t>
      </w:r>
      <w:r w:rsidR="00D703E2">
        <w:rPr>
          <w:rFonts w:asciiTheme="majorHAnsi" w:hAnsiTheme="majorHAnsi" w:cstheme="majorHAnsi"/>
          <w:lang w:val="en-US"/>
        </w:rPr>
        <w:t>TBPM-PI</w:t>
      </w:r>
      <w:r w:rsidR="00AB67E3">
        <w:rPr>
          <w:rFonts w:asciiTheme="majorHAnsi" w:hAnsiTheme="majorHAnsi" w:cstheme="majorHAnsi"/>
          <w:lang w:val="en-US"/>
        </w:rPr>
        <w:t>-HBr</w:t>
      </w:r>
      <w:r w:rsidRPr="00150239">
        <w:rPr>
          <w:rFonts w:asciiTheme="majorHAnsi" w:hAnsiTheme="majorHAnsi" w:cstheme="majorHAnsi"/>
          <w:lang w:val="en-US"/>
        </w:rPr>
        <w:t xml:space="preserve"> was stored at room temperature.</w:t>
      </w:r>
      <w:r w:rsidR="00150239">
        <w:rPr>
          <w:rFonts w:asciiTheme="majorHAnsi" w:hAnsiTheme="majorHAnsi" w:cstheme="majorHAnsi"/>
          <w:lang w:val="en-US"/>
        </w:rPr>
        <w:t xml:space="preserve"> </w:t>
      </w:r>
      <w:r w:rsidR="00150239" w:rsidRPr="00150239">
        <w:rPr>
          <w:rFonts w:asciiTheme="majorHAnsi" w:hAnsiTheme="majorHAnsi" w:cstheme="majorHAnsi"/>
          <w:lang w:val="en-US"/>
        </w:rPr>
        <w:t xml:space="preserve"> </w:t>
      </w:r>
      <w:r w:rsidRPr="00150239">
        <w:rPr>
          <w:rFonts w:asciiTheme="majorHAnsi" w:hAnsiTheme="majorHAnsi" w:cstheme="majorHAnsi"/>
          <w:lang w:val="en-US"/>
        </w:rPr>
        <w:t xml:space="preserve">Solutions of </w:t>
      </w:r>
      <w:r w:rsidR="00D703E2">
        <w:rPr>
          <w:rFonts w:asciiTheme="majorHAnsi" w:hAnsiTheme="majorHAnsi" w:cstheme="majorHAnsi"/>
          <w:lang w:val="en-US"/>
        </w:rPr>
        <w:t>TBPM-PI</w:t>
      </w:r>
      <w:r w:rsidR="00AB67E3">
        <w:rPr>
          <w:rFonts w:asciiTheme="majorHAnsi" w:hAnsiTheme="majorHAnsi" w:cstheme="majorHAnsi"/>
          <w:lang w:val="en-US"/>
        </w:rPr>
        <w:t>-HBr</w:t>
      </w:r>
      <w:r w:rsidRPr="00150239">
        <w:rPr>
          <w:rFonts w:asciiTheme="majorHAnsi" w:hAnsiTheme="majorHAnsi" w:cstheme="majorHAnsi"/>
          <w:lang w:val="en-US"/>
        </w:rPr>
        <w:t xml:space="preserve"> at the appropriate concentration were prepared in 2.5% ethanol / 2.5%</w:t>
      </w:r>
      <w:r w:rsidR="00150239">
        <w:rPr>
          <w:rFonts w:asciiTheme="majorHAnsi" w:hAnsiTheme="majorHAnsi" w:cstheme="majorHAnsi"/>
          <w:lang w:val="en-US"/>
        </w:rPr>
        <w:t xml:space="preserve"> </w:t>
      </w:r>
      <w:r w:rsidRPr="00150239">
        <w:rPr>
          <w:rFonts w:asciiTheme="majorHAnsi" w:hAnsiTheme="majorHAnsi" w:cstheme="majorHAnsi"/>
          <w:lang w:val="en-US"/>
        </w:rPr>
        <w:t xml:space="preserve">Tween-80 / 95% citric acid – sodium citrate buffer (pH 4.0) prior to administration. </w:t>
      </w:r>
      <w:r w:rsidR="00150239">
        <w:rPr>
          <w:rFonts w:asciiTheme="majorHAnsi" w:hAnsiTheme="majorHAnsi" w:cstheme="majorHAnsi"/>
          <w:lang w:val="en-US"/>
        </w:rPr>
        <w:t xml:space="preserve"> </w:t>
      </w:r>
      <w:r w:rsidR="00D703E2">
        <w:rPr>
          <w:rFonts w:asciiTheme="majorHAnsi" w:hAnsiTheme="majorHAnsi" w:cstheme="majorHAnsi"/>
          <w:lang w:val="en-US"/>
        </w:rPr>
        <w:t>TBPM-PI</w:t>
      </w:r>
      <w:r w:rsidR="00AB67E3">
        <w:rPr>
          <w:rFonts w:asciiTheme="majorHAnsi" w:hAnsiTheme="majorHAnsi" w:cstheme="majorHAnsi"/>
          <w:lang w:val="en-US"/>
        </w:rPr>
        <w:t>-HBr</w:t>
      </w:r>
      <w:r w:rsidR="00150239">
        <w:rPr>
          <w:rFonts w:asciiTheme="majorHAnsi" w:hAnsiTheme="majorHAnsi" w:cstheme="majorHAnsi"/>
          <w:lang w:val="en-US"/>
        </w:rPr>
        <w:t xml:space="preserve"> </w:t>
      </w:r>
      <w:r w:rsidRPr="00150239">
        <w:rPr>
          <w:rFonts w:asciiTheme="majorHAnsi" w:hAnsiTheme="majorHAnsi" w:cstheme="majorHAnsi"/>
          <w:lang w:val="en-US"/>
        </w:rPr>
        <w:t xml:space="preserve">powder was initially suspended by vortex mixing for 30 seconds in 200 </w:t>
      </w:r>
      <w:proofErr w:type="spellStart"/>
      <w:r w:rsidRPr="00150239">
        <w:rPr>
          <w:rFonts w:asciiTheme="majorHAnsi" w:hAnsiTheme="majorHAnsi" w:cstheme="majorHAnsi"/>
          <w:lang w:val="en-US"/>
        </w:rPr>
        <w:t>μL</w:t>
      </w:r>
      <w:proofErr w:type="spellEnd"/>
      <w:r w:rsidRPr="00150239">
        <w:rPr>
          <w:rFonts w:asciiTheme="majorHAnsi" w:hAnsiTheme="majorHAnsi" w:cstheme="majorHAnsi"/>
          <w:lang w:val="en-US"/>
        </w:rPr>
        <w:t xml:space="preserve"> 50% ethanol / 50%</w:t>
      </w:r>
      <w:r w:rsidR="00150239">
        <w:rPr>
          <w:rFonts w:asciiTheme="majorHAnsi" w:hAnsiTheme="majorHAnsi" w:cstheme="majorHAnsi"/>
          <w:lang w:val="en-US"/>
        </w:rPr>
        <w:t xml:space="preserve"> </w:t>
      </w:r>
      <w:r w:rsidRPr="00150239">
        <w:rPr>
          <w:rFonts w:asciiTheme="majorHAnsi" w:hAnsiTheme="majorHAnsi" w:cstheme="majorHAnsi"/>
          <w:lang w:val="en-US"/>
        </w:rPr>
        <w:t xml:space="preserve">Tween-80, after which the mixture was allowed to stand for two minutes. </w:t>
      </w:r>
      <w:r w:rsidR="00150239">
        <w:rPr>
          <w:rFonts w:asciiTheme="majorHAnsi" w:hAnsiTheme="majorHAnsi" w:cstheme="majorHAnsi"/>
          <w:lang w:val="en-US"/>
        </w:rPr>
        <w:t xml:space="preserve"> </w:t>
      </w:r>
      <w:r w:rsidRPr="00150239">
        <w:rPr>
          <w:rFonts w:asciiTheme="majorHAnsi" w:hAnsiTheme="majorHAnsi" w:cstheme="majorHAnsi"/>
          <w:lang w:val="en-US"/>
        </w:rPr>
        <w:t>Subsequently, the</w:t>
      </w:r>
      <w:r w:rsidR="00150239">
        <w:rPr>
          <w:rFonts w:asciiTheme="majorHAnsi" w:hAnsiTheme="majorHAnsi" w:cstheme="majorHAnsi"/>
          <w:lang w:val="en-US"/>
        </w:rPr>
        <w:t xml:space="preserve"> </w:t>
      </w:r>
      <w:r w:rsidRPr="00150239">
        <w:rPr>
          <w:rFonts w:asciiTheme="majorHAnsi" w:hAnsiTheme="majorHAnsi" w:cstheme="majorHAnsi"/>
          <w:lang w:val="en-US"/>
        </w:rPr>
        <w:t>mixture was subjected to sonication for 10 minutes in a water bath at ambient temperature before</w:t>
      </w:r>
      <w:r w:rsidR="00150239">
        <w:rPr>
          <w:rFonts w:asciiTheme="majorHAnsi" w:hAnsiTheme="majorHAnsi" w:cstheme="majorHAnsi"/>
          <w:lang w:val="en-US"/>
        </w:rPr>
        <w:t xml:space="preserve"> </w:t>
      </w:r>
      <w:r w:rsidRPr="00150239">
        <w:rPr>
          <w:rFonts w:asciiTheme="majorHAnsi" w:hAnsiTheme="majorHAnsi" w:cstheme="majorHAnsi"/>
          <w:lang w:val="en-US"/>
        </w:rPr>
        <w:t xml:space="preserve">being diluted with 3.8 mL filter-sterilized (0.22 </w:t>
      </w:r>
      <w:proofErr w:type="spellStart"/>
      <w:r w:rsidRPr="00150239">
        <w:rPr>
          <w:rFonts w:asciiTheme="majorHAnsi" w:hAnsiTheme="majorHAnsi" w:cstheme="majorHAnsi"/>
          <w:lang w:val="en-US"/>
        </w:rPr>
        <w:t>μm</w:t>
      </w:r>
      <w:proofErr w:type="spellEnd"/>
      <w:r w:rsidRPr="00150239">
        <w:rPr>
          <w:rFonts w:asciiTheme="majorHAnsi" w:hAnsiTheme="majorHAnsi" w:cstheme="majorHAnsi"/>
          <w:lang w:val="en-US"/>
        </w:rPr>
        <w:t>) citric acid – sodium citrate buffer (pH 4.0)</w:t>
      </w:r>
      <w:r w:rsidR="00150239" w:rsidRPr="00150239">
        <w:rPr>
          <w:rFonts w:asciiTheme="majorHAnsi" w:hAnsiTheme="majorHAnsi" w:cstheme="majorHAnsi"/>
          <w:lang w:val="en-US"/>
        </w:rPr>
        <w:t xml:space="preserve"> </w:t>
      </w:r>
      <w:r w:rsidRPr="00150239">
        <w:rPr>
          <w:rFonts w:asciiTheme="majorHAnsi" w:hAnsiTheme="majorHAnsi" w:cstheme="majorHAnsi"/>
          <w:lang w:val="en-US"/>
        </w:rPr>
        <w:t xml:space="preserve">and the pH adjusted to between 4.5 and 5.0 with 6N </w:t>
      </w:r>
      <w:proofErr w:type="spellStart"/>
      <w:r w:rsidRPr="00150239">
        <w:rPr>
          <w:rFonts w:asciiTheme="majorHAnsi" w:hAnsiTheme="majorHAnsi" w:cstheme="majorHAnsi"/>
          <w:lang w:val="en-US"/>
        </w:rPr>
        <w:t>HCl</w:t>
      </w:r>
      <w:proofErr w:type="spellEnd"/>
      <w:r w:rsidRPr="00150239">
        <w:rPr>
          <w:rFonts w:asciiTheme="majorHAnsi" w:hAnsiTheme="majorHAnsi" w:cstheme="majorHAnsi"/>
          <w:lang w:val="en-US"/>
        </w:rPr>
        <w:t>.</w:t>
      </w:r>
      <w:r w:rsidR="00150239">
        <w:rPr>
          <w:rFonts w:asciiTheme="majorHAnsi" w:hAnsiTheme="majorHAnsi" w:cstheme="majorHAnsi"/>
          <w:lang w:val="en-US"/>
        </w:rPr>
        <w:t xml:space="preserve"> </w:t>
      </w:r>
      <w:r w:rsidRPr="00150239">
        <w:rPr>
          <w:rFonts w:asciiTheme="majorHAnsi" w:hAnsiTheme="majorHAnsi" w:cstheme="majorHAnsi"/>
          <w:lang w:val="en-US"/>
        </w:rPr>
        <w:t xml:space="preserve"> Further sonication followed by</w:t>
      </w:r>
      <w:r w:rsidR="00150239">
        <w:rPr>
          <w:rFonts w:asciiTheme="majorHAnsi" w:hAnsiTheme="majorHAnsi" w:cstheme="majorHAnsi"/>
          <w:lang w:val="en-US"/>
        </w:rPr>
        <w:t xml:space="preserve"> </w:t>
      </w:r>
      <w:r w:rsidRPr="00150239">
        <w:rPr>
          <w:rFonts w:asciiTheme="majorHAnsi" w:hAnsiTheme="majorHAnsi" w:cstheme="majorHAnsi"/>
          <w:lang w:val="en-US"/>
        </w:rPr>
        <w:t>alternating cycles of vortex mixing and sonication (if required) were used to completely</w:t>
      </w:r>
      <w:r w:rsidR="00150239">
        <w:rPr>
          <w:rFonts w:asciiTheme="majorHAnsi" w:hAnsiTheme="majorHAnsi" w:cstheme="majorHAnsi"/>
          <w:lang w:val="en-US"/>
        </w:rPr>
        <w:t xml:space="preserve"> </w:t>
      </w:r>
      <w:r w:rsidRPr="00150239">
        <w:rPr>
          <w:rFonts w:asciiTheme="majorHAnsi" w:hAnsiTheme="majorHAnsi" w:cstheme="majorHAnsi"/>
          <w:lang w:val="en-US"/>
        </w:rPr>
        <w:t xml:space="preserve">solubilize </w:t>
      </w:r>
      <w:r w:rsidR="00D703E2">
        <w:rPr>
          <w:rFonts w:asciiTheme="majorHAnsi" w:hAnsiTheme="majorHAnsi" w:cstheme="majorHAnsi"/>
          <w:lang w:val="en-US"/>
        </w:rPr>
        <w:t>TBPM-PI</w:t>
      </w:r>
      <w:r w:rsidR="00AB67E3">
        <w:rPr>
          <w:rFonts w:asciiTheme="majorHAnsi" w:hAnsiTheme="majorHAnsi" w:cstheme="majorHAnsi"/>
          <w:lang w:val="en-US"/>
        </w:rPr>
        <w:t>-HBr</w:t>
      </w:r>
      <w:r w:rsidRPr="00150239">
        <w:rPr>
          <w:rFonts w:asciiTheme="majorHAnsi" w:hAnsiTheme="majorHAnsi" w:cstheme="majorHAnsi"/>
          <w:lang w:val="en-US"/>
        </w:rPr>
        <w:t xml:space="preserve">. The formulation solutions </w:t>
      </w:r>
      <w:r w:rsidR="004219F5">
        <w:rPr>
          <w:rFonts w:asciiTheme="majorHAnsi" w:hAnsiTheme="majorHAnsi" w:cstheme="majorHAnsi"/>
          <w:lang w:val="en-US"/>
        </w:rPr>
        <w:t>we</w:t>
      </w:r>
      <w:r w:rsidRPr="00150239">
        <w:rPr>
          <w:rFonts w:asciiTheme="majorHAnsi" w:hAnsiTheme="majorHAnsi" w:cstheme="majorHAnsi"/>
          <w:lang w:val="en-US"/>
        </w:rPr>
        <w:t>re stable for up to 24 hours at ambient</w:t>
      </w:r>
      <w:r w:rsidR="00150239">
        <w:rPr>
          <w:rFonts w:asciiTheme="majorHAnsi" w:hAnsiTheme="majorHAnsi" w:cstheme="majorHAnsi"/>
          <w:lang w:val="en-US"/>
        </w:rPr>
        <w:t xml:space="preserve"> </w:t>
      </w:r>
      <w:r w:rsidRPr="00150239">
        <w:rPr>
          <w:rFonts w:asciiTheme="majorHAnsi" w:hAnsiTheme="majorHAnsi" w:cstheme="majorHAnsi"/>
          <w:lang w:val="en-US"/>
        </w:rPr>
        <w:t>temperature.</w:t>
      </w:r>
    </w:p>
    <w:p w14:paraId="1E5CC552" w14:textId="77777777" w:rsidR="00150239" w:rsidRDefault="00150239">
      <w:pPr>
        <w:rPr>
          <w:rFonts w:asciiTheme="majorHAnsi" w:hAnsiTheme="majorHAnsi" w:cstheme="majorHAnsi"/>
        </w:rPr>
      </w:pPr>
    </w:p>
    <w:p w14:paraId="20F03C9B" w14:textId="77088ED7" w:rsidR="00770144" w:rsidRPr="00ED1618" w:rsidRDefault="00770144">
      <w:pPr>
        <w:rPr>
          <w:rFonts w:asciiTheme="majorHAnsi" w:hAnsiTheme="majorHAnsi" w:cstheme="majorHAnsi"/>
          <w:i/>
        </w:rPr>
      </w:pPr>
      <w:r w:rsidRPr="00ED1618">
        <w:rPr>
          <w:rFonts w:asciiTheme="majorHAnsi" w:hAnsiTheme="majorHAnsi" w:cstheme="majorHAnsi"/>
          <w:i/>
        </w:rPr>
        <w:t>Isolates</w:t>
      </w:r>
    </w:p>
    <w:p w14:paraId="6560CF65" w14:textId="4C3D1315" w:rsidR="00785697" w:rsidRDefault="007B72AC" w:rsidP="0018446D">
      <w:pPr>
        <w:pStyle w:val="EndNoteBibliography"/>
        <w:rPr>
          <w:rFonts w:asciiTheme="majorHAnsi" w:hAnsiTheme="majorHAnsi" w:cstheme="majorHAnsi"/>
          <w:noProof/>
        </w:rPr>
      </w:pPr>
      <w:r w:rsidRPr="00150239">
        <w:rPr>
          <w:rFonts w:asciiTheme="majorHAnsi" w:hAnsiTheme="majorHAnsi" w:cstheme="majorHAnsi"/>
        </w:rPr>
        <w:tab/>
      </w:r>
      <w:r w:rsidR="004962AA">
        <w:rPr>
          <w:rFonts w:asciiTheme="majorHAnsi" w:hAnsiTheme="majorHAnsi" w:cstheme="majorHAnsi"/>
        </w:rPr>
        <w:t xml:space="preserve">Challenge organisms </w:t>
      </w:r>
      <w:r w:rsidRPr="00150239">
        <w:rPr>
          <w:rFonts w:asciiTheme="majorHAnsi" w:hAnsiTheme="majorHAnsi" w:cstheme="majorHAnsi"/>
        </w:rPr>
        <w:t>were chosen with a range of resistance mechanisms and tebipenem MICs</w:t>
      </w:r>
      <w:r w:rsidR="004962AA">
        <w:rPr>
          <w:rFonts w:asciiTheme="majorHAnsi" w:hAnsiTheme="majorHAnsi" w:cstheme="majorHAnsi"/>
        </w:rPr>
        <w:t xml:space="preserve"> (</w:t>
      </w:r>
      <w:r w:rsidR="00D46755">
        <w:rPr>
          <w:rFonts w:asciiTheme="majorHAnsi" w:hAnsiTheme="majorHAnsi" w:cstheme="majorHAnsi"/>
        </w:rPr>
        <w:t xml:space="preserve">Table </w:t>
      </w:r>
      <w:r w:rsidR="004962AA">
        <w:rPr>
          <w:rFonts w:asciiTheme="majorHAnsi" w:hAnsiTheme="majorHAnsi" w:cstheme="majorHAnsi"/>
        </w:rPr>
        <w:t>1)</w:t>
      </w:r>
      <w:r w:rsidRPr="00150239">
        <w:rPr>
          <w:rFonts w:asciiTheme="majorHAnsi" w:hAnsiTheme="majorHAnsi" w:cstheme="majorHAnsi"/>
        </w:rPr>
        <w:t xml:space="preserve">.  </w:t>
      </w:r>
      <w:r w:rsidR="00785697" w:rsidRPr="0018446D">
        <w:rPr>
          <w:rFonts w:asciiTheme="majorHAnsi" w:hAnsiTheme="majorHAnsi" w:cstheme="majorHAnsi"/>
          <w:noProof/>
        </w:rPr>
        <w:t xml:space="preserve">A variety of wild-type and non wild-type </w:t>
      </w:r>
      <w:r w:rsidR="00785697" w:rsidRPr="002A2D77">
        <w:rPr>
          <w:rFonts w:asciiTheme="majorHAnsi" w:hAnsiTheme="majorHAnsi" w:cstheme="majorHAnsi"/>
          <w:noProof/>
        </w:rPr>
        <w:t xml:space="preserve">Enterobacteriacae </w:t>
      </w:r>
      <w:r w:rsidR="00785697" w:rsidRPr="0018446D">
        <w:rPr>
          <w:rFonts w:asciiTheme="majorHAnsi" w:hAnsiTheme="majorHAnsi" w:cstheme="majorHAnsi"/>
          <w:noProof/>
        </w:rPr>
        <w:t>were investigated</w:t>
      </w:r>
      <w:r w:rsidR="004962AA">
        <w:rPr>
          <w:rFonts w:asciiTheme="majorHAnsi" w:hAnsiTheme="majorHAnsi" w:cstheme="majorHAnsi"/>
          <w:noProof/>
        </w:rPr>
        <w:t>.</w:t>
      </w:r>
      <w:r w:rsidR="00217610">
        <w:rPr>
          <w:rFonts w:asciiTheme="majorHAnsi" w:hAnsiTheme="majorHAnsi" w:cstheme="majorHAnsi"/>
          <w:noProof/>
        </w:rPr>
        <w:t xml:space="preserve">  </w:t>
      </w:r>
      <w:r w:rsidR="00785697" w:rsidRPr="0018446D">
        <w:rPr>
          <w:rFonts w:asciiTheme="majorHAnsi" w:hAnsiTheme="majorHAnsi" w:cstheme="majorHAnsi"/>
          <w:noProof/>
        </w:rPr>
        <w:t>Isolates were stored long-term at -80</w:t>
      </w:r>
      <w:r w:rsidR="00785697" w:rsidRPr="0018446D">
        <w:rPr>
          <w:rFonts w:asciiTheme="majorHAnsi" w:hAnsiTheme="majorHAnsi" w:cstheme="majorHAnsi"/>
          <w:noProof/>
          <w:vertAlign w:val="superscript"/>
        </w:rPr>
        <w:t>o</w:t>
      </w:r>
      <w:r w:rsidR="00785697" w:rsidRPr="0018446D">
        <w:rPr>
          <w:rFonts w:asciiTheme="majorHAnsi" w:hAnsiTheme="majorHAnsi" w:cstheme="majorHAnsi"/>
          <w:noProof/>
        </w:rPr>
        <w:t>C</w:t>
      </w:r>
      <w:r w:rsidR="00791959">
        <w:rPr>
          <w:rFonts w:asciiTheme="majorHAnsi" w:hAnsiTheme="majorHAnsi" w:cstheme="majorHAnsi"/>
          <w:noProof/>
        </w:rPr>
        <w:t>.  C</w:t>
      </w:r>
      <w:r w:rsidR="00785697" w:rsidRPr="0018446D">
        <w:rPr>
          <w:rFonts w:asciiTheme="majorHAnsi" w:hAnsiTheme="majorHAnsi" w:cstheme="majorHAnsi"/>
          <w:noProof/>
        </w:rPr>
        <w:t>olonies were confirmed to possess the correct characteristics and purity</w:t>
      </w:r>
      <w:r w:rsidR="00791959">
        <w:rPr>
          <w:rFonts w:asciiTheme="majorHAnsi" w:hAnsiTheme="majorHAnsi" w:cstheme="majorHAnsi"/>
          <w:noProof/>
        </w:rPr>
        <w:t xml:space="preserve"> at the time of experimentation</w:t>
      </w:r>
      <w:r w:rsidR="00785697" w:rsidRPr="0018446D">
        <w:rPr>
          <w:rFonts w:asciiTheme="majorHAnsi" w:hAnsiTheme="majorHAnsi" w:cstheme="majorHAnsi"/>
          <w:noProof/>
        </w:rPr>
        <w:t>.</w:t>
      </w:r>
      <w:r w:rsidR="00E20035">
        <w:rPr>
          <w:rFonts w:asciiTheme="majorHAnsi" w:hAnsiTheme="majorHAnsi" w:cstheme="majorHAnsi"/>
          <w:noProof/>
        </w:rPr>
        <w:t xml:space="preserve"> </w:t>
      </w:r>
      <w:r w:rsidR="00785697" w:rsidRPr="0018446D">
        <w:rPr>
          <w:rFonts w:asciiTheme="majorHAnsi" w:hAnsiTheme="majorHAnsi" w:cstheme="majorHAnsi"/>
          <w:noProof/>
        </w:rPr>
        <w:t xml:space="preserve"> </w:t>
      </w:r>
    </w:p>
    <w:p w14:paraId="5E11E591" w14:textId="3359D1B2" w:rsidR="00044AD7" w:rsidRDefault="00044AD7" w:rsidP="0018446D">
      <w:pPr>
        <w:pStyle w:val="EndNoteBibliography"/>
        <w:rPr>
          <w:rFonts w:asciiTheme="majorHAnsi" w:hAnsiTheme="majorHAnsi" w:cstheme="majorHAnsi"/>
          <w:noProof/>
        </w:rPr>
      </w:pPr>
    </w:p>
    <w:p w14:paraId="696B8151" w14:textId="145A1205" w:rsidR="00044AD7" w:rsidRPr="00044AD7" w:rsidRDefault="00044AD7" w:rsidP="00044AD7">
      <w:pPr>
        <w:rPr>
          <w:rFonts w:asciiTheme="majorHAnsi" w:hAnsiTheme="majorHAnsi" w:cstheme="majorHAnsi"/>
          <w:i/>
        </w:rPr>
      </w:pPr>
      <w:r w:rsidRPr="007B5B5D">
        <w:rPr>
          <w:rFonts w:asciiTheme="majorHAnsi" w:hAnsiTheme="majorHAnsi" w:cstheme="majorHAnsi"/>
          <w:i/>
        </w:rPr>
        <w:t xml:space="preserve">Molecular </w:t>
      </w:r>
      <w:r>
        <w:rPr>
          <w:rFonts w:asciiTheme="majorHAnsi" w:hAnsiTheme="majorHAnsi" w:cstheme="majorHAnsi"/>
          <w:i/>
        </w:rPr>
        <w:t>c</w:t>
      </w:r>
      <w:r w:rsidRPr="007B5B5D">
        <w:rPr>
          <w:rFonts w:asciiTheme="majorHAnsi" w:hAnsiTheme="majorHAnsi" w:cstheme="majorHAnsi"/>
          <w:i/>
        </w:rPr>
        <w:t xml:space="preserve">haracterization of β-Lactam </w:t>
      </w:r>
      <w:r>
        <w:rPr>
          <w:rFonts w:asciiTheme="majorHAnsi" w:hAnsiTheme="majorHAnsi" w:cstheme="majorHAnsi"/>
          <w:i/>
        </w:rPr>
        <w:t>r</w:t>
      </w:r>
      <w:r w:rsidRPr="007B5B5D">
        <w:rPr>
          <w:rFonts w:asciiTheme="majorHAnsi" w:hAnsiTheme="majorHAnsi" w:cstheme="majorHAnsi"/>
          <w:i/>
        </w:rPr>
        <w:t xml:space="preserve">esistance </w:t>
      </w:r>
      <w:r>
        <w:rPr>
          <w:rFonts w:asciiTheme="majorHAnsi" w:hAnsiTheme="majorHAnsi" w:cstheme="majorHAnsi"/>
          <w:i/>
        </w:rPr>
        <w:t>m</w:t>
      </w:r>
      <w:r w:rsidRPr="007B5B5D">
        <w:rPr>
          <w:rFonts w:asciiTheme="majorHAnsi" w:hAnsiTheme="majorHAnsi" w:cstheme="majorHAnsi"/>
          <w:i/>
        </w:rPr>
        <w:t>echanisms</w:t>
      </w:r>
      <w:r>
        <w:rPr>
          <w:rFonts w:asciiTheme="majorHAnsi" w:hAnsiTheme="majorHAnsi" w:cstheme="majorHAnsi"/>
        </w:rPr>
        <w:t xml:space="preserve"> </w:t>
      </w:r>
      <w:r w:rsidRPr="00044AD7">
        <w:rPr>
          <w:rFonts w:asciiTheme="majorHAnsi" w:hAnsiTheme="majorHAnsi" w:cstheme="majorHAnsi"/>
          <w:i/>
        </w:rPr>
        <w:t>(JMI study 18-SPT-06)</w:t>
      </w:r>
    </w:p>
    <w:p w14:paraId="16423AA8" w14:textId="77777777" w:rsidR="00044AD7" w:rsidRDefault="00044AD7" w:rsidP="00044AD7">
      <w:pPr>
        <w:rPr>
          <w:rFonts w:asciiTheme="majorHAnsi" w:hAnsiTheme="majorHAnsi" w:cstheme="majorHAnsi"/>
        </w:rPr>
      </w:pPr>
      <w:r w:rsidRPr="007B5B5D">
        <w:rPr>
          <w:rFonts w:asciiTheme="majorHAnsi" w:hAnsiTheme="majorHAnsi" w:cstheme="majorHAnsi"/>
          <w:i/>
        </w:rPr>
        <w:t>DNA Extraction</w:t>
      </w:r>
    </w:p>
    <w:p w14:paraId="5C4D0233" w14:textId="5F0069DD" w:rsidR="00044AD7" w:rsidRPr="00B25809" w:rsidRDefault="00044AD7" w:rsidP="00044AD7">
      <w:pPr>
        <w:ind w:firstLine="720"/>
        <w:rPr>
          <w:rFonts w:asciiTheme="majorHAnsi" w:hAnsiTheme="majorHAnsi" w:cstheme="majorHAnsi"/>
        </w:rPr>
      </w:pPr>
      <w:r>
        <w:rPr>
          <w:rFonts w:asciiTheme="majorHAnsi" w:hAnsiTheme="majorHAnsi" w:cstheme="majorHAnsi"/>
        </w:rPr>
        <w:t>T</w:t>
      </w:r>
      <w:r w:rsidRPr="00B25809">
        <w:rPr>
          <w:rFonts w:asciiTheme="majorHAnsi" w:hAnsiTheme="majorHAnsi" w:cstheme="majorHAnsi"/>
        </w:rPr>
        <w:t xml:space="preserve">otal genomic DNA of selected isolates were extracted using the fully automated </w:t>
      </w:r>
      <w:proofErr w:type="spellStart"/>
      <w:r w:rsidRPr="00B25809">
        <w:rPr>
          <w:rFonts w:asciiTheme="majorHAnsi" w:hAnsiTheme="majorHAnsi" w:cstheme="majorHAnsi"/>
        </w:rPr>
        <w:t>Thermo</w:t>
      </w:r>
      <w:proofErr w:type="spellEnd"/>
      <w:r w:rsidRPr="00B25809">
        <w:rPr>
          <w:rFonts w:asciiTheme="majorHAnsi" w:hAnsiTheme="majorHAnsi" w:cstheme="majorHAnsi"/>
        </w:rPr>
        <w:t xml:space="preserve"> Scientific™ </w:t>
      </w:r>
      <w:proofErr w:type="spellStart"/>
      <w:r w:rsidRPr="00B25809">
        <w:rPr>
          <w:rFonts w:asciiTheme="majorHAnsi" w:hAnsiTheme="majorHAnsi" w:cstheme="majorHAnsi"/>
        </w:rPr>
        <w:t>KingFisher</w:t>
      </w:r>
      <w:proofErr w:type="spellEnd"/>
      <w:r w:rsidRPr="00B25809">
        <w:rPr>
          <w:rFonts w:asciiTheme="majorHAnsi" w:hAnsiTheme="majorHAnsi" w:cstheme="majorHAnsi"/>
        </w:rPr>
        <w:t>™ Flex Magnetic Particle Processors (Cleveland, OH, USA).</w:t>
      </w:r>
    </w:p>
    <w:p w14:paraId="70432927" w14:textId="77777777" w:rsidR="00044AD7" w:rsidRDefault="00044AD7" w:rsidP="00044AD7">
      <w:pPr>
        <w:rPr>
          <w:rFonts w:asciiTheme="majorHAnsi" w:hAnsiTheme="majorHAnsi" w:cstheme="majorHAnsi"/>
          <w:i/>
        </w:rPr>
      </w:pPr>
    </w:p>
    <w:p w14:paraId="3AD1D1C8" w14:textId="0F682A3C" w:rsidR="00044AD7" w:rsidRDefault="00044AD7" w:rsidP="00044AD7">
      <w:pPr>
        <w:rPr>
          <w:rFonts w:asciiTheme="majorHAnsi" w:hAnsiTheme="majorHAnsi" w:cstheme="majorHAnsi"/>
        </w:rPr>
      </w:pPr>
      <w:r w:rsidRPr="007B5B5D">
        <w:rPr>
          <w:rFonts w:asciiTheme="majorHAnsi" w:hAnsiTheme="majorHAnsi" w:cstheme="majorHAnsi"/>
          <w:i/>
        </w:rPr>
        <w:t xml:space="preserve">Whole </w:t>
      </w:r>
      <w:r>
        <w:rPr>
          <w:rFonts w:asciiTheme="majorHAnsi" w:hAnsiTheme="majorHAnsi" w:cstheme="majorHAnsi"/>
          <w:i/>
        </w:rPr>
        <w:t>g</w:t>
      </w:r>
      <w:r w:rsidRPr="007B5B5D">
        <w:rPr>
          <w:rFonts w:asciiTheme="majorHAnsi" w:hAnsiTheme="majorHAnsi" w:cstheme="majorHAnsi"/>
          <w:i/>
        </w:rPr>
        <w:t xml:space="preserve">enome </w:t>
      </w:r>
      <w:r>
        <w:rPr>
          <w:rFonts w:asciiTheme="majorHAnsi" w:hAnsiTheme="majorHAnsi" w:cstheme="majorHAnsi"/>
          <w:i/>
        </w:rPr>
        <w:t>s</w:t>
      </w:r>
      <w:r w:rsidRPr="007B5B5D">
        <w:rPr>
          <w:rFonts w:asciiTheme="majorHAnsi" w:hAnsiTheme="majorHAnsi" w:cstheme="majorHAnsi"/>
          <w:i/>
        </w:rPr>
        <w:t>equencing</w:t>
      </w:r>
    </w:p>
    <w:p w14:paraId="1E69B3E2" w14:textId="77777777" w:rsidR="00044AD7" w:rsidRPr="00B25809" w:rsidRDefault="00044AD7" w:rsidP="00044AD7">
      <w:pPr>
        <w:ind w:firstLine="720"/>
        <w:rPr>
          <w:rFonts w:asciiTheme="majorHAnsi" w:hAnsiTheme="majorHAnsi" w:cstheme="majorHAnsi"/>
        </w:rPr>
      </w:pPr>
      <w:r>
        <w:rPr>
          <w:rFonts w:asciiTheme="majorHAnsi" w:hAnsiTheme="majorHAnsi" w:cstheme="majorHAnsi"/>
        </w:rPr>
        <w:t>T</w:t>
      </w:r>
      <w:r w:rsidRPr="00B25809">
        <w:rPr>
          <w:rFonts w:asciiTheme="majorHAnsi" w:hAnsiTheme="majorHAnsi" w:cstheme="majorHAnsi"/>
        </w:rPr>
        <w:t xml:space="preserve">otal genomic DNA was used as input material for library construction. DNA libraries were prepared using the </w:t>
      </w:r>
      <w:proofErr w:type="spellStart"/>
      <w:r w:rsidRPr="00B25809">
        <w:rPr>
          <w:rFonts w:asciiTheme="majorHAnsi" w:hAnsiTheme="majorHAnsi" w:cstheme="majorHAnsi"/>
        </w:rPr>
        <w:t>Nextera</w:t>
      </w:r>
      <w:proofErr w:type="spellEnd"/>
      <w:r w:rsidRPr="00B25809">
        <w:rPr>
          <w:rFonts w:asciiTheme="majorHAnsi" w:hAnsiTheme="majorHAnsi" w:cstheme="majorHAnsi"/>
        </w:rPr>
        <w:t xml:space="preserve"> XT™ library construction protocol and index kit (Illumina, San Diego, CA, USA) and sequenced on a </w:t>
      </w:r>
      <w:proofErr w:type="spellStart"/>
      <w:r w:rsidRPr="00B25809">
        <w:rPr>
          <w:rFonts w:asciiTheme="majorHAnsi" w:hAnsiTheme="majorHAnsi" w:cstheme="majorHAnsi"/>
        </w:rPr>
        <w:t>MiSeq</w:t>
      </w:r>
      <w:proofErr w:type="spellEnd"/>
      <w:r w:rsidRPr="00B25809">
        <w:rPr>
          <w:rFonts w:asciiTheme="majorHAnsi" w:hAnsiTheme="majorHAnsi" w:cstheme="majorHAnsi"/>
        </w:rPr>
        <w:t xml:space="preserve"> Sequencer (Illumina) using a </w:t>
      </w:r>
      <w:proofErr w:type="spellStart"/>
      <w:r w:rsidRPr="00B25809">
        <w:rPr>
          <w:rFonts w:asciiTheme="majorHAnsi" w:hAnsiTheme="majorHAnsi" w:cstheme="majorHAnsi"/>
        </w:rPr>
        <w:t>MiSeq</w:t>
      </w:r>
      <w:proofErr w:type="spellEnd"/>
      <w:r w:rsidRPr="00B25809">
        <w:rPr>
          <w:rFonts w:asciiTheme="majorHAnsi" w:hAnsiTheme="majorHAnsi" w:cstheme="majorHAnsi"/>
        </w:rPr>
        <w:t xml:space="preserve"> Reagent Kit v2 (500 cycle) or v3 (600 cycle) with a minimum of 20x coverage.</w:t>
      </w:r>
    </w:p>
    <w:p w14:paraId="5826B0DA" w14:textId="77777777" w:rsidR="00044AD7" w:rsidRDefault="00044AD7" w:rsidP="00044AD7">
      <w:pPr>
        <w:rPr>
          <w:rFonts w:asciiTheme="majorHAnsi" w:hAnsiTheme="majorHAnsi" w:cstheme="majorHAnsi"/>
          <w:i/>
        </w:rPr>
      </w:pPr>
    </w:p>
    <w:p w14:paraId="5F5B8D89" w14:textId="036ABA34" w:rsidR="00044AD7" w:rsidRDefault="00044AD7" w:rsidP="00044AD7">
      <w:pPr>
        <w:rPr>
          <w:rFonts w:asciiTheme="majorHAnsi" w:hAnsiTheme="majorHAnsi" w:cstheme="majorHAnsi"/>
        </w:rPr>
      </w:pPr>
      <w:r w:rsidRPr="007B5B5D">
        <w:rPr>
          <w:rFonts w:asciiTheme="majorHAnsi" w:hAnsiTheme="majorHAnsi" w:cstheme="majorHAnsi"/>
          <w:i/>
        </w:rPr>
        <w:t xml:space="preserve">DNA </w:t>
      </w:r>
      <w:r>
        <w:rPr>
          <w:rFonts w:asciiTheme="majorHAnsi" w:hAnsiTheme="majorHAnsi" w:cstheme="majorHAnsi"/>
          <w:i/>
        </w:rPr>
        <w:t>a</w:t>
      </w:r>
      <w:r w:rsidRPr="007B5B5D">
        <w:rPr>
          <w:rFonts w:asciiTheme="majorHAnsi" w:hAnsiTheme="majorHAnsi" w:cstheme="majorHAnsi"/>
          <w:i/>
        </w:rPr>
        <w:t xml:space="preserve">ssembly and </w:t>
      </w:r>
      <w:r>
        <w:rPr>
          <w:rFonts w:asciiTheme="majorHAnsi" w:hAnsiTheme="majorHAnsi" w:cstheme="majorHAnsi"/>
          <w:i/>
        </w:rPr>
        <w:t>d</w:t>
      </w:r>
      <w:r w:rsidRPr="007B5B5D">
        <w:rPr>
          <w:rFonts w:asciiTheme="majorHAnsi" w:hAnsiTheme="majorHAnsi" w:cstheme="majorHAnsi"/>
          <w:i/>
        </w:rPr>
        <w:t xml:space="preserve">ata </w:t>
      </w:r>
      <w:r>
        <w:rPr>
          <w:rFonts w:asciiTheme="majorHAnsi" w:hAnsiTheme="majorHAnsi" w:cstheme="majorHAnsi"/>
          <w:i/>
        </w:rPr>
        <w:t>a</w:t>
      </w:r>
      <w:r w:rsidRPr="007B5B5D">
        <w:rPr>
          <w:rFonts w:asciiTheme="majorHAnsi" w:hAnsiTheme="majorHAnsi" w:cstheme="majorHAnsi"/>
          <w:i/>
        </w:rPr>
        <w:t>nalysis</w:t>
      </w:r>
    </w:p>
    <w:p w14:paraId="17CE6079" w14:textId="22D379EB" w:rsidR="00044AD7" w:rsidRPr="0018446D" w:rsidRDefault="00044AD7" w:rsidP="00044AD7">
      <w:pPr>
        <w:ind w:firstLine="720"/>
        <w:rPr>
          <w:rFonts w:asciiTheme="majorHAnsi" w:hAnsiTheme="majorHAnsi" w:cstheme="majorHAnsi"/>
        </w:rPr>
      </w:pPr>
      <w:r w:rsidRPr="00B25809">
        <w:rPr>
          <w:rFonts w:asciiTheme="majorHAnsi" w:hAnsiTheme="majorHAnsi" w:cstheme="majorHAnsi"/>
        </w:rPr>
        <w:t xml:space="preserve">FASTQ format sequencing files for each sample set were quality assured, error corrected and assembled independently using de novo assembler </w:t>
      </w:r>
      <w:proofErr w:type="spellStart"/>
      <w:r w:rsidRPr="00B25809">
        <w:rPr>
          <w:rFonts w:asciiTheme="majorHAnsi" w:hAnsiTheme="majorHAnsi" w:cstheme="majorHAnsi"/>
        </w:rPr>
        <w:t>SPAdes</w:t>
      </w:r>
      <w:proofErr w:type="spellEnd"/>
      <w:r w:rsidRPr="00B25809">
        <w:rPr>
          <w:rFonts w:asciiTheme="majorHAnsi" w:hAnsiTheme="majorHAnsi" w:cstheme="majorHAnsi"/>
        </w:rPr>
        <w:t xml:space="preserve"> 3.9.0. </w:t>
      </w:r>
      <w:r w:rsidR="0014170A">
        <w:rPr>
          <w:rFonts w:asciiTheme="majorHAnsi" w:hAnsiTheme="majorHAnsi" w:cstheme="majorHAnsi"/>
        </w:rPr>
        <w:t xml:space="preserve"> </w:t>
      </w:r>
      <w:r w:rsidRPr="00B25809">
        <w:rPr>
          <w:rFonts w:asciiTheme="majorHAnsi" w:hAnsiTheme="majorHAnsi" w:cstheme="majorHAnsi"/>
        </w:rPr>
        <w:t>An in-house designed software was applied to the assembled sequences to align against known β-lactam resistance genes.</w:t>
      </w:r>
      <w:r>
        <w:rPr>
          <w:rFonts w:asciiTheme="majorHAnsi" w:hAnsiTheme="majorHAnsi" w:cstheme="majorHAnsi"/>
        </w:rPr>
        <w:t xml:space="preserve">  </w:t>
      </w:r>
      <w:r w:rsidRPr="007B5B5D">
        <w:rPr>
          <w:rFonts w:asciiTheme="majorHAnsi" w:hAnsiTheme="majorHAnsi" w:cstheme="majorHAnsi"/>
          <w:i/>
        </w:rPr>
        <w:t>E. coli</w:t>
      </w:r>
      <w:r w:rsidRPr="00B25809">
        <w:rPr>
          <w:rFonts w:asciiTheme="majorHAnsi" w:hAnsiTheme="majorHAnsi" w:cstheme="majorHAnsi"/>
        </w:rPr>
        <w:t xml:space="preserve"> sequences of </w:t>
      </w:r>
      <w:proofErr w:type="spellStart"/>
      <w:r w:rsidRPr="00B25809">
        <w:rPr>
          <w:rFonts w:asciiTheme="majorHAnsi" w:hAnsiTheme="majorHAnsi" w:cstheme="majorHAnsi"/>
        </w:rPr>
        <w:t>OmpC</w:t>
      </w:r>
      <w:proofErr w:type="spellEnd"/>
      <w:r w:rsidRPr="00B25809">
        <w:rPr>
          <w:rFonts w:asciiTheme="majorHAnsi" w:hAnsiTheme="majorHAnsi" w:cstheme="majorHAnsi"/>
        </w:rPr>
        <w:t>/</w:t>
      </w:r>
      <w:proofErr w:type="spellStart"/>
      <w:r w:rsidRPr="00B25809">
        <w:rPr>
          <w:rFonts w:asciiTheme="majorHAnsi" w:hAnsiTheme="majorHAnsi" w:cstheme="majorHAnsi"/>
        </w:rPr>
        <w:t>OmpF</w:t>
      </w:r>
      <w:proofErr w:type="spellEnd"/>
      <w:r w:rsidRPr="00B25809">
        <w:rPr>
          <w:rFonts w:asciiTheme="majorHAnsi" w:hAnsiTheme="majorHAnsi" w:cstheme="majorHAnsi"/>
        </w:rPr>
        <w:t xml:space="preserve"> and respective homologues OmpK36/OmpK35 and OmpK37 from </w:t>
      </w:r>
      <w:r w:rsidRPr="007B5B5D">
        <w:rPr>
          <w:rFonts w:asciiTheme="majorHAnsi" w:hAnsiTheme="majorHAnsi" w:cstheme="majorHAnsi"/>
          <w:i/>
        </w:rPr>
        <w:t xml:space="preserve">K. pneumoniae </w:t>
      </w:r>
      <w:r w:rsidRPr="00B25809">
        <w:rPr>
          <w:rFonts w:asciiTheme="majorHAnsi" w:hAnsiTheme="majorHAnsi" w:cstheme="majorHAnsi"/>
        </w:rPr>
        <w:t>were retrieved from FASTQ format sequencing files for each sample set and compared to those of reference, wild-type and surveillance control isolates.</w:t>
      </w:r>
      <w:r w:rsidRPr="00150239">
        <w:rPr>
          <w:rFonts w:asciiTheme="majorHAnsi" w:hAnsiTheme="majorHAnsi" w:cstheme="majorHAnsi"/>
        </w:rPr>
        <w:t xml:space="preserve"> </w:t>
      </w:r>
    </w:p>
    <w:p w14:paraId="3BCDD348" w14:textId="77777777" w:rsidR="007B72AC" w:rsidRPr="00150239" w:rsidRDefault="007B72AC">
      <w:pPr>
        <w:rPr>
          <w:rFonts w:asciiTheme="majorHAnsi" w:hAnsiTheme="majorHAnsi" w:cstheme="majorHAnsi"/>
        </w:rPr>
      </w:pPr>
    </w:p>
    <w:p w14:paraId="3B9C5E87" w14:textId="77777777" w:rsidR="009F4FFF" w:rsidRDefault="00770144" w:rsidP="009F4FFF">
      <w:pPr>
        <w:rPr>
          <w:rFonts w:asciiTheme="majorHAnsi" w:hAnsiTheme="majorHAnsi" w:cstheme="majorHAnsi"/>
          <w:i/>
        </w:rPr>
      </w:pPr>
      <w:r w:rsidRPr="00150239">
        <w:rPr>
          <w:rFonts w:asciiTheme="majorHAnsi" w:hAnsiTheme="majorHAnsi" w:cstheme="majorHAnsi"/>
          <w:i/>
        </w:rPr>
        <w:t>Measurement of tebipenem</w:t>
      </w:r>
    </w:p>
    <w:p w14:paraId="3A7FC12B" w14:textId="263D506E" w:rsidR="00A43E9A" w:rsidRPr="009F4FFF" w:rsidRDefault="008E44F1" w:rsidP="009F4FFF">
      <w:pPr>
        <w:ind w:firstLine="720"/>
        <w:rPr>
          <w:rFonts w:asciiTheme="majorHAnsi" w:hAnsiTheme="majorHAnsi" w:cstheme="majorHAnsi"/>
          <w:i/>
        </w:rPr>
      </w:pPr>
      <w:r>
        <w:rPr>
          <w:rFonts w:asciiTheme="majorHAnsi" w:hAnsiTheme="majorHAnsi" w:cstheme="majorHAnsi"/>
        </w:rPr>
        <w:t>Total drug c</w:t>
      </w:r>
      <w:r w:rsidRPr="00150239">
        <w:rPr>
          <w:rFonts w:asciiTheme="majorHAnsi" w:hAnsiTheme="majorHAnsi" w:cstheme="majorHAnsi"/>
        </w:rPr>
        <w:t xml:space="preserve">oncentrations </w:t>
      </w:r>
      <w:r w:rsidR="00F24EC5" w:rsidRPr="00150239">
        <w:rPr>
          <w:rFonts w:asciiTheme="majorHAnsi" w:hAnsiTheme="majorHAnsi" w:cstheme="majorHAnsi"/>
        </w:rPr>
        <w:t>of tebipenem</w:t>
      </w:r>
      <w:r>
        <w:rPr>
          <w:rFonts w:asciiTheme="majorHAnsi" w:hAnsiTheme="majorHAnsi" w:cstheme="majorHAnsi"/>
        </w:rPr>
        <w:t xml:space="preserve"> </w:t>
      </w:r>
      <w:r w:rsidR="00F24EC5" w:rsidRPr="00150239">
        <w:rPr>
          <w:rFonts w:asciiTheme="majorHAnsi" w:hAnsiTheme="majorHAnsi" w:cstheme="majorHAnsi"/>
        </w:rPr>
        <w:t xml:space="preserve">in murine plasma were measured </w:t>
      </w:r>
      <w:r w:rsidR="007B72AC" w:rsidRPr="00150239">
        <w:rPr>
          <w:rFonts w:asciiTheme="majorHAnsi" w:hAnsiTheme="majorHAnsi" w:cstheme="majorHAnsi"/>
        </w:rPr>
        <w:t xml:space="preserve">using </w:t>
      </w:r>
      <w:r w:rsidR="00480516">
        <w:rPr>
          <w:rFonts w:asciiTheme="majorHAnsi" w:hAnsiTheme="majorHAnsi" w:cstheme="majorHAnsi"/>
        </w:rPr>
        <w:t xml:space="preserve">an Agilent </w:t>
      </w:r>
      <w:r w:rsidR="002A2D77">
        <w:rPr>
          <w:rFonts w:asciiTheme="majorHAnsi" w:hAnsiTheme="majorHAnsi" w:cstheme="majorHAnsi"/>
        </w:rPr>
        <w:t>6420</w:t>
      </w:r>
      <w:r w:rsidR="00480516">
        <w:rPr>
          <w:rFonts w:asciiTheme="majorHAnsi" w:hAnsiTheme="majorHAnsi" w:cstheme="majorHAnsi"/>
        </w:rPr>
        <w:t xml:space="preserve"> </w:t>
      </w:r>
      <w:r w:rsidR="007B72AC" w:rsidRPr="00150239">
        <w:rPr>
          <w:rFonts w:asciiTheme="majorHAnsi" w:hAnsiTheme="majorHAnsi" w:cstheme="majorHAnsi"/>
        </w:rPr>
        <w:t>LC/MS/MS.</w:t>
      </w:r>
      <w:r w:rsidR="00D46755">
        <w:rPr>
          <w:rFonts w:asciiTheme="majorHAnsi" w:hAnsiTheme="majorHAnsi" w:cstheme="majorHAnsi"/>
        </w:rPr>
        <w:t xml:space="preserve"> </w:t>
      </w:r>
      <w:r w:rsidR="00A43E9A">
        <w:rPr>
          <w:rFonts w:asciiTheme="majorHAnsi" w:hAnsiTheme="majorHAnsi" w:cstheme="majorHAnsi"/>
        </w:rPr>
        <w:t xml:space="preserve"> </w:t>
      </w:r>
      <w:r w:rsidR="00A43E9A" w:rsidRPr="00A43E9A">
        <w:rPr>
          <w:rFonts w:asciiTheme="majorHAnsi" w:hAnsiTheme="majorHAnsi" w:cstheme="majorHAnsi"/>
        </w:rPr>
        <w:t xml:space="preserve">A working solution of the internal standard, </w:t>
      </w:r>
      <w:r w:rsidR="001713A0">
        <w:rPr>
          <w:rFonts w:asciiTheme="majorHAnsi" w:hAnsiTheme="majorHAnsi" w:cstheme="majorHAnsi"/>
        </w:rPr>
        <w:t>c</w:t>
      </w:r>
      <w:r w:rsidR="00A43E9A" w:rsidRPr="00A43E9A">
        <w:rPr>
          <w:rFonts w:asciiTheme="majorHAnsi" w:hAnsiTheme="majorHAnsi" w:cstheme="majorHAnsi"/>
        </w:rPr>
        <w:t xml:space="preserve">efotaxime (Sigma Aldrich, Dorset, UK) was prepared in methanol and acetonitrile (0.05mg/L in 50:50 </w:t>
      </w:r>
      <w:proofErr w:type="spellStart"/>
      <w:proofErr w:type="gramStart"/>
      <w:r w:rsidR="00A43E9A" w:rsidRPr="00A43E9A">
        <w:rPr>
          <w:rFonts w:asciiTheme="majorHAnsi" w:hAnsiTheme="majorHAnsi" w:cstheme="majorHAnsi"/>
        </w:rPr>
        <w:t>MeOH:MeCN</w:t>
      </w:r>
      <w:proofErr w:type="spellEnd"/>
      <w:proofErr w:type="gramEnd"/>
      <w:r w:rsidR="00A43E9A" w:rsidRPr="00A43E9A">
        <w:rPr>
          <w:rFonts w:asciiTheme="majorHAnsi" w:hAnsiTheme="majorHAnsi" w:cstheme="majorHAnsi"/>
        </w:rPr>
        <w:t>) before being added to a 96</w:t>
      </w:r>
      <w:r w:rsidR="00A43E9A">
        <w:rPr>
          <w:rFonts w:asciiTheme="majorHAnsi" w:hAnsiTheme="majorHAnsi" w:cstheme="majorHAnsi"/>
        </w:rPr>
        <w:t>-</w:t>
      </w:r>
      <w:r w:rsidR="00A43E9A" w:rsidRPr="00A43E9A">
        <w:rPr>
          <w:rFonts w:asciiTheme="majorHAnsi" w:hAnsiTheme="majorHAnsi" w:cstheme="majorHAnsi"/>
        </w:rPr>
        <w:t xml:space="preserve">well Waters Sirocco protein precipitation plate (300ul).  Mouse plasma samples along with blanks, calibrators and QCs were then aliquoted (30ul) into the plate and mixed with the </w:t>
      </w:r>
      <w:r w:rsidR="001713A0">
        <w:rPr>
          <w:rFonts w:asciiTheme="majorHAnsi" w:hAnsiTheme="majorHAnsi" w:cstheme="majorHAnsi"/>
        </w:rPr>
        <w:t>c</w:t>
      </w:r>
      <w:r w:rsidR="00A43E9A" w:rsidRPr="00A43E9A">
        <w:rPr>
          <w:rFonts w:asciiTheme="majorHAnsi" w:hAnsiTheme="majorHAnsi" w:cstheme="majorHAnsi"/>
        </w:rPr>
        <w:t>efotaxime working solution on an orbital shaker for 2 minutes.  Using a positive pressure manifold, the liquid was drawn through the sirocco plate into a collection plate.  Supernatant (200ul) from each well in the collection plate was transferred into a 96-well plate which was then sealed ready for analysis by LC</w:t>
      </w:r>
      <w:r w:rsidR="00A43E9A">
        <w:rPr>
          <w:rFonts w:asciiTheme="majorHAnsi" w:hAnsiTheme="majorHAnsi" w:cstheme="majorHAnsi"/>
        </w:rPr>
        <w:t>/</w:t>
      </w:r>
      <w:r w:rsidR="00A43E9A" w:rsidRPr="00A43E9A">
        <w:rPr>
          <w:rFonts w:asciiTheme="majorHAnsi" w:hAnsiTheme="majorHAnsi" w:cstheme="majorHAnsi"/>
        </w:rPr>
        <w:t>MS</w:t>
      </w:r>
      <w:r w:rsidR="00A43E9A">
        <w:rPr>
          <w:rFonts w:asciiTheme="majorHAnsi" w:hAnsiTheme="majorHAnsi" w:cstheme="majorHAnsi"/>
        </w:rPr>
        <w:t>/</w:t>
      </w:r>
      <w:r w:rsidR="00A43E9A" w:rsidRPr="00A43E9A">
        <w:rPr>
          <w:rFonts w:asciiTheme="majorHAnsi" w:hAnsiTheme="majorHAnsi" w:cstheme="majorHAnsi"/>
        </w:rPr>
        <w:t>MS.</w:t>
      </w:r>
      <w:r w:rsidR="002140B1">
        <w:rPr>
          <w:rFonts w:asciiTheme="majorHAnsi" w:hAnsiTheme="majorHAnsi" w:cstheme="majorHAnsi"/>
        </w:rPr>
        <w:t xml:space="preserve">  </w:t>
      </w:r>
      <w:r w:rsidR="004613A7">
        <w:rPr>
          <w:rFonts w:asciiTheme="majorHAnsi" w:hAnsiTheme="majorHAnsi" w:cstheme="majorHAnsi"/>
        </w:rPr>
        <w:t xml:space="preserve">The </w:t>
      </w:r>
      <w:r w:rsidR="000A012D">
        <w:rPr>
          <w:rFonts w:asciiTheme="majorHAnsi" w:hAnsiTheme="majorHAnsi" w:cstheme="majorHAnsi"/>
        </w:rPr>
        <w:t>lower limit of quantification (LLOQ)</w:t>
      </w:r>
      <w:r w:rsidR="004613A7">
        <w:rPr>
          <w:rFonts w:asciiTheme="majorHAnsi" w:hAnsiTheme="majorHAnsi" w:cstheme="majorHAnsi"/>
        </w:rPr>
        <w:t xml:space="preserve"> was 0.05mg/L.  The coefficient of variation (CV%) was 0.29-11.55% over the concentration range of 0.05-10mg/L.  The intra- and inter-day variation was -12.21-10.25%.</w:t>
      </w:r>
    </w:p>
    <w:p w14:paraId="7FD61FC2" w14:textId="77777777" w:rsidR="00770144" w:rsidRPr="00150239" w:rsidRDefault="00770144">
      <w:pPr>
        <w:rPr>
          <w:rFonts w:asciiTheme="majorHAnsi" w:hAnsiTheme="majorHAnsi" w:cstheme="majorHAnsi"/>
        </w:rPr>
      </w:pPr>
    </w:p>
    <w:p w14:paraId="548D52C1" w14:textId="2BF8E16A" w:rsidR="00770144" w:rsidRPr="006801F9" w:rsidRDefault="00770144">
      <w:pPr>
        <w:rPr>
          <w:rFonts w:asciiTheme="majorHAnsi" w:hAnsiTheme="majorHAnsi" w:cstheme="majorHAnsi"/>
          <w:i/>
        </w:rPr>
      </w:pPr>
      <w:r w:rsidRPr="006801F9">
        <w:rPr>
          <w:rFonts w:asciiTheme="majorHAnsi" w:hAnsiTheme="majorHAnsi" w:cstheme="majorHAnsi"/>
          <w:i/>
        </w:rPr>
        <w:t xml:space="preserve">Murine </w:t>
      </w:r>
      <w:r w:rsidR="00393512">
        <w:rPr>
          <w:rFonts w:asciiTheme="majorHAnsi" w:hAnsiTheme="majorHAnsi" w:cstheme="majorHAnsi"/>
          <w:i/>
        </w:rPr>
        <w:t xml:space="preserve">thigh </w:t>
      </w:r>
      <w:r w:rsidRPr="006801F9">
        <w:rPr>
          <w:rFonts w:asciiTheme="majorHAnsi" w:hAnsiTheme="majorHAnsi" w:cstheme="majorHAnsi"/>
          <w:i/>
        </w:rPr>
        <w:t>model of infection</w:t>
      </w:r>
    </w:p>
    <w:p w14:paraId="3C9D08CD" w14:textId="6DF8481B" w:rsidR="00C517A6" w:rsidRDefault="007B72AC" w:rsidP="00B77CAD">
      <w:pPr>
        <w:rPr>
          <w:rFonts w:asciiTheme="majorHAnsi" w:hAnsiTheme="majorHAnsi" w:cstheme="majorHAnsi"/>
        </w:rPr>
      </w:pPr>
      <w:r w:rsidRPr="00150239">
        <w:rPr>
          <w:rFonts w:asciiTheme="majorHAnsi" w:hAnsiTheme="majorHAnsi" w:cstheme="majorHAnsi"/>
        </w:rPr>
        <w:tab/>
        <w:t xml:space="preserve">All </w:t>
      </w:r>
      <w:r w:rsidR="007706F2">
        <w:rPr>
          <w:rFonts w:asciiTheme="majorHAnsi" w:hAnsiTheme="majorHAnsi" w:cstheme="majorHAnsi"/>
        </w:rPr>
        <w:t xml:space="preserve">murine </w:t>
      </w:r>
      <w:r w:rsidRPr="00150239">
        <w:rPr>
          <w:rFonts w:asciiTheme="majorHAnsi" w:hAnsiTheme="majorHAnsi" w:cstheme="majorHAnsi"/>
        </w:rPr>
        <w:t>experiments were conducted</w:t>
      </w:r>
      <w:r w:rsidR="00C517A6">
        <w:rPr>
          <w:rFonts w:asciiTheme="majorHAnsi" w:hAnsiTheme="majorHAnsi" w:cstheme="majorHAnsi"/>
        </w:rPr>
        <w:t xml:space="preserve"> under UK Home Office project license </w:t>
      </w:r>
      <w:r w:rsidR="00B8449B">
        <w:rPr>
          <w:rFonts w:asciiTheme="majorHAnsi" w:hAnsiTheme="majorHAnsi" w:cstheme="majorHAnsi"/>
        </w:rPr>
        <w:t xml:space="preserve">PAC022930 </w:t>
      </w:r>
      <w:r w:rsidR="00C517A6">
        <w:rPr>
          <w:rFonts w:asciiTheme="majorHAnsi" w:hAnsiTheme="majorHAnsi" w:cstheme="majorHAnsi"/>
        </w:rPr>
        <w:t xml:space="preserve">and approved by the Animal Welfare Ethics Review Board at the University of Liverpool. </w:t>
      </w:r>
      <w:r w:rsidRPr="00150239">
        <w:rPr>
          <w:rFonts w:asciiTheme="majorHAnsi" w:hAnsiTheme="majorHAnsi" w:cstheme="majorHAnsi"/>
        </w:rPr>
        <w:t xml:space="preserve"> </w:t>
      </w:r>
      <w:r w:rsidR="00C517A6">
        <w:rPr>
          <w:rFonts w:asciiTheme="majorHAnsi" w:hAnsiTheme="majorHAnsi" w:cstheme="majorHAnsi"/>
        </w:rPr>
        <w:t>Male</w:t>
      </w:r>
      <w:r w:rsidRPr="00150239">
        <w:rPr>
          <w:rFonts w:asciiTheme="majorHAnsi" w:hAnsiTheme="majorHAnsi" w:cstheme="majorHAnsi"/>
        </w:rPr>
        <w:t xml:space="preserve"> CD1 mice</w:t>
      </w:r>
      <w:r w:rsidR="00C517A6">
        <w:rPr>
          <w:rFonts w:asciiTheme="majorHAnsi" w:hAnsiTheme="majorHAnsi" w:cstheme="majorHAnsi"/>
        </w:rPr>
        <w:t xml:space="preserve"> were provided by Charles River and</w:t>
      </w:r>
      <w:r w:rsidRPr="00150239">
        <w:rPr>
          <w:rFonts w:asciiTheme="majorHAnsi" w:hAnsiTheme="majorHAnsi" w:cstheme="majorHAnsi"/>
        </w:rPr>
        <w:t xml:space="preserve"> w</w:t>
      </w:r>
      <w:r w:rsidR="00C517A6">
        <w:rPr>
          <w:rFonts w:asciiTheme="majorHAnsi" w:hAnsiTheme="majorHAnsi" w:cstheme="majorHAnsi"/>
        </w:rPr>
        <w:t>eighed</w:t>
      </w:r>
      <w:r w:rsidRPr="00150239">
        <w:rPr>
          <w:rFonts w:asciiTheme="majorHAnsi" w:hAnsiTheme="majorHAnsi" w:cstheme="majorHAnsi"/>
        </w:rPr>
        <w:t xml:space="preserve"> </w:t>
      </w:r>
      <w:r w:rsidR="00150239" w:rsidRPr="00150239">
        <w:rPr>
          <w:rFonts w:asciiTheme="majorHAnsi" w:hAnsiTheme="majorHAnsi" w:cstheme="majorHAnsi"/>
        </w:rPr>
        <w:t>approximately</w:t>
      </w:r>
      <w:r w:rsidRPr="00150239">
        <w:rPr>
          <w:rFonts w:asciiTheme="majorHAnsi" w:hAnsiTheme="majorHAnsi" w:cstheme="majorHAnsi"/>
        </w:rPr>
        <w:t xml:space="preserve"> 25 </w:t>
      </w:r>
      <w:r w:rsidR="00C517A6">
        <w:rPr>
          <w:rFonts w:asciiTheme="majorHAnsi" w:hAnsiTheme="majorHAnsi" w:cstheme="majorHAnsi"/>
        </w:rPr>
        <w:t xml:space="preserve">to 30 </w:t>
      </w:r>
      <w:r w:rsidRPr="00150239">
        <w:rPr>
          <w:rFonts w:asciiTheme="majorHAnsi" w:hAnsiTheme="majorHAnsi" w:cstheme="majorHAnsi"/>
        </w:rPr>
        <w:t xml:space="preserve">grams at the time of experimentation.  Food and water were provided </w:t>
      </w:r>
      <w:r w:rsidRPr="00150239">
        <w:rPr>
          <w:rFonts w:asciiTheme="majorHAnsi" w:hAnsiTheme="majorHAnsi" w:cstheme="majorHAnsi"/>
          <w:i/>
        </w:rPr>
        <w:t>ad libitum</w:t>
      </w:r>
      <w:r w:rsidRPr="00150239">
        <w:rPr>
          <w:rFonts w:asciiTheme="majorHAnsi" w:hAnsiTheme="majorHAnsi" w:cstheme="majorHAnsi"/>
        </w:rPr>
        <w:t xml:space="preserve">.  Mice were housed in IVCs.  </w:t>
      </w:r>
    </w:p>
    <w:p w14:paraId="7EC579C0" w14:textId="201C57F5" w:rsidR="00F31E1C" w:rsidRPr="00C517A6" w:rsidRDefault="00150239" w:rsidP="00C517A6">
      <w:pPr>
        <w:ind w:firstLine="720"/>
        <w:rPr>
          <w:rFonts w:asciiTheme="majorHAnsi" w:hAnsiTheme="majorHAnsi" w:cstheme="majorHAnsi"/>
        </w:rPr>
      </w:pPr>
      <w:r>
        <w:rPr>
          <w:rFonts w:asciiTheme="majorHAnsi" w:hAnsiTheme="majorHAnsi" w:cstheme="majorHAnsi"/>
        </w:rPr>
        <w:t>The challenge organism was</w:t>
      </w:r>
      <w:r w:rsidR="009C1614" w:rsidRPr="00150239">
        <w:rPr>
          <w:rFonts w:asciiTheme="majorHAnsi" w:hAnsiTheme="majorHAnsi" w:cstheme="majorHAnsi"/>
          <w:lang w:val="en-US"/>
        </w:rPr>
        <w:t xml:space="preserve"> recovered from </w:t>
      </w:r>
      <w:r>
        <w:rPr>
          <w:rFonts w:asciiTheme="majorHAnsi" w:hAnsiTheme="majorHAnsi" w:cstheme="majorHAnsi"/>
          <w:lang w:val="en-US"/>
        </w:rPr>
        <w:t>beads stored</w:t>
      </w:r>
      <w:r w:rsidR="009C1614" w:rsidRPr="00150239">
        <w:rPr>
          <w:rFonts w:asciiTheme="majorHAnsi" w:hAnsiTheme="majorHAnsi" w:cstheme="majorHAnsi"/>
          <w:lang w:val="en-US"/>
        </w:rPr>
        <w:t xml:space="preserve"> at -80°C</w:t>
      </w:r>
      <w:r w:rsidR="00BF23B8">
        <w:rPr>
          <w:rFonts w:asciiTheme="majorHAnsi" w:hAnsiTheme="majorHAnsi" w:cstheme="majorHAnsi"/>
          <w:lang w:val="en-US"/>
        </w:rPr>
        <w:t xml:space="preserve">, cultured onto </w:t>
      </w:r>
      <w:r w:rsidR="0025481E">
        <w:rPr>
          <w:rFonts w:asciiTheme="majorHAnsi" w:hAnsiTheme="majorHAnsi" w:cstheme="majorHAnsi"/>
          <w:lang w:val="en-US"/>
        </w:rPr>
        <w:t>M</w:t>
      </w:r>
      <w:r w:rsidR="00BF23B8">
        <w:rPr>
          <w:rFonts w:asciiTheme="majorHAnsi" w:hAnsiTheme="majorHAnsi" w:cstheme="majorHAnsi"/>
          <w:lang w:val="en-US"/>
        </w:rPr>
        <w:t xml:space="preserve">ueller </w:t>
      </w:r>
      <w:r w:rsidR="0025481E">
        <w:rPr>
          <w:rFonts w:asciiTheme="majorHAnsi" w:hAnsiTheme="majorHAnsi" w:cstheme="majorHAnsi"/>
          <w:lang w:val="en-US"/>
        </w:rPr>
        <w:t>H</w:t>
      </w:r>
      <w:r w:rsidR="00BF23B8">
        <w:rPr>
          <w:rFonts w:asciiTheme="majorHAnsi" w:hAnsiTheme="majorHAnsi" w:cstheme="majorHAnsi"/>
          <w:lang w:val="en-US"/>
        </w:rPr>
        <w:t>inton agar, and grown overnight at 37</w:t>
      </w:r>
      <w:r w:rsidR="00BF23B8" w:rsidRPr="008E3A4C">
        <w:rPr>
          <w:rFonts w:asciiTheme="majorHAnsi" w:hAnsiTheme="majorHAnsi" w:cstheme="majorHAnsi"/>
          <w:vertAlign w:val="superscript"/>
          <w:lang w:val="en-US"/>
        </w:rPr>
        <w:t>o</w:t>
      </w:r>
      <w:r w:rsidR="00BF23B8">
        <w:rPr>
          <w:rFonts w:asciiTheme="majorHAnsi" w:hAnsiTheme="majorHAnsi" w:cstheme="majorHAnsi"/>
          <w:lang w:val="en-US"/>
        </w:rPr>
        <w:t xml:space="preserve">C. </w:t>
      </w:r>
      <w:r>
        <w:rPr>
          <w:rFonts w:asciiTheme="majorHAnsi" w:hAnsiTheme="majorHAnsi" w:cstheme="majorHAnsi"/>
          <w:lang w:val="en-US"/>
        </w:rPr>
        <w:t xml:space="preserve"> A sweep of colonies was then placed </w:t>
      </w:r>
      <w:r w:rsidR="009C1614" w:rsidRPr="00150239">
        <w:rPr>
          <w:rFonts w:asciiTheme="majorHAnsi" w:hAnsiTheme="majorHAnsi" w:cstheme="majorHAnsi"/>
          <w:lang w:val="en-US"/>
        </w:rPr>
        <w:t>in 2 x 30</w:t>
      </w:r>
      <w:r>
        <w:rPr>
          <w:rFonts w:asciiTheme="majorHAnsi" w:hAnsiTheme="majorHAnsi" w:cstheme="majorHAnsi"/>
          <w:lang w:val="en-US"/>
        </w:rPr>
        <w:t xml:space="preserve"> </w:t>
      </w:r>
      <w:r w:rsidR="009C1614" w:rsidRPr="00150239">
        <w:rPr>
          <w:rFonts w:asciiTheme="majorHAnsi" w:hAnsiTheme="majorHAnsi" w:cstheme="majorHAnsi"/>
          <w:lang w:val="en-US"/>
        </w:rPr>
        <w:t>m</w:t>
      </w:r>
      <w:r>
        <w:rPr>
          <w:rFonts w:asciiTheme="majorHAnsi" w:hAnsiTheme="majorHAnsi" w:cstheme="majorHAnsi"/>
          <w:lang w:val="en-US"/>
        </w:rPr>
        <w:t>L</w:t>
      </w:r>
      <w:r w:rsidR="009C1614" w:rsidRPr="00150239">
        <w:rPr>
          <w:rFonts w:asciiTheme="majorHAnsi" w:hAnsiTheme="majorHAnsi" w:cstheme="majorHAnsi"/>
          <w:lang w:val="en-US"/>
        </w:rPr>
        <w:t xml:space="preserve"> of Mueller-Hinton broth (Sigma Aldrich, Dorset, UK</w:t>
      </w:r>
      <w:r w:rsidR="004B1BF8">
        <w:rPr>
          <w:rFonts w:asciiTheme="majorHAnsi" w:hAnsiTheme="majorHAnsi" w:cstheme="majorHAnsi"/>
          <w:lang w:val="en-US"/>
        </w:rPr>
        <w:t xml:space="preserve">) and </w:t>
      </w:r>
      <w:r w:rsidR="009C1614" w:rsidRPr="00150239">
        <w:rPr>
          <w:rFonts w:asciiTheme="majorHAnsi" w:hAnsiTheme="majorHAnsi" w:cstheme="majorHAnsi"/>
          <w:lang w:val="en-US"/>
        </w:rPr>
        <w:t>placed</w:t>
      </w:r>
      <w:r>
        <w:rPr>
          <w:rFonts w:asciiTheme="majorHAnsi" w:hAnsiTheme="majorHAnsi" w:cstheme="majorHAnsi"/>
          <w:lang w:val="en-US"/>
        </w:rPr>
        <w:t xml:space="preserve"> </w:t>
      </w:r>
      <w:r w:rsidR="009C1614" w:rsidRPr="00150239">
        <w:rPr>
          <w:rFonts w:asciiTheme="majorHAnsi" w:hAnsiTheme="majorHAnsi" w:cstheme="majorHAnsi"/>
          <w:lang w:val="en-US"/>
        </w:rPr>
        <w:t>on an orbital shaker at 37</w:t>
      </w:r>
      <w:r>
        <w:rPr>
          <w:rFonts w:asciiTheme="majorHAnsi" w:hAnsiTheme="majorHAnsi" w:cstheme="majorHAnsi"/>
          <w:lang w:val="en-US"/>
        </w:rPr>
        <w:sym w:font="Symbol" w:char="F0B0"/>
      </w:r>
      <w:r w:rsidR="009C1614" w:rsidRPr="00150239">
        <w:rPr>
          <w:rFonts w:asciiTheme="majorHAnsi" w:hAnsiTheme="majorHAnsi" w:cstheme="majorHAnsi"/>
          <w:lang w:val="en-US"/>
        </w:rPr>
        <w:t xml:space="preserve">C for </w:t>
      </w:r>
      <w:r w:rsidR="00432DA3">
        <w:rPr>
          <w:rFonts w:asciiTheme="majorHAnsi" w:hAnsiTheme="majorHAnsi" w:cstheme="majorHAnsi"/>
          <w:lang w:val="en-US"/>
        </w:rPr>
        <w:t>4 or</w:t>
      </w:r>
      <w:r>
        <w:rPr>
          <w:rFonts w:asciiTheme="majorHAnsi" w:hAnsiTheme="majorHAnsi" w:cstheme="majorHAnsi"/>
          <w:lang w:val="en-US"/>
        </w:rPr>
        <w:t xml:space="preserve"> </w:t>
      </w:r>
      <w:r w:rsidR="009C1614" w:rsidRPr="00150239">
        <w:rPr>
          <w:rFonts w:asciiTheme="majorHAnsi" w:hAnsiTheme="majorHAnsi" w:cstheme="majorHAnsi"/>
          <w:lang w:val="en-US"/>
        </w:rPr>
        <w:t>24 hours</w:t>
      </w:r>
      <w:r w:rsidR="00432DA3">
        <w:rPr>
          <w:rFonts w:asciiTheme="majorHAnsi" w:hAnsiTheme="majorHAnsi" w:cstheme="majorHAnsi"/>
          <w:lang w:val="en-US"/>
        </w:rPr>
        <w:t>, depending on species and strain</w:t>
      </w:r>
      <w:r w:rsidR="009C1614" w:rsidRPr="00150239">
        <w:rPr>
          <w:rFonts w:asciiTheme="majorHAnsi" w:hAnsiTheme="majorHAnsi" w:cstheme="majorHAnsi"/>
          <w:lang w:val="en-US"/>
        </w:rPr>
        <w:t xml:space="preserve">. </w:t>
      </w:r>
      <w:r w:rsidR="00145C73">
        <w:rPr>
          <w:rFonts w:asciiTheme="majorHAnsi" w:hAnsiTheme="majorHAnsi" w:cstheme="majorHAnsi"/>
          <w:lang w:val="en-US"/>
        </w:rPr>
        <w:t xml:space="preserve"> </w:t>
      </w:r>
      <w:r w:rsidR="009C1614" w:rsidRPr="00150239">
        <w:rPr>
          <w:rFonts w:asciiTheme="majorHAnsi" w:hAnsiTheme="majorHAnsi" w:cstheme="majorHAnsi"/>
          <w:lang w:val="en-US"/>
        </w:rPr>
        <w:t xml:space="preserve">The </w:t>
      </w:r>
      <w:r>
        <w:rPr>
          <w:rFonts w:asciiTheme="majorHAnsi" w:hAnsiTheme="majorHAnsi" w:cstheme="majorHAnsi"/>
          <w:lang w:val="en-US"/>
        </w:rPr>
        <w:t>final inoculum</w:t>
      </w:r>
      <w:r w:rsidR="00F9574C">
        <w:rPr>
          <w:rFonts w:asciiTheme="majorHAnsi" w:hAnsiTheme="majorHAnsi" w:cstheme="majorHAnsi"/>
          <w:lang w:val="en-US"/>
        </w:rPr>
        <w:t xml:space="preserve"> </w:t>
      </w:r>
      <w:r w:rsidR="009C1614" w:rsidRPr="00150239">
        <w:rPr>
          <w:rFonts w:asciiTheme="majorHAnsi" w:hAnsiTheme="majorHAnsi" w:cstheme="majorHAnsi"/>
          <w:lang w:val="en-US"/>
        </w:rPr>
        <w:t>was prepared by</w:t>
      </w:r>
      <w:r w:rsidR="00145C73">
        <w:rPr>
          <w:rFonts w:asciiTheme="majorHAnsi" w:hAnsiTheme="majorHAnsi" w:cstheme="majorHAnsi"/>
          <w:lang w:val="en-US"/>
        </w:rPr>
        <w:t xml:space="preserve"> </w:t>
      </w:r>
      <w:r>
        <w:rPr>
          <w:rFonts w:asciiTheme="majorHAnsi" w:hAnsiTheme="majorHAnsi" w:cstheme="majorHAnsi"/>
          <w:lang w:val="en-US"/>
        </w:rPr>
        <w:t>centrifuging</w:t>
      </w:r>
      <w:r w:rsidR="009C1614" w:rsidRPr="00150239">
        <w:rPr>
          <w:rFonts w:asciiTheme="majorHAnsi" w:hAnsiTheme="majorHAnsi" w:cstheme="majorHAnsi"/>
          <w:lang w:val="en-US"/>
        </w:rPr>
        <w:t xml:space="preserve"> </w:t>
      </w:r>
      <w:r>
        <w:rPr>
          <w:rFonts w:asciiTheme="majorHAnsi" w:hAnsiTheme="majorHAnsi" w:cstheme="majorHAnsi"/>
          <w:lang w:val="en-US"/>
        </w:rPr>
        <w:t>[</w:t>
      </w:r>
      <w:r w:rsidR="00145C73">
        <w:rPr>
          <w:rFonts w:asciiTheme="majorHAnsi" w:hAnsiTheme="majorHAnsi" w:cstheme="majorHAnsi"/>
          <w:lang w:val="en-US"/>
        </w:rPr>
        <w:t xml:space="preserve">30 </w:t>
      </w:r>
      <w:r>
        <w:rPr>
          <w:rFonts w:asciiTheme="majorHAnsi" w:hAnsiTheme="majorHAnsi" w:cstheme="majorHAnsi"/>
          <w:lang w:val="en-US"/>
        </w:rPr>
        <w:t xml:space="preserve">mL] </w:t>
      </w:r>
      <w:r w:rsidR="009C1614" w:rsidRPr="00150239">
        <w:rPr>
          <w:rFonts w:asciiTheme="majorHAnsi" w:hAnsiTheme="majorHAnsi" w:cstheme="majorHAnsi"/>
          <w:lang w:val="en-US"/>
        </w:rPr>
        <w:t xml:space="preserve">at </w:t>
      </w:r>
      <w:r w:rsidR="00664689" w:rsidRPr="008E3A4C">
        <w:rPr>
          <w:rFonts w:asciiTheme="majorHAnsi" w:hAnsiTheme="majorHAnsi" w:cstheme="majorHAnsi"/>
          <w:lang w:val="en-US"/>
        </w:rPr>
        <w:t>1438</w:t>
      </w:r>
      <w:r>
        <w:rPr>
          <w:rFonts w:asciiTheme="majorHAnsi" w:hAnsiTheme="majorHAnsi" w:cstheme="majorHAnsi"/>
          <w:lang w:val="en-US"/>
        </w:rPr>
        <w:t xml:space="preserve"> g</w:t>
      </w:r>
      <w:r w:rsidR="009C1614" w:rsidRPr="00150239">
        <w:rPr>
          <w:rFonts w:asciiTheme="majorHAnsi" w:hAnsiTheme="majorHAnsi" w:cstheme="majorHAnsi"/>
          <w:lang w:val="en-US"/>
        </w:rPr>
        <w:t xml:space="preserve"> for 5 minutes</w:t>
      </w:r>
      <w:r w:rsidR="006801F9">
        <w:rPr>
          <w:rFonts w:asciiTheme="majorHAnsi" w:hAnsiTheme="majorHAnsi" w:cstheme="majorHAnsi"/>
          <w:lang w:val="en-US"/>
        </w:rPr>
        <w:t>.  T</w:t>
      </w:r>
      <w:r w:rsidR="009C1614" w:rsidRPr="00150239">
        <w:rPr>
          <w:rFonts w:asciiTheme="majorHAnsi" w:hAnsiTheme="majorHAnsi" w:cstheme="majorHAnsi"/>
          <w:lang w:val="en-US"/>
        </w:rPr>
        <w:t xml:space="preserve">he supernatant </w:t>
      </w:r>
      <w:r w:rsidR="006801F9">
        <w:rPr>
          <w:rFonts w:asciiTheme="majorHAnsi" w:hAnsiTheme="majorHAnsi" w:cstheme="majorHAnsi"/>
          <w:lang w:val="en-US"/>
        </w:rPr>
        <w:t xml:space="preserve">was removed and discarded.  The final inoculum </w:t>
      </w:r>
      <w:r w:rsidR="00145C73">
        <w:rPr>
          <w:rFonts w:asciiTheme="majorHAnsi" w:hAnsiTheme="majorHAnsi" w:cstheme="majorHAnsi"/>
          <w:lang w:val="en-US"/>
        </w:rPr>
        <w:t>was dependent on species, strain, and route of infection</w:t>
      </w:r>
      <w:r w:rsidR="00772D82">
        <w:rPr>
          <w:rFonts w:asciiTheme="majorHAnsi" w:hAnsiTheme="majorHAnsi" w:cstheme="majorHAnsi"/>
          <w:lang w:val="en-US"/>
        </w:rPr>
        <w:t>,</w:t>
      </w:r>
      <w:r w:rsidR="00145C73">
        <w:rPr>
          <w:rFonts w:asciiTheme="majorHAnsi" w:hAnsiTheme="majorHAnsi" w:cstheme="majorHAnsi"/>
          <w:lang w:val="en-US"/>
        </w:rPr>
        <w:t xml:space="preserve"> and</w:t>
      </w:r>
      <w:r w:rsidR="006801F9">
        <w:rPr>
          <w:rFonts w:asciiTheme="majorHAnsi" w:hAnsiTheme="majorHAnsi" w:cstheme="majorHAnsi"/>
          <w:lang w:val="en-US"/>
        </w:rPr>
        <w:t xml:space="preserve"> was adjusted to the desired </w:t>
      </w:r>
      <w:r w:rsidR="00C01589">
        <w:rPr>
          <w:rFonts w:asciiTheme="majorHAnsi" w:hAnsiTheme="majorHAnsi" w:cstheme="majorHAnsi"/>
          <w:lang w:val="en-US"/>
        </w:rPr>
        <w:t>optical density</w:t>
      </w:r>
      <w:r w:rsidR="006801F9">
        <w:rPr>
          <w:rFonts w:asciiTheme="majorHAnsi" w:hAnsiTheme="majorHAnsi" w:cstheme="majorHAnsi"/>
          <w:lang w:val="en-US"/>
        </w:rPr>
        <w:t xml:space="preserve"> </w:t>
      </w:r>
      <w:r w:rsidR="00ED1618">
        <w:rPr>
          <w:rFonts w:asciiTheme="majorHAnsi" w:hAnsiTheme="majorHAnsi" w:cstheme="majorHAnsi"/>
          <w:lang w:val="en-US"/>
        </w:rPr>
        <w:t>with progressive dilution in</w:t>
      </w:r>
      <w:r w:rsidR="009C1614" w:rsidRPr="00150239">
        <w:rPr>
          <w:rFonts w:asciiTheme="majorHAnsi" w:hAnsiTheme="majorHAnsi" w:cstheme="majorHAnsi"/>
          <w:lang w:val="en-US"/>
        </w:rPr>
        <w:t xml:space="preserve"> sterile PBS </w:t>
      </w:r>
      <w:r w:rsidR="00D46755">
        <w:rPr>
          <w:rFonts w:asciiTheme="majorHAnsi" w:hAnsiTheme="majorHAnsi" w:cstheme="majorHAnsi"/>
          <w:lang w:val="en-US"/>
        </w:rPr>
        <w:t>using a</w:t>
      </w:r>
      <w:r w:rsidR="009C1614" w:rsidRPr="00150239">
        <w:rPr>
          <w:rFonts w:asciiTheme="majorHAnsi" w:hAnsiTheme="majorHAnsi" w:cstheme="majorHAnsi"/>
          <w:lang w:val="en-US"/>
        </w:rPr>
        <w:t xml:space="preserve"> spectrophotometer. </w:t>
      </w:r>
      <w:r w:rsidR="00ED1618">
        <w:rPr>
          <w:rFonts w:asciiTheme="majorHAnsi" w:hAnsiTheme="majorHAnsi" w:cstheme="majorHAnsi"/>
          <w:lang w:val="en-US"/>
        </w:rPr>
        <w:t xml:space="preserve"> </w:t>
      </w:r>
      <w:r w:rsidR="009C1614" w:rsidRPr="00150239">
        <w:rPr>
          <w:rFonts w:asciiTheme="majorHAnsi" w:hAnsiTheme="majorHAnsi" w:cstheme="majorHAnsi"/>
          <w:lang w:val="en-US"/>
        </w:rPr>
        <w:t xml:space="preserve">The </w:t>
      </w:r>
      <w:r w:rsidR="00ED1618">
        <w:rPr>
          <w:rFonts w:asciiTheme="majorHAnsi" w:hAnsiTheme="majorHAnsi" w:cstheme="majorHAnsi"/>
          <w:lang w:val="en-US"/>
        </w:rPr>
        <w:t>inoculum was checked with quantitative cultures</w:t>
      </w:r>
      <w:r w:rsidR="009C1614" w:rsidRPr="00150239">
        <w:rPr>
          <w:rFonts w:asciiTheme="majorHAnsi" w:hAnsiTheme="majorHAnsi" w:cstheme="majorHAnsi"/>
          <w:lang w:val="en-US"/>
        </w:rPr>
        <w:t>.</w:t>
      </w:r>
      <w:r w:rsidR="00F31E1C">
        <w:rPr>
          <w:rFonts w:asciiTheme="majorHAnsi" w:hAnsiTheme="majorHAnsi" w:cstheme="majorHAnsi"/>
          <w:lang w:val="en-US"/>
        </w:rPr>
        <w:t xml:space="preserve">  </w:t>
      </w:r>
    </w:p>
    <w:p w14:paraId="6E170D73" w14:textId="366FE446" w:rsidR="00ED1618" w:rsidRDefault="00AA0AD5" w:rsidP="00120E4B">
      <w:pPr>
        <w:autoSpaceDE w:val="0"/>
        <w:autoSpaceDN w:val="0"/>
        <w:adjustRightInd w:val="0"/>
        <w:rPr>
          <w:rFonts w:asciiTheme="majorHAnsi" w:hAnsiTheme="majorHAnsi" w:cstheme="majorHAnsi"/>
          <w:lang w:val="en-US"/>
        </w:rPr>
      </w:pPr>
      <w:r>
        <w:rPr>
          <w:rFonts w:asciiTheme="majorHAnsi" w:hAnsiTheme="majorHAnsi" w:cstheme="majorHAnsi"/>
        </w:rPr>
        <w:tab/>
      </w:r>
      <w:r w:rsidR="007B72AC" w:rsidRPr="00150239">
        <w:rPr>
          <w:rFonts w:asciiTheme="majorHAnsi" w:hAnsiTheme="majorHAnsi" w:cstheme="majorHAnsi"/>
        </w:rPr>
        <w:t>A well-characteri</w:t>
      </w:r>
      <w:r w:rsidR="00D46755">
        <w:rPr>
          <w:rFonts w:asciiTheme="majorHAnsi" w:hAnsiTheme="majorHAnsi" w:cstheme="majorHAnsi"/>
        </w:rPr>
        <w:t>z</w:t>
      </w:r>
      <w:r w:rsidR="007B72AC" w:rsidRPr="00150239">
        <w:rPr>
          <w:rFonts w:asciiTheme="majorHAnsi" w:hAnsiTheme="majorHAnsi" w:cstheme="majorHAnsi"/>
        </w:rPr>
        <w:t>ed neutropenic murine thigh infection model was used throughout</w:t>
      </w:r>
      <w:r w:rsidR="00093E93">
        <w:rPr>
          <w:rFonts w:asciiTheme="majorHAnsi" w:hAnsiTheme="majorHAnsi" w:cstheme="majorHAnsi"/>
        </w:rPr>
        <w:t xml:space="preserve"> </w:t>
      </w:r>
      <w:r w:rsidR="00093E93">
        <w:rPr>
          <w:rFonts w:asciiTheme="majorHAnsi" w:hAnsiTheme="majorHAnsi" w:cstheme="majorHAnsi"/>
        </w:rPr>
        <w:fldChar w:fldCharType="begin" w:fldLock="1"/>
      </w:r>
      <w:r w:rsidR="00093E93">
        <w:rPr>
          <w:rFonts w:asciiTheme="majorHAnsi" w:hAnsiTheme="majorHAnsi" w:cstheme="majorHAnsi"/>
        </w:rPr>
        <w:instrText>ADDIN CSL_CITATION {"citationItems":[{"id":"ITEM-1","itemData":{"author":[{"dropping-particle":"","family":"Craig","given":"William A","non-dropping-particle":"","parse-names":false,"suffix":""},{"dropping-particle":"","family":"Redington","given":"Jay","non-dropping-particle":"","parse-names":false,"suffix":""},{"dropping-particle":"","family":"Ebert","given":"Steven C","non-dropping-particle":"","parse-names":false,"suffix":""}],"id":"ITEM-1","issued":{"date-parts":[["1991"]]},"page":"29-40","title":"Pharmacodynamics of amikacin in vitro and in mouse thigh and lung infections","type":"article-journal"},"uris":["http://www.mendeley.com/documents/?uuid=6ad89717-59b8-40fb-8eaf-daf935424ddb"]},{"id":"ITEM-2","itemData":{"DOI":"10.1086/516284","ISBN":"1058-4838 (Print)\\n1058-4838 (Linking)","ISSN":"1058-4838","PMID":"9455502","abstract":"Investigations over the past 20 years have demonstrated that antibacterials can vary markedly in the time course of antimicrobial activity. These differences in pharmacodynamic activity have implications for optimal dosage regimens. The results of more recent studies suggest that the magnitude of the pharmacokinetic/pharmacodynamic parameters required for efficacy are relatively similar in animal infection models and in human infections. However, there is still much to learn. Additional studies are needed to further correlate pharmacokinetic/pharmacodynamic parameters for many antibacterials with therapeutic efficacy in a variety of animal infection models and in human infections. The potential value of using pharmacokinetic/pharmacodynamic parameters as guides for establishing optimal dosing regimens for new and old drugs and for new emerging pathogens and resistant organisms, for setting susceptibility breakpoints, and for reducing the cost of drug development should make the continuing search for the therapeutic rationale of antibacterial dosing of mice and men worthwhile.","author":[{"dropping-particle":"","family":"Craig","given":"William A.","non-dropping-particle":"","parse-names":false,"suffix":""}],"container-title":"Clinical Infectious Diseases","id":"ITEM-2","issue":"1","issued":{"date-parts":[["1998"]]},"page":"1-10","title":"State‐of‐the‐Art Clinical Article: Pharmacokinetic/Pharmacodynamic Parameters: Rationale for Antibacterial Dosing of Mice and Men","type":"article-journal","volume":"26"},"uris":["http://www.mendeley.com/documents/?uuid=9aa4d5d6-f504-4945-8486-8c8d14338a78"]}],"mendeley":{"formattedCitation":"(23, 35)","plainTextFormattedCitation":"(23, 35)"},"properties":{"noteIndex":0},"schema":"https://github.com/citation-style-language/schema/raw/master/csl-citation.json"}</w:instrText>
      </w:r>
      <w:r w:rsidR="00093E93">
        <w:rPr>
          <w:rFonts w:asciiTheme="majorHAnsi" w:hAnsiTheme="majorHAnsi" w:cstheme="majorHAnsi"/>
        </w:rPr>
        <w:fldChar w:fldCharType="separate"/>
      </w:r>
      <w:r w:rsidR="00093E93" w:rsidRPr="00093E93">
        <w:rPr>
          <w:rFonts w:asciiTheme="majorHAnsi" w:hAnsiTheme="majorHAnsi" w:cstheme="majorHAnsi"/>
          <w:noProof/>
        </w:rPr>
        <w:t>(23, 35)</w:t>
      </w:r>
      <w:r w:rsidR="00093E93">
        <w:rPr>
          <w:rFonts w:asciiTheme="majorHAnsi" w:hAnsiTheme="majorHAnsi" w:cstheme="majorHAnsi"/>
        </w:rPr>
        <w:fldChar w:fldCharType="end"/>
      </w:r>
      <w:r w:rsidR="007B72AC" w:rsidRPr="00150239">
        <w:rPr>
          <w:rFonts w:asciiTheme="majorHAnsi" w:hAnsiTheme="majorHAnsi" w:cstheme="majorHAnsi"/>
        </w:rPr>
        <w:t xml:space="preserve">.  Neutropenia was induced with cyclophosphamide </w:t>
      </w:r>
      <w:r w:rsidR="00ED1618" w:rsidRPr="00150239">
        <w:rPr>
          <w:rFonts w:asciiTheme="majorHAnsi" w:hAnsiTheme="majorHAnsi" w:cstheme="majorHAnsi"/>
          <w:lang w:val="en-US"/>
        </w:rPr>
        <w:t>(Baxter</w:t>
      </w:r>
      <w:r w:rsidR="00ED1618">
        <w:rPr>
          <w:rFonts w:asciiTheme="majorHAnsi" w:hAnsiTheme="majorHAnsi" w:cstheme="majorHAnsi"/>
          <w:lang w:val="en-US"/>
        </w:rPr>
        <w:t xml:space="preserve"> </w:t>
      </w:r>
      <w:r w:rsidR="00ED1618" w:rsidRPr="00150239">
        <w:rPr>
          <w:rFonts w:asciiTheme="majorHAnsi" w:hAnsiTheme="majorHAnsi" w:cstheme="majorHAnsi"/>
          <w:lang w:val="en-US"/>
        </w:rPr>
        <w:t>Healthcare Ltd, UK</w:t>
      </w:r>
      <w:r w:rsidR="00ED1618">
        <w:rPr>
          <w:rFonts w:asciiTheme="majorHAnsi" w:hAnsiTheme="majorHAnsi" w:cstheme="majorHAnsi"/>
          <w:lang w:val="en-US"/>
        </w:rPr>
        <w:t>)</w:t>
      </w:r>
      <w:r w:rsidR="00ED1618">
        <w:rPr>
          <w:rFonts w:asciiTheme="majorHAnsi" w:hAnsiTheme="majorHAnsi" w:cstheme="majorHAnsi"/>
        </w:rPr>
        <w:t xml:space="preserve"> 150 and 100</w:t>
      </w:r>
      <w:r w:rsidR="007B72AC" w:rsidRPr="00150239">
        <w:rPr>
          <w:rFonts w:asciiTheme="majorHAnsi" w:hAnsiTheme="majorHAnsi" w:cstheme="majorHAnsi"/>
        </w:rPr>
        <w:t xml:space="preserve"> mg/kg</w:t>
      </w:r>
      <w:r w:rsidR="00ED1618">
        <w:rPr>
          <w:rFonts w:asciiTheme="majorHAnsi" w:hAnsiTheme="majorHAnsi" w:cstheme="majorHAnsi"/>
        </w:rPr>
        <w:t xml:space="preserve"> </w:t>
      </w:r>
      <w:r w:rsidR="007B72AC" w:rsidRPr="00150239">
        <w:rPr>
          <w:rFonts w:asciiTheme="majorHAnsi" w:hAnsiTheme="majorHAnsi" w:cstheme="majorHAnsi"/>
        </w:rPr>
        <w:t xml:space="preserve">administered </w:t>
      </w:r>
      <w:r w:rsidR="00BA0189">
        <w:rPr>
          <w:rFonts w:asciiTheme="majorHAnsi" w:hAnsiTheme="majorHAnsi" w:cstheme="majorHAnsi"/>
        </w:rPr>
        <w:t>intraperitoneally</w:t>
      </w:r>
      <w:r w:rsidR="009C1614" w:rsidRPr="00150239">
        <w:rPr>
          <w:rFonts w:asciiTheme="majorHAnsi" w:hAnsiTheme="majorHAnsi" w:cstheme="majorHAnsi"/>
        </w:rPr>
        <w:t xml:space="preserve"> </w:t>
      </w:r>
      <w:r w:rsidR="007B72AC" w:rsidRPr="00150239">
        <w:rPr>
          <w:rFonts w:asciiTheme="majorHAnsi" w:hAnsiTheme="majorHAnsi" w:cstheme="majorHAnsi"/>
        </w:rPr>
        <w:t xml:space="preserve">on </w:t>
      </w:r>
      <w:r w:rsidR="0064103B">
        <w:rPr>
          <w:rFonts w:asciiTheme="majorHAnsi" w:hAnsiTheme="majorHAnsi" w:cstheme="majorHAnsi"/>
        </w:rPr>
        <w:t xml:space="preserve">study </w:t>
      </w:r>
      <w:r w:rsidR="007B72AC" w:rsidRPr="00150239">
        <w:rPr>
          <w:rFonts w:asciiTheme="majorHAnsi" w:hAnsiTheme="majorHAnsi" w:cstheme="majorHAnsi"/>
        </w:rPr>
        <w:t>day</w:t>
      </w:r>
      <w:r w:rsidR="00ED1618">
        <w:rPr>
          <w:rFonts w:asciiTheme="majorHAnsi" w:hAnsiTheme="majorHAnsi" w:cstheme="majorHAnsi"/>
        </w:rPr>
        <w:t>s</w:t>
      </w:r>
      <w:r w:rsidR="007B72AC" w:rsidRPr="00150239">
        <w:rPr>
          <w:rFonts w:asciiTheme="majorHAnsi" w:hAnsiTheme="majorHAnsi" w:cstheme="majorHAnsi"/>
        </w:rPr>
        <w:t xml:space="preserve"> -</w:t>
      </w:r>
      <w:r w:rsidR="00ED1618">
        <w:rPr>
          <w:rFonts w:asciiTheme="majorHAnsi" w:hAnsiTheme="majorHAnsi" w:cstheme="majorHAnsi"/>
        </w:rPr>
        <w:t>4 and -1, respectively,</w:t>
      </w:r>
      <w:r w:rsidR="007B72AC" w:rsidRPr="00150239">
        <w:rPr>
          <w:rFonts w:asciiTheme="majorHAnsi" w:hAnsiTheme="majorHAnsi" w:cstheme="majorHAnsi"/>
        </w:rPr>
        <w:t xml:space="preserve"> relative to infection.  </w:t>
      </w:r>
      <w:r w:rsidR="009C1614" w:rsidRPr="00150239">
        <w:rPr>
          <w:rFonts w:asciiTheme="majorHAnsi" w:hAnsiTheme="majorHAnsi" w:cstheme="majorHAnsi"/>
          <w:color w:val="000000"/>
          <w:lang w:val="en-US"/>
        </w:rPr>
        <w:t>Mice were</w:t>
      </w:r>
      <w:r w:rsidR="00ED1618">
        <w:rPr>
          <w:rFonts w:asciiTheme="majorHAnsi" w:hAnsiTheme="majorHAnsi" w:cstheme="majorHAnsi"/>
          <w:color w:val="000000"/>
          <w:lang w:val="en-US"/>
        </w:rPr>
        <w:t xml:space="preserve"> inoculated under</w:t>
      </w:r>
      <w:r w:rsidR="00ED1618">
        <w:rPr>
          <w:rFonts w:asciiTheme="majorHAnsi" w:hAnsiTheme="majorHAnsi" w:cstheme="majorHAnsi"/>
        </w:rPr>
        <w:t xml:space="preserve"> </w:t>
      </w:r>
      <w:r w:rsidR="009C1614" w:rsidRPr="00150239">
        <w:rPr>
          <w:rFonts w:asciiTheme="majorHAnsi" w:hAnsiTheme="majorHAnsi" w:cstheme="majorHAnsi"/>
          <w:color w:val="000000"/>
          <w:lang w:val="en-US"/>
        </w:rPr>
        <w:t xml:space="preserve">temporary </w:t>
      </w:r>
      <w:r w:rsidR="003978E7">
        <w:rPr>
          <w:rFonts w:asciiTheme="majorHAnsi" w:hAnsiTheme="majorHAnsi" w:cstheme="majorHAnsi"/>
          <w:color w:val="000000"/>
          <w:lang w:val="en-US"/>
        </w:rPr>
        <w:t xml:space="preserve">general </w:t>
      </w:r>
      <w:r w:rsidR="00ED1618" w:rsidRPr="00150239">
        <w:rPr>
          <w:rFonts w:asciiTheme="majorHAnsi" w:hAnsiTheme="majorHAnsi" w:cstheme="majorHAnsi"/>
          <w:color w:val="000000"/>
          <w:lang w:val="en-US"/>
        </w:rPr>
        <w:t>anesthes</w:t>
      </w:r>
      <w:r w:rsidR="00ED1618">
        <w:rPr>
          <w:rFonts w:asciiTheme="majorHAnsi" w:hAnsiTheme="majorHAnsi" w:cstheme="majorHAnsi"/>
          <w:color w:val="000000"/>
          <w:lang w:val="en-US"/>
        </w:rPr>
        <w:t>ia</w:t>
      </w:r>
      <w:r w:rsidR="009C1614" w:rsidRPr="00150239">
        <w:rPr>
          <w:rFonts w:asciiTheme="majorHAnsi" w:hAnsiTheme="majorHAnsi" w:cstheme="majorHAnsi"/>
          <w:color w:val="000000"/>
          <w:lang w:val="en-US"/>
        </w:rPr>
        <w:t xml:space="preserve"> </w:t>
      </w:r>
      <w:r w:rsidR="00ED1618">
        <w:rPr>
          <w:rFonts w:asciiTheme="majorHAnsi" w:hAnsiTheme="majorHAnsi" w:cstheme="majorHAnsi"/>
          <w:color w:val="000000"/>
          <w:lang w:val="en-US"/>
        </w:rPr>
        <w:t>induced with 2%</w:t>
      </w:r>
      <w:r w:rsidR="009C1614" w:rsidRPr="00150239">
        <w:rPr>
          <w:rFonts w:asciiTheme="majorHAnsi" w:hAnsiTheme="majorHAnsi" w:cstheme="majorHAnsi"/>
          <w:color w:val="000000"/>
          <w:lang w:val="en-US"/>
        </w:rPr>
        <w:t xml:space="preserve"> isoflurane</w:t>
      </w:r>
      <w:r w:rsidR="00ED1618">
        <w:rPr>
          <w:rFonts w:asciiTheme="majorHAnsi" w:hAnsiTheme="majorHAnsi" w:cstheme="majorHAnsi"/>
          <w:color w:val="000000"/>
          <w:lang w:val="en-US"/>
        </w:rPr>
        <w:t xml:space="preserve">.  A total of </w:t>
      </w:r>
      <w:r w:rsidR="009C1614" w:rsidRPr="00150239">
        <w:rPr>
          <w:rFonts w:asciiTheme="majorHAnsi" w:hAnsiTheme="majorHAnsi" w:cstheme="majorHAnsi"/>
          <w:color w:val="000000"/>
          <w:lang w:val="en-US"/>
        </w:rPr>
        <w:t>0.05 mL per thigh of the diluted inoculum suspension</w:t>
      </w:r>
      <w:r w:rsidR="00ED1618">
        <w:rPr>
          <w:rFonts w:asciiTheme="majorHAnsi" w:hAnsiTheme="majorHAnsi" w:cstheme="majorHAnsi"/>
          <w:color w:val="000000"/>
          <w:lang w:val="en-US"/>
        </w:rPr>
        <w:t xml:space="preserve"> </w:t>
      </w:r>
      <w:r w:rsidR="009C1614" w:rsidRPr="00150239">
        <w:rPr>
          <w:rFonts w:asciiTheme="majorHAnsi" w:hAnsiTheme="majorHAnsi" w:cstheme="majorHAnsi"/>
          <w:color w:val="000000"/>
          <w:lang w:val="en-US"/>
        </w:rPr>
        <w:t xml:space="preserve">was </w:t>
      </w:r>
      <w:r w:rsidR="00ED1618">
        <w:rPr>
          <w:rFonts w:asciiTheme="majorHAnsi" w:hAnsiTheme="majorHAnsi" w:cstheme="majorHAnsi"/>
          <w:color w:val="000000"/>
          <w:lang w:val="en-US"/>
        </w:rPr>
        <w:t>injected</w:t>
      </w:r>
      <w:r w:rsidR="009C1614" w:rsidRPr="00150239">
        <w:rPr>
          <w:rFonts w:asciiTheme="majorHAnsi" w:hAnsiTheme="majorHAnsi" w:cstheme="majorHAnsi"/>
          <w:color w:val="000000"/>
          <w:lang w:val="en-US"/>
        </w:rPr>
        <w:t xml:space="preserve"> into each lateral thigh muscle of each mouse. Mice were </w:t>
      </w:r>
      <w:r w:rsidR="00F068BE" w:rsidRPr="00150239">
        <w:rPr>
          <w:rFonts w:asciiTheme="majorHAnsi" w:hAnsiTheme="majorHAnsi" w:cstheme="majorHAnsi"/>
          <w:color w:val="000000"/>
          <w:lang w:val="en-US"/>
        </w:rPr>
        <w:t>an</w:t>
      </w:r>
      <w:r w:rsidR="004E70CB">
        <w:rPr>
          <w:rFonts w:asciiTheme="majorHAnsi" w:hAnsiTheme="majorHAnsi" w:cstheme="majorHAnsi"/>
          <w:color w:val="000000"/>
          <w:lang w:val="en-US"/>
        </w:rPr>
        <w:t>a</w:t>
      </w:r>
      <w:r w:rsidR="00F068BE" w:rsidRPr="00150239">
        <w:rPr>
          <w:rFonts w:asciiTheme="majorHAnsi" w:hAnsiTheme="majorHAnsi" w:cstheme="majorHAnsi"/>
          <w:color w:val="000000"/>
          <w:lang w:val="en-US"/>
        </w:rPr>
        <w:t>estheti</w:t>
      </w:r>
      <w:r w:rsidR="00F068BE">
        <w:rPr>
          <w:rFonts w:asciiTheme="majorHAnsi" w:hAnsiTheme="majorHAnsi" w:cstheme="majorHAnsi"/>
          <w:color w:val="000000"/>
          <w:lang w:val="en-US"/>
        </w:rPr>
        <w:t>z</w:t>
      </w:r>
      <w:r w:rsidR="00F068BE" w:rsidRPr="00150239">
        <w:rPr>
          <w:rFonts w:asciiTheme="majorHAnsi" w:hAnsiTheme="majorHAnsi" w:cstheme="majorHAnsi"/>
          <w:color w:val="000000"/>
          <w:lang w:val="en-US"/>
        </w:rPr>
        <w:t>ed</w:t>
      </w:r>
      <w:r w:rsidR="009C1614" w:rsidRPr="00150239">
        <w:rPr>
          <w:rFonts w:asciiTheme="majorHAnsi" w:hAnsiTheme="majorHAnsi" w:cstheme="majorHAnsi"/>
          <w:color w:val="000000"/>
          <w:lang w:val="en-US"/>
        </w:rPr>
        <w:t xml:space="preserve"> for</w:t>
      </w:r>
      <w:r w:rsidR="006801F9">
        <w:rPr>
          <w:rFonts w:asciiTheme="majorHAnsi" w:hAnsiTheme="majorHAnsi" w:cstheme="majorHAnsi"/>
          <w:color w:val="000000"/>
          <w:lang w:val="en-US"/>
        </w:rPr>
        <w:t xml:space="preserve"> </w:t>
      </w:r>
      <w:r w:rsidR="009C1614" w:rsidRPr="00150239">
        <w:rPr>
          <w:rFonts w:asciiTheme="majorHAnsi" w:hAnsiTheme="majorHAnsi" w:cstheme="majorHAnsi"/>
          <w:color w:val="000000"/>
          <w:lang w:val="en-US"/>
        </w:rPr>
        <w:t>approximately 5 minutes.</w:t>
      </w:r>
      <w:r w:rsidR="006801F9">
        <w:rPr>
          <w:rFonts w:asciiTheme="majorHAnsi" w:hAnsiTheme="majorHAnsi" w:cstheme="majorHAnsi"/>
        </w:rPr>
        <w:t xml:space="preserve"> </w:t>
      </w:r>
      <w:r w:rsidR="006801F9" w:rsidRPr="00150239">
        <w:rPr>
          <w:rFonts w:asciiTheme="majorHAnsi" w:hAnsiTheme="majorHAnsi" w:cstheme="majorHAnsi"/>
          <w:lang w:val="en-US"/>
        </w:rPr>
        <w:t xml:space="preserve"> </w:t>
      </w:r>
    </w:p>
    <w:p w14:paraId="2B82CCBE" w14:textId="46E04061" w:rsidR="009C1614" w:rsidRPr="000818F1" w:rsidRDefault="009C1614" w:rsidP="000818F1">
      <w:pPr>
        <w:autoSpaceDE w:val="0"/>
        <w:autoSpaceDN w:val="0"/>
        <w:adjustRightInd w:val="0"/>
        <w:ind w:firstLine="720"/>
        <w:rPr>
          <w:rFonts w:asciiTheme="majorHAnsi" w:hAnsiTheme="majorHAnsi" w:cstheme="majorHAnsi"/>
          <w:lang w:val="en-US"/>
        </w:rPr>
      </w:pPr>
      <w:r w:rsidRPr="00150239">
        <w:rPr>
          <w:rFonts w:asciiTheme="majorHAnsi" w:hAnsiTheme="majorHAnsi" w:cstheme="majorHAnsi"/>
          <w:lang w:val="en-US"/>
        </w:rPr>
        <w:t xml:space="preserve">At two hours post-infection, three animals were </w:t>
      </w:r>
      <w:r w:rsidR="006801F9">
        <w:rPr>
          <w:rFonts w:asciiTheme="majorHAnsi" w:hAnsiTheme="majorHAnsi" w:cstheme="majorHAnsi"/>
          <w:lang w:val="en-US"/>
        </w:rPr>
        <w:t>sacrificed</w:t>
      </w:r>
      <w:r w:rsidRPr="00150239">
        <w:rPr>
          <w:rFonts w:asciiTheme="majorHAnsi" w:hAnsiTheme="majorHAnsi" w:cstheme="majorHAnsi"/>
          <w:lang w:val="en-US"/>
        </w:rPr>
        <w:t xml:space="preserve"> </w:t>
      </w:r>
      <w:r w:rsidR="006801F9">
        <w:rPr>
          <w:rFonts w:asciiTheme="majorHAnsi" w:hAnsiTheme="majorHAnsi" w:cstheme="majorHAnsi"/>
          <w:lang w:val="en-US"/>
        </w:rPr>
        <w:t>using</w:t>
      </w:r>
      <w:r w:rsidRPr="00150239">
        <w:rPr>
          <w:rFonts w:asciiTheme="majorHAnsi" w:hAnsiTheme="majorHAnsi" w:cstheme="majorHAnsi"/>
          <w:lang w:val="en-US"/>
        </w:rPr>
        <w:t xml:space="preserve"> pentobarbitone</w:t>
      </w:r>
      <w:r w:rsidR="006801F9">
        <w:rPr>
          <w:rFonts w:asciiTheme="majorHAnsi" w:hAnsiTheme="majorHAnsi" w:cstheme="majorHAnsi"/>
          <w:lang w:val="en-US"/>
        </w:rPr>
        <w:t xml:space="preserve"> </w:t>
      </w:r>
      <w:r w:rsidRPr="00150239">
        <w:rPr>
          <w:rFonts w:asciiTheme="majorHAnsi" w:hAnsiTheme="majorHAnsi" w:cstheme="majorHAnsi"/>
          <w:lang w:val="en-US"/>
        </w:rPr>
        <w:t xml:space="preserve">overdose to provide a pre-treatment control group. </w:t>
      </w:r>
      <w:r w:rsidR="00ED1618">
        <w:rPr>
          <w:rFonts w:asciiTheme="majorHAnsi" w:hAnsiTheme="majorHAnsi" w:cstheme="majorHAnsi"/>
          <w:lang w:val="en-US"/>
        </w:rPr>
        <w:t xml:space="preserve"> </w:t>
      </w:r>
      <w:r w:rsidRPr="00150239">
        <w:rPr>
          <w:rFonts w:asciiTheme="majorHAnsi" w:hAnsiTheme="majorHAnsi" w:cstheme="majorHAnsi"/>
          <w:lang w:val="en-US"/>
        </w:rPr>
        <w:t>Thigh muscles</w:t>
      </w:r>
      <w:r w:rsidR="006801F9" w:rsidRPr="00150239">
        <w:rPr>
          <w:rFonts w:asciiTheme="majorHAnsi" w:hAnsiTheme="majorHAnsi" w:cstheme="majorHAnsi"/>
          <w:lang w:val="en-US"/>
        </w:rPr>
        <w:t xml:space="preserve"> </w:t>
      </w:r>
      <w:r w:rsidRPr="00150239">
        <w:rPr>
          <w:rFonts w:asciiTheme="majorHAnsi" w:hAnsiTheme="majorHAnsi" w:cstheme="majorHAnsi"/>
          <w:lang w:val="en-US"/>
        </w:rPr>
        <w:t>(from immediately above the knee joint to the hip joint) were removed, weighed, and</w:t>
      </w:r>
      <w:r w:rsidR="006801F9">
        <w:rPr>
          <w:rFonts w:asciiTheme="majorHAnsi" w:hAnsiTheme="majorHAnsi" w:cstheme="majorHAnsi"/>
          <w:lang w:val="en-US"/>
        </w:rPr>
        <w:t xml:space="preserve"> </w:t>
      </w:r>
      <w:r w:rsidRPr="00150239">
        <w:rPr>
          <w:rFonts w:asciiTheme="majorHAnsi" w:hAnsiTheme="majorHAnsi" w:cstheme="majorHAnsi"/>
          <w:lang w:val="en-US"/>
        </w:rPr>
        <w:t>homogenized using a stainless</w:t>
      </w:r>
      <w:r w:rsidR="00ED1618">
        <w:rPr>
          <w:rFonts w:asciiTheme="majorHAnsi" w:hAnsiTheme="majorHAnsi" w:cstheme="majorHAnsi"/>
          <w:lang w:val="en-US"/>
        </w:rPr>
        <w:t>-</w:t>
      </w:r>
      <w:r w:rsidRPr="00150239">
        <w:rPr>
          <w:rFonts w:asciiTheme="majorHAnsi" w:hAnsiTheme="majorHAnsi" w:cstheme="majorHAnsi"/>
          <w:lang w:val="en-US"/>
        </w:rPr>
        <w:t xml:space="preserve">steel sawtooth dispersing element (VWR, UK) in sterile PBS (2 mL). </w:t>
      </w:r>
      <w:r w:rsidR="006C21CE">
        <w:rPr>
          <w:rFonts w:asciiTheme="majorHAnsi" w:hAnsiTheme="majorHAnsi" w:cstheme="majorHAnsi"/>
          <w:lang w:val="en-US"/>
        </w:rPr>
        <w:t xml:space="preserve"> </w:t>
      </w:r>
      <w:r w:rsidRPr="00150239">
        <w:rPr>
          <w:rFonts w:asciiTheme="majorHAnsi" w:hAnsiTheme="majorHAnsi" w:cstheme="majorHAnsi"/>
          <w:lang w:val="en-US"/>
        </w:rPr>
        <w:t>Thigh homogenates were serially diluted</w:t>
      </w:r>
      <w:r w:rsidR="00ED1618" w:rsidRPr="00150239">
        <w:rPr>
          <w:rFonts w:asciiTheme="majorHAnsi" w:hAnsiTheme="majorHAnsi" w:cstheme="majorHAnsi"/>
          <w:lang w:val="en-US"/>
        </w:rPr>
        <w:t xml:space="preserve"> </w:t>
      </w:r>
      <w:r w:rsidR="00ED1618">
        <w:rPr>
          <w:rFonts w:asciiTheme="majorHAnsi" w:hAnsiTheme="majorHAnsi" w:cstheme="majorHAnsi"/>
          <w:lang w:val="en-US"/>
        </w:rPr>
        <w:t>10-fold</w:t>
      </w:r>
      <w:r w:rsidRPr="00150239">
        <w:rPr>
          <w:rFonts w:asciiTheme="majorHAnsi" w:hAnsiTheme="majorHAnsi" w:cstheme="majorHAnsi"/>
          <w:lang w:val="en-US"/>
        </w:rPr>
        <w:t xml:space="preserve"> in sterile PBS and plated onto Mueller Hinton (MH) agar</w:t>
      </w:r>
      <w:r w:rsidR="00ED1618">
        <w:rPr>
          <w:rFonts w:asciiTheme="majorHAnsi" w:hAnsiTheme="majorHAnsi" w:cstheme="majorHAnsi"/>
          <w:lang w:val="en-US"/>
        </w:rPr>
        <w:t xml:space="preserve">.  </w:t>
      </w:r>
      <w:r w:rsidR="00350DF2">
        <w:rPr>
          <w:rFonts w:asciiTheme="majorHAnsi" w:hAnsiTheme="majorHAnsi" w:cstheme="majorHAnsi"/>
          <w:lang w:val="en-US"/>
        </w:rPr>
        <w:t>T</w:t>
      </w:r>
      <w:r w:rsidRPr="00150239">
        <w:rPr>
          <w:rFonts w:asciiTheme="majorHAnsi" w:hAnsiTheme="majorHAnsi" w:cstheme="majorHAnsi"/>
          <w:lang w:val="en-US"/>
        </w:rPr>
        <w:t>otal bacterial</w:t>
      </w:r>
      <w:r w:rsidR="00ED1618">
        <w:rPr>
          <w:rFonts w:asciiTheme="majorHAnsi" w:hAnsiTheme="majorHAnsi" w:cstheme="majorHAnsi"/>
          <w:lang w:val="en-US"/>
        </w:rPr>
        <w:t xml:space="preserve"> </w:t>
      </w:r>
      <w:r w:rsidRPr="00150239">
        <w:rPr>
          <w:rFonts w:asciiTheme="majorHAnsi" w:hAnsiTheme="majorHAnsi" w:cstheme="majorHAnsi"/>
          <w:lang w:val="en-US"/>
        </w:rPr>
        <w:t>count</w:t>
      </w:r>
      <w:r w:rsidR="00350DF2">
        <w:rPr>
          <w:rFonts w:asciiTheme="majorHAnsi" w:hAnsiTheme="majorHAnsi" w:cstheme="majorHAnsi"/>
          <w:lang w:val="en-US"/>
        </w:rPr>
        <w:t>s</w:t>
      </w:r>
      <w:r w:rsidRPr="00150239">
        <w:rPr>
          <w:rFonts w:asciiTheme="majorHAnsi" w:hAnsiTheme="majorHAnsi" w:cstheme="majorHAnsi"/>
          <w:lang w:val="en-US"/>
        </w:rPr>
        <w:t xml:space="preserve"> </w:t>
      </w:r>
      <w:r w:rsidR="00350DF2">
        <w:rPr>
          <w:rFonts w:asciiTheme="majorHAnsi" w:hAnsiTheme="majorHAnsi" w:cstheme="majorHAnsi"/>
          <w:lang w:val="en-US"/>
        </w:rPr>
        <w:t xml:space="preserve">were </w:t>
      </w:r>
      <w:r w:rsidRPr="00150239">
        <w:rPr>
          <w:rFonts w:asciiTheme="majorHAnsi" w:hAnsiTheme="majorHAnsi" w:cstheme="majorHAnsi"/>
          <w:lang w:val="en-US"/>
        </w:rPr>
        <w:t>determined following overnight incubation at 37°C.</w:t>
      </w:r>
      <w:r w:rsidR="00ED1618">
        <w:rPr>
          <w:rFonts w:asciiTheme="majorHAnsi" w:hAnsiTheme="majorHAnsi" w:cstheme="majorHAnsi"/>
          <w:lang w:val="en-US"/>
        </w:rPr>
        <w:t xml:space="preserve">  </w:t>
      </w:r>
      <w:r w:rsidR="000B5A02">
        <w:rPr>
          <w:rFonts w:asciiTheme="majorHAnsi" w:hAnsiTheme="majorHAnsi" w:cstheme="majorHAnsi"/>
          <w:lang w:val="en-US"/>
        </w:rPr>
        <w:t>Remaining mice were treated every 8 hours, q8h, with a dose range of tebipenem orally</w:t>
      </w:r>
      <w:r w:rsidR="00DD2C55">
        <w:rPr>
          <w:rFonts w:asciiTheme="majorHAnsi" w:hAnsiTheme="majorHAnsi" w:cstheme="majorHAnsi"/>
          <w:lang w:val="en-US"/>
        </w:rPr>
        <w:t>.  M</w:t>
      </w:r>
      <w:r w:rsidR="00C66AFF">
        <w:rPr>
          <w:rFonts w:asciiTheme="majorHAnsi" w:hAnsiTheme="majorHAnsi" w:cstheme="majorHAnsi"/>
          <w:lang w:val="en-US"/>
        </w:rPr>
        <w:t xml:space="preserve">eropenem </w:t>
      </w:r>
      <w:r w:rsidR="00DD2C55">
        <w:rPr>
          <w:rFonts w:asciiTheme="majorHAnsi" w:hAnsiTheme="majorHAnsi" w:cstheme="majorHAnsi"/>
          <w:lang w:val="en-US"/>
        </w:rPr>
        <w:t>and/or ertapenem were administered on the same schedule, subcutaneously</w:t>
      </w:r>
      <w:r w:rsidR="00C66AFF">
        <w:rPr>
          <w:rFonts w:asciiTheme="majorHAnsi" w:hAnsiTheme="majorHAnsi" w:cstheme="majorHAnsi"/>
          <w:lang w:val="en-US"/>
        </w:rPr>
        <w:t xml:space="preserve"> or</w:t>
      </w:r>
      <w:r w:rsidR="000B5A02">
        <w:rPr>
          <w:rFonts w:asciiTheme="majorHAnsi" w:hAnsiTheme="majorHAnsi" w:cstheme="majorHAnsi"/>
          <w:lang w:val="en-US"/>
        </w:rPr>
        <w:t xml:space="preserve"> intravenously</w:t>
      </w:r>
      <w:r w:rsidR="00DD2C55">
        <w:rPr>
          <w:rFonts w:asciiTheme="majorHAnsi" w:hAnsiTheme="majorHAnsi" w:cstheme="majorHAnsi"/>
          <w:lang w:val="en-US"/>
        </w:rPr>
        <w:t>, respectively</w:t>
      </w:r>
      <w:r w:rsidR="000B5A02">
        <w:rPr>
          <w:rFonts w:asciiTheme="majorHAnsi" w:hAnsiTheme="majorHAnsi" w:cstheme="majorHAnsi"/>
          <w:lang w:val="en-US"/>
        </w:rPr>
        <w:t>.</w:t>
      </w:r>
      <w:r w:rsidR="000818F1">
        <w:rPr>
          <w:rFonts w:asciiTheme="majorHAnsi" w:hAnsiTheme="majorHAnsi" w:cstheme="majorHAnsi"/>
          <w:lang w:val="en-US"/>
        </w:rPr>
        <w:t xml:space="preserve">  </w:t>
      </w:r>
      <w:r w:rsidR="002B4FF4">
        <w:rPr>
          <w:rFonts w:asciiTheme="majorHAnsi" w:hAnsiTheme="majorHAnsi" w:cstheme="majorHAnsi"/>
          <w:lang w:val="en-US"/>
        </w:rPr>
        <w:t xml:space="preserve">Groups of </w:t>
      </w:r>
      <w:proofErr w:type="gramStart"/>
      <w:r w:rsidR="002B4FF4">
        <w:rPr>
          <w:rFonts w:asciiTheme="majorHAnsi" w:hAnsiTheme="majorHAnsi" w:cstheme="majorHAnsi"/>
          <w:lang w:val="en-US"/>
        </w:rPr>
        <w:t>n</w:t>
      </w:r>
      <w:proofErr w:type="gramEnd"/>
      <w:r w:rsidR="002B4FF4">
        <w:rPr>
          <w:rFonts w:asciiTheme="majorHAnsi" w:hAnsiTheme="majorHAnsi" w:cstheme="majorHAnsi"/>
          <w:lang w:val="en-US"/>
        </w:rPr>
        <w:t xml:space="preserve">=3 mice were used for each regimen.  </w:t>
      </w:r>
      <w:r w:rsidR="00ED1618" w:rsidRPr="00150239">
        <w:rPr>
          <w:rFonts w:asciiTheme="majorHAnsi" w:hAnsiTheme="majorHAnsi" w:cstheme="majorHAnsi"/>
          <w:lang w:val="en-US"/>
        </w:rPr>
        <w:t>At 26 hours</w:t>
      </w:r>
      <w:r w:rsidR="00ED1618">
        <w:rPr>
          <w:rFonts w:asciiTheme="majorHAnsi" w:hAnsiTheme="majorHAnsi" w:cstheme="majorHAnsi"/>
          <w:lang w:val="en-US"/>
        </w:rPr>
        <w:t xml:space="preserve"> </w:t>
      </w:r>
      <w:r w:rsidR="00ED1618" w:rsidRPr="00150239">
        <w:rPr>
          <w:rFonts w:asciiTheme="majorHAnsi" w:hAnsiTheme="majorHAnsi" w:cstheme="majorHAnsi"/>
          <w:lang w:val="en-US"/>
        </w:rPr>
        <w:t xml:space="preserve">post-infection, the </w:t>
      </w:r>
      <w:r w:rsidR="00ED1618">
        <w:rPr>
          <w:rFonts w:asciiTheme="majorHAnsi" w:hAnsiTheme="majorHAnsi" w:cstheme="majorHAnsi"/>
          <w:lang w:val="en-US"/>
        </w:rPr>
        <w:t>remaining mice</w:t>
      </w:r>
      <w:r w:rsidR="00ED1618" w:rsidRPr="00150239">
        <w:rPr>
          <w:rFonts w:asciiTheme="majorHAnsi" w:hAnsiTheme="majorHAnsi" w:cstheme="majorHAnsi"/>
          <w:lang w:val="en-US"/>
        </w:rPr>
        <w:t xml:space="preserve"> were</w:t>
      </w:r>
      <w:r w:rsidR="00ED1618">
        <w:rPr>
          <w:rFonts w:asciiTheme="majorHAnsi" w:hAnsiTheme="majorHAnsi" w:cstheme="majorHAnsi"/>
          <w:lang w:val="en-US"/>
        </w:rPr>
        <w:t xml:space="preserve"> </w:t>
      </w:r>
      <w:r w:rsidR="00F068BE">
        <w:rPr>
          <w:rFonts w:asciiTheme="majorHAnsi" w:hAnsiTheme="majorHAnsi" w:cstheme="majorHAnsi"/>
          <w:lang w:val="en-US"/>
        </w:rPr>
        <w:t>euthaniz</w:t>
      </w:r>
      <w:r w:rsidR="00F068BE" w:rsidRPr="00150239">
        <w:rPr>
          <w:rFonts w:asciiTheme="majorHAnsi" w:hAnsiTheme="majorHAnsi" w:cstheme="majorHAnsi"/>
          <w:lang w:val="en-US"/>
        </w:rPr>
        <w:t>ed</w:t>
      </w:r>
      <w:r w:rsidR="00ED1618" w:rsidRPr="00150239">
        <w:rPr>
          <w:rFonts w:asciiTheme="majorHAnsi" w:hAnsiTheme="majorHAnsi" w:cstheme="majorHAnsi"/>
          <w:lang w:val="en-US"/>
        </w:rPr>
        <w:t xml:space="preserve"> using pentobarbitone</w:t>
      </w:r>
      <w:r w:rsidR="00ED1618">
        <w:rPr>
          <w:rFonts w:asciiTheme="majorHAnsi" w:hAnsiTheme="majorHAnsi" w:cstheme="majorHAnsi"/>
          <w:lang w:val="en-US"/>
        </w:rPr>
        <w:t xml:space="preserve"> </w:t>
      </w:r>
      <w:r w:rsidR="00ED1618" w:rsidRPr="00150239">
        <w:rPr>
          <w:rFonts w:asciiTheme="majorHAnsi" w:hAnsiTheme="majorHAnsi" w:cstheme="majorHAnsi"/>
          <w:lang w:val="en-US"/>
        </w:rPr>
        <w:t>overdose</w:t>
      </w:r>
      <w:r w:rsidR="00ED1618">
        <w:rPr>
          <w:rFonts w:asciiTheme="majorHAnsi" w:hAnsiTheme="majorHAnsi" w:cstheme="majorHAnsi"/>
          <w:lang w:val="en-US"/>
        </w:rPr>
        <w:t xml:space="preserve"> and the thighs </w:t>
      </w:r>
      <w:r w:rsidR="00ED1618">
        <w:rPr>
          <w:rFonts w:asciiTheme="majorHAnsi" w:hAnsiTheme="majorHAnsi" w:cstheme="majorHAnsi"/>
          <w:lang w:val="en-US"/>
        </w:rPr>
        <w:lastRenderedPageBreak/>
        <w:t>processed in the same manner</w:t>
      </w:r>
      <w:r w:rsidR="001C541E">
        <w:rPr>
          <w:rFonts w:asciiTheme="majorHAnsi" w:hAnsiTheme="majorHAnsi" w:cstheme="majorHAnsi"/>
          <w:lang w:val="en-US"/>
        </w:rPr>
        <w:t xml:space="preserve"> as the 2-hour controls</w:t>
      </w:r>
      <w:r w:rsidR="00ED1618" w:rsidRPr="00150239">
        <w:rPr>
          <w:rFonts w:asciiTheme="majorHAnsi" w:hAnsiTheme="majorHAnsi" w:cstheme="majorHAnsi"/>
          <w:lang w:val="en-US"/>
        </w:rPr>
        <w:t xml:space="preserve">. </w:t>
      </w:r>
      <w:r w:rsidR="00ED1618">
        <w:rPr>
          <w:rFonts w:asciiTheme="majorHAnsi" w:hAnsiTheme="majorHAnsi" w:cstheme="majorHAnsi"/>
          <w:lang w:val="en-US"/>
        </w:rPr>
        <w:t xml:space="preserve"> </w:t>
      </w:r>
      <w:r w:rsidR="00903672">
        <w:rPr>
          <w:rFonts w:asciiTheme="majorHAnsi" w:hAnsiTheme="majorHAnsi" w:cstheme="majorHAnsi"/>
          <w:lang w:val="en-US"/>
        </w:rPr>
        <w:t>The endpoint of the studies was the average bacterial density of both thighs, CFU/g.</w:t>
      </w:r>
    </w:p>
    <w:p w14:paraId="63FE3ED7" w14:textId="221BE4EB" w:rsidR="00ED1618" w:rsidRDefault="00ED1618">
      <w:pPr>
        <w:rPr>
          <w:rFonts w:asciiTheme="majorHAnsi" w:hAnsiTheme="majorHAnsi" w:cstheme="majorHAnsi"/>
        </w:rPr>
      </w:pPr>
    </w:p>
    <w:p w14:paraId="43F0417C" w14:textId="585C3EE2" w:rsidR="00023F63" w:rsidRDefault="00DF0294">
      <w:pPr>
        <w:rPr>
          <w:rFonts w:asciiTheme="majorHAnsi" w:hAnsiTheme="majorHAnsi" w:cstheme="majorHAnsi"/>
          <w:i/>
        </w:rPr>
      </w:pPr>
      <w:r>
        <w:rPr>
          <w:rFonts w:asciiTheme="majorHAnsi" w:hAnsiTheme="majorHAnsi" w:cstheme="majorHAnsi"/>
          <w:i/>
        </w:rPr>
        <w:t>Murine d</w:t>
      </w:r>
      <w:r w:rsidR="00023F63">
        <w:rPr>
          <w:rFonts w:asciiTheme="majorHAnsi" w:hAnsiTheme="majorHAnsi" w:cstheme="majorHAnsi"/>
          <w:i/>
        </w:rPr>
        <w:t xml:space="preserve">ose </w:t>
      </w:r>
      <w:r>
        <w:rPr>
          <w:rFonts w:asciiTheme="majorHAnsi" w:hAnsiTheme="majorHAnsi" w:cstheme="majorHAnsi"/>
          <w:i/>
        </w:rPr>
        <w:t>f</w:t>
      </w:r>
      <w:r w:rsidR="00023F63">
        <w:rPr>
          <w:rFonts w:asciiTheme="majorHAnsi" w:hAnsiTheme="majorHAnsi" w:cstheme="majorHAnsi"/>
          <w:i/>
        </w:rPr>
        <w:t xml:space="preserve">ractionation </w:t>
      </w:r>
      <w:r>
        <w:rPr>
          <w:rFonts w:asciiTheme="majorHAnsi" w:hAnsiTheme="majorHAnsi" w:cstheme="majorHAnsi"/>
          <w:i/>
        </w:rPr>
        <w:t>s</w:t>
      </w:r>
      <w:r w:rsidR="00023F63">
        <w:rPr>
          <w:rFonts w:asciiTheme="majorHAnsi" w:hAnsiTheme="majorHAnsi" w:cstheme="majorHAnsi"/>
          <w:i/>
        </w:rPr>
        <w:t>tudy</w:t>
      </w:r>
    </w:p>
    <w:p w14:paraId="301B2561" w14:textId="7111EC8E" w:rsidR="00A5125E" w:rsidRPr="00360237" w:rsidRDefault="00023F63" w:rsidP="00360237">
      <w:pPr>
        <w:pStyle w:val="EndNoteBibliography"/>
        <w:rPr>
          <w:rFonts w:asciiTheme="majorHAnsi" w:hAnsiTheme="majorHAnsi" w:cstheme="majorHAnsi"/>
          <w:noProof/>
        </w:rPr>
      </w:pPr>
      <w:r>
        <w:rPr>
          <w:rFonts w:asciiTheme="majorHAnsi" w:hAnsiTheme="majorHAnsi" w:cstheme="majorHAnsi"/>
        </w:rPr>
        <w:tab/>
      </w:r>
      <w:r w:rsidR="009A0AE7" w:rsidRPr="00A5125E">
        <w:rPr>
          <w:rFonts w:asciiTheme="majorHAnsi" w:hAnsiTheme="majorHAnsi" w:cstheme="majorHAnsi"/>
        </w:rPr>
        <w:t>Ma</w:t>
      </w:r>
      <w:r w:rsidR="009A0AE7" w:rsidRPr="00A208AB">
        <w:rPr>
          <w:rFonts w:asciiTheme="majorHAnsi" w:hAnsiTheme="majorHAnsi" w:cstheme="majorHAnsi"/>
        </w:rPr>
        <w:t>le C</w:t>
      </w:r>
      <w:r w:rsidR="009A0AE7" w:rsidRPr="00575B88">
        <w:rPr>
          <w:rFonts w:asciiTheme="majorHAnsi" w:hAnsiTheme="majorHAnsi" w:cstheme="majorHAnsi"/>
        </w:rPr>
        <w:t>D-1 mice were ho</w:t>
      </w:r>
      <w:r w:rsidR="009A0AE7" w:rsidRPr="004B1BF8">
        <w:rPr>
          <w:rFonts w:asciiTheme="majorHAnsi" w:hAnsiTheme="majorHAnsi" w:cstheme="majorHAnsi"/>
        </w:rPr>
        <w:t>used</w:t>
      </w:r>
      <w:r w:rsidR="009A0AE7" w:rsidRPr="009B2DD3">
        <w:rPr>
          <w:rFonts w:asciiTheme="majorHAnsi" w:hAnsiTheme="majorHAnsi" w:cstheme="majorHAnsi"/>
        </w:rPr>
        <w:t xml:space="preserve"> a</w:t>
      </w:r>
      <w:r w:rsidR="009A0AE7" w:rsidRPr="00A5125E">
        <w:rPr>
          <w:rFonts w:asciiTheme="majorHAnsi" w:hAnsiTheme="majorHAnsi" w:cstheme="majorHAnsi"/>
        </w:rPr>
        <w:t xml:space="preserve">nd rendered neutropenic as described in the thigh model of infection above.  </w:t>
      </w:r>
      <w:r w:rsidR="000A3B15">
        <w:rPr>
          <w:rFonts w:asciiTheme="majorHAnsi" w:hAnsiTheme="majorHAnsi" w:cstheme="majorHAnsi"/>
        </w:rPr>
        <w:t>M</w:t>
      </w:r>
      <w:r w:rsidR="009A0AE7" w:rsidRPr="00A5125E">
        <w:rPr>
          <w:rFonts w:asciiTheme="majorHAnsi" w:hAnsiTheme="majorHAnsi" w:cstheme="majorHAnsi"/>
        </w:rPr>
        <w:t>ice</w:t>
      </w:r>
      <w:r w:rsidR="00C1659E" w:rsidRPr="00A5125E">
        <w:rPr>
          <w:rFonts w:asciiTheme="majorHAnsi" w:hAnsiTheme="majorHAnsi" w:cstheme="majorHAnsi"/>
        </w:rPr>
        <w:t xml:space="preserve"> </w:t>
      </w:r>
      <w:r w:rsidR="00A5125E" w:rsidRPr="00A5125E">
        <w:rPr>
          <w:rFonts w:asciiTheme="majorHAnsi" w:hAnsiTheme="majorHAnsi" w:cstheme="majorHAnsi"/>
        </w:rPr>
        <w:t>were</w:t>
      </w:r>
      <w:r w:rsidR="008269DC">
        <w:rPr>
          <w:rFonts w:asciiTheme="majorHAnsi" w:hAnsiTheme="majorHAnsi" w:cstheme="majorHAnsi"/>
        </w:rPr>
        <w:t xml:space="preserve"> infected </w:t>
      </w:r>
      <w:r w:rsidR="00E257FF">
        <w:rPr>
          <w:rFonts w:asciiTheme="majorHAnsi" w:hAnsiTheme="majorHAnsi" w:cstheme="majorHAnsi"/>
        </w:rPr>
        <w:t xml:space="preserve">intramuscularly </w:t>
      </w:r>
      <w:r w:rsidR="008269DC">
        <w:rPr>
          <w:rFonts w:asciiTheme="majorHAnsi" w:hAnsiTheme="majorHAnsi" w:cstheme="majorHAnsi"/>
        </w:rPr>
        <w:t xml:space="preserve">with </w:t>
      </w:r>
      <w:r w:rsidR="008269DC" w:rsidRPr="009365E1">
        <w:rPr>
          <w:rFonts w:asciiTheme="majorHAnsi" w:hAnsiTheme="majorHAnsi" w:cstheme="majorHAnsi"/>
          <w:i/>
        </w:rPr>
        <w:t>E. coli</w:t>
      </w:r>
      <w:r w:rsidR="008269DC">
        <w:rPr>
          <w:rFonts w:asciiTheme="majorHAnsi" w:hAnsiTheme="majorHAnsi" w:cstheme="majorHAnsi"/>
        </w:rPr>
        <w:t xml:space="preserve"> ATCC 25922.  Treatment was initiated 2 hours post infection</w:t>
      </w:r>
      <w:r w:rsidR="00A5125E" w:rsidRPr="00A5125E">
        <w:rPr>
          <w:rFonts w:asciiTheme="majorHAnsi" w:hAnsiTheme="majorHAnsi" w:cstheme="majorHAnsi"/>
        </w:rPr>
        <w:t xml:space="preserve"> with total daily doses</w:t>
      </w:r>
      <w:r w:rsidR="00A5125E" w:rsidRPr="00360237">
        <w:rPr>
          <w:rFonts w:asciiTheme="majorHAnsi" w:hAnsiTheme="majorHAnsi" w:cstheme="majorHAnsi"/>
          <w:noProof/>
        </w:rPr>
        <w:t xml:space="preserve"> of </w:t>
      </w:r>
      <w:r w:rsidR="006058FD">
        <w:rPr>
          <w:rFonts w:asciiTheme="majorHAnsi" w:hAnsiTheme="majorHAnsi" w:cstheme="majorHAnsi"/>
          <w:noProof/>
        </w:rPr>
        <w:t>TBPM-PI</w:t>
      </w:r>
      <w:r w:rsidR="00AB67E3">
        <w:rPr>
          <w:rFonts w:asciiTheme="majorHAnsi" w:hAnsiTheme="majorHAnsi" w:cstheme="majorHAnsi"/>
          <w:noProof/>
        </w:rPr>
        <w:t>-HBr</w:t>
      </w:r>
      <w:r w:rsidR="00A5125E" w:rsidRPr="00360237">
        <w:rPr>
          <w:rFonts w:asciiTheme="majorHAnsi" w:hAnsiTheme="majorHAnsi" w:cstheme="majorHAnsi"/>
          <w:noProof/>
        </w:rPr>
        <w:t xml:space="preserve"> at 5, 9, 14, and 25</w:t>
      </w:r>
      <w:r w:rsidR="00A40467">
        <w:rPr>
          <w:rFonts w:asciiTheme="majorHAnsi" w:hAnsiTheme="majorHAnsi" w:cstheme="majorHAnsi"/>
          <w:noProof/>
        </w:rPr>
        <w:t xml:space="preserve"> </w:t>
      </w:r>
      <w:r w:rsidR="00A5125E" w:rsidRPr="00360237">
        <w:rPr>
          <w:rFonts w:asciiTheme="majorHAnsi" w:hAnsiTheme="majorHAnsi" w:cstheme="majorHAnsi"/>
          <w:noProof/>
        </w:rPr>
        <w:t>mg/kg or meropenem at 600</w:t>
      </w:r>
      <w:r w:rsidR="00A40467">
        <w:rPr>
          <w:rFonts w:asciiTheme="majorHAnsi" w:hAnsiTheme="majorHAnsi" w:cstheme="majorHAnsi"/>
          <w:noProof/>
        </w:rPr>
        <w:t xml:space="preserve"> </w:t>
      </w:r>
      <w:r w:rsidR="00A5125E" w:rsidRPr="00360237">
        <w:rPr>
          <w:rFonts w:asciiTheme="majorHAnsi" w:hAnsiTheme="majorHAnsi" w:cstheme="majorHAnsi"/>
          <w:noProof/>
        </w:rPr>
        <w:t>mg/kg.  These dos</w:t>
      </w:r>
      <w:r w:rsidR="00127FDF">
        <w:rPr>
          <w:rFonts w:asciiTheme="majorHAnsi" w:hAnsiTheme="majorHAnsi" w:cstheme="majorHAnsi"/>
          <w:noProof/>
        </w:rPr>
        <w:t>ag</w:t>
      </w:r>
      <w:r w:rsidR="00A5125E" w:rsidRPr="00360237">
        <w:rPr>
          <w:rFonts w:asciiTheme="majorHAnsi" w:hAnsiTheme="majorHAnsi" w:cstheme="majorHAnsi"/>
          <w:noProof/>
        </w:rPr>
        <w:t xml:space="preserve">es were the calculated EC20, EC40, EC60, and EC80 of </w:t>
      </w:r>
      <w:r w:rsidR="00AB67E3">
        <w:rPr>
          <w:rFonts w:asciiTheme="majorHAnsi" w:hAnsiTheme="majorHAnsi" w:cstheme="majorHAnsi"/>
          <w:noProof/>
        </w:rPr>
        <w:t>TBPM-PI-HBr</w:t>
      </w:r>
      <w:r w:rsidR="00A5125E" w:rsidRPr="00360237">
        <w:rPr>
          <w:rFonts w:asciiTheme="majorHAnsi" w:hAnsiTheme="majorHAnsi" w:cstheme="majorHAnsi"/>
          <w:noProof/>
        </w:rPr>
        <w:t xml:space="preserve"> from dose range studies </w:t>
      </w:r>
      <w:r w:rsidR="000A3B15">
        <w:rPr>
          <w:rFonts w:asciiTheme="majorHAnsi" w:hAnsiTheme="majorHAnsi" w:cstheme="majorHAnsi"/>
          <w:noProof/>
        </w:rPr>
        <w:t>(Figure 1)</w:t>
      </w:r>
      <w:r w:rsidR="00A5125E" w:rsidRPr="00360237">
        <w:rPr>
          <w:rFonts w:asciiTheme="majorHAnsi" w:hAnsiTheme="majorHAnsi" w:cstheme="majorHAnsi"/>
          <w:noProof/>
        </w:rPr>
        <w:t xml:space="preserve">.  Doses were fractionated to be given 4 times, twice, or once a day over the period of 24 hours </w:t>
      </w:r>
      <w:r w:rsidR="00127FDF">
        <w:rPr>
          <w:rFonts w:asciiTheme="majorHAnsi" w:hAnsiTheme="majorHAnsi" w:cstheme="majorHAnsi"/>
          <w:noProof/>
        </w:rPr>
        <w:t>(</w:t>
      </w:r>
      <w:r w:rsidR="00A5125E" w:rsidRPr="00360237">
        <w:rPr>
          <w:rFonts w:asciiTheme="majorHAnsi" w:hAnsiTheme="majorHAnsi" w:cstheme="majorHAnsi"/>
          <w:noProof/>
        </w:rPr>
        <w:t xml:space="preserve">i.e. </w:t>
      </w:r>
      <w:r w:rsidR="006058FD">
        <w:rPr>
          <w:rFonts w:asciiTheme="majorHAnsi" w:hAnsiTheme="majorHAnsi" w:cstheme="majorHAnsi"/>
          <w:noProof/>
        </w:rPr>
        <w:t>TBPM-PI</w:t>
      </w:r>
      <w:r w:rsidR="00AB67E3">
        <w:rPr>
          <w:rFonts w:asciiTheme="majorHAnsi" w:hAnsiTheme="majorHAnsi" w:cstheme="majorHAnsi"/>
          <w:noProof/>
        </w:rPr>
        <w:t>-HBr</w:t>
      </w:r>
      <w:r w:rsidR="00A5125E" w:rsidRPr="00360237">
        <w:rPr>
          <w:rFonts w:asciiTheme="majorHAnsi" w:hAnsiTheme="majorHAnsi" w:cstheme="majorHAnsi"/>
          <w:noProof/>
        </w:rPr>
        <w:t xml:space="preserve"> 1.25mg/kg q6h, 2.5mg/kg q12h, 5mg/kg q24h and 2.25mg/kg q6h, 4.5mg/kg q12h, 9mg/kg q24h and 3.5mg/kg q6h, 7mg/kg q12h, 14mg/kg q24h and 6.25mg/kg q6h, 12.5mg/kg q12h, 25mg/kg q24h</w:t>
      </w:r>
      <w:r w:rsidR="00127FDF">
        <w:rPr>
          <w:rFonts w:asciiTheme="majorHAnsi" w:hAnsiTheme="majorHAnsi" w:cstheme="majorHAnsi"/>
          <w:noProof/>
        </w:rPr>
        <w:t>)</w:t>
      </w:r>
      <w:r w:rsidR="00A5125E" w:rsidRPr="00360237">
        <w:rPr>
          <w:rFonts w:asciiTheme="majorHAnsi" w:hAnsiTheme="majorHAnsi" w:cstheme="majorHAnsi"/>
          <w:noProof/>
        </w:rPr>
        <w:t xml:space="preserve"> or meropenem 150mg/kg q6h.  </w:t>
      </w:r>
      <w:r w:rsidR="000A3B15">
        <w:rPr>
          <w:rFonts w:asciiTheme="majorHAnsi" w:hAnsiTheme="majorHAnsi" w:cstheme="majorHAnsi"/>
          <w:noProof/>
        </w:rPr>
        <w:t xml:space="preserve">Groups of n=4 mice were used per regimen.  All mice were sacrificed at a single time-point 26 hours post infection.  </w:t>
      </w:r>
      <w:r w:rsidR="00A5125E" w:rsidRPr="00360237">
        <w:rPr>
          <w:rFonts w:asciiTheme="majorHAnsi" w:hAnsiTheme="majorHAnsi" w:cstheme="majorHAnsi"/>
          <w:noProof/>
        </w:rPr>
        <w:t xml:space="preserve">The study endpoint was the average bacterial density of both thighs, </w:t>
      </w:r>
      <w:r w:rsidR="00127FDF">
        <w:rPr>
          <w:rFonts w:asciiTheme="majorHAnsi" w:hAnsiTheme="majorHAnsi" w:cstheme="majorHAnsi"/>
          <w:noProof/>
        </w:rPr>
        <w:t>log</w:t>
      </w:r>
      <w:r w:rsidR="00127FDF" w:rsidRPr="00127FDF">
        <w:rPr>
          <w:rFonts w:asciiTheme="majorHAnsi" w:hAnsiTheme="majorHAnsi" w:cstheme="majorHAnsi"/>
          <w:noProof/>
          <w:vertAlign w:val="subscript"/>
        </w:rPr>
        <w:t>10</w:t>
      </w:r>
      <w:r w:rsidR="00A5125E" w:rsidRPr="00360237">
        <w:rPr>
          <w:rFonts w:asciiTheme="majorHAnsi" w:hAnsiTheme="majorHAnsi" w:cstheme="majorHAnsi"/>
          <w:noProof/>
        </w:rPr>
        <w:t>CFU/g</w:t>
      </w:r>
      <w:r w:rsidR="00B62188">
        <w:rPr>
          <w:rFonts w:asciiTheme="majorHAnsi" w:hAnsiTheme="majorHAnsi" w:cstheme="majorHAnsi"/>
          <w:noProof/>
        </w:rPr>
        <w:t>, processed as previously described.</w:t>
      </w:r>
    </w:p>
    <w:p w14:paraId="338987B7" w14:textId="68F8D397" w:rsidR="00023F63" w:rsidRDefault="00023F63">
      <w:pPr>
        <w:rPr>
          <w:rFonts w:asciiTheme="majorHAnsi" w:hAnsiTheme="majorHAnsi" w:cstheme="majorHAnsi"/>
        </w:rPr>
      </w:pPr>
    </w:p>
    <w:p w14:paraId="20CACD3E" w14:textId="77777777" w:rsidR="00A208AB" w:rsidRPr="00150239" w:rsidRDefault="00A208AB" w:rsidP="00A208AB">
      <w:pPr>
        <w:rPr>
          <w:rFonts w:asciiTheme="majorHAnsi" w:hAnsiTheme="majorHAnsi" w:cstheme="majorHAnsi"/>
          <w:i/>
        </w:rPr>
      </w:pPr>
      <w:r w:rsidRPr="00150239">
        <w:rPr>
          <w:rFonts w:asciiTheme="majorHAnsi" w:hAnsiTheme="majorHAnsi" w:cstheme="majorHAnsi"/>
          <w:i/>
        </w:rPr>
        <w:t>Persistent Antibacterial Effect</w:t>
      </w:r>
    </w:p>
    <w:p w14:paraId="2CDA2B10" w14:textId="77E4ED23" w:rsidR="00A208AB" w:rsidRPr="00360237" w:rsidRDefault="00A208AB">
      <w:pPr>
        <w:rPr>
          <w:rFonts w:asciiTheme="majorHAnsi" w:hAnsiTheme="majorHAnsi" w:cstheme="majorHAnsi"/>
          <w:noProof/>
        </w:rPr>
      </w:pPr>
      <w:r>
        <w:rPr>
          <w:rFonts w:asciiTheme="majorHAnsi" w:hAnsiTheme="majorHAnsi" w:cstheme="majorHAnsi"/>
        </w:rPr>
        <w:tab/>
      </w:r>
      <w:r w:rsidR="00302B50">
        <w:rPr>
          <w:rFonts w:asciiTheme="majorHAnsi" w:hAnsiTheme="majorHAnsi" w:cstheme="majorHAnsi"/>
          <w:noProof/>
        </w:rPr>
        <w:t>The</w:t>
      </w:r>
      <w:r w:rsidR="00575B88" w:rsidRPr="00360237">
        <w:rPr>
          <w:rFonts w:asciiTheme="majorHAnsi" w:hAnsiTheme="majorHAnsi" w:cstheme="majorHAnsi"/>
          <w:noProof/>
        </w:rPr>
        <w:t xml:space="preserve"> neutropenic murine thigh model of infection </w:t>
      </w:r>
      <w:r w:rsidR="00302B50">
        <w:rPr>
          <w:rFonts w:asciiTheme="majorHAnsi" w:hAnsiTheme="majorHAnsi" w:cstheme="majorHAnsi"/>
          <w:noProof/>
        </w:rPr>
        <w:t>described above was used</w:t>
      </w:r>
      <w:r w:rsidR="00575B88" w:rsidRPr="00360237">
        <w:rPr>
          <w:rFonts w:asciiTheme="majorHAnsi" w:hAnsiTheme="majorHAnsi" w:cstheme="majorHAnsi"/>
          <w:noProof/>
        </w:rPr>
        <w:t xml:space="preserve"> against </w:t>
      </w:r>
      <w:r w:rsidR="00575B88" w:rsidRPr="00360237">
        <w:rPr>
          <w:rFonts w:asciiTheme="majorHAnsi" w:hAnsiTheme="majorHAnsi" w:cstheme="majorHAnsi"/>
          <w:i/>
          <w:noProof/>
        </w:rPr>
        <w:t>E. coli</w:t>
      </w:r>
      <w:r w:rsidR="00575B88" w:rsidRPr="00360237">
        <w:rPr>
          <w:rFonts w:asciiTheme="majorHAnsi" w:hAnsiTheme="majorHAnsi" w:cstheme="majorHAnsi"/>
          <w:noProof/>
        </w:rPr>
        <w:t xml:space="preserve"> ATCC 25922</w:t>
      </w:r>
      <w:r w:rsidR="00C576AC">
        <w:rPr>
          <w:rFonts w:asciiTheme="majorHAnsi" w:hAnsiTheme="majorHAnsi" w:cstheme="majorHAnsi"/>
          <w:noProof/>
        </w:rPr>
        <w:t xml:space="preserve"> to determine the persistent effect of tebipenem over 26 hours</w:t>
      </w:r>
      <w:r w:rsidR="00575B88" w:rsidRPr="00360237">
        <w:rPr>
          <w:rFonts w:asciiTheme="majorHAnsi" w:hAnsiTheme="majorHAnsi" w:cstheme="majorHAnsi"/>
          <w:noProof/>
        </w:rPr>
        <w:t xml:space="preserve">.  Treatment was intitiated at 2 hours post infection with doses of </w:t>
      </w:r>
      <w:r w:rsidR="006058FD">
        <w:rPr>
          <w:rFonts w:asciiTheme="majorHAnsi" w:hAnsiTheme="majorHAnsi" w:cstheme="majorHAnsi"/>
          <w:noProof/>
        </w:rPr>
        <w:t>TBPM-PI</w:t>
      </w:r>
      <w:r w:rsidR="00AB67E3">
        <w:rPr>
          <w:rFonts w:asciiTheme="majorHAnsi" w:hAnsiTheme="majorHAnsi" w:cstheme="majorHAnsi"/>
          <w:noProof/>
        </w:rPr>
        <w:t>-HBr</w:t>
      </w:r>
      <w:r w:rsidR="00575B88" w:rsidRPr="00360237">
        <w:rPr>
          <w:rFonts w:asciiTheme="majorHAnsi" w:hAnsiTheme="majorHAnsi" w:cstheme="majorHAnsi"/>
          <w:noProof/>
        </w:rPr>
        <w:t xml:space="preserve"> at 6.67, 16.67, 33.33mg/kg q24h, mer</w:t>
      </w:r>
      <w:r w:rsidR="00ED0755">
        <w:rPr>
          <w:rFonts w:asciiTheme="majorHAnsi" w:hAnsiTheme="majorHAnsi" w:cstheme="majorHAnsi"/>
          <w:noProof/>
        </w:rPr>
        <w:t>openem at 200</w:t>
      </w:r>
      <w:r w:rsidR="008E44F1">
        <w:rPr>
          <w:rFonts w:asciiTheme="majorHAnsi" w:hAnsiTheme="majorHAnsi" w:cstheme="majorHAnsi"/>
          <w:noProof/>
        </w:rPr>
        <w:t xml:space="preserve"> </w:t>
      </w:r>
      <w:r w:rsidR="00ED0755">
        <w:rPr>
          <w:rFonts w:asciiTheme="majorHAnsi" w:hAnsiTheme="majorHAnsi" w:cstheme="majorHAnsi"/>
          <w:noProof/>
        </w:rPr>
        <w:t>mg/kg q24h, and ert</w:t>
      </w:r>
      <w:r w:rsidR="00575B88" w:rsidRPr="00360237">
        <w:rPr>
          <w:rFonts w:asciiTheme="majorHAnsi" w:hAnsiTheme="majorHAnsi" w:cstheme="majorHAnsi"/>
          <w:noProof/>
        </w:rPr>
        <w:t>apenem at 200</w:t>
      </w:r>
      <w:r w:rsidR="008E44F1">
        <w:rPr>
          <w:rFonts w:asciiTheme="majorHAnsi" w:hAnsiTheme="majorHAnsi" w:cstheme="majorHAnsi"/>
          <w:noProof/>
        </w:rPr>
        <w:t xml:space="preserve"> </w:t>
      </w:r>
      <w:r w:rsidR="00575B88" w:rsidRPr="00360237">
        <w:rPr>
          <w:rFonts w:asciiTheme="majorHAnsi" w:hAnsiTheme="majorHAnsi" w:cstheme="majorHAnsi"/>
          <w:noProof/>
        </w:rPr>
        <w:t xml:space="preserve">mg/kg q24h.  An untreated cohort was also included.  </w:t>
      </w:r>
      <w:r w:rsidR="00302B50">
        <w:rPr>
          <w:rFonts w:asciiTheme="majorHAnsi" w:hAnsiTheme="majorHAnsi" w:cstheme="majorHAnsi"/>
          <w:noProof/>
        </w:rPr>
        <w:t xml:space="preserve">Groups of </w:t>
      </w:r>
      <w:r w:rsidR="000A3B15">
        <w:rPr>
          <w:rFonts w:asciiTheme="majorHAnsi" w:hAnsiTheme="majorHAnsi" w:cstheme="majorHAnsi"/>
          <w:noProof/>
        </w:rPr>
        <w:t>n=</w:t>
      </w:r>
      <w:r w:rsidR="00302B50">
        <w:rPr>
          <w:rFonts w:asciiTheme="majorHAnsi" w:hAnsiTheme="majorHAnsi" w:cstheme="majorHAnsi"/>
          <w:noProof/>
        </w:rPr>
        <w:t>3 mice</w:t>
      </w:r>
      <w:r w:rsidR="00575B88" w:rsidRPr="00360237">
        <w:rPr>
          <w:rFonts w:asciiTheme="majorHAnsi" w:hAnsiTheme="majorHAnsi" w:cstheme="majorHAnsi"/>
          <w:noProof/>
        </w:rPr>
        <w:t xml:space="preserve"> </w:t>
      </w:r>
      <w:r w:rsidR="000A3B15">
        <w:rPr>
          <w:rFonts w:asciiTheme="majorHAnsi" w:hAnsiTheme="majorHAnsi" w:cstheme="majorHAnsi"/>
          <w:noProof/>
        </w:rPr>
        <w:t xml:space="preserve">per </w:t>
      </w:r>
      <w:r w:rsidR="000855D7">
        <w:rPr>
          <w:rFonts w:asciiTheme="majorHAnsi" w:hAnsiTheme="majorHAnsi" w:cstheme="majorHAnsi"/>
          <w:noProof/>
        </w:rPr>
        <w:t>dosage-</w:t>
      </w:r>
      <w:r w:rsidR="000A3B15">
        <w:rPr>
          <w:rFonts w:asciiTheme="majorHAnsi" w:hAnsiTheme="majorHAnsi" w:cstheme="majorHAnsi"/>
          <w:noProof/>
        </w:rPr>
        <w:t xml:space="preserve">timepoint </w:t>
      </w:r>
      <w:r w:rsidR="00575B88" w:rsidRPr="00360237">
        <w:rPr>
          <w:rFonts w:asciiTheme="majorHAnsi" w:hAnsiTheme="majorHAnsi" w:cstheme="majorHAnsi"/>
          <w:noProof/>
        </w:rPr>
        <w:t>were euthanised via pentobarbitone injection at 2, 6, 10, 14, 18, 22, and 26 hours post infection.  At each time point</w:t>
      </w:r>
      <w:r w:rsidR="00302B50">
        <w:rPr>
          <w:rFonts w:asciiTheme="majorHAnsi" w:hAnsiTheme="majorHAnsi" w:cstheme="majorHAnsi"/>
          <w:noProof/>
        </w:rPr>
        <w:t xml:space="preserve"> post infection</w:t>
      </w:r>
      <w:r w:rsidR="00575B88" w:rsidRPr="00360237">
        <w:rPr>
          <w:rFonts w:asciiTheme="majorHAnsi" w:hAnsiTheme="majorHAnsi" w:cstheme="majorHAnsi"/>
          <w:noProof/>
        </w:rPr>
        <w:t xml:space="preserve">, thighs </w:t>
      </w:r>
      <w:r w:rsidR="00423597">
        <w:rPr>
          <w:rFonts w:asciiTheme="majorHAnsi" w:hAnsiTheme="majorHAnsi" w:cstheme="majorHAnsi"/>
          <w:noProof/>
        </w:rPr>
        <w:t>were dissected and processed as previously described.</w:t>
      </w:r>
      <w:r w:rsidR="00575B88" w:rsidRPr="00360237">
        <w:rPr>
          <w:rFonts w:asciiTheme="majorHAnsi" w:hAnsiTheme="majorHAnsi" w:cstheme="majorHAnsi"/>
          <w:noProof/>
        </w:rPr>
        <w:t xml:space="preserve">  The </w:t>
      </w:r>
      <w:r w:rsidR="00753AA5">
        <w:rPr>
          <w:rFonts w:asciiTheme="majorHAnsi" w:hAnsiTheme="majorHAnsi" w:cstheme="majorHAnsi"/>
          <w:noProof/>
        </w:rPr>
        <w:t xml:space="preserve">study endpoint was the </w:t>
      </w:r>
      <w:r w:rsidR="00575B88" w:rsidRPr="00360237">
        <w:rPr>
          <w:rFonts w:asciiTheme="majorHAnsi" w:hAnsiTheme="majorHAnsi" w:cstheme="majorHAnsi"/>
          <w:noProof/>
        </w:rPr>
        <w:t xml:space="preserve">average </w:t>
      </w:r>
      <w:r w:rsidR="00753AA5">
        <w:rPr>
          <w:rFonts w:asciiTheme="majorHAnsi" w:hAnsiTheme="majorHAnsi" w:cstheme="majorHAnsi"/>
          <w:noProof/>
        </w:rPr>
        <w:t xml:space="preserve">bacterial density, </w:t>
      </w:r>
      <w:r w:rsidR="00575B88" w:rsidRPr="00360237">
        <w:rPr>
          <w:rFonts w:asciiTheme="majorHAnsi" w:hAnsiTheme="majorHAnsi" w:cstheme="majorHAnsi"/>
          <w:noProof/>
        </w:rPr>
        <w:t>CFU/g</w:t>
      </w:r>
      <w:r w:rsidR="00753AA5">
        <w:rPr>
          <w:rFonts w:asciiTheme="majorHAnsi" w:hAnsiTheme="majorHAnsi" w:cstheme="majorHAnsi"/>
          <w:noProof/>
        </w:rPr>
        <w:t>,</w:t>
      </w:r>
      <w:r w:rsidR="00575B88" w:rsidRPr="00360237">
        <w:rPr>
          <w:rFonts w:asciiTheme="majorHAnsi" w:hAnsiTheme="majorHAnsi" w:cstheme="majorHAnsi"/>
          <w:noProof/>
        </w:rPr>
        <w:t xml:space="preserve"> of both thighs </w:t>
      </w:r>
      <w:r w:rsidR="00753AA5">
        <w:rPr>
          <w:rFonts w:asciiTheme="majorHAnsi" w:hAnsiTheme="majorHAnsi" w:cstheme="majorHAnsi"/>
          <w:noProof/>
        </w:rPr>
        <w:t>for each mouse.</w:t>
      </w:r>
    </w:p>
    <w:p w14:paraId="64CE8A99" w14:textId="77777777" w:rsidR="00023F63" w:rsidRPr="00575B88" w:rsidRDefault="00023F63">
      <w:pPr>
        <w:rPr>
          <w:rFonts w:asciiTheme="majorHAnsi" w:hAnsiTheme="majorHAnsi" w:cstheme="majorHAnsi"/>
          <w:i/>
        </w:rPr>
      </w:pPr>
    </w:p>
    <w:p w14:paraId="0F118AF7" w14:textId="21701B28" w:rsidR="00ED1618" w:rsidRPr="00575B88" w:rsidRDefault="004219F5">
      <w:pPr>
        <w:rPr>
          <w:rFonts w:asciiTheme="majorHAnsi" w:hAnsiTheme="majorHAnsi" w:cstheme="majorHAnsi"/>
          <w:i/>
        </w:rPr>
      </w:pPr>
      <w:r w:rsidRPr="00575B88">
        <w:rPr>
          <w:rFonts w:asciiTheme="majorHAnsi" w:hAnsiTheme="majorHAnsi" w:cstheme="majorHAnsi"/>
          <w:i/>
        </w:rPr>
        <w:t>Pharmacokinetic Study</w:t>
      </w:r>
    </w:p>
    <w:p w14:paraId="23862DF4" w14:textId="23E7492A" w:rsidR="00497DFC" w:rsidRPr="006132C2" w:rsidRDefault="00B541DB" w:rsidP="00360237">
      <w:pPr>
        <w:pStyle w:val="EndNoteBibliography"/>
        <w:rPr>
          <w:rFonts w:asciiTheme="majorHAnsi" w:hAnsiTheme="majorHAnsi" w:cstheme="majorHAnsi"/>
        </w:rPr>
      </w:pPr>
      <w:r>
        <w:rPr>
          <w:rFonts w:asciiTheme="majorHAnsi" w:hAnsiTheme="majorHAnsi" w:cstheme="majorHAnsi"/>
        </w:rPr>
        <w:tab/>
        <w:t xml:space="preserve">The murine pharmacokinetics were performed in immunosuppressed </w:t>
      </w:r>
      <w:r w:rsidR="007C7827">
        <w:rPr>
          <w:rFonts w:asciiTheme="majorHAnsi" w:hAnsiTheme="majorHAnsi" w:cstheme="majorHAnsi"/>
        </w:rPr>
        <w:t xml:space="preserve">infected mice, using the murine </w:t>
      </w:r>
      <w:r w:rsidR="00981C2C">
        <w:rPr>
          <w:rFonts w:asciiTheme="majorHAnsi" w:hAnsiTheme="majorHAnsi" w:cstheme="majorHAnsi"/>
        </w:rPr>
        <w:t xml:space="preserve">thigh </w:t>
      </w:r>
      <w:r w:rsidR="007C7827">
        <w:rPr>
          <w:rFonts w:asciiTheme="majorHAnsi" w:hAnsiTheme="majorHAnsi" w:cstheme="majorHAnsi"/>
        </w:rPr>
        <w:t>model described above</w:t>
      </w:r>
      <w:r w:rsidR="00ED0755">
        <w:rPr>
          <w:rFonts w:asciiTheme="majorHAnsi" w:hAnsiTheme="majorHAnsi" w:cstheme="majorHAnsi"/>
        </w:rPr>
        <w:t>,</w:t>
      </w:r>
      <w:r w:rsidR="00981C2C">
        <w:rPr>
          <w:rFonts w:asciiTheme="majorHAnsi" w:hAnsiTheme="majorHAnsi" w:cstheme="majorHAnsi"/>
        </w:rPr>
        <w:t xml:space="preserve"> against </w:t>
      </w:r>
      <w:r w:rsidR="00981C2C" w:rsidRPr="00360237">
        <w:rPr>
          <w:rFonts w:asciiTheme="majorHAnsi" w:hAnsiTheme="majorHAnsi" w:cstheme="majorHAnsi"/>
          <w:i/>
        </w:rPr>
        <w:t>E. coli</w:t>
      </w:r>
      <w:r w:rsidR="00981C2C">
        <w:rPr>
          <w:rFonts w:asciiTheme="majorHAnsi" w:hAnsiTheme="majorHAnsi" w:cstheme="majorHAnsi"/>
        </w:rPr>
        <w:t xml:space="preserve"> ATCC 25922</w:t>
      </w:r>
      <w:r w:rsidR="007C7827">
        <w:rPr>
          <w:rFonts w:asciiTheme="majorHAnsi" w:hAnsiTheme="majorHAnsi" w:cstheme="majorHAnsi"/>
        </w:rPr>
        <w:t xml:space="preserve">.  The regimens chosen for study were selected after </w:t>
      </w:r>
      <w:r w:rsidR="00C55C15">
        <w:rPr>
          <w:rFonts w:asciiTheme="majorHAnsi" w:hAnsiTheme="majorHAnsi" w:cstheme="majorHAnsi"/>
        </w:rPr>
        <w:t>preliminary pharmacodynamic experiments had been completed.</w:t>
      </w:r>
      <w:r w:rsidR="00A573C4">
        <w:rPr>
          <w:rFonts w:asciiTheme="majorHAnsi" w:hAnsiTheme="majorHAnsi" w:cstheme="majorHAnsi"/>
        </w:rPr>
        <w:t xml:space="preserve">  </w:t>
      </w:r>
      <w:r w:rsidR="000A3B15">
        <w:rPr>
          <w:rFonts w:asciiTheme="majorHAnsi" w:hAnsiTheme="majorHAnsi" w:cstheme="majorHAnsi"/>
        </w:rPr>
        <w:t>M</w:t>
      </w:r>
      <w:r w:rsidR="00F4488A">
        <w:rPr>
          <w:rFonts w:asciiTheme="majorHAnsi" w:hAnsiTheme="majorHAnsi" w:cstheme="majorHAnsi"/>
        </w:rPr>
        <w:t xml:space="preserve">ice </w:t>
      </w:r>
      <w:r w:rsidR="000A3B15">
        <w:rPr>
          <w:rFonts w:asciiTheme="majorHAnsi" w:hAnsiTheme="majorHAnsi" w:cstheme="majorHAnsi"/>
        </w:rPr>
        <w:t>received</w:t>
      </w:r>
      <w:r w:rsidR="00F4488A">
        <w:rPr>
          <w:rFonts w:asciiTheme="majorHAnsi" w:hAnsiTheme="majorHAnsi" w:cstheme="majorHAnsi"/>
        </w:rPr>
        <w:t xml:space="preserve"> </w:t>
      </w:r>
      <w:r w:rsidR="006058FD">
        <w:rPr>
          <w:rFonts w:asciiTheme="majorHAnsi" w:hAnsiTheme="majorHAnsi" w:cstheme="majorHAnsi"/>
        </w:rPr>
        <w:t>TBPM-PI</w:t>
      </w:r>
      <w:r w:rsidR="00AB67E3">
        <w:rPr>
          <w:rFonts w:asciiTheme="majorHAnsi" w:hAnsiTheme="majorHAnsi" w:cstheme="majorHAnsi"/>
        </w:rPr>
        <w:t>-HBr</w:t>
      </w:r>
      <w:r w:rsidR="00F4488A">
        <w:rPr>
          <w:rFonts w:asciiTheme="majorHAnsi" w:hAnsiTheme="majorHAnsi" w:cstheme="majorHAnsi"/>
        </w:rPr>
        <w:t xml:space="preserve"> at 3.33, 8.33, 16.67, 33.33mg/kg q8h over 24 hours.  </w:t>
      </w:r>
      <w:r w:rsidR="00497DFC" w:rsidRPr="00497DFC">
        <w:rPr>
          <w:rFonts w:asciiTheme="majorHAnsi" w:hAnsiTheme="majorHAnsi" w:cstheme="majorHAnsi"/>
        </w:rPr>
        <w:t>P</w:t>
      </w:r>
      <w:r w:rsidR="00497DFC" w:rsidRPr="00023F63">
        <w:rPr>
          <w:rFonts w:asciiTheme="majorHAnsi" w:hAnsiTheme="majorHAnsi" w:cstheme="majorHAnsi"/>
        </w:rPr>
        <w:t>lasma samples for PK bioanalysis were taken</w:t>
      </w:r>
      <w:r w:rsidR="00497DFC" w:rsidRPr="009E32DE">
        <w:rPr>
          <w:rFonts w:asciiTheme="majorHAnsi" w:hAnsiTheme="majorHAnsi" w:cstheme="majorHAnsi"/>
        </w:rPr>
        <w:t xml:space="preserve"> </w:t>
      </w:r>
      <w:r w:rsidR="00497DFC" w:rsidRPr="009A0AE7">
        <w:rPr>
          <w:rFonts w:asciiTheme="majorHAnsi" w:hAnsiTheme="majorHAnsi" w:cstheme="majorHAnsi"/>
        </w:rPr>
        <w:t>in the 1</w:t>
      </w:r>
      <w:r w:rsidR="00497DFC" w:rsidRPr="00947E63">
        <w:rPr>
          <w:rFonts w:asciiTheme="majorHAnsi" w:hAnsiTheme="majorHAnsi" w:cstheme="majorHAnsi"/>
          <w:vertAlign w:val="superscript"/>
        </w:rPr>
        <w:t>st</w:t>
      </w:r>
      <w:r w:rsidR="00497DFC" w:rsidRPr="00497DFC">
        <w:rPr>
          <w:rFonts w:asciiTheme="majorHAnsi" w:hAnsiTheme="majorHAnsi" w:cstheme="majorHAnsi"/>
        </w:rPr>
        <w:t xml:space="preserve"> </w:t>
      </w:r>
      <w:r w:rsidR="00497DFC" w:rsidRPr="00023F63">
        <w:rPr>
          <w:rFonts w:asciiTheme="majorHAnsi" w:hAnsiTheme="majorHAnsi" w:cstheme="majorHAnsi"/>
        </w:rPr>
        <w:t>and 3</w:t>
      </w:r>
      <w:r w:rsidR="00497DFC" w:rsidRPr="00947E63">
        <w:rPr>
          <w:rFonts w:asciiTheme="majorHAnsi" w:hAnsiTheme="majorHAnsi" w:cstheme="majorHAnsi"/>
          <w:vertAlign w:val="superscript"/>
        </w:rPr>
        <w:t>rd</w:t>
      </w:r>
      <w:r w:rsidR="00497DFC" w:rsidRPr="00497DFC">
        <w:rPr>
          <w:rFonts w:asciiTheme="majorHAnsi" w:hAnsiTheme="majorHAnsi" w:cstheme="majorHAnsi"/>
        </w:rPr>
        <w:t xml:space="preserve"> </w:t>
      </w:r>
      <w:r w:rsidR="00497DFC" w:rsidRPr="00023F63">
        <w:rPr>
          <w:rFonts w:asciiTheme="majorHAnsi" w:hAnsiTheme="majorHAnsi" w:cstheme="majorHAnsi"/>
        </w:rPr>
        <w:t xml:space="preserve">dosing interval.  </w:t>
      </w:r>
      <w:r w:rsidR="00F4488A">
        <w:rPr>
          <w:rFonts w:asciiTheme="majorHAnsi" w:hAnsiTheme="majorHAnsi" w:cstheme="majorHAnsi"/>
          <w:noProof/>
        </w:rPr>
        <w:t xml:space="preserve">Mice from each cohort were </w:t>
      </w:r>
      <w:r w:rsidR="00497DFC" w:rsidRPr="00947E63">
        <w:rPr>
          <w:rFonts w:asciiTheme="majorHAnsi" w:hAnsiTheme="majorHAnsi" w:cstheme="majorHAnsi"/>
          <w:noProof/>
        </w:rPr>
        <w:t xml:space="preserve">euthanised </w:t>
      </w:r>
      <w:r w:rsidR="000A3B15">
        <w:rPr>
          <w:rFonts w:asciiTheme="majorHAnsi" w:hAnsiTheme="majorHAnsi" w:cstheme="majorHAnsi"/>
          <w:noProof/>
        </w:rPr>
        <w:t xml:space="preserve">in a serial sacrifice design </w:t>
      </w:r>
      <w:r w:rsidR="00497DFC" w:rsidRPr="00947E63">
        <w:rPr>
          <w:rFonts w:asciiTheme="majorHAnsi" w:hAnsiTheme="majorHAnsi" w:cstheme="majorHAnsi"/>
          <w:noProof/>
        </w:rPr>
        <w:t xml:space="preserve">at 0.083, 0.25, 0.5, 1, 2, 4, 8 hours post dose.  </w:t>
      </w:r>
      <w:r w:rsidR="000A3B15">
        <w:rPr>
          <w:rFonts w:asciiTheme="majorHAnsi" w:hAnsiTheme="majorHAnsi" w:cstheme="majorHAnsi"/>
          <w:noProof/>
        </w:rPr>
        <w:t xml:space="preserve">Groups of n=3 mice were used for each dose-timepoint combination.  A combination of </w:t>
      </w:r>
      <w:r w:rsidR="00497DFC" w:rsidRPr="00947E63">
        <w:rPr>
          <w:rFonts w:asciiTheme="majorHAnsi" w:hAnsiTheme="majorHAnsi" w:cstheme="majorHAnsi"/>
          <w:noProof/>
        </w:rPr>
        <w:t xml:space="preserve">5% isofluorane/95% oxygen </w:t>
      </w:r>
      <w:r w:rsidR="00161C36">
        <w:rPr>
          <w:rFonts w:asciiTheme="majorHAnsi" w:hAnsiTheme="majorHAnsi" w:cstheme="majorHAnsi"/>
          <w:noProof/>
        </w:rPr>
        <w:t xml:space="preserve">was used to anaesthetise mice </w:t>
      </w:r>
      <w:r w:rsidR="00497DFC" w:rsidRPr="00947E63">
        <w:rPr>
          <w:rFonts w:asciiTheme="majorHAnsi" w:hAnsiTheme="majorHAnsi" w:cstheme="majorHAnsi"/>
          <w:noProof/>
        </w:rPr>
        <w:t xml:space="preserve">for at least 5 minutes, until a deep plane of anaesthesia was achieved.  Whole blood was taken from mice via </w:t>
      </w:r>
      <w:r w:rsidR="008A3983">
        <w:rPr>
          <w:rFonts w:asciiTheme="majorHAnsi" w:hAnsiTheme="majorHAnsi" w:cstheme="majorHAnsi"/>
          <w:noProof/>
        </w:rPr>
        <w:t xml:space="preserve">terminal </w:t>
      </w:r>
      <w:r w:rsidR="00497DFC" w:rsidRPr="00947E63">
        <w:rPr>
          <w:rFonts w:asciiTheme="majorHAnsi" w:hAnsiTheme="majorHAnsi" w:cstheme="majorHAnsi"/>
          <w:noProof/>
        </w:rPr>
        <w:t xml:space="preserve">cardiac puncture using heparinised syringes at the </w:t>
      </w:r>
      <w:r w:rsidR="008A3983">
        <w:rPr>
          <w:rFonts w:asciiTheme="majorHAnsi" w:hAnsiTheme="majorHAnsi" w:cstheme="majorHAnsi"/>
          <w:noProof/>
        </w:rPr>
        <w:t>required time post dose</w:t>
      </w:r>
      <w:r w:rsidR="00497DFC" w:rsidRPr="00947E63">
        <w:rPr>
          <w:rFonts w:asciiTheme="majorHAnsi" w:hAnsiTheme="majorHAnsi" w:cstheme="majorHAnsi"/>
          <w:noProof/>
        </w:rPr>
        <w:t>.  Whole blood was centrifuged and the plasma supernatant stored at -80</w:t>
      </w:r>
      <w:r w:rsidR="00497DFC" w:rsidRPr="00947E63">
        <w:rPr>
          <w:rFonts w:asciiTheme="majorHAnsi" w:hAnsiTheme="majorHAnsi" w:cstheme="majorHAnsi"/>
          <w:noProof/>
          <w:vertAlign w:val="superscript"/>
        </w:rPr>
        <w:t>o</w:t>
      </w:r>
      <w:r w:rsidR="00497DFC" w:rsidRPr="00947E63">
        <w:rPr>
          <w:rFonts w:asciiTheme="majorHAnsi" w:hAnsiTheme="majorHAnsi" w:cstheme="majorHAnsi"/>
          <w:noProof/>
        </w:rPr>
        <w:t>C for bioanalysis</w:t>
      </w:r>
      <w:r w:rsidR="00497DFC">
        <w:rPr>
          <w:noProof/>
        </w:rPr>
        <w:t>.</w:t>
      </w:r>
    </w:p>
    <w:p w14:paraId="587AE97C" w14:textId="3616E3BE" w:rsidR="004219F5" w:rsidRDefault="004219F5">
      <w:pPr>
        <w:rPr>
          <w:rFonts w:asciiTheme="majorHAnsi" w:hAnsiTheme="majorHAnsi" w:cstheme="majorHAnsi"/>
        </w:rPr>
      </w:pPr>
    </w:p>
    <w:p w14:paraId="172626C2" w14:textId="4FB91EDC" w:rsidR="00770144" w:rsidRPr="00260C0F" w:rsidRDefault="00770144">
      <w:pPr>
        <w:rPr>
          <w:rFonts w:asciiTheme="majorHAnsi" w:hAnsiTheme="majorHAnsi" w:cstheme="majorHAnsi"/>
          <w:i/>
        </w:rPr>
      </w:pPr>
      <w:r w:rsidRPr="00260C0F">
        <w:rPr>
          <w:rFonts w:asciiTheme="majorHAnsi" w:hAnsiTheme="majorHAnsi" w:cstheme="majorHAnsi"/>
          <w:i/>
        </w:rPr>
        <w:t>Hollow fibre</w:t>
      </w:r>
      <w:r w:rsidR="00260C0F" w:rsidRPr="00260C0F">
        <w:rPr>
          <w:rFonts w:asciiTheme="majorHAnsi" w:hAnsiTheme="majorHAnsi" w:cstheme="majorHAnsi"/>
          <w:i/>
        </w:rPr>
        <w:t xml:space="preserve"> infection model</w:t>
      </w:r>
    </w:p>
    <w:p w14:paraId="6FD90962" w14:textId="2C2F2A3C" w:rsidR="00A5185B" w:rsidRDefault="00260C0F" w:rsidP="00A5185B">
      <w:pPr>
        <w:ind w:firstLine="720"/>
        <w:rPr>
          <w:rFonts w:asciiTheme="majorHAnsi" w:hAnsiTheme="majorHAnsi" w:cstheme="majorHAnsi"/>
        </w:rPr>
      </w:pPr>
      <w:r w:rsidRPr="00EF7B90">
        <w:rPr>
          <w:rFonts w:asciiTheme="majorHAnsi" w:hAnsiTheme="majorHAnsi" w:cstheme="majorHAnsi"/>
          <w:i/>
          <w:color w:val="000000"/>
        </w:rPr>
        <w:t>E. coli</w:t>
      </w:r>
      <w:r>
        <w:rPr>
          <w:rFonts w:asciiTheme="majorHAnsi" w:hAnsiTheme="majorHAnsi" w:cstheme="majorHAnsi"/>
          <w:color w:val="000000"/>
        </w:rPr>
        <w:t xml:space="preserve"> SPT</w:t>
      </w:r>
      <w:r w:rsidR="00076EF5">
        <w:rPr>
          <w:rFonts w:asciiTheme="majorHAnsi" w:hAnsiTheme="majorHAnsi" w:cstheme="majorHAnsi"/>
          <w:color w:val="000000"/>
        </w:rPr>
        <w:t xml:space="preserve"> </w:t>
      </w:r>
      <w:r>
        <w:rPr>
          <w:rFonts w:asciiTheme="majorHAnsi" w:hAnsiTheme="majorHAnsi" w:cstheme="majorHAnsi"/>
          <w:color w:val="000000"/>
        </w:rPr>
        <w:t xml:space="preserve">719 </w:t>
      </w:r>
      <w:r w:rsidR="00C451E7">
        <w:rPr>
          <w:rFonts w:asciiTheme="majorHAnsi" w:hAnsiTheme="majorHAnsi" w:cstheme="majorHAnsi"/>
          <w:color w:val="000000"/>
        </w:rPr>
        <w:t xml:space="preserve">(supplied by Spero Therapeutics) </w:t>
      </w:r>
      <w:r>
        <w:rPr>
          <w:rFonts w:asciiTheme="majorHAnsi" w:hAnsiTheme="majorHAnsi" w:cstheme="majorHAnsi"/>
          <w:color w:val="000000"/>
        </w:rPr>
        <w:t>was</w:t>
      </w:r>
      <w:r w:rsidR="00216138">
        <w:rPr>
          <w:rFonts w:asciiTheme="majorHAnsi" w:hAnsiTheme="majorHAnsi" w:cstheme="majorHAnsi"/>
          <w:color w:val="000000"/>
        </w:rPr>
        <w:t xml:space="preserve"> used as the challenge strain</w:t>
      </w:r>
      <w:r>
        <w:rPr>
          <w:rFonts w:asciiTheme="majorHAnsi" w:hAnsiTheme="majorHAnsi" w:cstheme="majorHAnsi"/>
          <w:color w:val="000000"/>
        </w:rPr>
        <w:t xml:space="preserve"> against </w:t>
      </w:r>
      <w:r w:rsidR="006058FD">
        <w:rPr>
          <w:rFonts w:asciiTheme="majorHAnsi" w:hAnsiTheme="majorHAnsi" w:cstheme="majorHAnsi"/>
          <w:color w:val="000000"/>
        </w:rPr>
        <w:t>tebipenem</w:t>
      </w:r>
      <w:r>
        <w:rPr>
          <w:rFonts w:asciiTheme="majorHAnsi" w:hAnsiTheme="majorHAnsi" w:cstheme="majorHAnsi"/>
          <w:color w:val="000000"/>
        </w:rPr>
        <w:t xml:space="preserve"> in a hollow fibre model of infection</w:t>
      </w:r>
      <w:r w:rsidR="004864AF">
        <w:rPr>
          <w:rFonts w:asciiTheme="majorHAnsi" w:hAnsiTheme="majorHAnsi" w:cstheme="majorHAnsi"/>
          <w:color w:val="000000"/>
        </w:rPr>
        <w:t xml:space="preserve"> (HFIM)</w:t>
      </w:r>
      <w:r>
        <w:rPr>
          <w:rFonts w:asciiTheme="majorHAnsi" w:hAnsiTheme="majorHAnsi" w:cstheme="majorHAnsi"/>
          <w:color w:val="000000"/>
        </w:rPr>
        <w:t xml:space="preserve">.  </w:t>
      </w:r>
      <w:r w:rsidR="00A5185B">
        <w:rPr>
          <w:rFonts w:asciiTheme="majorHAnsi" w:hAnsiTheme="majorHAnsi" w:cstheme="majorHAnsi"/>
          <w:color w:val="000000"/>
        </w:rPr>
        <w:t xml:space="preserve">The MIC was 0.03 mg/L (see Table 1).  </w:t>
      </w:r>
      <w:r w:rsidRPr="00260C0F">
        <w:rPr>
          <w:rFonts w:asciiTheme="majorHAnsi" w:hAnsiTheme="majorHAnsi" w:cstheme="majorHAnsi"/>
        </w:rPr>
        <w:t xml:space="preserve">Cation adjusted MH broth (Ca-MHB) was pumped from the central compartment through a hollow fibre cartridge </w:t>
      </w:r>
      <w:r w:rsidRPr="00260C0F">
        <w:rPr>
          <w:rFonts w:asciiTheme="majorHAnsi" w:hAnsiTheme="majorHAnsi" w:cstheme="majorHAnsi"/>
          <w:color w:val="000000"/>
        </w:rPr>
        <w:t>(</w:t>
      </w:r>
      <w:proofErr w:type="spellStart"/>
      <w:r w:rsidRPr="00260C0F">
        <w:rPr>
          <w:rFonts w:asciiTheme="majorHAnsi" w:hAnsiTheme="majorHAnsi" w:cstheme="majorHAnsi"/>
          <w:color w:val="000000"/>
        </w:rPr>
        <w:t>FiberCell</w:t>
      </w:r>
      <w:proofErr w:type="spellEnd"/>
      <w:r w:rsidRPr="00260C0F">
        <w:rPr>
          <w:rFonts w:asciiTheme="majorHAnsi" w:hAnsiTheme="majorHAnsi" w:cstheme="majorHAnsi"/>
          <w:color w:val="000000"/>
        </w:rPr>
        <w:t xml:space="preserve"> Systems, Frederick, MD, USA) before being returned to the central compartment.</w:t>
      </w:r>
      <w:r w:rsidRPr="00260C0F">
        <w:rPr>
          <w:rFonts w:asciiTheme="majorHAnsi" w:hAnsiTheme="majorHAnsi" w:cstheme="majorHAnsi"/>
        </w:rPr>
        <w:t xml:space="preserve"> </w:t>
      </w:r>
      <w:r>
        <w:rPr>
          <w:rFonts w:asciiTheme="majorHAnsi" w:hAnsiTheme="majorHAnsi" w:cstheme="majorHAnsi"/>
        </w:rPr>
        <w:t xml:space="preserve"> </w:t>
      </w:r>
      <w:r w:rsidRPr="00260C0F">
        <w:rPr>
          <w:rFonts w:asciiTheme="majorHAnsi" w:hAnsiTheme="majorHAnsi" w:cstheme="majorHAnsi"/>
          <w:color w:val="000000"/>
        </w:rPr>
        <w:t xml:space="preserve">A peristaltic pump (model 205U; Watson-Marlow, United Kingdom) was used. </w:t>
      </w:r>
      <w:r w:rsidR="00D846F2">
        <w:rPr>
          <w:rFonts w:asciiTheme="majorHAnsi" w:hAnsiTheme="majorHAnsi" w:cstheme="majorHAnsi"/>
          <w:color w:val="000000"/>
        </w:rPr>
        <w:t xml:space="preserve"> </w:t>
      </w:r>
      <w:r w:rsidR="008E44F1">
        <w:rPr>
          <w:rFonts w:asciiTheme="majorHAnsi" w:hAnsiTheme="majorHAnsi" w:cstheme="majorHAnsi"/>
          <w:color w:val="000000"/>
        </w:rPr>
        <w:t>SPR859</w:t>
      </w:r>
      <w:r w:rsidR="008E44F1" w:rsidRPr="00260C0F">
        <w:rPr>
          <w:rFonts w:asciiTheme="majorHAnsi" w:hAnsiTheme="majorHAnsi" w:cstheme="majorHAnsi"/>
          <w:color w:val="000000"/>
        </w:rPr>
        <w:t xml:space="preserve"> </w:t>
      </w:r>
      <w:r w:rsidRPr="00260C0F">
        <w:rPr>
          <w:rFonts w:asciiTheme="majorHAnsi" w:hAnsiTheme="majorHAnsi" w:cstheme="majorHAnsi"/>
          <w:color w:val="000000"/>
        </w:rPr>
        <w:t xml:space="preserve">was administered to the central compartment </w:t>
      </w:r>
      <w:r w:rsidR="00394D35">
        <w:rPr>
          <w:rFonts w:asciiTheme="majorHAnsi" w:hAnsiTheme="majorHAnsi" w:cstheme="majorHAnsi"/>
          <w:color w:val="000000"/>
        </w:rPr>
        <w:t>via</w:t>
      </w:r>
      <w:r w:rsidRPr="00260C0F">
        <w:rPr>
          <w:rFonts w:asciiTheme="majorHAnsi" w:hAnsiTheme="majorHAnsi" w:cstheme="majorHAnsi"/>
          <w:color w:val="000000"/>
        </w:rPr>
        <w:t xml:space="preserve"> a </w:t>
      </w:r>
      <w:r w:rsidRPr="00260C0F">
        <w:rPr>
          <w:rFonts w:asciiTheme="majorHAnsi" w:hAnsiTheme="majorHAnsi" w:cstheme="majorHAnsi"/>
          <w:color w:val="000000"/>
        </w:rPr>
        <w:lastRenderedPageBreak/>
        <w:t xml:space="preserve">programmable syringe driver </w:t>
      </w:r>
      <w:r w:rsidR="00394D35" w:rsidRPr="00260C0F">
        <w:rPr>
          <w:rFonts w:asciiTheme="majorHAnsi" w:hAnsiTheme="majorHAnsi" w:cstheme="majorHAnsi"/>
          <w:color w:val="000000"/>
        </w:rPr>
        <w:t>(</w:t>
      </w:r>
      <w:r w:rsidR="00394D35" w:rsidRPr="00260C0F">
        <w:rPr>
          <w:rFonts w:asciiTheme="majorHAnsi" w:hAnsiTheme="majorHAnsi" w:cstheme="majorHAnsi"/>
        </w:rPr>
        <w:t>CME Medical, Blackpool, UK)</w:t>
      </w:r>
      <w:r w:rsidR="00394D35">
        <w:rPr>
          <w:rFonts w:asciiTheme="majorHAnsi" w:hAnsiTheme="majorHAnsi" w:cstheme="majorHAnsi"/>
        </w:rPr>
        <w:t xml:space="preserve"> </w:t>
      </w:r>
      <w:r w:rsidRPr="00260C0F">
        <w:rPr>
          <w:rFonts w:asciiTheme="majorHAnsi" w:hAnsiTheme="majorHAnsi" w:cstheme="majorHAnsi"/>
          <w:color w:val="000000"/>
        </w:rPr>
        <w:t xml:space="preserve">over a 1-hour </w:t>
      </w:r>
      <w:r w:rsidR="00A5185B">
        <w:rPr>
          <w:rFonts w:asciiTheme="majorHAnsi" w:hAnsiTheme="majorHAnsi" w:cstheme="majorHAnsi"/>
          <w:color w:val="000000"/>
        </w:rPr>
        <w:t>period</w:t>
      </w:r>
      <w:r w:rsidRPr="00260C0F">
        <w:rPr>
          <w:rFonts w:asciiTheme="majorHAnsi" w:hAnsiTheme="majorHAnsi" w:cstheme="majorHAnsi"/>
          <w:color w:val="000000"/>
        </w:rPr>
        <w:t xml:space="preserve"> to achieve </w:t>
      </w:r>
      <w:r w:rsidR="00A5185B">
        <w:rPr>
          <w:rFonts w:asciiTheme="majorHAnsi" w:hAnsiTheme="majorHAnsi" w:cstheme="majorHAnsi"/>
          <w:color w:val="000000"/>
        </w:rPr>
        <w:t xml:space="preserve">the </w:t>
      </w:r>
      <w:r w:rsidRPr="00260C0F">
        <w:rPr>
          <w:rFonts w:asciiTheme="majorHAnsi" w:hAnsiTheme="majorHAnsi" w:cstheme="majorHAnsi"/>
          <w:color w:val="000000"/>
        </w:rPr>
        <w:t xml:space="preserve">required </w:t>
      </w:r>
      <w:proofErr w:type="spellStart"/>
      <w:r w:rsidRPr="00260C0F">
        <w:rPr>
          <w:rFonts w:asciiTheme="majorHAnsi" w:hAnsiTheme="majorHAnsi" w:cstheme="majorHAnsi"/>
          <w:color w:val="000000"/>
        </w:rPr>
        <w:t>C</w:t>
      </w:r>
      <w:r w:rsidRPr="00260C0F">
        <w:rPr>
          <w:rFonts w:asciiTheme="majorHAnsi" w:hAnsiTheme="majorHAnsi" w:cstheme="majorHAnsi"/>
          <w:color w:val="000000"/>
          <w:vertAlign w:val="subscript"/>
        </w:rPr>
        <w:t>max</w:t>
      </w:r>
      <w:proofErr w:type="spellEnd"/>
      <w:r w:rsidRPr="00260C0F">
        <w:rPr>
          <w:rFonts w:asciiTheme="majorHAnsi" w:hAnsiTheme="majorHAnsi" w:cstheme="majorHAnsi"/>
          <w:color w:val="000000"/>
        </w:rPr>
        <w:t xml:space="preserve"> concentrations</w:t>
      </w:r>
      <w:r w:rsidR="00394D35">
        <w:rPr>
          <w:rFonts w:asciiTheme="majorHAnsi" w:hAnsiTheme="majorHAnsi" w:cstheme="majorHAnsi"/>
          <w:color w:val="000000"/>
        </w:rPr>
        <w:t xml:space="preserve">. </w:t>
      </w:r>
      <w:r w:rsidRPr="00260C0F">
        <w:rPr>
          <w:rFonts w:asciiTheme="majorHAnsi" w:hAnsiTheme="majorHAnsi" w:cstheme="majorHAnsi"/>
          <w:color w:val="000000"/>
        </w:rPr>
        <w:t xml:space="preserve"> </w:t>
      </w:r>
      <w:r w:rsidRPr="00260C0F">
        <w:rPr>
          <w:rFonts w:asciiTheme="majorHAnsi" w:hAnsiTheme="majorHAnsi" w:cstheme="majorHAnsi"/>
        </w:rPr>
        <w:t>Fresh Ca-MHB was pumped into the central compartment from a peripheral reservoir</w:t>
      </w:r>
      <w:r w:rsidR="00A5185B">
        <w:rPr>
          <w:rFonts w:asciiTheme="majorHAnsi" w:hAnsiTheme="majorHAnsi" w:cstheme="majorHAnsi"/>
        </w:rPr>
        <w:t xml:space="preserve">. </w:t>
      </w:r>
      <w:r w:rsidRPr="00260C0F">
        <w:rPr>
          <w:rFonts w:asciiTheme="majorHAnsi" w:hAnsiTheme="majorHAnsi" w:cstheme="majorHAnsi"/>
        </w:rPr>
        <w:t xml:space="preserve"> </w:t>
      </w:r>
      <w:r w:rsidR="00A5185B">
        <w:rPr>
          <w:rFonts w:asciiTheme="majorHAnsi" w:hAnsiTheme="majorHAnsi" w:cstheme="majorHAnsi"/>
        </w:rPr>
        <w:t xml:space="preserve">Concomitantly, </w:t>
      </w:r>
      <w:r w:rsidRPr="00260C0F">
        <w:rPr>
          <w:rFonts w:asciiTheme="majorHAnsi" w:hAnsiTheme="majorHAnsi" w:cstheme="majorHAnsi"/>
        </w:rPr>
        <w:t>drug</w:t>
      </w:r>
      <w:r w:rsidR="00A5185B">
        <w:rPr>
          <w:rFonts w:asciiTheme="majorHAnsi" w:hAnsiTheme="majorHAnsi" w:cstheme="majorHAnsi"/>
        </w:rPr>
        <w:t>-</w:t>
      </w:r>
      <w:r w:rsidRPr="00260C0F">
        <w:rPr>
          <w:rFonts w:asciiTheme="majorHAnsi" w:hAnsiTheme="majorHAnsi" w:cstheme="majorHAnsi"/>
        </w:rPr>
        <w:t xml:space="preserve">containing broth in the central compartment was removed </w:t>
      </w:r>
      <w:r w:rsidR="00A5185B">
        <w:rPr>
          <w:rFonts w:asciiTheme="majorHAnsi" w:hAnsiTheme="majorHAnsi" w:cstheme="majorHAnsi"/>
        </w:rPr>
        <w:t>(</w:t>
      </w:r>
      <w:r w:rsidRPr="00260C0F">
        <w:rPr>
          <w:rFonts w:asciiTheme="majorHAnsi" w:hAnsiTheme="majorHAnsi" w:cstheme="majorHAnsi"/>
        </w:rPr>
        <w:t>at the same rate</w:t>
      </w:r>
      <w:r w:rsidR="00A5185B">
        <w:rPr>
          <w:rFonts w:asciiTheme="majorHAnsi" w:hAnsiTheme="majorHAnsi" w:cstheme="majorHAnsi"/>
        </w:rPr>
        <w:t>)</w:t>
      </w:r>
      <w:r w:rsidRPr="00260C0F">
        <w:rPr>
          <w:rFonts w:asciiTheme="majorHAnsi" w:hAnsiTheme="majorHAnsi" w:cstheme="majorHAnsi"/>
        </w:rPr>
        <w:t xml:space="preserve"> into a waste reservoir. </w:t>
      </w:r>
      <w:r w:rsidR="00AF441A">
        <w:rPr>
          <w:rFonts w:asciiTheme="majorHAnsi" w:hAnsiTheme="majorHAnsi" w:cstheme="majorHAnsi"/>
        </w:rPr>
        <w:t xml:space="preserve"> </w:t>
      </w:r>
      <w:r w:rsidR="00944619">
        <w:rPr>
          <w:rFonts w:asciiTheme="majorHAnsi" w:hAnsiTheme="majorHAnsi" w:cstheme="majorHAnsi"/>
        </w:rPr>
        <w:t>The simulated half-life was 35 minutes.</w:t>
      </w:r>
    </w:p>
    <w:p w14:paraId="635834CF" w14:textId="2A412C71" w:rsidR="00260C0F" w:rsidRPr="00394D35" w:rsidRDefault="00260C0F" w:rsidP="00A5185B">
      <w:pPr>
        <w:ind w:firstLine="720"/>
        <w:rPr>
          <w:rFonts w:asciiTheme="majorHAnsi" w:hAnsiTheme="majorHAnsi" w:cstheme="majorHAnsi"/>
        </w:rPr>
      </w:pPr>
      <w:r w:rsidRPr="00260C0F">
        <w:rPr>
          <w:rFonts w:asciiTheme="majorHAnsi" w:hAnsiTheme="majorHAnsi" w:cstheme="majorHAnsi"/>
          <w:color w:val="000000"/>
        </w:rPr>
        <w:t>The extra capillary space of each HFIM was inoculated with ~40m</w:t>
      </w:r>
      <w:r w:rsidR="004864AF">
        <w:rPr>
          <w:rFonts w:asciiTheme="majorHAnsi" w:hAnsiTheme="majorHAnsi" w:cstheme="majorHAnsi"/>
          <w:color w:val="000000"/>
        </w:rPr>
        <w:t>L</w:t>
      </w:r>
      <w:r w:rsidRPr="00260C0F">
        <w:rPr>
          <w:rFonts w:asciiTheme="majorHAnsi" w:hAnsiTheme="majorHAnsi" w:cstheme="majorHAnsi"/>
          <w:color w:val="000000"/>
        </w:rPr>
        <w:t xml:space="preserve"> of bacterial suspension and</w:t>
      </w:r>
      <w:r w:rsidR="00394D35">
        <w:rPr>
          <w:rFonts w:asciiTheme="majorHAnsi" w:hAnsiTheme="majorHAnsi" w:cstheme="majorHAnsi"/>
          <w:color w:val="000000"/>
        </w:rPr>
        <w:t xml:space="preserve"> the</w:t>
      </w:r>
      <w:r w:rsidRPr="00260C0F">
        <w:rPr>
          <w:rFonts w:asciiTheme="majorHAnsi" w:hAnsiTheme="majorHAnsi" w:cstheme="majorHAnsi"/>
          <w:color w:val="000000"/>
        </w:rPr>
        <w:t xml:space="preserve"> desired inoculum confirmed by quantitative cultures. </w:t>
      </w:r>
      <w:r w:rsidR="00AF441A">
        <w:rPr>
          <w:rFonts w:asciiTheme="majorHAnsi" w:hAnsiTheme="majorHAnsi" w:cstheme="majorHAnsi"/>
          <w:color w:val="000000"/>
        </w:rPr>
        <w:t xml:space="preserve"> </w:t>
      </w:r>
      <w:r w:rsidRPr="00260C0F">
        <w:rPr>
          <w:rFonts w:asciiTheme="majorHAnsi" w:hAnsiTheme="majorHAnsi" w:cstheme="majorHAnsi"/>
          <w:color w:val="000000"/>
        </w:rPr>
        <w:t xml:space="preserve">The HFIM was incubated at 37°C in ambient air. </w:t>
      </w:r>
      <w:r w:rsidR="00AF441A">
        <w:rPr>
          <w:rFonts w:asciiTheme="majorHAnsi" w:hAnsiTheme="majorHAnsi" w:cstheme="majorHAnsi"/>
          <w:color w:val="000000"/>
        </w:rPr>
        <w:t xml:space="preserve"> </w:t>
      </w:r>
      <w:r w:rsidR="008E44F1">
        <w:rPr>
          <w:rFonts w:asciiTheme="majorHAnsi" w:hAnsiTheme="majorHAnsi" w:cstheme="majorHAnsi"/>
          <w:color w:val="000000"/>
        </w:rPr>
        <w:t>The PK was estimated by sampling from the central reservoir</w:t>
      </w:r>
      <w:r w:rsidR="00B15D72">
        <w:rPr>
          <w:rFonts w:asciiTheme="majorHAnsi" w:hAnsiTheme="majorHAnsi" w:cstheme="majorHAnsi"/>
          <w:color w:val="000000"/>
        </w:rPr>
        <w:t xml:space="preserve"> using the same bioanalytical assay as described above</w:t>
      </w:r>
      <w:r w:rsidR="008E44F1">
        <w:rPr>
          <w:rFonts w:asciiTheme="majorHAnsi" w:hAnsiTheme="majorHAnsi" w:cstheme="majorHAnsi"/>
          <w:color w:val="000000"/>
        </w:rPr>
        <w:t xml:space="preserve">.  </w:t>
      </w:r>
      <w:r w:rsidR="000855D7">
        <w:rPr>
          <w:rFonts w:asciiTheme="majorHAnsi" w:hAnsiTheme="majorHAnsi" w:cstheme="majorHAnsi"/>
          <w:color w:val="000000"/>
        </w:rPr>
        <w:t xml:space="preserve">Samples were taken throughout the dosing interval (specific timings depended on the schedule).  </w:t>
      </w:r>
      <w:r w:rsidRPr="00260C0F">
        <w:rPr>
          <w:rFonts w:asciiTheme="majorHAnsi" w:hAnsiTheme="majorHAnsi" w:cstheme="majorHAnsi"/>
          <w:color w:val="000000"/>
        </w:rPr>
        <w:t>Bacterial densities were determined by removing 1m</w:t>
      </w:r>
      <w:r w:rsidR="004864AF">
        <w:rPr>
          <w:rFonts w:asciiTheme="majorHAnsi" w:hAnsiTheme="majorHAnsi" w:cstheme="majorHAnsi"/>
          <w:color w:val="000000"/>
        </w:rPr>
        <w:t>L</w:t>
      </w:r>
      <w:r w:rsidRPr="00260C0F">
        <w:rPr>
          <w:rFonts w:asciiTheme="majorHAnsi" w:hAnsiTheme="majorHAnsi" w:cstheme="majorHAnsi"/>
          <w:color w:val="000000"/>
        </w:rPr>
        <w:t xml:space="preserve"> from the extra capillary space via a sampling port. </w:t>
      </w:r>
      <w:r w:rsidR="00AF441A">
        <w:rPr>
          <w:rFonts w:asciiTheme="majorHAnsi" w:hAnsiTheme="majorHAnsi" w:cstheme="majorHAnsi"/>
          <w:color w:val="000000"/>
        </w:rPr>
        <w:t xml:space="preserve"> </w:t>
      </w:r>
      <w:r w:rsidRPr="00260C0F">
        <w:rPr>
          <w:rFonts w:asciiTheme="majorHAnsi" w:hAnsiTheme="majorHAnsi" w:cstheme="majorHAnsi"/>
          <w:color w:val="000000"/>
        </w:rPr>
        <w:t>Serial dilutions were then plated on</w:t>
      </w:r>
      <w:r w:rsidR="00AF441A">
        <w:rPr>
          <w:rFonts w:asciiTheme="majorHAnsi" w:hAnsiTheme="majorHAnsi" w:cstheme="majorHAnsi"/>
          <w:color w:val="000000"/>
        </w:rPr>
        <w:t>to</w:t>
      </w:r>
      <w:r w:rsidRPr="00260C0F">
        <w:rPr>
          <w:rFonts w:asciiTheme="majorHAnsi" w:hAnsiTheme="majorHAnsi" w:cstheme="majorHAnsi"/>
          <w:color w:val="000000"/>
        </w:rPr>
        <w:t xml:space="preserve"> both drug-free and drug-containing (4 x </w:t>
      </w:r>
      <w:r w:rsidR="006058FD">
        <w:rPr>
          <w:rFonts w:asciiTheme="majorHAnsi" w:hAnsiTheme="majorHAnsi" w:cstheme="majorHAnsi"/>
          <w:color w:val="000000"/>
        </w:rPr>
        <w:t>tebipenem</w:t>
      </w:r>
      <w:r w:rsidR="00AF441A">
        <w:rPr>
          <w:rFonts w:asciiTheme="majorHAnsi" w:hAnsiTheme="majorHAnsi" w:cstheme="majorHAnsi"/>
          <w:color w:val="000000"/>
        </w:rPr>
        <w:t xml:space="preserve"> </w:t>
      </w:r>
      <w:r w:rsidRPr="00260C0F">
        <w:rPr>
          <w:rFonts w:asciiTheme="majorHAnsi" w:hAnsiTheme="majorHAnsi" w:cstheme="majorHAnsi"/>
          <w:color w:val="000000"/>
        </w:rPr>
        <w:t>MIC</w:t>
      </w:r>
      <w:r w:rsidR="00A5185B">
        <w:rPr>
          <w:rFonts w:asciiTheme="majorHAnsi" w:hAnsiTheme="majorHAnsi" w:cstheme="majorHAnsi"/>
          <w:color w:val="000000"/>
        </w:rPr>
        <w:t xml:space="preserve"> at 0.125 mg/L</w:t>
      </w:r>
      <w:r w:rsidRPr="00260C0F">
        <w:rPr>
          <w:rFonts w:asciiTheme="majorHAnsi" w:hAnsiTheme="majorHAnsi" w:cstheme="majorHAnsi"/>
          <w:color w:val="000000"/>
        </w:rPr>
        <w:t xml:space="preserve">) Ca-MH agar to enumerate total and resistant subpopulations. </w:t>
      </w:r>
      <w:r w:rsidR="00AF441A">
        <w:rPr>
          <w:rFonts w:asciiTheme="majorHAnsi" w:hAnsiTheme="majorHAnsi" w:cstheme="majorHAnsi"/>
          <w:color w:val="000000"/>
        </w:rPr>
        <w:t xml:space="preserve"> </w:t>
      </w:r>
    </w:p>
    <w:p w14:paraId="3C8CDD1F" w14:textId="77777777" w:rsidR="00260C0F" w:rsidRPr="00150239" w:rsidRDefault="00260C0F">
      <w:pPr>
        <w:rPr>
          <w:rFonts w:asciiTheme="majorHAnsi" w:hAnsiTheme="majorHAnsi" w:cstheme="majorHAnsi"/>
        </w:rPr>
      </w:pPr>
    </w:p>
    <w:p w14:paraId="5F6F745C" w14:textId="5410547B" w:rsidR="00770144" w:rsidRPr="00394D35" w:rsidRDefault="00527F88">
      <w:pPr>
        <w:rPr>
          <w:rFonts w:asciiTheme="majorHAnsi" w:hAnsiTheme="majorHAnsi" w:cstheme="majorHAnsi"/>
          <w:i/>
        </w:rPr>
      </w:pPr>
      <w:r w:rsidRPr="00394D35">
        <w:rPr>
          <w:rFonts w:asciiTheme="majorHAnsi" w:hAnsiTheme="majorHAnsi" w:cstheme="majorHAnsi"/>
          <w:i/>
        </w:rPr>
        <w:t xml:space="preserve">Pharmacokinetic-pharmacodynamic </w:t>
      </w:r>
      <w:r w:rsidR="00770144" w:rsidRPr="00394D35">
        <w:rPr>
          <w:rFonts w:asciiTheme="majorHAnsi" w:hAnsiTheme="majorHAnsi" w:cstheme="majorHAnsi"/>
          <w:i/>
        </w:rPr>
        <w:t>modelling</w:t>
      </w:r>
    </w:p>
    <w:p w14:paraId="51CFDDBD" w14:textId="0D20333D" w:rsidR="00770144" w:rsidRDefault="00770144">
      <w:pPr>
        <w:rPr>
          <w:rFonts w:asciiTheme="majorHAnsi" w:hAnsiTheme="majorHAnsi" w:cstheme="majorHAnsi"/>
        </w:rPr>
      </w:pPr>
    </w:p>
    <w:p w14:paraId="275A55B9" w14:textId="00A3787B" w:rsidR="004748D4" w:rsidRPr="00150239" w:rsidRDefault="004748D4">
      <w:pPr>
        <w:rPr>
          <w:rFonts w:asciiTheme="majorHAnsi" w:hAnsiTheme="majorHAnsi" w:cstheme="majorHAnsi"/>
        </w:rPr>
      </w:pPr>
      <w:r>
        <w:rPr>
          <w:rFonts w:asciiTheme="majorHAnsi" w:hAnsiTheme="majorHAnsi" w:cstheme="majorHAnsi"/>
        </w:rPr>
        <w:tab/>
        <w:t xml:space="preserve">The </w:t>
      </w:r>
      <w:r w:rsidR="00F9072C">
        <w:rPr>
          <w:rFonts w:asciiTheme="majorHAnsi" w:hAnsiTheme="majorHAnsi" w:cstheme="majorHAnsi"/>
        </w:rPr>
        <w:t xml:space="preserve">drug exposure response relationships were modelled using an inhibitory sigmoid </w:t>
      </w:r>
      <w:proofErr w:type="spellStart"/>
      <w:r w:rsidR="00F9072C">
        <w:rPr>
          <w:rFonts w:asciiTheme="majorHAnsi" w:hAnsiTheme="majorHAnsi" w:cstheme="majorHAnsi"/>
        </w:rPr>
        <w:t>Emax</w:t>
      </w:r>
      <w:proofErr w:type="spellEnd"/>
      <w:r w:rsidR="00F9072C">
        <w:rPr>
          <w:rFonts w:asciiTheme="majorHAnsi" w:hAnsiTheme="majorHAnsi" w:cstheme="majorHAnsi"/>
        </w:rPr>
        <w:t xml:space="preserve"> mode that took the following form:</w:t>
      </w:r>
    </w:p>
    <w:p w14:paraId="2E7A8037" w14:textId="77777777" w:rsidR="00770144" w:rsidRPr="00150239" w:rsidRDefault="00770144">
      <w:pPr>
        <w:rPr>
          <w:rFonts w:asciiTheme="majorHAnsi" w:hAnsiTheme="majorHAnsi" w:cstheme="majorHAnsi"/>
        </w:rPr>
      </w:pPr>
    </w:p>
    <w:p w14:paraId="2C958EAE" w14:textId="780A5DCD" w:rsidR="00770144" w:rsidRDefault="00F9072C">
      <w:pPr>
        <w:rPr>
          <w:rFonts w:asciiTheme="majorHAnsi" w:hAnsiTheme="majorHAnsi" w:cstheme="majorHAnsi"/>
        </w:rPr>
      </w:pPr>
      <m:oMathPara>
        <m:oMath>
          <m:r>
            <w:rPr>
              <w:rFonts w:ascii="Cambria Math" w:hAnsi="Cambria Math" w:cstheme="majorHAnsi"/>
            </w:rPr>
            <m:t>Effect=Econ-</m:t>
          </m:r>
          <m:f>
            <m:fPr>
              <m:ctrlPr>
                <w:rPr>
                  <w:rFonts w:ascii="Cambria Math" w:hAnsi="Cambria Math" w:cstheme="majorHAnsi"/>
                  <w:i/>
                </w:rPr>
              </m:ctrlPr>
            </m:fPr>
            <m:num>
              <m:r>
                <w:rPr>
                  <w:rFonts w:ascii="Cambria Math" w:hAnsi="Cambria Math" w:cstheme="majorHAnsi"/>
                </w:rPr>
                <m:t>Emax*</m:t>
              </m:r>
              <m:sSup>
                <m:sSupPr>
                  <m:ctrlPr>
                    <w:rPr>
                      <w:rFonts w:ascii="Cambria Math" w:hAnsi="Cambria Math" w:cstheme="majorHAnsi"/>
                      <w:i/>
                    </w:rPr>
                  </m:ctrlPr>
                </m:sSupPr>
                <m:e>
                  <m:r>
                    <w:rPr>
                      <w:rFonts w:ascii="Cambria Math" w:hAnsi="Cambria Math" w:cstheme="majorHAnsi"/>
                    </w:rPr>
                    <m:t>drug exposure</m:t>
                  </m:r>
                </m:e>
                <m:sup>
                  <m:r>
                    <w:rPr>
                      <w:rFonts w:ascii="Cambria Math" w:hAnsi="Cambria Math" w:cstheme="majorHAnsi"/>
                    </w:rPr>
                    <m:t>H</m:t>
                  </m:r>
                </m:sup>
              </m:sSup>
            </m:num>
            <m:den>
              <m:sSup>
                <m:sSupPr>
                  <m:ctrlPr>
                    <w:rPr>
                      <w:rFonts w:ascii="Cambria Math" w:hAnsi="Cambria Math" w:cstheme="majorHAnsi"/>
                      <w:i/>
                    </w:rPr>
                  </m:ctrlPr>
                </m:sSupPr>
                <m:e>
                  <m:sSub>
                    <m:sSubPr>
                      <m:ctrlPr>
                        <w:rPr>
                          <w:rFonts w:ascii="Cambria Math" w:hAnsi="Cambria Math" w:cstheme="majorHAnsi"/>
                          <w:i/>
                        </w:rPr>
                      </m:ctrlPr>
                    </m:sSubPr>
                    <m:e>
                      <m:r>
                        <w:rPr>
                          <w:rFonts w:ascii="Cambria Math" w:hAnsi="Cambria Math" w:cstheme="majorHAnsi"/>
                        </w:rPr>
                        <m:t>EC</m:t>
                      </m:r>
                    </m:e>
                    <m:sub>
                      <m:r>
                        <w:rPr>
                          <w:rFonts w:ascii="Cambria Math" w:hAnsi="Cambria Math" w:cstheme="majorHAnsi"/>
                        </w:rPr>
                        <m:t>50</m:t>
                      </m:r>
                    </m:sub>
                  </m:sSub>
                </m:e>
                <m:sup>
                  <m:r>
                    <w:rPr>
                      <w:rFonts w:ascii="Cambria Math" w:hAnsi="Cambria Math" w:cstheme="majorHAnsi"/>
                    </w:rPr>
                    <m:t>H</m:t>
                  </m:r>
                </m:sup>
              </m:sSup>
              <m:r>
                <w:rPr>
                  <w:rFonts w:ascii="Cambria Math" w:hAnsi="Cambria Math" w:cstheme="majorHAnsi"/>
                </w:rPr>
                <m:t xml:space="preserve">+drug </m:t>
              </m:r>
              <m:sSup>
                <m:sSupPr>
                  <m:ctrlPr>
                    <w:rPr>
                      <w:rFonts w:ascii="Cambria Math" w:hAnsi="Cambria Math" w:cstheme="majorHAnsi"/>
                      <w:i/>
                    </w:rPr>
                  </m:ctrlPr>
                </m:sSupPr>
                <m:e>
                  <m:r>
                    <w:rPr>
                      <w:rFonts w:ascii="Cambria Math" w:hAnsi="Cambria Math" w:cstheme="majorHAnsi"/>
                    </w:rPr>
                    <m:t>exposure</m:t>
                  </m:r>
                </m:e>
                <m:sup>
                  <m:r>
                    <w:rPr>
                      <w:rFonts w:ascii="Cambria Math" w:hAnsi="Cambria Math" w:cstheme="majorHAnsi"/>
                    </w:rPr>
                    <m:t>H</m:t>
                  </m:r>
                </m:sup>
              </m:sSup>
            </m:den>
          </m:f>
        </m:oMath>
      </m:oMathPara>
    </w:p>
    <w:p w14:paraId="26910714" w14:textId="77777777" w:rsidR="003237B1" w:rsidRDefault="003237B1">
      <w:pPr>
        <w:rPr>
          <w:rFonts w:asciiTheme="majorHAnsi" w:hAnsiTheme="majorHAnsi" w:cstheme="majorHAnsi"/>
        </w:rPr>
      </w:pPr>
    </w:p>
    <w:p w14:paraId="5E6609F4" w14:textId="7DFABCB2" w:rsidR="005A695F" w:rsidRDefault="003237B1">
      <w:pPr>
        <w:rPr>
          <w:rFonts w:asciiTheme="majorHAnsi" w:hAnsiTheme="majorHAnsi" w:cstheme="majorHAnsi"/>
        </w:rPr>
      </w:pPr>
      <w:r>
        <w:rPr>
          <w:rFonts w:asciiTheme="majorHAnsi" w:hAnsiTheme="majorHAnsi" w:cstheme="majorHAnsi"/>
        </w:rPr>
        <w:t>Where: Effect is the bacterial burden (Log</w:t>
      </w:r>
      <w:r w:rsidRPr="00CA17F3">
        <w:rPr>
          <w:rFonts w:asciiTheme="majorHAnsi" w:hAnsiTheme="majorHAnsi" w:cstheme="majorHAnsi"/>
          <w:vertAlign w:val="subscript"/>
        </w:rPr>
        <w:t>10</w:t>
      </w:r>
      <w:r>
        <w:rPr>
          <w:rFonts w:asciiTheme="majorHAnsi" w:hAnsiTheme="majorHAnsi" w:cstheme="majorHAnsi"/>
        </w:rPr>
        <w:t xml:space="preserve">CFU/g thigh), Econ is the bacterial density in vehicle treated controls, </w:t>
      </w:r>
      <w:proofErr w:type="spellStart"/>
      <w:r>
        <w:rPr>
          <w:rFonts w:asciiTheme="majorHAnsi" w:hAnsiTheme="majorHAnsi" w:cstheme="majorHAnsi"/>
        </w:rPr>
        <w:t>Emax</w:t>
      </w:r>
      <w:proofErr w:type="spellEnd"/>
      <w:r>
        <w:rPr>
          <w:rFonts w:asciiTheme="majorHAnsi" w:hAnsiTheme="majorHAnsi" w:cstheme="majorHAnsi"/>
        </w:rPr>
        <w:t xml:space="preserve"> is the maximal antibacterial effect, EC</w:t>
      </w:r>
      <w:r w:rsidRPr="00D345CC">
        <w:rPr>
          <w:rFonts w:asciiTheme="majorHAnsi" w:hAnsiTheme="majorHAnsi" w:cstheme="majorHAnsi"/>
          <w:vertAlign w:val="subscript"/>
        </w:rPr>
        <w:t>50</w:t>
      </w:r>
      <w:r>
        <w:rPr>
          <w:rFonts w:asciiTheme="majorHAnsi" w:hAnsiTheme="majorHAnsi" w:cstheme="majorHAnsi"/>
        </w:rPr>
        <w:t xml:space="preserve"> is the drug exposure that causes half maximal antibacterial effect, </w:t>
      </w:r>
      <w:r w:rsidR="000A3B15">
        <w:rPr>
          <w:rFonts w:asciiTheme="majorHAnsi" w:hAnsiTheme="majorHAnsi" w:cstheme="majorHAnsi"/>
        </w:rPr>
        <w:t xml:space="preserve">drug </w:t>
      </w:r>
      <w:r>
        <w:rPr>
          <w:rFonts w:asciiTheme="majorHAnsi" w:hAnsiTheme="majorHAnsi" w:cstheme="majorHAnsi"/>
        </w:rPr>
        <w:t>exp</w:t>
      </w:r>
      <w:r w:rsidR="000A3B15">
        <w:rPr>
          <w:rFonts w:asciiTheme="majorHAnsi" w:hAnsiTheme="majorHAnsi" w:cstheme="majorHAnsi"/>
        </w:rPr>
        <w:t>osure</w:t>
      </w:r>
      <w:r>
        <w:rPr>
          <w:rFonts w:asciiTheme="majorHAnsi" w:hAnsiTheme="majorHAnsi" w:cstheme="majorHAnsi"/>
        </w:rPr>
        <w:t xml:space="preserve"> is the dose or the relevant pharmacodynamic index </w:t>
      </w:r>
      <w:r w:rsidR="000A3B15">
        <w:rPr>
          <w:rFonts w:asciiTheme="majorHAnsi" w:hAnsiTheme="majorHAnsi" w:cstheme="majorHAnsi"/>
        </w:rPr>
        <w:t xml:space="preserve">(e.g. AUC:MIC) </w:t>
      </w:r>
      <w:r>
        <w:rPr>
          <w:rFonts w:asciiTheme="majorHAnsi" w:hAnsiTheme="majorHAnsi" w:cstheme="majorHAnsi"/>
        </w:rPr>
        <w:t xml:space="preserve">and H is the slope function.  The model was fitted to the data using both ADAPT 5 </w:t>
      </w:r>
      <w:r w:rsidR="000A3B15">
        <w:rPr>
          <w:rFonts w:asciiTheme="majorHAnsi" w:hAnsiTheme="majorHAnsi" w:cstheme="majorHAnsi"/>
        </w:rPr>
        <w:t xml:space="preserve">and </w:t>
      </w:r>
      <w:r>
        <w:rPr>
          <w:rFonts w:asciiTheme="majorHAnsi" w:hAnsiTheme="majorHAnsi" w:cstheme="majorHAnsi"/>
        </w:rPr>
        <w:t>Pmetrics.</w:t>
      </w:r>
    </w:p>
    <w:p w14:paraId="7E39751B" w14:textId="5BB77BF3" w:rsidR="003237B1" w:rsidRDefault="003237B1">
      <w:pPr>
        <w:rPr>
          <w:rFonts w:asciiTheme="majorHAnsi" w:hAnsiTheme="majorHAnsi" w:cstheme="majorHAnsi"/>
        </w:rPr>
      </w:pPr>
      <w:r>
        <w:rPr>
          <w:rFonts w:asciiTheme="majorHAnsi" w:hAnsiTheme="majorHAnsi" w:cstheme="majorHAnsi"/>
        </w:rPr>
        <w:tab/>
        <w:t xml:space="preserve">The PK of tebipenem was estimated using a population methodology </w:t>
      </w:r>
      <w:r w:rsidR="005726A4">
        <w:rPr>
          <w:rFonts w:asciiTheme="majorHAnsi" w:hAnsiTheme="majorHAnsi" w:cstheme="majorHAnsi"/>
        </w:rPr>
        <w:t xml:space="preserve">using Pmetrics.  </w:t>
      </w:r>
      <w:r w:rsidR="00C30F20">
        <w:rPr>
          <w:rFonts w:asciiTheme="majorHAnsi" w:hAnsiTheme="majorHAnsi" w:cstheme="majorHAnsi"/>
        </w:rPr>
        <w:t xml:space="preserve">The following structural </w:t>
      </w:r>
      <w:r>
        <w:rPr>
          <w:rFonts w:asciiTheme="majorHAnsi" w:hAnsiTheme="majorHAnsi" w:cstheme="majorHAnsi"/>
        </w:rPr>
        <w:t xml:space="preserve">model </w:t>
      </w:r>
      <w:r w:rsidR="005726A4">
        <w:rPr>
          <w:rFonts w:asciiTheme="majorHAnsi" w:hAnsiTheme="majorHAnsi" w:cstheme="majorHAnsi"/>
        </w:rPr>
        <w:t>was used</w:t>
      </w:r>
      <w:r w:rsidR="00C30F20">
        <w:rPr>
          <w:rFonts w:asciiTheme="majorHAnsi" w:hAnsiTheme="majorHAnsi" w:cstheme="majorHAnsi"/>
        </w:rPr>
        <w:t>:</w:t>
      </w:r>
      <w:r w:rsidR="005726A4">
        <w:rPr>
          <w:rFonts w:asciiTheme="majorHAnsi" w:hAnsiTheme="majorHAnsi" w:cstheme="majorHAnsi"/>
        </w:rPr>
        <w:t xml:space="preserve"> </w:t>
      </w:r>
    </w:p>
    <w:p w14:paraId="2CCF7027" w14:textId="77777777" w:rsidR="00C30F20" w:rsidRDefault="00C30F20" w:rsidP="00C30F20">
      <w:pPr>
        <w:rPr>
          <w:rFonts w:asciiTheme="majorHAnsi" w:hAnsiTheme="majorHAnsi" w:cstheme="majorHAnsi"/>
        </w:rPr>
      </w:pPr>
    </w:p>
    <w:p w14:paraId="773CDA0E" w14:textId="5FCC1057" w:rsidR="00C30F20" w:rsidRPr="00C30F20" w:rsidRDefault="00C30F20" w:rsidP="00C30F20">
      <w:pPr>
        <w:rPr>
          <w:rFonts w:asciiTheme="majorHAnsi" w:hAnsiTheme="majorHAnsi" w:cstheme="majorHAnsi"/>
        </w:rPr>
      </w:pPr>
      <w:r w:rsidRPr="00C30F20">
        <w:rPr>
          <w:rFonts w:asciiTheme="majorHAnsi" w:hAnsiTheme="majorHAnsi" w:cstheme="majorHAnsi"/>
        </w:rPr>
        <w:t>XP(</w:t>
      </w:r>
      <w:proofErr w:type="gramStart"/>
      <w:r w:rsidRPr="00C30F20">
        <w:rPr>
          <w:rFonts w:asciiTheme="majorHAnsi" w:hAnsiTheme="majorHAnsi" w:cstheme="majorHAnsi"/>
        </w:rPr>
        <w:t>1)=</w:t>
      </w:r>
      <w:proofErr w:type="gramEnd"/>
      <w:r w:rsidRPr="00C30F20">
        <w:rPr>
          <w:rFonts w:asciiTheme="majorHAnsi" w:hAnsiTheme="majorHAnsi" w:cstheme="majorHAnsi"/>
        </w:rPr>
        <w:t>-Ka*X(1)</w:t>
      </w:r>
      <w:r w:rsidR="00C2122D">
        <w:rPr>
          <w:rFonts w:asciiTheme="majorHAnsi" w:hAnsiTheme="majorHAnsi" w:cstheme="majorHAnsi"/>
        </w:rPr>
        <w:tab/>
      </w:r>
      <w:r w:rsidR="00C2122D">
        <w:rPr>
          <w:rFonts w:asciiTheme="majorHAnsi" w:hAnsiTheme="majorHAnsi" w:cstheme="majorHAnsi"/>
        </w:rPr>
        <w:tab/>
      </w:r>
      <w:r w:rsidR="00C2122D">
        <w:rPr>
          <w:rFonts w:asciiTheme="majorHAnsi" w:hAnsiTheme="majorHAnsi" w:cstheme="majorHAnsi"/>
        </w:rPr>
        <w:tab/>
      </w:r>
      <w:r w:rsidR="00C2122D">
        <w:rPr>
          <w:rFonts w:asciiTheme="majorHAnsi" w:hAnsiTheme="majorHAnsi" w:cstheme="majorHAnsi"/>
        </w:rPr>
        <w:tab/>
      </w:r>
      <w:r w:rsidR="00C2122D">
        <w:rPr>
          <w:rFonts w:asciiTheme="majorHAnsi" w:hAnsiTheme="majorHAnsi" w:cstheme="majorHAnsi"/>
        </w:rPr>
        <w:tab/>
      </w:r>
      <w:r w:rsidR="00C2122D">
        <w:rPr>
          <w:rFonts w:asciiTheme="majorHAnsi" w:hAnsiTheme="majorHAnsi" w:cstheme="majorHAnsi"/>
        </w:rPr>
        <w:tab/>
      </w:r>
      <w:r w:rsidR="00C2122D">
        <w:rPr>
          <w:rFonts w:asciiTheme="majorHAnsi" w:hAnsiTheme="majorHAnsi" w:cstheme="majorHAnsi"/>
        </w:rPr>
        <w:tab/>
      </w:r>
      <w:r w:rsidR="00C2122D">
        <w:rPr>
          <w:rFonts w:asciiTheme="majorHAnsi" w:hAnsiTheme="majorHAnsi" w:cstheme="majorHAnsi"/>
        </w:rPr>
        <w:tab/>
      </w:r>
      <w:r w:rsidR="00C2122D">
        <w:rPr>
          <w:rFonts w:asciiTheme="majorHAnsi" w:hAnsiTheme="majorHAnsi" w:cstheme="majorHAnsi"/>
        </w:rPr>
        <w:tab/>
        <w:t>(1)</w:t>
      </w:r>
    </w:p>
    <w:p w14:paraId="748632EF" w14:textId="668EAB9F" w:rsidR="00C30F20" w:rsidRPr="00C30F20" w:rsidRDefault="00C30F20" w:rsidP="00C30F20">
      <w:pPr>
        <w:rPr>
          <w:rFonts w:asciiTheme="majorHAnsi" w:hAnsiTheme="majorHAnsi" w:cstheme="majorHAnsi"/>
        </w:rPr>
      </w:pPr>
      <w:r w:rsidRPr="00C30F20">
        <w:rPr>
          <w:rFonts w:asciiTheme="majorHAnsi" w:hAnsiTheme="majorHAnsi" w:cstheme="majorHAnsi"/>
        </w:rPr>
        <w:t>XP(</w:t>
      </w:r>
      <w:proofErr w:type="gramStart"/>
      <w:r w:rsidRPr="00C30F20">
        <w:rPr>
          <w:rFonts w:asciiTheme="majorHAnsi" w:hAnsiTheme="majorHAnsi" w:cstheme="majorHAnsi"/>
        </w:rPr>
        <w:t>2)=</w:t>
      </w:r>
      <w:proofErr w:type="gramEnd"/>
      <w:r w:rsidRPr="00C30F20">
        <w:rPr>
          <w:rFonts w:asciiTheme="majorHAnsi" w:hAnsiTheme="majorHAnsi" w:cstheme="majorHAnsi"/>
        </w:rPr>
        <w:t>Ka*X(1)-SCL/V*X(2)-K</w:t>
      </w:r>
      <w:r w:rsidR="00C2122D">
        <w:rPr>
          <w:rFonts w:asciiTheme="majorHAnsi" w:hAnsiTheme="majorHAnsi" w:cstheme="majorHAnsi"/>
        </w:rPr>
        <w:t>cp</w:t>
      </w:r>
      <w:r w:rsidRPr="00C30F20">
        <w:rPr>
          <w:rFonts w:asciiTheme="majorHAnsi" w:hAnsiTheme="majorHAnsi" w:cstheme="majorHAnsi"/>
        </w:rPr>
        <w:t>*X(2)+K</w:t>
      </w:r>
      <w:r w:rsidR="00C2122D">
        <w:rPr>
          <w:rFonts w:asciiTheme="majorHAnsi" w:hAnsiTheme="majorHAnsi" w:cstheme="majorHAnsi"/>
        </w:rPr>
        <w:t>pc</w:t>
      </w:r>
      <w:r w:rsidRPr="00C30F20">
        <w:rPr>
          <w:rFonts w:asciiTheme="majorHAnsi" w:hAnsiTheme="majorHAnsi" w:cstheme="majorHAnsi"/>
        </w:rPr>
        <w:t>*X(3)</w:t>
      </w:r>
      <w:r w:rsidR="00C2122D">
        <w:rPr>
          <w:rFonts w:asciiTheme="majorHAnsi" w:hAnsiTheme="majorHAnsi" w:cstheme="majorHAnsi"/>
        </w:rPr>
        <w:tab/>
      </w:r>
      <w:r w:rsidR="00C2122D">
        <w:rPr>
          <w:rFonts w:asciiTheme="majorHAnsi" w:hAnsiTheme="majorHAnsi" w:cstheme="majorHAnsi"/>
        </w:rPr>
        <w:tab/>
      </w:r>
      <w:r w:rsidR="00C2122D">
        <w:rPr>
          <w:rFonts w:asciiTheme="majorHAnsi" w:hAnsiTheme="majorHAnsi" w:cstheme="majorHAnsi"/>
        </w:rPr>
        <w:tab/>
      </w:r>
      <w:r w:rsidR="00C2122D">
        <w:rPr>
          <w:rFonts w:asciiTheme="majorHAnsi" w:hAnsiTheme="majorHAnsi" w:cstheme="majorHAnsi"/>
        </w:rPr>
        <w:tab/>
        <w:t>(2)</w:t>
      </w:r>
    </w:p>
    <w:p w14:paraId="5B5CF1BC" w14:textId="3B5B3782" w:rsidR="00C30F20" w:rsidRPr="00C30F20" w:rsidRDefault="00C30F20" w:rsidP="00C30F20">
      <w:pPr>
        <w:rPr>
          <w:rFonts w:asciiTheme="majorHAnsi" w:hAnsiTheme="majorHAnsi" w:cstheme="majorHAnsi"/>
        </w:rPr>
      </w:pPr>
      <w:r w:rsidRPr="00C30F20">
        <w:rPr>
          <w:rFonts w:asciiTheme="majorHAnsi" w:hAnsiTheme="majorHAnsi" w:cstheme="majorHAnsi"/>
        </w:rPr>
        <w:t>XP(</w:t>
      </w:r>
      <w:proofErr w:type="gramStart"/>
      <w:r w:rsidRPr="00C30F20">
        <w:rPr>
          <w:rFonts w:asciiTheme="majorHAnsi" w:hAnsiTheme="majorHAnsi" w:cstheme="majorHAnsi"/>
        </w:rPr>
        <w:t>3)=</w:t>
      </w:r>
      <w:proofErr w:type="gramEnd"/>
      <w:r w:rsidRPr="00C30F20">
        <w:rPr>
          <w:rFonts w:asciiTheme="majorHAnsi" w:hAnsiTheme="majorHAnsi" w:cstheme="majorHAnsi"/>
        </w:rPr>
        <w:t>K</w:t>
      </w:r>
      <w:r w:rsidR="00C2122D">
        <w:rPr>
          <w:rFonts w:asciiTheme="majorHAnsi" w:hAnsiTheme="majorHAnsi" w:cstheme="majorHAnsi"/>
        </w:rPr>
        <w:t>cp</w:t>
      </w:r>
      <w:r w:rsidRPr="00C30F20">
        <w:rPr>
          <w:rFonts w:asciiTheme="majorHAnsi" w:hAnsiTheme="majorHAnsi" w:cstheme="majorHAnsi"/>
        </w:rPr>
        <w:t>*X(2)-K</w:t>
      </w:r>
      <w:r w:rsidR="00C2122D">
        <w:rPr>
          <w:rFonts w:asciiTheme="majorHAnsi" w:hAnsiTheme="majorHAnsi" w:cstheme="majorHAnsi"/>
        </w:rPr>
        <w:t>pc</w:t>
      </w:r>
      <w:r w:rsidRPr="00C30F20">
        <w:rPr>
          <w:rFonts w:asciiTheme="majorHAnsi" w:hAnsiTheme="majorHAnsi" w:cstheme="majorHAnsi"/>
        </w:rPr>
        <w:t>*X(3)</w:t>
      </w:r>
      <w:r w:rsidR="00C2122D">
        <w:rPr>
          <w:rFonts w:asciiTheme="majorHAnsi" w:hAnsiTheme="majorHAnsi" w:cstheme="majorHAnsi"/>
        </w:rPr>
        <w:tab/>
      </w:r>
      <w:r w:rsidR="00C2122D">
        <w:rPr>
          <w:rFonts w:asciiTheme="majorHAnsi" w:hAnsiTheme="majorHAnsi" w:cstheme="majorHAnsi"/>
        </w:rPr>
        <w:tab/>
      </w:r>
      <w:r w:rsidR="00C2122D">
        <w:rPr>
          <w:rFonts w:asciiTheme="majorHAnsi" w:hAnsiTheme="majorHAnsi" w:cstheme="majorHAnsi"/>
        </w:rPr>
        <w:tab/>
      </w:r>
      <w:r w:rsidR="00C2122D">
        <w:rPr>
          <w:rFonts w:asciiTheme="majorHAnsi" w:hAnsiTheme="majorHAnsi" w:cstheme="majorHAnsi"/>
        </w:rPr>
        <w:tab/>
      </w:r>
      <w:r w:rsidR="00C2122D">
        <w:rPr>
          <w:rFonts w:asciiTheme="majorHAnsi" w:hAnsiTheme="majorHAnsi" w:cstheme="majorHAnsi"/>
        </w:rPr>
        <w:tab/>
      </w:r>
      <w:r w:rsidR="00C2122D">
        <w:rPr>
          <w:rFonts w:asciiTheme="majorHAnsi" w:hAnsiTheme="majorHAnsi" w:cstheme="majorHAnsi"/>
        </w:rPr>
        <w:tab/>
      </w:r>
      <w:r w:rsidR="00C2122D">
        <w:rPr>
          <w:rFonts w:asciiTheme="majorHAnsi" w:hAnsiTheme="majorHAnsi" w:cstheme="majorHAnsi"/>
        </w:rPr>
        <w:tab/>
        <w:t>(3)</w:t>
      </w:r>
    </w:p>
    <w:p w14:paraId="0B9CE764" w14:textId="5DC45E06" w:rsidR="00C30F20" w:rsidRDefault="00C30F20">
      <w:pPr>
        <w:rPr>
          <w:rFonts w:asciiTheme="majorHAnsi" w:hAnsiTheme="majorHAnsi" w:cstheme="majorHAnsi"/>
        </w:rPr>
      </w:pPr>
    </w:p>
    <w:p w14:paraId="5157E605" w14:textId="77135746" w:rsidR="00EA1BD7" w:rsidRDefault="00EA1BD7">
      <w:pPr>
        <w:rPr>
          <w:rFonts w:asciiTheme="majorHAnsi" w:hAnsiTheme="majorHAnsi" w:cstheme="majorHAnsi"/>
        </w:rPr>
      </w:pPr>
      <w:r>
        <w:rPr>
          <w:rFonts w:asciiTheme="majorHAnsi" w:hAnsiTheme="majorHAnsi" w:cstheme="majorHAnsi"/>
        </w:rPr>
        <w:t>With output equation:</w:t>
      </w:r>
    </w:p>
    <w:p w14:paraId="3C081530" w14:textId="4BA9837F" w:rsidR="00EA1BD7" w:rsidRDefault="00EA1BD7">
      <w:pPr>
        <w:rPr>
          <w:rFonts w:asciiTheme="majorHAnsi" w:hAnsiTheme="majorHAnsi" w:cstheme="majorHAnsi"/>
        </w:rPr>
      </w:pPr>
      <w:r w:rsidRPr="00EA1BD7">
        <w:rPr>
          <w:rFonts w:asciiTheme="majorHAnsi" w:hAnsiTheme="majorHAnsi" w:cstheme="majorHAnsi"/>
        </w:rPr>
        <w:t>Y(</w:t>
      </w:r>
      <w:proofErr w:type="gramStart"/>
      <w:r w:rsidRPr="00EA1BD7">
        <w:rPr>
          <w:rFonts w:asciiTheme="majorHAnsi" w:hAnsiTheme="majorHAnsi" w:cstheme="majorHAnsi"/>
        </w:rPr>
        <w:t>1)=</w:t>
      </w:r>
      <w:proofErr w:type="gramEnd"/>
      <w:r>
        <w:rPr>
          <w:rFonts w:asciiTheme="majorHAnsi" w:hAnsiTheme="majorHAnsi" w:cstheme="majorHAnsi"/>
        </w:rPr>
        <w:t>X(2)/V</w:t>
      </w:r>
    </w:p>
    <w:p w14:paraId="65694022" w14:textId="77777777" w:rsidR="00EA1BD7" w:rsidRDefault="00EA1BD7">
      <w:pPr>
        <w:rPr>
          <w:rFonts w:asciiTheme="majorHAnsi" w:hAnsiTheme="majorHAnsi" w:cstheme="majorHAnsi"/>
        </w:rPr>
      </w:pPr>
    </w:p>
    <w:p w14:paraId="7486C795" w14:textId="6D6D78DC" w:rsidR="00C30F20" w:rsidRDefault="00EA1BD7">
      <w:pPr>
        <w:rPr>
          <w:rFonts w:asciiTheme="majorHAnsi" w:hAnsiTheme="majorHAnsi" w:cstheme="majorHAnsi"/>
        </w:rPr>
      </w:pPr>
      <w:r>
        <w:rPr>
          <w:rFonts w:asciiTheme="majorHAnsi" w:hAnsiTheme="majorHAnsi" w:cstheme="majorHAnsi"/>
        </w:rPr>
        <w:t xml:space="preserve">Equations 1-3 represent the rate of change of mass of drug in the gut, bloodstream and peripheral compartment, respectively. </w:t>
      </w:r>
      <w:r w:rsidR="00C2122D">
        <w:rPr>
          <w:rFonts w:asciiTheme="majorHAnsi" w:hAnsiTheme="majorHAnsi" w:cstheme="majorHAnsi"/>
        </w:rPr>
        <w:t xml:space="preserve"> Ka is the first-order rate constant</w:t>
      </w:r>
      <w:r>
        <w:rPr>
          <w:rFonts w:asciiTheme="majorHAnsi" w:hAnsiTheme="majorHAnsi" w:cstheme="majorHAnsi"/>
        </w:rPr>
        <w:t xml:space="preserve"> describing the absorption of drug from the gut into the central compartment; Kcp and Kpc are the respective first-order intercompartmental rate constants; SCL is the first-order clearance of drug from the central compartment; and V is the volume of the central compartment.</w:t>
      </w:r>
      <w:r w:rsidR="00C2122D">
        <w:rPr>
          <w:rFonts w:asciiTheme="majorHAnsi" w:hAnsiTheme="majorHAnsi" w:cstheme="majorHAnsi"/>
        </w:rPr>
        <w:t xml:space="preserve"> </w:t>
      </w:r>
    </w:p>
    <w:p w14:paraId="0EB0A89D" w14:textId="20A96094" w:rsidR="003C2F40" w:rsidRDefault="003C2F40">
      <w:pPr>
        <w:rPr>
          <w:rFonts w:asciiTheme="majorHAnsi" w:hAnsiTheme="majorHAnsi" w:cstheme="majorHAnsi"/>
        </w:rPr>
      </w:pPr>
      <w:r>
        <w:rPr>
          <w:rFonts w:asciiTheme="majorHAnsi" w:hAnsiTheme="majorHAnsi" w:cstheme="majorHAnsi"/>
        </w:rPr>
        <w:tab/>
      </w:r>
      <w:r w:rsidR="00C30F20">
        <w:rPr>
          <w:rFonts w:asciiTheme="majorHAnsi" w:hAnsiTheme="majorHAnsi" w:cstheme="majorHAnsi"/>
        </w:rPr>
        <w:t xml:space="preserve">The PD data from the experiments to </w:t>
      </w:r>
      <w:r w:rsidR="00C2122D">
        <w:rPr>
          <w:rFonts w:asciiTheme="majorHAnsi" w:hAnsiTheme="majorHAnsi" w:cstheme="majorHAnsi"/>
        </w:rPr>
        <w:t>describe</w:t>
      </w:r>
      <w:r w:rsidR="00C30F20">
        <w:rPr>
          <w:rFonts w:asciiTheme="majorHAnsi" w:hAnsiTheme="majorHAnsi" w:cstheme="majorHAnsi"/>
        </w:rPr>
        <w:t xml:space="preserve"> the persistent effect were modelled using the following differential equation that was combined with the </w:t>
      </w:r>
      <w:r w:rsidR="00C2122D">
        <w:rPr>
          <w:rFonts w:asciiTheme="majorHAnsi" w:hAnsiTheme="majorHAnsi" w:cstheme="majorHAnsi"/>
        </w:rPr>
        <w:t>PK equations (1-3) listed above</w:t>
      </w:r>
      <w:r w:rsidR="00EA1BD7">
        <w:rPr>
          <w:rFonts w:asciiTheme="majorHAnsi" w:hAnsiTheme="majorHAnsi" w:cstheme="majorHAnsi"/>
        </w:rPr>
        <w:t>.  The value of the PK parameters estimated from fitting of the PK model were fixed</w:t>
      </w:r>
      <w:r w:rsidR="00C2122D">
        <w:rPr>
          <w:rFonts w:asciiTheme="majorHAnsi" w:hAnsiTheme="majorHAnsi" w:cstheme="majorHAnsi"/>
        </w:rPr>
        <w:t>.</w:t>
      </w:r>
      <w:r w:rsidR="00C30F20">
        <w:rPr>
          <w:rFonts w:asciiTheme="majorHAnsi" w:hAnsiTheme="majorHAnsi" w:cstheme="majorHAnsi"/>
        </w:rPr>
        <w:t xml:space="preserve"> </w:t>
      </w:r>
    </w:p>
    <w:p w14:paraId="6C8DFF71" w14:textId="1C0C8965" w:rsidR="00C30F20" w:rsidRDefault="00C30F20">
      <w:pPr>
        <w:rPr>
          <w:rFonts w:asciiTheme="majorHAnsi" w:hAnsiTheme="majorHAnsi" w:cstheme="majorHAnsi"/>
        </w:rPr>
      </w:pPr>
    </w:p>
    <w:p w14:paraId="1FDACDBC" w14:textId="17D76243" w:rsidR="00C2122D" w:rsidRDefault="00BB2B75" w:rsidP="00C30F20">
      <w:pPr>
        <w:rPr>
          <w:rFonts w:asciiTheme="majorHAnsi" w:hAnsiTheme="majorHAnsi" w:cstheme="majorHAnsi"/>
        </w:rPr>
      </w:pPr>
      <w:proofErr w:type="spellStart"/>
      <w:r>
        <w:rPr>
          <w:rFonts w:asciiTheme="majorHAnsi" w:hAnsiTheme="majorHAnsi" w:cstheme="majorHAnsi"/>
        </w:rPr>
        <w:t>dN</w:t>
      </w:r>
      <w:proofErr w:type="spellEnd"/>
      <w:r>
        <w:rPr>
          <w:rFonts w:asciiTheme="majorHAnsi" w:hAnsiTheme="majorHAnsi" w:cstheme="majorHAnsi"/>
        </w:rPr>
        <w:t>/</w:t>
      </w:r>
      <w:proofErr w:type="spellStart"/>
      <w:r>
        <w:rPr>
          <w:rFonts w:asciiTheme="majorHAnsi" w:hAnsiTheme="majorHAnsi" w:cstheme="majorHAnsi"/>
        </w:rPr>
        <w:t>dt</w:t>
      </w:r>
      <w:proofErr w:type="spellEnd"/>
      <w:r w:rsidR="00C30F20" w:rsidRPr="00C30F20">
        <w:rPr>
          <w:rFonts w:asciiTheme="majorHAnsi" w:hAnsiTheme="majorHAnsi" w:cstheme="majorHAnsi"/>
        </w:rPr>
        <w:t>=</w:t>
      </w:r>
      <w:proofErr w:type="spellStart"/>
      <w:r w:rsidR="00C30F20" w:rsidRPr="00C30F20">
        <w:rPr>
          <w:rFonts w:asciiTheme="majorHAnsi" w:hAnsiTheme="majorHAnsi" w:cstheme="majorHAnsi"/>
        </w:rPr>
        <w:t>Kgmax</w:t>
      </w:r>
      <w:proofErr w:type="spellEnd"/>
      <w:r w:rsidR="00C30F20" w:rsidRPr="00C30F20">
        <w:rPr>
          <w:rFonts w:asciiTheme="majorHAnsi" w:hAnsiTheme="majorHAnsi" w:cstheme="majorHAnsi"/>
        </w:rPr>
        <w:t>*(1.D0-((X(2)/</w:t>
      </w:r>
      <w:proofErr w:type="gramStart"/>
      <w:r w:rsidR="00C30F20" w:rsidRPr="00C30F20">
        <w:rPr>
          <w:rFonts w:asciiTheme="majorHAnsi" w:hAnsiTheme="majorHAnsi" w:cstheme="majorHAnsi"/>
        </w:rPr>
        <w:t>V)*</w:t>
      </w:r>
      <w:proofErr w:type="gramEnd"/>
      <w:r w:rsidR="00C30F20" w:rsidRPr="00C30F20">
        <w:rPr>
          <w:rFonts w:asciiTheme="majorHAnsi" w:hAnsiTheme="majorHAnsi" w:cstheme="majorHAnsi"/>
        </w:rPr>
        <w:t>*Hg/(C50g**Hg+(X(2)/V)**Hg)))</w:t>
      </w:r>
    </w:p>
    <w:p w14:paraId="6029E7EB" w14:textId="09B2932A" w:rsidR="00C2122D" w:rsidRDefault="00C30F20" w:rsidP="00C30F20">
      <w:pPr>
        <w:rPr>
          <w:rFonts w:asciiTheme="majorHAnsi" w:hAnsiTheme="majorHAnsi" w:cstheme="majorHAnsi"/>
        </w:rPr>
      </w:pPr>
      <w:r w:rsidRPr="00C30F20">
        <w:rPr>
          <w:rFonts w:asciiTheme="majorHAnsi" w:hAnsiTheme="majorHAnsi" w:cstheme="majorHAnsi"/>
        </w:rPr>
        <w:lastRenderedPageBreak/>
        <w:t>*(1.D0-(X(4)/</w:t>
      </w:r>
      <w:proofErr w:type="spellStart"/>
      <w:r w:rsidRPr="00C30F20">
        <w:rPr>
          <w:rFonts w:asciiTheme="majorHAnsi" w:hAnsiTheme="majorHAnsi" w:cstheme="majorHAnsi"/>
        </w:rPr>
        <w:t>popmax</w:t>
      </w:r>
      <w:proofErr w:type="spellEnd"/>
      <w:proofErr w:type="gramStart"/>
      <w:r w:rsidRPr="00C30F20">
        <w:rPr>
          <w:rFonts w:asciiTheme="majorHAnsi" w:hAnsiTheme="majorHAnsi" w:cstheme="majorHAnsi"/>
        </w:rPr>
        <w:t>))*</w:t>
      </w:r>
      <w:proofErr w:type="gramEnd"/>
      <w:r w:rsidR="00BB2B75">
        <w:rPr>
          <w:rFonts w:asciiTheme="majorHAnsi" w:hAnsiTheme="majorHAnsi" w:cstheme="majorHAnsi"/>
        </w:rPr>
        <w:t>N</w:t>
      </w:r>
    </w:p>
    <w:p w14:paraId="27FF9FAA" w14:textId="64EDECE3" w:rsidR="00C30F20" w:rsidRDefault="00C30F20" w:rsidP="00C30F20">
      <w:pPr>
        <w:rPr>
          <w:rFonts w:asciiTheme="majorHAnsi" w:hAnsiTheme="majorHAnsi" w:cstheme="majorHAnsi"/>
        </w:rPr>
      </w:pPr>
      <w:r w:rsidRPr="00C30F20">
        <w:rPr>
          <w:rFonts w:asciiTheme="majorHAnsi" w:hAnsiTheme="majorHAnsi" w:cstheme="majorHAnsi"/>
        </w:rPr>
        <w:t>-</w:t>
      </w:r>
      <w:proofErr w:type="spellStart"/>
      <w:r w:rsidRPr="00C30F20">
        <w:rPr>
          <w:rFonts w:asciiTheme="majorHAnsi" w:hAnsiTheme="majorHAnsi" w:cstheme="majorHAnsi"/>
        </w:rPr>
        <w:t>kkmax</w:t>
      </w:r>
      <w:proofErr w:type="spellEnd"/>
      <w:r w:rsidRPr="00C30F20">
        <w:rPr>
          <w:rFonts w:asciiTheme="majorHAnsi" w:hAnsiTheme="majorHAnsi" w:cstheme="majorHAnsi"/>
        </w:rPr>
        <w:t>*(X(2)/</w:t>
      </w:r>
      <w:proofErr w:type="gramStart"/>
      <w:r w:rsidRPr="00C30F20">
        <w:rPr>
          <w:rFonts w:asciiTheme="majorHAnsi" w:hAnsiTheme="majorHAnsi" w:cstheme="majorHAnsi"/>
        </w:rPr>
        <w:t>V)*</w:t>
      </w:r>
      <w:proofErr w:type="gramEnd"/>
      <w:r w:rsidRPr="00C30F20">
        <w:rPr>
          <w:rFonts w:asciiTheme="majorHAnsi" w:hAnsiTheme="majorHAnsi" w:cstheme="majorHAnsi"/>
        </w:rPr>
        <w:t>*</w:t>
      </w:r>
      <w:proofErr w:type="spellStart"/>
      <w:r w:rsidRPr="00C30F20">
        <w:rPr>
          <w:rFonts w:asciiTheme="majorHAnsi" w:hAnsiTheme="majorHAnsi" w:cstheme="majorHAnsi"/>
        </w:rPr>
        <w:t>Hk</w:t>
      </w:r>
      <w:proofErr w:type="spellEnd"/>
      <w:r w:rsidRPr="00C30F20">
        <w:rPr>
          <w:rFonts w:asciiTheme="majorHAnsi" w:hAnsiTheme="majorHAnsi" w:cstheme="majorHAnsi"/>
        </w:rPr>
        <w:t>/(C50k**</w:t>
      </w:r>
      <w:proofErr w:type="spellStart"/>
      <w:r w:rsidRPr="00C30F20">
        <w:rPr>
          <w:rFonts w:asciiTheme="majorHAnsi" w:hAnsiTheme="majorHAnsi" w:cstheme="majorHAnsi"/>
        </w:rPr>
        <w:t>Hk</w:t>
      </w:r>
      <w:proofErr w:type="spellEnd"/>
      <w:r w:rsidRPr="00C30F20">
        <w:rPr>
          <w:rFonts w:asciiTheme="majorHAnsi" w:hAnsiTheme="majorHAnsi" w:cstheme="majorHAnsi"/>
        </w:rPr>
        <w:t>+(X(2)/V)**</w:t>
      </w:r>
      <w:proofErr w:type="spellStart"/>
      <w:r w:rsidRPr="00C30F20">
        <w:rPr>
          <w:rFonts w:asciiTheme="majorHAnsi" w:hAnsiTheme="majorHAnsi" w:cstheme="majorHAnsi"/>
        </w:rPr>
        <w:t>Hk</w:t>
      </w:r>
      <w:proofErr w:type="spellEnd"/>
      <w:r w:rsidRPr="00C30F20">
        <w:rPr>
          <w:rFonts w:asciiTheme="majorHAnsi" w:hAnsiTheme="majorHAnsi" w:cstheme="majorHAnsi"/>
        </w:rPr>
        <w:t>)*</w:t>
      </w:r>
      <w:r w:rsidR="00BB2B75">
        <w:rPr>
          <w:rFonts w:asciiTheme="majorHAnsi" w:hAnsiTheme="majorHAnsi" w:cstheme="majorHAnsi"/>
        </w:rPr>
        <w:t>N</w:t>
      </w:r>
      <w:r w:rsidR="00C2122D">
        <w:rPr>
          <w:rFonts w:asciiTheme="majorHAnsi" w:hAnsiTheme="majorHAnsi" w:cstheme="majorHAnsi"/>
        </w:rPr>
        <w:tab/>
      </w:r>
      <w:r w:rsidR="00C2122D">
        <w:rPr>
          <w:rFonts w:asciiTheme="majorHAnsi" w:hAnsiTheme="majorHAnsi" w:cstheme="majorHAnsi"/>
        </w:rPr>
        <w:tab/>
      </w:r>
      <w:r w:rsidR="00C2122D">
        <w:rPr>
          <w:rFonts w:asciiTheme="majorHAnsi" w:hAnsiTheme="majorHAnsi" w:cstheme="majorHAnsi"/>
        </w:rPr>
        <w:tab/>
        <w:t>(4)</w:t>
      </w:r>
    </w:p>
    <w:p w14:paraId="59412CC0" w14:textId="1C3AF54F" w:rsidR="00C30F20" w:rsidRDefault="00C30F20">
      <w:pPr>
        <w:rPr>
          <w:rFonts w:asciiTheme="majorHAnsi" w:hAnsiTheme="majorHAnsi" w:cstheme="majorHAnsi"/>
        </w:rPr>
      </w:pPr>
    </w:p>
    <w:p w14:paraId="1CE1966B" w14:textId="7E316C89" w:rsidR="00EA1BD7" w:rsidRDefault="00EA1BD7">
      <w:pPr>
        <w:rPr>
          <w:rFonts w:asciiTheme="majorHAnsi" w:hAnsiTheme="majorHAnsi" w:cstheme="majorHAnsi"/>
        </w:rPr>
      </w:pPr>
      <w:r>
        <w:rPr>
          <w:rFonts w:asciiTheme="majorHAnsi" w:hAnsiTheme="majorHAnsi" w:cstheme="majorHAnsi"/>
        </w:rPr>
        <w:t>With output equation:</w:t>
      </w:r>
    </w:p>
    <w:p w14:paraId="6A31070D" w14:textId="5919F6BC" w:rsidR="00EA1BD7" w:rsidRDefault="00EA1BD7">
      <w:pPr>
        <w:rPr>
          <w:rFonts w:asciiTheme="majorHAnsi" w:hAnsiTheme="majorHAnsi" w:cstheme="majorHAnsi"/>
        </w:rPr>
      </w:pPr>
      <w:r w:rsidRPr="00EA1BD7">
        <w:rPr>
          <w:rFonts w:asciiTheme="majorHAnsi" w:hAnsiTheme="majorHAnsi" w:cstheme="majorHAnsi"/>
        </w:rPr>
        <w:t>Y(</w:t>
      </w:r>
      <w:proofErr w:type="gramStart"/>
      <w:r w:rsidRPr="00EA1BD7">
        <w:rPr>
          <w:rFonts w:asciiTheme="majorHAnsi" w:hAnsiTheme="majorHAnsi" w:cstheme="majorHAnsi"/>
        </w:rPr>
        <w:t>1)=</w:t>
      </w:r>
      <w:proofErr w:type="gramEnd"/>
      <w:r w:rsidRPr="00EA1BD7">
        <w:rPr>
          <w:rFonts w:asciiTheme="majorHAnsi" w:hAnsiTheme="majorHAnsi" w:cstheme="majorHAnsi"/>
        </w:rPr>
        <w:t>DLOG</w:t>
      </w:r>
      <w:r w:rsidRPr="00D345CC">
        <w:rPr>
          <w:rFonts w:asciiTheme="majorHAnsi" w:hAnsiTheme="majorHAnsi" w:cstheme="majorHAnsi"/>
          <w:vertAlign w:val="subscript"/>
        </w:rPr>
        <w:t>10</w:t>
      </w:r>
      <w:r w:rsidRPr="00EA1BD7">
        <w:rPr>
          <w:rFonts w:asciiTheme="majorHAnsi" w:hAnsiTheme="majorHAnsi" w:cstheme="majorHAnsi"/>
        </w:rPr>
        <w:t>(X(4))</w:t>
      </w:r>
      <w:r w:rsidR="00CD3B94">
        <w:rPr>
          <w:rFonts w:asciiTheme="majorHAnsi" w:hAnsiTheme="majorHAnsi" w:cstheme="majorHAnsi"/>
        </w:rPr>
        <w:tab/>
      </w:r>
      <w:r w:rsidR="00CD3B94">
        <w:rPr>
          <w:rFonts w:asciiTheme="majorHAnsi" w:hAnsiTheme="majorHAnsi" w:cstheme="majorHAnsi"/>
        </w:rPr>
        <w:tab/>
      </w:r>
      <w:r w:rsidR="00CD3B94">
        <w:rPr>
          <w:rFonts w:asciiTheme="majorHAnsi" w:hAnsiTheme="majorHAnsi" w:cstheme="majorHAnsi"/>
        </w:rPr>
        <w:tab/>
      </w:r>
      <w:r w:rsidR="00CD3B94">
        <w:rPr>
          <w:rFonts w:asciiTheme="majorHAnsi" w:hAnsiTheme="majorHAnsi" w:cstheme="majorHAnsi"/>
        </w:rPr>
        <w:tab/>
      </w:r>
      <w:r w:rsidR="00CD3B94">
        <w:rPr>
          <w:rFonts w:asciiTheme="majorHAnsi" w:hAnsiTheme="majorHAnsi" w:cstheme="majorHAnsi"/>
        </w:rPr>
        <w:tab/>
      </w:r>
      <w:r w:rsidR="00CD3B94">
        <w:rPr>
          <w:rFonts w:asciiTheme="majorHAnsi" w:hAnsiTheme="majorHAnsi" w:cstheme="majorHAnsi"/>
        </w:rPr>
        <w:tab/>
      </w:r>
      <w:r w:rsidR="00CD3B94">
        <w:rPr>
          <w:rFonts w:asciiTheme="majorHAnsi" w:hAnsiTheme="majorHAnsi" w:cstheme="majorHAnsi"/>
        </w:rPr>
        <w:tab/>
      </w:r>
      <w:r w:rsidR="00CD3B94">
        <w:rPr>
          <w:rFonts w:asciiTheme="majorHAnsi" w:hAnsiTheme="majorHAnsi" w:cstheme="majorHAnsi"/>
        </w:rPr>
        <w:tab/>
        <w:t>(5)</w:t>
      </w:r>
    </w:p>
    <w:p w14:paraId="26155E3A" w14:textId="77777777" w:rsidR="00EA1BD7" w:rsidRDefault="00EA1BD7">
      <w:pPr>
        <w:rPr>
          <w:rFonts w:asciiTheme="majorHAnsi" w:hAnsiTheme="majorHAnsi" w:cstheme="majorHAnsi"/>
        </w:rPr>
      </w:pPr>
    </w:p>
    <w:p w14:paraId="258528AA" w14:textId="3D1C3A10" w:rsidR="00C30F20" w:rsidRDefault="00E3553F">
      <w:pPr>
        <w:rPr>
          <w:rFonts w:asciiTheme="majorHAnsi" w:hAnsiTheme="majorHAnsi" w:cstheme="majorHAnsi"/>
        </w:rPr>
      </w:pPr>
      <w:r>
        <w:rPr>
          <w:rFonts w:asciiTheme="majorHAnsi" w:hAnsiTheme="majorHAnsi" w:cstheme="majorHAnsi"/>
        </w:rPr>
        <w:t xml:space="preserve">Equation 4 describes that rate of change </w:t>
      </w:r>
      <w:r w:rsidR="00BB2B75">
        <w:rPr>
          <w:rFonts w:asciiTheme="majorHAnsi" w:hAnsiTheme="majorHAnsi" w:cstheme="majorHAnsi"/>
        </w:rPr>
        <w:t>(</w:t>
      </w:r>
      <w:proofErr w:type="spellStart"/>
      <w:r w:rsidR="00BB2B75">
        <w:rPr>
          <w:rFonts w:asciiTheme="majorHAnsi" w:hAnsiTheme="majorHAnsi" w:cstheme="majorHAnsi"/>
        </w:rPr>
        <w:t>dN</w:t>
      </w:r>
      <w:proofErr w:type="spellEnd"/>
      <w:r w:rsidR="00BB2B75">
        <w:rPr>
          <w:rFonts w:asciiTheme="majorHAnsi" w:hAnsiTheme="majorHAnsi" w:cstheme="majorHAnsi"/>
        </w:rPr>
        <w:t>/</w:t>
      </w:r>
      <w:proofErr w:type="spellStart"/>
      <w:r w:rsidR="00BB2B75">
        <w:rPr>
          <w:rFonts w:asciiTheme="majorHAnsi" w:hAnsiTheme="majorHAnsi" w:cstheme="majorHAnsi"/>
        </w:rPr>
        <w:t>dt</w:t>
      </w:r>
      <w:proofErr w:type="spellEnd"/>
      <w:r w:rsidR="00BB2B75">
        <w:rPr>
          <w:rFonts w:asciiTheme="majorHAnsi" w:hAnsiTheme="majorHAnsi" w:cstheme="majorHAnsi"/>
        </w:rPr>
        <w:t xml:space="preserve">) </w:t>
      </w:r>
      <w:r>
        <w:rPr>
          <w:rFonts w:asciiTheme="majorHAnsi" w:hAnsiTheme="majorHAnsi" w:cstheme="majorHAnsi"/>
        </w:rPr>
        <w:t xml:space="preserve">of </w:t>
      </w:r>
      <w:r w:rsidR="00BB2B75">
        <w:rPr>
          <w:rFonts w:asciiTheme="majorHAnsi" w:hAnsiTheme="majorHAnsi" w:cstheme="majorHAnsi"/>
        </w:rPr>
        <w:t>the number of organisms (N)</w:t>
      </w:r>
      <w:r>
        <w:rPr>
          <w:rFonts w:asciiTheme="majorHAnsi" w:hAnsiTheme="majorHAnsi" w:cstheme="majorHAnsi"/>
        </w:rPr>
        <w:t xml:space="preserve"> in the thigh, which is a balance between bacterial growth and drug induced bacterial killing.  The maximum rate of growth is given by </w:t>
      </w:r>
      <w:proofErr w:type="spellStart"/>
      <w:r w:rsidRPr="00C30F20">
        <w:rPr>
          <w:rFonts w:asciiTheme="majorHAnsi" w:hAnsiTheme="majorHAnsi" w:cstheme="majorHAnsi"/>
        </w:rPr>
        <w:t>Kgmax</w:t>
      </w:r>
      <w:proofErr w:type="spellEnd"/>
      <w:r>
        <w:rPr>
          <w:rFonts w:asciiTheme="majorHAnsi" w:hAnsiTheme="majorHAnsi" w:cstheme="majorHAnsi"/>
        </w:rPr>
        <w:t xml:space="preserve"> (</w:t>
      </w:r>
      <w:r w:rsidR="00BB2B75">
        <w:rPr>
          <w:rFonts w:asciiTheme="majorHAnsi" w:hAnsiTheme="majorHAnsi" w:cstheme="majorHAnsi"/>
        </w:rPr>
        <w:t>l</w:t>
      </w:r>
      <w:r>
        <w:rPr>
          <w:rFonts w:asciiTheme="majorHAnsi" w:hAnsiTheme="majorHAnsi" w:cstheme="majorHAnsi"/>
        </w:rPr>
        <w:t>og</w:t>
      </w:r>
      <w:r w:rsidRPr="00CA17F3">
        <w:rPr>
          <w:rFonts w:asciiTheme="majorHAnsi" w:hAnsiTheme="majorHAnsi" w:cstheme="majorHAnsi"/>
          <w:vertAlign w:val="subscript"/>
        </w:rPr>
        <w:t>10</w:t>
      </w:r>
      <w:r>
        <w:rPr>
          <w:rFonts w:asciiTheme="majorHAnsi" w:hAnsiTheme="majorHAnsi" w:cstheme="majorHAnsi"/>
        </w:rPr>
        <w:t>CFU/g/h)</w:t>
      </w:r>
      <w:r w:rsidR="00BB2B75">
        <w:rPr>
          <w:rFonts w:asciiTheme="majorHAnsi" w:hAnsiTheme="majorHAnsi" w:cstheme="majorHAnsi"/>
        </w:rPr>
        <w:t xml:space="preserve">, which is modulated by drug concentrations given by </w:t>
      </w:r>
      <w:proofErr w:type="gramStart"/>
      <w:r w:rsidR="00BB2B75">
        <w:rPr>
          <w:rFonts w:asciiTheme="majorHAnsi" w:hAnsiTheme="majorHAnsi" w:cstheme="majorHAnsi"/>
        </w:rPr>
        <w:t>X(</w:t>
      </w:r>
      <w:proofErr w:type="gramEnd"/>
      <w:r w:rsidR="00BB2B75">
        <w:rPr>
          <w:rFonts w:asciiTheme="majorHAnsi" w:hAnsiTheme="majorHAnsi" w:cstheme="majorHAnsi"/>
        </w:rPr>
        <w:t xml:space="preserve">2)/V from equation 2, above.  C50g is the concentration of drug at which there is half maximal suppression of growth and Hg is the associated slope function.  The maximum rate of drug induced killing is given by </w:t>
      </w:r>
      <w:proofErr w:type="spellStart"/>
      <w:r w:rsidR="00BB2B75">
        <w:rPr>
          <w:rFonts w:asciiTheme="majorHAnsi" w:hAnsiTheme="majorHAnsi" w:cstheme="majorHAnsi"/>
        </w:rPr>
        <w:t>kkmax</w:t>
      </w:r>
      <w:proofErr w:type="spellEnd"/>
      <w:r w:rsidR="00BB2B75">
        <w:rPr>
          <w:rFonts w:asciiTheme="majorHAnsi" w:hAnsiTheme="majorHAnsi" w:cstheme="majorHAnsi"/>
        </w:rPr>
        <w:t xml:space="preserve"> (log</w:t>
      </w:r>
      <w:r w:rsidR="00BB2B75" w:rsidRPr="00B84AED">
        <w:rPr>
          <w:rFonts w:asciiTheme="majorHAnsi" w:hAnsiTheme="majorHAnsi" w:cstheme="majorHAnsi"/>
          <w:vertAlign w:val="subscript"/>
        </w:rPr>
        <w:t>10</w:t>
      </w:r>
      <w:r w:rsidR="00BB2B75">
        <w:rPr>
          <w:rFonts w:asciiTheme="majorHAnsi" w:hAnsiTheme="majorHAnsi" w:cstheme="majorHAnsi"/>
        </w:rPr>
        <w:t xml:space="preserve">CFU/g/h), which is similarly affected by drug </w:t>
      </w:r>
      <w:r w:rsidR="00D26758">
        <w:rPr>
          <w:rFonts w:asciiTheme="majorHAnsi" w:hAnsiTheme="majorHAnsi" w:cstheme="majorHAnsi"/>
        </w:rPr>
        <w:t>concentrations</w:t>
      </w:r>
      <w:r w:rsidR="00BB2B75">
        <w:rPr>
          <w:rFonts w:asciiTheme="majorHAnsi" w:hAnsiTheme="majorHAnsi" w:cstheme="majorHAnsi"/>
        </w:rPr>
        <w:t xml:space="preserve">.  C50k and </w:t>
      </w:r>
      <w:proofErr w:type="spellStart"/>
      <w:r w:rsidR="00BB2B75">
        <w:rPr>
          <w:rFonts w:asciiTheme="majorHAnsi" w:hAnsiTheme="majorHAnsi" w:cstheme="majorHAnsi"/>
        </w:rPr>
        <w:t>Hk</w:t>
      </w:r>
      <w:proofErr w:type="spellEnd"/>
      <w:r w:rsidR="00BB2B75">
        <w:rPr>
          <w:rFonts w:asciiTheme="majorHAnsi" w:hAnsiTheme="majorHAnsi" w:cstheme="majorHAnsi"/>
        </w:rPr>
        <w:t xml:space="preserve"> are the concentration at which the rate of killing is half maximal and the slope function, respectively.</w:t>
      </w:r>
    </w:p>
    <w:p w14:paraId="6663F6E6" w14:textId="65AA29C7" w:rsidR="00C30F20" w:rsidRDefault="00C30F20">
      <w:pPr>
        <w:rPr>
          <w:rFonts w:asciiTheme="majorHAnsi" w:hAnsiTheme="majorHAnsi" w:cstheme="majorHAnsi"/>
        </w:rPr>
      </w:pPr>
    </w:p>
    <w:p w14:paraId="4C11A510" w14:textId="6E39E81A" w:rsidR="00C30F20" w:rsidRDefault="00C30F20">
      <w:pPr>
        <w:rPr>
          <w:rFonts w:asciiTheme="majorHAnsi" w:hAnsiTheme="majorHAnsi" w:cstheme="majorHAnsi"/>
        </w:rPr>
      </w:pPr>
      <w:r>
        <w:rPr>
          <w:rFonts w:asciiTheme="majorHAnsi" w:hAnsiTheme="majorHAnsi" w:cstheme="majorHAnsi"/>
        </w:rPr>
        <w:t xml:space="preserve">The hollow fibre </w:t>
      </w:r>
      <w:r w:rsidR="00C2122D">
        <w:rPr>
          <w:rFonts w:asciiTheme="majorHAnsi" w:hAnsiTheme="majorHAnsi" w:cstheme="majorHAnsi"/>
        </w:rPr>
        <w:t xml:space="preserve">data were modelled </w:t>
      </w:r>
      <w:r w:rsidR="00EA1BD7">
        <w:rPr>
          <w:rFonts w:asciiTheme="majorHAnsi" w:hAnsiTheme="majorHAnsi" w:cstheme="majorHAnsi"/>
        </w:rPr>
        <w:t>using the following set of inhomogeneous differential equations</w:t>
      </w:r>
      <w:r w:rsidR="005A4F5A">
        <w:rPr>
          <w:rFonts w:asciiTheme="majorHAnsi" w:hAnsiTheme="majorHAnsi" w:cstheme="majorHAnsi"/>
        </w:rPr>
        <w:t xml:space="preserve"> that enabled the PK in each cartridge to affect bacterial killing of a </w:t>
      </w:r>
      <w:r w:rsidR="00D46755">
        <w:rPr>
          <w:rFonts w:asciiTheme="majorHAnsi" w:hAnsiTheme="majorHAnsi" w:cstheme="majorHAnsi"/>
        </w:rPr>
        <w:t>susceptible and resistant bacterial subpopulation</w:t>
      </w:r>
      <w:r w:rsidR="005A4F5A">
        <w:rPr>
          <w:rFonts w:asciiTheme="majorHAnsi" w:hAnsiTheme="majorHAnsi" w:cstheme="majorHAnsi"/>
        </w:rPr>
        <w:t>.</w:t>
      </w:r>
    </w:p>
    <w:p w14:paraId="1221A17F" w14:textId="3FA767EB" w:rsidR="00EA1BD7" w:rsidRDefault="00EA1BD7">
      <w:pPr>
        <w:rPr>
          <w:rFonts w:asciiTheme="majorHAnsi" w:hAnsiTheme="majorHAnsi" w:cstheme="majorHAnsi"/>
        </w:rPr>
      </w:pPr>
    </w:p>
    <w:p w14:paraId="68116319" w14:textId="28CDF3D1" w:rsidR="00EA1BD7" w:rsidRPr="00EA1BD7" w:rsidRDefault="00EA1BD7" w:rsidP="00EA1BD7">
      <w:pPr>
        <w:rPr>
          <w:rFonts w:asciiTheme="majorHAnsi" w:hAnsiTheme="majorHAnsi" w:cstheme="majorHAnsi"/>
        </w:rPr>
      </w:pPr>
      <w:r w:rsidRPr="00EA1BD7">
        <w:rPr>
          <w:rFonts w:asciiTheme="majorHAnsi" w:hAnsiTheme="majorHAnsi" w:cstheme="majorHAnsi"/>
        </w:rPr>
        <w:t>XP(</w:t>
      </w:r>
      <w:proofErr w:type="gramStart"/>
      <w:r w:rsidRPr="00EA1BD7">
        <w:rPr>
          <w:rFonts w:asciiTheme="majorHAnsi" w:hAnsiTheme="majorHAnsi" w:cstheme="majorHAnsi"/>
        </w:rPr>
        <w:t>1)=</w:t>
      </w:r>
      <w:proofErr w:type="gramEnd"/>
      <w:r w:rsidRPr="00EA1BD7">
        <w:rPr>
          <w:rFonts w:asciiTheme="majorHAnsi" w:hAnsiTheme="majorHAnsi" w:cstheme="majorHAnsi"/>
        </w:rPr>
        <w:t>RATEIV(1)-SCL/V*X(1)</w:t>
      </w:r>
      <w:r w:rsidR="00CD3B94">
        <w:rPr>
          <w:rFonts w:asciiTheme="majorHAnsi" w:hAnsiTheme="majorHAnsi" w:cstheme="majorHAnsi"/>
        </w:rPr>
        <w:tab/>
      </w:r>
      <w:r w:rsidR="00CD3B94">
        <w:rPr>
          <w:rFonts w:asciiTheme="majorHAnsi" w:hAnsiTheme="majorHAnsi" w:cstheme="majorHAnsi"/>
        </w:rPr>
        <w:tab/>
      </w:r>
      <w:r w:rsidR="00CD3B94">
        <w:rPr>
          <w:rFonts w:asciiTheme="majorHAnsi" w:hAnsiTheme="majorHAnsi" w:cstheme="majorHAnsi"/>
        </w:rPr>
        <w:tab/>
      </w:r>
      <w:r w:rsidR="00CD3B94">
        <w:rPr>
          <w:rFonts w:asciiTheme="majorHAnsi" w:hAnsiTheme="majorHAnsi" w:cstheme="majorHAnsi"/>
        </w:rPr>
        <w:tab/>
      </w:r>
      <w:r w:rsidR="00CD3B94">
        <w:rPr>
          <w:rFonts w:asciiTheme="majorHAnsi" w:hAnsiTheme="majorHAnsi" w:cstheme="majorHAnsi"/>
        </w:rPr>
        <w:tab/>
      </w:r>
      <w:r w:rsidR="00CD3B94">
        <w:rPr>
          <w:rFonts w:asciiTheme="majorHAnsi" w:hAnsiTheme="majorHAnsi" w:cstheme="majorHAnsi"/>
        </w:rPr>
        <w:tab/>
      </w:r>
      <w:r w:rsidR="00CD3B94">
        <w:rPr>
          <w:rFonts w:asciiTheme="majorHAnsi" w:hAnsiTheme="majorHAnsi" w:cstheme="majorHAnsi"/>
        </w:rPr>
        <w:tab/>
        <w:t>(6)</w:t>
      </w:r>
    </w:p>
    <w:p w14:paraId="7E13941D" w14:textId="13319D48" w:rsidR="00EA1BD7" w:rsidRPr="00EA1BD7" w:rsidRDefault="00EA1BD7" w:rsidP="00EA1BD7">
      <w:pPr>
        <w:rPr>
          <w:rFonts w:asciiTheme="majorHAnsi" w:hAnsiTheme="majorHAnsi" w:cstheme="majorHAnsi"/>
        </w:rPr>
      </w:pPr>
      <w:r w:rsidRPr="00EA1BD7">
        <w:rPr>
          <w:rFonts w:asciiTheme="majorHAnsi" w:hAnsiTheme="majorHAnsi" w:cstheme="majorHAnsi"/>
        </w:rPr>
        <w:t>XP(</w:t>
      </w:r>
      <w:proofErr w:type="gramStart"/>
      <w:r w:rsidRPr="00EA1BD7">
        <w:rPr>
          <w:rFonts w:asciiTheme="majorHAnsi" w:hAnsiTheme="majorHAnsi" w:cstheme="majorHAnsi"/>
        </w:rPr>
        <w:t>2)=</w:t>
      </w:r>
      <w:proofErr w:type="gramEnd"/>
      <w:r w:rsidRPr="00EA1BD7">
        <w:rPr>
          <w:rFonts w:asciiTheme="majorHAnsi" w:hAnsiTheme="majorHAnsi" w:cstheme="majorHAnsi"/>
        </w:rPr>
        <w:t>Kgmax_s*(1.D0-(X(2)/popmax))*X(2)-kkmax_s*(X(1)/V)**Hks/(C50k_s**Hks+(X(1)/V)**Hks)*X(2)</w:t>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t>(7)</w:t>
      </w:r>
    </w:p>
    <w:p w14:paraId="144A6E0D" w14:textId="5D8BECCF" w:rsidR="00EA1BD7" w:rsidRDefault="00EA1BD7" w:rsidP="00EA1BD7">
      <w:pPr>
        <w:rPr>
          <w:rFonts w:asciiTheme="majorHAnsi" w:hAnsiTheme="majorHAnsi" w:cstheme="majorHAnsi"/>
        </w:rPr>
      </w:pPr>
      <w:r w:rsidRPr="00EA1BD7">
        <w:rPr>
          <w:rFonts w:asciiTheme="majorHAnsi" w:hAnsiTheme="majorHAnsi" w:cstheme="majorHAnsi"/>
        </w:rPr>
        <w:t>XP(</w:t>
      </w:r>
      <w:proofErr w:type="gramStart"/>
      <w:r w:rsidRPr="00EA1BD7">
        <w:rPr>
          <w:rFonts w:asciiTheme="majorHAnsi" w:hAnsiTheme="majorHAnsi" w:cstheme="majorHAnsi"/>
        </w:rPr>
        <w:t>3)=</w:t>
      </w:r>
      <w:proofErr w:type="gramEnd"/>
      <w:r w:rsidRPr="00EA1BD7">
        <w:rPr>
          <w:rFonts w:asciiTheme="majorHAnsi" w:hAnsiTheme="majorHAnsi" w:cstheme="majorHAnsi"/>
        </w:rPr>
        <w:t>Kgmax_r*(1.D0-(X(3)/popmax))*X(3)-kkmax_r*(X(1)/V)**Hkr/(C50k_r**Hkr+(X(1)/V)**Hkr)*X(3)</w:t>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t>(8)</w:t>
      </w:r>
    </w:p>
    <w:p w14:paraId="0B9057B3" w14:textId="508D5D93" w:rsidR="00EA1BD7" w:rsidRDefault="00EA1BD7" w:rsidP="00EA1BD7">
      <w:pPr>
        <w:rPr>
          <w:rFonts w:asciiTheme="majorHAnsi" w:hAnsiTheme="majorHAnsi" w:cstheme="majorHAnsi"/>
        </w:rPr>
      </w:pPr>
    </w:p>
    <w:p w14:paraId="5A4BABBD" w14:textId="1781F7D2" w:rsidR="00EA1BD7" w:rsidRDefault="00EA1BD7" w:rsidP="00EA1BD7">
      <w:pPr>
        <w:rPr>
          <w:rFonts w:asciiTheme="majorHAnsi" w:hAnsiTheme="majorHAnsi" w:cstheme="majorHAnsi"/>
        </w:rPr>
      </w:pPr>
      <w:r>
        <w:rPr>
          <w:rFonts w:asciiTheme="majorHAnsi" w:hAnsiTheme="majorHAnsi" w:cstheme="majorHAnsi"/>
        </w:rPr>
        <w:t>With output equations:</w:t>
      </w:r>
    </w:p>
    <w:p w14:paraId="790E2CC8" w14:textId="4E6F4922" w:rsidR="00EA1BD7" w:rsidRPr="00EA1BD7" w:rsidRDefault="00EA1BD7" w:rsidP="00EA1BD7">
      <w:pPr>
        <w:rPr>
          <w:rFonts w:asciiTheme="majorHAnsi" w:hAnsiTheme="majorHAnsi" w:cstheme="majorHAnsi"/>
        </w:rPr>
      </w:pPr>
      <w:r w:rsidRPr="00EA1BD7">
        <w:rPr>
          <w:rFonts w:asciiTheme="majorHAnsi" w:hAnsiTheme="majorHAnsi" w:cstheme="majorHAnsi"/>
        </w:rPr>
        <w:t>Y(</w:t>
      </w:r>
      <w:proofErr w:type="gramStart"/>
      <w:r w:rsidRPr="00EA1BD7">
        <w:rPr>
          <w:rFonts w:asciiTheme="majorHAnsi" w:hAnsiTheme="majorHAnsi" w:cstheme="majorHAnsi"/>
        </w:rPr>
        <w:t>1)=</w:t>
      </w:r>
      <w:proofErr w:type="gramEnd"/>
      <w:r w:rsidRPr="00EA1BD7">
        <w:rPr>
          <w:rFonts w:asciiTheme="majorHAnsi" w:hAnsiTheme="majorHAnsi" w:cstheme="majorHAnsi"/>
        </w:rPr>
        <w:t>X(1)/V</w:t>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t>(9)</w:t>
      </w:r>
    </w:p>
    <w:p w14:paraId="2FD8EF2B" w14:textId="0C651948" w:rsidR="00EA1BD7" w:rsidRPr="00EA1BD7" w:rsidRDefault="00EA1BD7" w:rsidP="00EA1BD7">
      <w:pPr>
        <w:rPr>
          <w:rFonts w:asciiTheme="majorHAnsi" w:hAnsiTheme="majorHAnsi" w:cstheme="majorHAnsi"/>
        </w:rPr>
      </w:pPr>
      <w:proofErr w:type="gramStart"/>
      <w:r w:rsidRPr="00EA1BD7">
        <w:rPr>
          <w:rFonts w:asciiTheme="majorHAnsi" w:hAnsiTheme="majorHAnsi" w:cstheme="majorHAnsi"/>
        </w:rPr>
        <w:t>Y(</w:t>
      </w:r>
      <w:proofErr w:type="gramEnd"/>
      <w:r w:rsidRPr="00EA1BD7">
        <w:rPr>
          <w:rFonts w:asciiTheme="majorHAnsi" w:hAnsiTheme="majorHAnsi" w:cstheme="majorHAnsi"/>
        </w:rPr>
        <w:t>2)= DLOG</w:t>
      </w:r>
      <w:r w:rsidRPr="00D345CC">
        <w:rPr>
          <w:rFonts w:asciiTheme="majorHAnsi" w:hAnsiTheme="majorHAnsi" w:cstheme="majorHAnsi"/>
          <w:vertAlign w:val="subscript"/>
        </w:rPr>
        <w:t>10</w:t>
      </w:r>
      <w:r w:rsidRPr="00EA1BD7">
        <w:rPr>
          <w:rFonts w:asciiTheme="majorHAnsi" w:hAnsiTheme="majorHAnsi" w:cstheme="majorHAnsi"/>
        </w:rPr>
        <w:t>(X(2)+X(3))</w:t>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t>(10)</w:t>
      </w:r>
    </w:p>
    <w:p w14:paraId="183012CC" w14:textId="7C86EE98" w:rsidR="00EA1BD7" w:rsidRDefault="00EA1BD7" w:rsidP="00EA1BD7">
      <w:pPr>
        <w:rPr>
          <w:rFonts w:asciiTheme="majorHAnsi" w:hAnsiTheme="majorHAnsi" w:cstheme="majorHAnsi"/>
        </w:rPr>
      </w:pPr>
      <w:proofErr w:type="gramStart"/>
      <w:r w:rsidRPr="00EA1BD7">
        <w:rPr>
          <w:rFonts w:asciiTheme="majorHAnsi" w:hAnsiTheme="majorHAnsi" w:cstheme="majorHAnsi"/>
        </w:rPr>
        <w:t>Y(</w:t>
      </w:r>
      <w:proofErr w:type="gramEnd"/>
      <w:r w:rsidRPr="00EA1BD7">
        <w:rPr>
          <w:rFonts w:asciiTheme="majorHAnsi" w:hAnsiTheme="majorHAnsi" w:cstheme="majorHAnsi"/>
        </w:rPr>
        <w:t>3)= DLOG</w:t>
      </w:r>
      <w:r w:rsidRPr="00D345CC">
        <w:rPr>
          <w:rFonts w:asciiTheme="majorHAnsi" w:hAnsiTheme="majorHAnsi" w:cstheme="majorHAnsi"/>
          <w:vertAlign w:val="subscript"/>
        </w:rPr>
        <w:t>10</w:t>
      </w:r>
      <w:r w:rsidRPr="00EA1BD7">
        <w:rPr>
          <w:rFonts w:asciiTheme="majorHAnsi" w:hAnsiTheme="majorHAnsi" w:cstheme="majorHAnsi"/>
        </w:rPr>
        <w:t>(X(3))</w:t>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r>
      <w:r w:rsidR="004E6E0E">
        <w:rPr>
          <w:rFonts w:asciiTheme="majorHAnsi" w:hAnsiTheme="majorHAnsi" w:cstheme="majorHAnsi"/>
        </w:rPr>
        <w:tab/>
        <w:t>(11)</w:t>
      </w:r>
    </w:p>
    <w:p w14:paraId="5F7C28D0" w14:textId="4E5412AF" w:rsidR="007B478B" w:rsidRDefault="007B478B" w:rsidP="00EA1BD7">
      <w:pPr>
        <w:rPr>
          <w:rFonts w:asciiTheme="majorHAnsi" w:hAnsiTheme="majorHAnsi" w:cstheme="majorHAnsi"/>
        </w:rPr>
      </w:pPr>
    </w:p>
    <w:p w14:paraId="0A5D99F8" w14:textId="5C75E821" w:rsidR="007B478B" w:rsidRDefault="007154AD" w:rsidP="00EA1BD7">
      <w:pPr>
        <w:rPr>
          <w:rFonts w:asciiTheme="majorHAnsi" w:hAnsiTheme="majorHAnsi" w:cstheme="majorHAnsi"/>
        </w:rPr>
      </w:pPr>
      <w:r>
        <w:rPr>
          <w:rFonts w:asciiTheme="majorHAnsi" w:hAnsiTheme="majorHAnsi" w:cstheme="majorHAnsi"/>
        </w:rPr>
        <w:t xml:space="preserve">Equation 6 represents a 1-compartment model that describes the PK of </w:t>
      </w:r>
      <w:r w:rsidR="00C61C16">
        <w:rPr>
          <w:rFonts w:asciiTheme="majorHAnsi" w:hAnsiTheme="majorHAnsi" w:cstheme="majorHAnsi"/>
        </w:rPr>
        <w:t>tebipenem</w:t>
      </w:r>
      <w:r>
        <w:rPr>
          <w:rFonts w:asciiTheme="majorHAnsi" w:hAnsiTheme="majorHAnsi" w:cstheme="majorHAnsi"/>
        </w:rPr>
        <w:t xml:space="preserve"> in the hollow fibre circuit.  Equation</w:t>
      </w:r>
      <w:r w:rsidR="00B83C64">
        <w:rPr>
          <w:rFonts w:asciiTheme="majorHAnsi" w:hAnsiTheme="majorHAnsi" w:cstheme="majorHAnsi"/>
        </w:rPr>
        <w:t>s</w:t>
      </w:r>
      <w:r>
        <w:rPr>
          <w:rFonts w:asciiTheme="majorHAnsi" w:hAnsiTheme="majorHAnsi" w:cstheme="majorHAnsi"/>
        </w:rPr>
        <w:t xml:space="preserve"> 7 and 8 represent the pharmacodynamics of susceptible and resistant subpopulations, respectively.  In each case the rate of change of organism is modelled as growth minus drug induced killing.  The pharmacodynamic equations take the same structural form with parameters that describe the maximum rate of growth of susceptible and resistant subpopulations (</w:t>
      </w:r>
      <w:proofErr w:type="spellStart"/>
      <w:r>
        <w:rPr>
          <w:rFonts w:asciiTheme="majorHAnsi" w:hAnsiTheme="majorHAnsi" w:cstheme="majorHAnsi"/>
        </w:rPr>
        <w:t>Kgmax_s</w:t>
      </w:r>
      <w:proofErr w:type="spellEnd"/>
      <w:r>
        <w:rPr>
          <w:rFonts w:asciiTheme="majorHAnsi" w:hAnsiTheme="majorHAnsi" w:cstheme="majorHAnsi"/>
        </w:rPr>
        <w:t xml:space="preserve"> and </w:t>
      </w:r>
      <w:proofErr w:type="spellStart"/>
      <w:r>
        <w:rPr>
          <w:rFonts w:asciiTheme="majorHAnsi" w:hAnsiTheme="majorHAnsi" w:cstheme="majorHAnsi"/>
        </w:rPr>
        <w:t>Kgmax_r</w:t>
      </w:r>
      <w:proofErr w:type="spellEnd"/>
      <w:r>
        <w:rPr>
          <w:rFonts w:asciiTheme="majorHAnsi" w:hAnsiTheme="majorHAnsi" w:cstheme="majorHAnsi"/>
        </w:rPr>
        <w:t>, respectively), the maximum rate of drug induced killing of susceptible and resistant subpopulations (</w:t>
      </w:r>
      <w:proofErr w:type="spellStart"/>
      <w:r>
        <w:rPr>
          <w:rFonts w:asciiTheme="majorHAnsi" w:hAnsiTheme="majorHAnsi" w:cstheme="majorHAnsi"/>
        </w:rPr>
        <w:t>Kkmax_s</w:t>
      </w:r>
      <w:proofErr w:type="spellEnd"/>
      <w:r>
        <w:rPr>
          <w:rFonts w:asciiTheme="majorHAnsi" w:hAnsiTheme="majorHAnsi" w:cstheme="majorHAnsi"/>
        </w:rPr>
        <w:t xml:space="preserve"> and </w:t>
      </w:r>
      <w:proofErr w:type="spellStart"/>
      <w:r>
        <w:rPr>
          <w:rFonts w:asciiTheme="majorHAnsi" w:hAnsiTheme="majorHAnsi" w:cstheme="majorHAnsi"/>
        </w:rPr>
        <w:t>Kkmax_r</w:t>
      </w:r>
      <w:proofErr w:type="spellEnd"/>
      <w:r>
        <w:rPr>
          <w:rFonts w:asciiTheme="majorHAnsi" w:hAnsiTheme="majorHAnsi" w:cstheme="majorHAnsi"/>
        </w:rPr>
        <w:t xml:space="preserve">, respectively), the </w:t>
      </w:r>
      <w:r w:rsidR="001F78CC">
        <w:rPr>
          <w:rFonts w:asciiTheme="majorHAnsi" w:hAnsiTheme="majorHAnsi" w:cstheme="majorHAnsi"/>
        </w:rPr>
        <w:t>concentrations</w:t>
      </w:r>
      <w:r>
        <w:rPr>
          <w:rFonts w:asciiTheme="majorHAnsi" w:hAnsiTheme="majorHAnsi" w:cstheme="majorHAnsi"/>
        </w:rPr>
        <w:t xml:space="preserve"> of </w:t>
      </w:r>
      <w:r w:rsidR="00C61C16">
        <w:rPr>
          <w:rFonts w:asciiTheme="majorHAnsi" w:hAnsiTheme="majorHAnsi" w:cstheme="majorHAnsi"/>
        </w:rPr>
        <w:t>tebipenem</w:t>
      </w:r>
      <w:r>
        <w:rPr>
          <w:rFonts w:asciiTheme="majorHAnsi" w:hAnsiTheme="majorHAnsi" w:cstheme="majorHAnsi"/>
        </w:rPr>
        <w:t xml:space="preserve"> where the rate if killing is half maximal (C50k_s and C50k_r, respectively) and the respective slope functions for the susceptible and </w:t>
      </w:r>
      <w:r w:rsidR="008D6530">
        <w:rPr>
          <w:rFonts w:asciiTheme="majorHAnsi" w:hAnsiTheme="majorHAnsi" w:cstheme="majorHAnsi"/>
        </w:rPr>
        <w:t>resistant</w:t>
      </w:r>
      <w:r>
        <w:rPr>
          <w:rFonts w:asciiTheme="majorHAnsi" w:hAnsiTheme="majorHAnsi" w:cstheme="majorHAnsi"/>
        </w:rPr>
        <w:t xml:space="preserve"> subpopulations (</w:t>
      </w:r>
      <w:proofErr w:type="spellStart"/>
      <w:r>
        <w:rPr>
          <w:rFonts w:asciiTheme="majorHAnsi" w:hAnsiTheme="majorHAnsi" w:cstheme="majorHAnsi"/>
        </w:rPr>
        <w:t>Hks</w:t>
      </w:r>
      <w:proofErr w:type="spellEnd"/>
      <w:r>
        <w:rPr>
          <w:rFonts w:asciiTheme="majorHAnsi" w:hAnsiTheme="majorHAnsi" w:cstheme="majorHAnsi"/>
        </w:rPr>
        <w:t xml:space="preserve"> and </w:t>
      </w:r>
      <w:proofErr w:type="spellStart"/>
      <w:r>
        <w:rPr>
          <w:rFonts w:asciiTheme="majorHAnsi" w:hAnsiTheme="majorHAnsi" w:cstheme="majorHAnsi"/>
        </w:rPr>
        <w:t>Hkr</w:t>
      </w:r>
      <w:proofErr w:type="spellEnd"/>
      <w:r>
        <w:rPr>
          <w:rFonts w:asciiTheme="majorHAnsi" w:hAnsiTheme="majorHAnsi" w:cstheme="majorHAnsi"/>
        </w:rPr>
        <w:t xml:space="preserve">).  The </w:t>
      </w:r>
      <w:r w:rsidR="001F78CC">
        <w:rPr>
          <w:rFonts w:asciiTheme="majorHAnsi" w:hAnsiTheme="majorHAnsi" w:cstheme="majorHAnsi"/>
        </w:rPr>
        <w:t>total bacterial population consists of the sum of the susceptible and resistant subpopulations and is given in equation 10, while the resistant subpopulation is given by equation 11.</w:t>
      </w:r>
    </w:p>
    <w:p w14:paraId="4960BAA3" w14:textId="43382892" w:rsidR="007B478B" w:rsidRDefault="007B478B" w:rsidP="00EA1BD7">
      <w:pPr>
        <w:rPr>
          <w:rFonts w:asciiTheme="majorHAnsi" w:hAnsiTheme="majorHAnsi" w:cstheme="majorHAnsi"/>
        </w:rPr>
      </w:pPr>
    </w:p>
    <w:p w14:paraId="5C793C48" w14:textId="75C4529F" w:rsidR="007B478B" w:rsidRDefault="007B478B" w:rsidP="00EA1BD7">
      <w:pPr>
        <w:rPr>
          <w:rFonts w:asciiTheme="majorHAnsi" w:hAnsiTheme="majorHAnsi" w:cstheme="majorHAnsi"/>
        </w:rPr>
      </w:pPr>
    </w:p>
    <w:p w14:paraId="07A2A7A2" w14:textId="77777777" w:rsidR="007B478B" w:rsidRDefault="007B478B" w:rsidP="00EA1BD7">
      <w:pPr>
        <w:rPr>
          <w:rFonts w:asciiTheme="majorHAnsi" w:hAnsiTheme="majorHAnsi" w:cstheme="majorHAnsi"/>
        </w:rPr>
      </w:pPr>
    </w:p>
    <w:p w14:paraId="054FB882" w14:textId="5472E22D" w:rsidR="005A695F" w:rsidRDefault="005A695F">
      <w:pPr>
        <w:rPr>
          <w:rFonts w:asciiTheme="majorHAnsi" w:hAnsiTheme="majorHAnsi" w:cstheme="majorHAnsi"/>
        </w:rPr>
      </w:pPr>
      <w:r>
        <w:rPr>
          <w:rFonts w:asciiTheme="majorHAnsi" w:hAnsiTheme="majorHAnsi" w:cstheme="majorHAnsi"/>
        </w:rPr>
        <w:br w:type="page"/>
      </w:r>
    </w:p>
    <w:p w14:paraId="4D0E1ADA" w14:textId="77777777" w:rsidR="00055CC2" w:rsidRDefault="00055CC2" w:rsidP="00A10DE7">
      <w:pPr>
        <w:rPr>
          <w:rFonts w:asciiTheme="majorHAnsi" w:hAnsiTheme="majorHAnsi" w:cstheme="majorHAnsi"/>
        </w:rPr>
      </w:pPr>
    </w:p>
    <w:p w14:paraId="46A00169" w14:textId="017A54A6" w:rsidR="00A10DE7" w:rsidRDefault="00A10DE7" w:rsidP="00A10DE7">
      <w:pPr>
        <w:rPr>
          <w:rFonts w:asciiTheme="majorHAnsi" w:hAnsiTheme="majorHAnsi" w:cstheme="majorHAnsi"/>
        </w:rPr>
      </w:pPr>
      <w:r>
        <w:rPr>
          <w:rFonts w:asciiTheme="majorHAnsi" w:hAnsiTheme="majorHAnsi" w:cstheme="majorHAnsi"/>
        </w:rPr>
        <w:t>Funding: This study was supported by Spero Ther</w:t>
      </w:r>
      <w:r w:rsidR="00CA17F3">
        <w:rPr>
          <w:rFonts w:asciiTheme="majorHAnsi" w:hAnsiTheme="majorHAnsi" w:cstheme="majorHAnsi"/>
        </w:rPr>
        <w:t>ap</w:t>
      </w:r>
      <w:r>
        <w:rPr>
          <w:rFonts w:asciiTheme="majorHAnsi" w:hAnsiTheme="majorHAnsi" w:cstheme="majorHAnsi"/>
        </w:rPr>
        <w:t>eutics.</w:t>
      </w:r>
    </w:p>
    <w:p w14:paraId="0363002D" w14:textId="77777777" w:rsidR="00A10DE7" w:rsidRDefault="00A10DE7" w:rsidP="00A10DE7">
      <w:pPr>
        <w:rPr>
          <w:rFonts w:asciiTheme="majorHAnsi" w:hAnsiTheme="majorHAnsi" w:cstheme="majorHAnsi"/>
        </w:rPr>
      </w:pPr>
    </w:p>
    <w:p w14:paraId="080A7653" w14:textId="77777777" w:rsidR="00A10DE7" w:rsidRPr="00560580" w:rsidRDefault="00A10DE7" w:rsidP="00A10DE7">
      <w:pPr>
        <w:rPr>
          <w:rFonts w:asciiTheme="majorHAnsi" w:hAnsiTheme="majorHAnsi" w:cstheme="majorHAnsi"/>
        </w:rPr>
      </w:pPr>
      <w:r w:rsidRPr="00B63AAD">
        <w:rPr>
          <w:rFonts w:asciiTheme="majorHAnsi" w:hAnsiTheme="majorHAnsi" w:cstheme="majorHAnsi"/>
        </w:rPr>
        <w:t>Potential Conflicts of Interest</w:t>
      </w:r>
    </w:p>
    <w:p w14:paraId="1469F591" w14:textId="430C6383" w:rsidR="00A10DE7" w:rsidRPr="00560580" w:rsidRDefault="00F53046" w:rsidP="00A10DE7">
      <w:pPr>
        <w:rPr>
          <w:rFonts w:asciiTheme="majorHAnsi" w:hAnsiTheme="majorHAnsi" w:cstheme="majorHAnsi"/>
        </w:rPr>
      </w:pPr>
      <w:r>
        <w:rPr>
          <w:rFonts w:asciiTheme="majorHAnsi" w:hAnsiTheme="majorHAnsi" w:cstheme="majorHAnsi"/>
        </w:rPr>
        <w:t>WH</w:t>
      </w:r>
      <w:r w:rsidR="00A10DE7" w:rsidRPr="00560580">
        <w:rPr>
          <w:rFonts w:asciiTheme="majorHAnsi" w:hAnsiTheme="majorHAnsi" w:cstheme="majorHAnsi"/>
        </w:rPr>
        <w:t xml:space="preserve"> holds or has recently held research grants with F2G, </w:t>
      </w:r>
      <w:proofErr w:type="spellStart"/>
      <w:r w:rsidR="00A10DE7" w:rsidRPr="00560580">
        <w:rPr>
          <w:rFonts w:asciiTheme="majorHAnsi" w:hAnsiTheme="majorHAnsi" w:cstheme="majorHAnsi"/>
        </w:rPr>
        <w:t>AiCuris</w:t>
      </w:r>
      <w:proofErr w:type="spellEnd"/>
      <w:r w:rsidR="00A10DE7" w:rsidRPr="00560580">
        <w:rPr>
          <w:rFonts w:asciiTheme="majorHAnsi" w:hAnsiTheme="majorHAnsi" w:cstheme="majorHAnsi"/>
        </w:rPr>
        <w:t xml:space="preserve">, Astellas Pharma, Spero Therapeutics, </w:t>
      </w:r>
      <w:proofErr w:type="spellStart"/>
      <w:r w:rsidR="00A10DE7" w:rsidRPr="00560580">
        <w:rPr>
          <w:rFonts w:asciiTheme="majorHAnsi" w:hAnsiTheme="majorHAnsi" w:cstheme="majorHAnsi"/>
        </w:rPr>
        <w:t>Matinas</w:t>
      </w:r>
      <w:proofErr w:type="spellEnd"/>
      <w:r w:rsidR="00A10DE7" w:rsidRPr="00560580">
        <w:rPr>
          <w:rFonts w:asciiTheme="majorHAnsi" w:hAnsiTheme="majorHAnsi" w:cstheme="majorHAnsi"/>
        </w:rPr>
        <w:t xml:space="preserve"> Biosciences, Antabio, </w:t>
      </w:r>
      <w:proofErr w:type="spellStart"/>
      <w:r w:rsidR="00A10DE7" w:rsidRPr="00560580">
        <w:rPr>
          <w:rFonts w:asciiTheme="majorHAnsi" w:hAnsiTheme="majorHAnsi" w:cstheme="majorHAnsi"/>
        </w:rPr>
        <w:t>Amplyx</w:t>
      </w:r>
      <w:proofErr w:type="spellEnd"/>
      <w:r w:rsidR="00A10DE7" w:rsidRPr="00560580">
        <w:rPr>
          <w:rFonts w:asciiTheme="majorHAnsi" w:hAnsiTheme="majorHAnsi" w:cstheme="majorHAnsi"/>
        </w:rPr>
        <w:t xml:space="preserve">, </w:t>
      </w:r>
      <w:proofErr w:type="spellStart"/>
      <w:r w:rsidR="00A10DE7" w:rsidRPr="00560580">
        <w:rPr>
          <w:rFonts w:asciiTheme="majorHAnsi" w:hAnsiTheme="majorHAnsi" w:cstheme="majorHAnsi"/>
        </w:rPr>
        <w:t>Allecra</w:t>
      </w:r>
      <w:proofErr w:type="spellEnd"/>
      <w:r w:rsidR="00A10DE7" w:rsidRPr="00560580">
        <w:rPr>
          <w:rFonts w:asciiTheme="majorHAnsi" w:hAnsiTheme="majorHAnsi" w:cstheme="majorHAnsi"/>
        </w:rPr>
        <w:t xml:space="preserve">, </w:t>
      </w:r>
      <w:proofErr w:type="spellStart"/>
      <w:r w:rsidR="00A10DE7" w:rsidRPr="00560580">
        <w:rPr>
          <w:rFonts w:asciiTheme="majorHAnsi" w:hAnsiTheme="majorHAnsi" w:cstheme="majorHAnsi"/>
        </w:rPr>
        <w:t>Bugworks</w:t>
      </w:r>
      <w:proofErr w:type="spellEnd"/>
      <w:r w:rsidR="00A10DE7" w:rsidRPr="00560580">
        <w:rPr>
          <w:rFonts w:asciiTheme="majorHAnsi" w:hAnsiTheme="majorHAnsi" w:cstheme="majorHAnsi"/>
        </w:rPr>
        <w:t xml:space="preserve">, NAEJA-RGM, AMR Centre, and Pfizer.  He holds awards from the National Institutes of Health, Medical Research Council, National Institute of Health Research, FDA and the European Commission (FP7 and IMI).  William Hope has received personal fees in his capacity as a consultant for F2G, </w:t>
      </w:r>
      <w:proofErr w:type="spellStart"/>
      <w:r w:rsidR="00A10DE7" w:rsidRPr="00560580">
        <w:rPr>
          <w:rFonts w:asciiTheme="majorHAnsi" w:hAnsiTheme="majorHAnsi" w:cstheme="majorHAnsi"/>
        </w:rPr>
        <w:t>Amplyx</w:t>
      </w:r>
      <w:proofErr w:type="spellEnd"/>
      <w:r w:rsidR="00A10DE7" w:rsidRPr="00560580">
        <w:rPr>
          <w:rFonts w:asciiTheme="majorHAnsi" w:hAnsiTheme="majorHAnsi" w:cstheme="majorHAnsi"/>
        </w:rPr>
        <w:t xml:space="preserve">, </w:t>
      </w:r>
      <w:proofErr w:type="spellStart"/>
      <w:r w:rsidR="00A10DE7" w:rsidRPr="00560580">
        <w:rPr>
          <w:rFonts w:asciiTheme="majorHAnsi" w:hAnsiTheme="majorHAnsi" w:cstheme="majorHAnsi"/>
        </w:rPr>
        <w:t>Ausperix</w:t>
      </w:r>
      <w:proofErr w:type="spellEnd"/>
      <w:r w:rsidR="00A10DE7" w:rsidRPr="00560580">
        <w:rPr>
          <w:rFonts w:asciiTheme="majorHAnsi" w:hAnsiTheme="majorHAnsi" w:cstheme="majorHAnsi"/>
        </w:rPr>
        <w:t>, Spero Therapeutics and BLC/TAZ.  WH is an Ordinary Council Member for the British Society of Antimicrobial Chemotherapy.</w:t>
      </w:r>
      <w:r w:rsidR="00A10DE7">
        <w:rPr>
          <w:rFonts w:asciiTheme="majorHAnsi" w:hAnsiTheme="majorHAnsi" w:cstheme="majorHAnsi"/>
        </w:rPr>
        <w:t xml:space="preserve">  </w:t>
      </w:r>
      <w:r>
        <w:rPr>
          <w:rFonts w:asciiTheme="majorHAnsi" w:hAnsiTheme="majorHAnsi" w:cstheme="majorHAnsi"/>
        </w:rPr>
        <w:t xml:space="preserve">AJ, NC, IC, DM and TP are employees of Spero Therapeutics.  PA holds research grants and is also a consultant for Spero Therapeutics. </w:t>
      </w:r>
    </w:p>
    <w:p w14:paraId="3FFE83FB" w14:textId="77777777" w:rsidR="00A10DE7" w:rsidRPr="00110306" w:rsidRDefault="00A10DE7" w:rsidP="00A10DE7">
      <w:pPr>
        <w:rPr>
          <w:rFonts w:asciiTheme="majorHAnsi" w:hAnsiTheme="majorHAnsi" w:cstheme="majorHAnsi"/>
        </w:rPr>
      </w:pPr>
    </w:p>
    <w:p w14:paraId="221A18E4" w14:textId="77777777" w:rsidR="00A10DE7" w:rsidRDefault="00A10DE7" w:rsidP="00A10DE7">
      <w:pPr>
        <w:rPr>
          <w:rFonts w:asciiTheme="majorHAnsi" w:hAnsiTheme="majorHAnsi" w:cstheme="majorHAnsi"/>
        </w:rPr>
      </w:pPr>
      <w:r>
        <w:rPr>
          <w:rFonts w:asciiTheme="majorHAnsi" w:hAnsiTheme="majorHAnsi" w:cstheme="majorHAnsi"/>
        </w:rPr>
        <w:t>Acknowledgements</w:t>
      </w:r>
    </w:p>
    <w:p w14:paraId="5E399B19" w14:textId="30CADB11" w:rsidR="00A10DE7" w:rsidRDefault="00A15A38" w:rsidP="00A10DE7">
      <w:pPr>
        <w:rPr>
          <w:rFonts w:asciiTheme="majorHAnsi" w:hAnsiTheme="majorHAnsi" w:cstheme="majorHAnsi"/>
        </w:rPr>
      </w:pPr>
      <w:r>
        <w:rPr>
          <w:rFonts w:asciiTheme="majorHAnsi" w:hAnsiTheme="majorHAnsi" w:cstheme="majorHAnsi"/>
        </w:rPr>
        <w:t xml:space="preserve">We thank </w:t>
      </w:r>
      <w:r w:rsidR="00A10DE7">
        <w:rPr>
          <w:rFonts w:asciiTheme="majorHAnsi" w:hAnsiTheme="majorHAnsi" w:cstheme="majorHAnsi"/>
        </w:rPr>
        <w:t xml:space="preserve">JMI for </w:t>
      </w:r>
      <w:r>
        <w:rPr>
          <w:rFonts w:asciiTheme="majorHAnsi" w:hAnsiTheme="majorHAnsi" w:cstheme="majorHAnsi"/>
        </w:rPr>
        <w:t xml:space="preserve">the challenge </w:t>
      </w:r>
      <w:r w:rsidR="00A10DE7">
        <w:rPr>
          <w:rFonts w:asciiTheme="majorHAnsi" w:hAnsiTheme="majorHAnsi" w:cstheme="majorHAnsi"/>
        </w:rPr>
        <w:t>strains</w:t>
      </w:r>
      <w:r>
        <w:rPr>
          <w:rFonts w:asciiTheme="majorHAnsi" w:hAnsiTheme="majorHAnsi" w:cstheme="majorHAnsi"/>
        </w:rPr>
        <w:t xml:space="preserve"> used in this study</w:t>
      </w:r>
    </w:p>
    <w:p w14:paraId="4D441068" w14:textId="6909E284" w:rsidR="00A10DE7" w:rsidRDefault="00A10DE7">
      <w:pPr>
        <w:rPr>
          <w:rFonts w:asciiTheme="majorHAnsi" w:hAnsiTheme="majorHAnsi" w:cstheme="majorHAnsi"/>
        </w:rPr>
      </w:pPr>
    </w:p>
    <w:p w14:paraId="3B43C263" w14:textId="219E5CD0" w:rsidR="00A10DE7" w:rsidRDefault="00A10DE7">
      <w:pPr>
        <w:rPr>
          <w:rFonts w:asciiTheme="majorHAnsi" w:hAnsiTheme="majorHAnsi" w:cstheme="majorHAnsi"/>
        </w:rPr>
      </w:pPr>
      <w:r>
        <w:rPr>
          <w:rFonts w:asciiTheme="majorHAnsi" w:hAnsiTheme="majorHAnsi" w:cstheme="majorHAnsi"/>
        </w:rPr>
        <w:br w:type="page"/>
      </w:r>
    </w:p>
    <w:p w14:paraId="12FB3D9E" w14:textId="77777777" w:rsidR="00127FDF" w:rsidRDefault="00127FDF" w:rsidP="00127FDF">
      <w:pPr>
        <w:rPr>
          <w:rFonts w:asciiTheme="majorHAnsi" w:hAnsiTheme="majorHAnsi" w:cstheme="majorHAnsi"/>
        </w:rPr>
      </w:pPr>
    </w:p>
    <w:p w14:paraId="4B77927E" w14:textId="77777777" w:rsidR="00127FDF" w:rsidRDefault="00127FDF" w:rsidP="00127FDF">
      <w:pPr>
        <w:rPr>
          <w:rFonts w:asciiTheme="majorHAnsi" w:hAnsiTheme="majorHAnsi" w:cstheme="majorHAnsi"/>
        </w:rPr>
      </w:pPr>
      <w:r>
        <w:rPr>
          <w:rFonts w:asciiTheme="majorHAnsi" w:hAnsiTheme="majorHAnsi" w:cstheme="majorHAnsi"/>
        </w:rPr>
        <w:t>REFERENCES</w:t>
      </w:r>
    </w:p>
    <w:p w14:paraId="453BB92D" w14:textId="77777777" w:rsidR="00127FDF" w:rsidRDefault="00127FDF" w:rsidP="00127FDF"/>
    <w:p w14:paraId="1F3BBF2D"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Pr>
          <w:rFonts w:asciiTheme="majorHAnsi" w:hAnsiTheme="majorHAnsi" w:cstheme="majorHAnsi"/>
        </w:rPr>
        <w:fldChar w:fldCharType="begin" w:fldLock="1"/>
      </w:r>
      <w:r>
        <w:rPr>
          <w:rFonts w:asciiTheme="majorHAnsi" w:hAnsiTheme="majorHAnsi" w:cstheme="majorHAnsi"/>
        </w:rPr>
        <w:instrText xml:space="preserve">ADDIN Mendeley Bibliography CSL_BIBLIOGRAPHY </w:instrText>
      </w:r>
      <w:r>
        <w:rPr>
          <w:rFonts w:asciiTheme="majorHAnsi" w:hAnsiTheme="majorHAnsi" w:cstheme="majorHAnsi"/>
        </w:rPr>
        <w:fldChar w:fldCharType="separate"/>
      </w:r>
      <w:r w:rsidRPr="00F10449">
        <w:rPr>
          <w:rFonts w:ascii="Calibri Light" w:hAnsi="Calibri Light" w:cs="Calibri Light"/>
          <w:noProof/>
          <w:lang w:val="en-US"/>
        </w:rPr>
        <w:t xml:space="preserve">1. </w:t>
      </w:r>
      <w:r w:rsidRPr="00F10449">
        <w:rPr>
          <w:rFonts w:ascii="Calibri Light" w:hAnsi="Calibri Light" w:cs="Calibri Light"/>
          <w:noProof/>
          <w:lang w:val="en-US"/>
        </w:rPr>
        <w:tab/>
      </w:r>
      <w:r w:rsidRPr="00AB2E46">
        <w:rPr>
          <w:rFonts w:ascii="Calibri Light" w:hAnsi="Calibri Light" w:cs="Calibri Light"/>
          <w:noProof/>
          <w:lang w:val="en-US"/>
        </w:rPr>
        <w:t>CDC. 2013. Antibiotic Resistance Threats</w:t>
      </w:r>
      <w:r>
        <w:rPr>
          <w:rFonts w:ascii="Calibri Light" w:hAnsi="Calibri Light" w:cs="Calibri Light"/>
          <w:noProof/>
          <w:lang w:val="en-US"/>
        </w:rPr>
        <w:t xml:space="preserve"> Report</w:t>
      </w:r>
      <w:r w:rsidRPr="00AB2E46">
        <w:rPr>
          <w:rFonts w:ascii="Calibri Light" w:hAnsi="Calibri Light" w:cs="Calibri Light"/>
          <w:noProof/>
          <w:lang w:val="en-US"/>
        </w:rPr>
        <w:t>. C</w:t>
      </w:r>
      <w:r>
        <w:rPr>
          <w:rFonts w:ascii="Calibri Light" w:hAnsi="Calibri Light" w:cs="Calibri Light"/>
          <w:noProof/>
          <w:lang w:val="en-US"/>
        </w:rPr>
        <w:t>DC, Atlanta, GA, USA</w:t>
      </w:r>
      <w:r w:rsidRPr="00AB2E46">
        <w:rPr>
          <w:rFonts w:ascii="Calibri Light" w:hAnsi="Calibri Light" w:cs="Calibri Light"/>
          <w:noProof/>
          <w:lang w:val="en-US"/>
        </w:rPr>
        <w:t>.</w:t>
      </w:r>
      <w:r>
        <w:rPr>
          <w:rFonts w:ascii="Calibri Light" w:hAnsi="Calibri Light" w:cs="Calibri Light"/>
          <w:noProof/>
          <w:lang w:val="en-US"/>
        </w:rPr>
        <w:t xml:space="preserve"> Accessed 16</w:t>
      </w:r>
      <w:r w:rsidRPr="005867EF">
        <w:rPr>
          <w:rFonts w:ascii="Calibri Light" w:hAnsi="Calibri Light" w:cs="Calibri Light"/>
          <w:noProof/>
          <w:vertAlign w:val="superscript"/>
          <w:lang w:val="en-US"/>
        </w:rPr>
        <w:t>th</w:t>
      </w:r>
      <w:r>
        <w:rPr>
          <w:rFonts w:ascii="Calibri Light" w:hAnsi="Calibri Light" w:cs="Calibri Light"/>
          <w:noProof/>
          <w:lang w:val="en-US"/>
        </w:rPr>
        <w:t xml:space="preserve"> February 2019</w:t>
      </w:r>
    </w:p>
    <w:p w14:paraId="5221F44B"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2. </w:t>
      </w:r>
      <w:r w:rsidRPr="00F10449">
        <w:rPr>
          <w:rFonts w:ascii="Calibri Light" w:hAnsi="Calibri Light" w:cs="Calibri Light"/>
          <w:noProof/>
          <w:lang w:val="en-US"/>
        </w:rPr>
        <w:tab/>
      </w:r>
      <w:r>
        <w:rPr>
          <w:rFonts w:ascii="Calibri Light" w:hAnsi="Calibri Light" w:cs="Calibri Light"/>
          <w:noProof/>
          <w:lang w:val="en-US"/>
        </w:rPr>
        <w:t>ECDC</w:t>
      </w:r>
      <w:r w:rsidRPr="00AB2E46">
        <w:rPr>
          <w:rFonts w:ascii="Calibri Light" w:hAnsi="Calibri Light" w:cs="Calibri Light"/>
          <w:noProof/>
          <w:lang w:val="en-US"/>
        </w:rPr>
        <w:t>. 2017. Surveillance of antimicrobial resistance in Europe 201</w:t>
      </w:r>
      <w:r>
        <w:rPr>
          <w:rFonts w:ascii="Calibri Light" w:hAnsi="Calibri Light" w:cs="Calibri Light"/>
          <w:noProof/>
          <w:lang w:val="en-US"/>
        </w:rPr>
        <w:t>7</w:t>
      </w:r>
      <w:r w:rsidRPr="00AB2E46">
        <w:rPr>
          <w:rFonts w:ascii="Calibri Light" w:hAnsi="Calibri Light" w:cs="Calibri Light"/>
          <w:noProof/>
          <w:lang w:val="en-US"/>
        </w:rPr>
        <w:t>.</w:t>
      </w:r>
      <w:r>
        <w:rPr>
          <w:rFonts w:ascii="Calibri Light" w:hAnsi="Calibri Light" w:cs="Calibri Light"/>
          <w:noProof/>
          <w:lang w:val="en-US"/>
        </w:rPr>
        <w:t xml:space="preserve"> Annual report of the European Antimicrobial Resistance Surveillance Network (EARS-Net). ECDC, Sweden. Accessed 16</w:t>
      </w:r>
      <w:r w:rsidRPr="005867EF">
        <w:rPr>
          <w:rFonts w:ascii="Calibri Light" w:hAnsi="Calibri Light" w:cs="Calibri Light"/>
          <w:noProof/>
          <w:vertAlign w:val="superscript"/>
          <w:lang w:val="en-US"/>
        </w:rPr>
        <w:t>th</w:t>
      </w:r>
      <w:r>
        <w:rPr>
          <w:rFonts w:ascii="Calibri Light" w:hAnsi="Calibri Light" w:cs="Calibri Light"/>
          <w:noProof/>
          <w:lang w:val="en-US"/>
        </w:rPr>
        <w:t xml:space="preserve"> February 2019</w:t>
      </w:r>
    </w:p>
    <w:p w14:paraId="7BA5BE01"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3. </w:t>
      </w:r>
      <w:r w:rsidRPr="00F10449">
        <w:rPr>
          <w:rFonts w:ascii="Calibri Light" w:hAnsi="Calibri Light" w:cs="Calibri Light"/>
          <w:noProof/>
          <w:lang w:val="en-US"/>
        </w:rPr>
        <w:tab/>
      </w:r>
      <w:r w:rsidRPr="00AB2E46">
        <w:rPr>
          <w:rFonts w:ascii="Calibri Light" w:hAnsi="Calibri Light" w:cs="Calibri Light"/>
          <w:noProof/>
          <w:lang w:val="en-US"/>
        </w:rPr>
        <w:t xml:space="preserve">DeRyke CA, Banevicius MA, Fan HW, Nicolau DP. 2007. Bactericidal activities of meropenem and ertapenem against extended-spectrum-β-lactamase-producing </w:t>
      </w:r>
      <w:r w:rsidRPr="005867EF">
        <w:rPr>
          <w:rFonts w:ascii="Calibri Light" w:hAnsi="Calibri Light" w:cs="Calibri Light"/>
          <w:i/>
          <w:noProof/>
          <w:lang w:val="en-US"/>
        </w:rPr>
        <w:t>Escherichia coli</w:t>
      </w:r>
      <w:r w:rsidRPr="00AB2E46">
        <w:rPr>
          <w:rFonts w:ascii="Calibri Light" w:hAnsi="Calibri Light" w:cs="Calibri Light"/>
          <w:noProof/>
          <w:lang w:val="en-US"/>
        </w:rPr>
        <w:t xml:space="preserve"> and </w:t>
      </w:r>
      <w:r w:rsidRPr="005867EF">
        <w:rPr>
          <w:rFonts w:ascii="Calibri Light" w:hAnsi="Calibri Light" w:cs="Calibri Light"/>
          <w:i/>
          <w:noProof/>
          <w:lang w:val="en-US"/>
        </w:rPr>
        <w:t>Klebsiella pneumoniae</w:t>
      </w:r>
      <w:r w:rsidRPr="00AB2E46">
        <w:rPr>
          <w:rFonts w:ascii="Calibri Light" w:hAnsi="Calibri Light" w:cs="Calibri Light"/>
          <w:noProof/>
          <w:lang w:val="en-US"/>
        </w:rPr>
        <w:t xml:space="preserve"> in a neutropenic mouse thigh model. </w:t>
      </w:r>
      <w:r w:rsidRPr="005867EF">
        <w:rPr>
          <w:rFonts w:ascii="Calibri Light" w:hAnsi="Calibri Light" w:cs="Calibri Light"/>
          <w:i/>
          <w:noProof/>
          <w:lang w:val="en-US"/>
        </w:rPr>
        <w:t>A</w:t>
      </w:r>
      <w:r>
        <w:rPr>
          <w:rFonts w:ascii="Calibri Light" w:hAnsi="Calibri Light" w:cs="Calibri Light"/>
          <w:i/>
          <w:noProof/>
          <w:lang w:val="en-US"/>
        </w:rPr>
        <w:t xml:space="preserve">ntimicrob Agents Chemother </w:t>
      </w:r>
      <w:r w:rsidRPr="005867EF">
        <w:rPr>
          <w:rFonts w:ascii="Calibri Light" w:hAnsi="Calibri Light" w:cs="Calibri Light"/>
          <w:b/>
          <w:noProof/>
          <w:lang w:val="en-US"/>
        </w:rPr>
        <w:t>51</w:t>
      </w:r>
      <w:r w:rsidRPr="00AB2E46">
        <w:rPr>
          <w:rFonts w:ascii="Calibri Light" w:hAnsi="Calibri Light" w:cs="Calibri Light"/>
          <w:noProof/>
          <w:lang w:val="en-US"/>
        </w:rPr>
        <w:t>:1481–1486.</w:t>
      </w:r>
    </w:p>
    <w:p w14:paraId="2077279F"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4. </w:t>
      </w:r>
      <w:r w:rsidRPr="00F10449">
        <w:rPr>
          <w:rFonts w:ascii="Calibri Light" w:hAnsi="Calibri Light" w:cs="Calibri Light"/>
          <w:noProof/>
          <w:lang w:val="en-US"/>
        </w:rPr>
        <w:tab/>
      </w:r>
      <w:r w:rsidRPr="00AB2E46">
        <w:rPr>
          <w:rFonts w:ascii="Calibri Light" w:hAnsi="Calibri Light" w:cs="Calibri Light"/>
          <w:noProof/>
          <w:lang w:val="en-US"/>
        </w:rPr>
        <w:t>Pitout JDD. 2010. Infections with Extended-Spectrum</w:t>
      </w:r>
      <w:r>
        <w:rPr>
          <w:rFonts w:ascii="Calibri Light" w:hAnsi="Calibri Light" w:cs="Calibri Light"/>
          <w:noProof/>
          <w:lang w:val="en-US"/>
        </w:rPr>
        <w:t>-</w:t>
      </w:r>
      <w:r w:rsidRPr="00AB2E46">
        <w:rPr>
          <w:rFonts w:ascii="Calibri Light" w:hAnsi="Calibri Light" w:cs="Calibri Light"/>
          <w:noProof/>
          <w:lang w:val="en-US"/>
        </w:rPr>
        <w:t>b</w:t>
      </w:r>
      <w:r>
        <w:rPr>
          <w:rFonts w:ascii="Calibri Light" w:hAnsi="Calibri Light" w:cs="Calibri Light"/>
          <w:noProof/>
          <w:lang w:val="en-US"/>
        </w:rPr>
        <w:t>eta</w:t>
      </w:r>
      <w:r w:rsidRPr="00AB2E46">
        <w:rPr>
          <w:rFonts w:ascii="Calibri Light" w:hAnsi="Calibri Light" w:cs="Calibri Light"/>
          <w:noProof/>
          <w:lang w:val="en-US"/>
        </w:rPr>
        <w:t>-Lactamase-Producing Enterobacteriaceae</w:t>
      </w:r>
      <w:r>
        <w:rPr>
          <w:rFonts w:ascii="Calibri Light" w:hAnsi="Calibri Light" w:cs="Calibri Light"/>
          <w:noProof/>
          <w:lang w:val="en-US"/>
        </w:rPr>
        <w:t>:</w:t>
      </w:r>
      <w:r w:rsidRPr="00AB2E46">
        <w:rPr>
          <w:rFonts w:ascii="Calibri Light" w:hAnsi="Calibri Light" w:cs="Calibri Light"/>
          <w:noProof/>
          <w:lang w:val="en-US"/>
        </w:rPr>
        <w:t xml:space="preserve"> Changing Epidemiology and Drug Treatment Choices</w:t>
      </w:r>
      <w:r>
        <w:rPr>
          <w:rFonts w:ascii="Calibri Light" w:hAnsi="Calibri Light" w:cs="Calibri Light"/>
          <w:noProof/>
          <w:lang w:val="en-US"/>
        </w:rPr>
        <w:t xml:space="preserve">. </w:t>
      </w:r>
      <w:r w:rsidRPr="00911B43">
        <w:rPr>
          <w:rFonts w:ascii="Calibri Light" w:hAnsi="Calibri Light" w:cs="Calibri Light"/>
          <w:i/>
          <w:noProof/>
          <w:lang w:val="en-US"/>
        </w:rPr>
        <w:t>Drugs</w:t>
      </w:r>
      <w:r>
        <w:rPr>
          <w:rFonts w:ascii="Calibri Light" w:hAnsi="Calibri Light" w:cs="Calibri Light"/>
          <w:i/>
          <w:noProof/>
          <w:lang w:val="en-US"/>
        </w:rPr>
        <w:t xml:space="preserve"> </w:t>
      </w:r>
      <w:r w:rsidRPr="00911B43">
        <w:rPr>
          <w:rFonts w:ascii="Calibri Light" w:hAnsi="Calibri Light" w:cs="Calibri Light"/>
          <w:b/>
          <w:noProof/>
          <w:lang w:val="en-US"/>
        </w:rPr>
        <w:t>70</w:t>
      </w:r>
      <w:r w:rsidRPr="00AB2E46">
        <w:rPr>
          <w:rFonts w:ascii="Calibri Light" w:hAnsi="Calibri Light" w:cs="Calibri Light"/>
          <w:noProof/>
          <w:lang w:val="en-US"/>
        </w:rPr>
        <w:t>:313–333.</w:t>
      </w:r>
    </w:p>
    <w:p w14:paraId="1637D0F6"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5. </w:t>
      </w:r>
      <w:r w:rsidRPr="00F10449">
        <w:rPr>
          <w:rFonts w:ascii="Calibri Light" w:hAnsi="Calibri Light" w:cs="Calibri Light"/>
          <w:noProof/>
          <w:lang w:val="en-US"/>
        </w:rPr>
        <w:tab/>
      </w:r>
      <w:r w:rsidRPr="00AB2E46">
        <w:rPr>
          <w:rFonts w:ascii="Calibri Light" w:hAnsi="Calibri Light" w:cs="Calibri Light"/>
          <w:noProof/>
          <w:lang w:val="en-US"/>
        </w:rPr>
        <w:t>Kassakian SZ, Mermel LA. 2014. Changing epidemiology of infections due to extended spectrum beta-lactamase producing bacteria</w:t>
      </w:r>
      <w:r>
        <w:rPr>
          <w:rFonts w:ascii="Calibri Light" w:hAnsi="Calibri Light" w:cs="Calibri Light"/>
          <w:noProof/>
          <w:lang w:val="en-US"/>
        </w:rPr>
        <w:t xml:space="preserve">. </w:t>
      </w:r>
      <w:r w:rsidRPr="002F2FBD">
        <w:rPr>
          <w:rFonts w:ascii="Calibri Light" w:hAnsi="Calibri Light" w:cs="Calibri Light"/>
          <w:i/>
          <w:noProof/>
          <w:lang w:val="en-US"/>
        </w:rPr>
        <w:t>Antimicrobial Resistance and Infection Control</w:t>
      </w:r>
      <w:r>
        <w:rPr>
          <w:rFonts w:ascii="Calibri Light" w:hAnsi="Calibri Light" w:cs="Calibri Light"/>
          <w:noProof/>
          <w:lang w:val="en-US"/>
        </w:rPr>
        <w:t xml:space="preserve"> </w:t>
      </w:r>
      <w:r w:rsidRPr="005867EF">
        <w:rPr>
          <w:rFonts w:ascii="Calibri Light" w:hAnsi="Calibri Light" w:cs="Calibri Light"/>
          <w:b/>
          <w:noProof/>
          <w:lang w:val="en-US"/>
        </w:rPr>
        <w:t>3</w:t>
      </w:r>
      <w:r w:rsidRPr="00AB2E46">
        <w:rPr>
          <w:rFonts w:ascii="Calibri Light" w:hAnsi="Calibri Light" w:cs="Calibri Light"/>
          <w:noProof/>
          <w:lang w:val="en-US"/>
        </w:rPr>
        <w:t>:1–6.</w:t>
      </w:r>
    </w:p>
    <w:p w14:paraId="76582ACE"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6. </w:t>
      </w:r>
      <w:r w:rsidRPr="00F10449">
        <w:rPr>
          <w:rFonts w:ascii="Calibri Light" w:hAnsi="Calibri Light" w:cs="Calibri Light"/>
          <w:noProof/>
          <w:lang w:val="en-US"/>
        </w:rPr>
        <w:tab/>
      </w:r>
      <w:r>
        <w:rPr>
          <w:rFonts w:ascii="Calibri Light" w:hAnsi="Calibri Light" w:cs="Calibri Light"/>
          <w:noProof/>
          <w:lang w:val="en-US"/>
        </w:rPr>
        <w:t xml:space="preserve">Morosini MI, Garcia-Castillo M, </w:t>
      </w:r>
      <w:r w:rsidRPr="00F10449">
        <w:rPr>
          <w:rFonts w:ascii="Calibri Light" w:hAnsi="Calibri Light" w:cs="Calibri Light"/>
          <w:noProof/>
          <w:lang w:val="en-US"/>
        </w:rPr>
        <w:t>Coque TM,</w:t>
      </w:r>
      <w:r>
        <w:rPr>
          <w:rFonts w:ascii="Calibri Light" w:hAnsi="Calibri Light" w:cs="Calibri Light"/>
          <w:noProof/>
          <w:lang w:val="en-US"/>
        </w:rPr>
        <w:t xml:space="preserve"> Valverde A, Novais A,</w:t>
      </w:r>
      <w:r w:rsidRPr="00F10449">
        <w:rPr>
          <w:rFonts w:ascii="Calibri Light" w:hAnsi="Calibri Light" w:cs="Calibri Light"/>
          <w:noProof/>
          <w:lang w:val="en-US"/>
        </w:rPr>
        <w:t xml:space="preserve"> Loza E, Baquero F, Canto R. 2006. Antibiotic Coresistance in Extended-Spectrum-</w:t>
      </w:r>
      <w:r>
        <w:rPr>
          <w:rFonts w:ascii="Calibri Light" w:hAnsi="Calibri Light" w:cs="Calibri Light"/>
          <w:noProof/>
          <w:lang w:val="en-US"/>
        </w:rPr>
        <w:t>Beta</w:t>
      </w:r>
      <w:r w:rsidRPr="00F10449">
        <w:rPr>
          <w:rFonts w:ascii="Calibri Light" w:hAnsi="Calibri Light" w:cs="Calibri Light"/>
          <w:noProof/>
          <w:lang w:val="en-US"/>
        </w:rPr>
        <w:t>-Lactamase-Producing Enterobacteriaceae and In Vitro Activity of Tigecycline</w:t>
      </w:r>
      <w:r>
        <w:rPr>
          <w:rFonts w:ascii="Calibri Light" w:hAnsi="Calibri Light" w:cs="Calibri Light"/>
          <w:noProof/>
          <w:lang w:val="en-US"/>
        </w:rPr>
        <w:t xml:space="preserve">. </w:t>
      </w:r>
      <w:r w:rsidRPr="00A516BB">
        <w:rPr>
          <w:rFonts w:ascii="Calibri Light" w:hAnsi="Calibri Light" w:cs="Calibri Light"/>
          <w:i/>
          <w:noProof/>
          <w:lang w:val="en-US"/>
        </w:rPr>
        <w:t>Antimicrob Agents Chemother</w:t>
      </w:r>
      <w:r w:rsidRPr="00F10449">
        <w:rPr>
          <w:rFonts w:ascii="Calibri Light" w:hAnsi="Calibri Light" w:cs="Calibri Light"/>
          <w:noProof/>
          <w:lang w:val="en-US"/>
        </w:rPr>
        <w:t xml:space="preserve"> </w:t>
      </w:r>
      <w:r w:rsidRPr="003621DF">
        <w:rPr>
          <w:rFonts w:ascii="Calibri Light" w:hAnsi="Calibri Light" w:cs="Calibri Light"/>
          <w:b/>
          <w:noProof/>
          <w:lang w:val="en-US"/>
        </w:rPr>
        <w:t>50</w:t>
      </w:r>
      <w:r w:rsidRPr="00F10449">
        <w:rPr>
          <w:rFonts w:ascii="Calibri Light" w:hAnsi="Calibri Light" w:cs="Calibri Light"/>
          <w:noProof/>
          <w:lang w:val="en-US"/>
        </w:rPr>
        <w:t>:2695–2699.</w:t>
      </w:r>
    </w:p>
    <w:p w14:paraId="2F6F1EF1"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7. </w:t>
      </w:r>
      <w:r w:rsidRPr="00F10449">
        <w:rPr>
          <w:rFonts w:ascii="Calibri Light" w:hAnsi="Calibri Light" w:cs="Calibri Light"/>
          <w:noProof/>
          <w:lang w:val="en-US"/>
        </w:rPr>
        <w:tab/>
      </w:r>
      <w:r w:rsidRPr="00AB2E46">
        <w:rPr>
          <w:rFonts w:ascii="Calibri Light" w:hAnsi="Calibri Light" w:cs="Calibri Light"/>
          <w:noProof/>
          <w:lang w:val="en-US"/>
        </w:rPr>
        <w:t xml:space="preserve">Kato K, Shirasaka Y, Kuraoka E, Kikuchi A, Iguchi M, Suzuki H, Shibasaki S, Kurosawa T, Tamai I. 2010. Intestinal absorption mechanism of tebipenem pivoxil, a novel oral carbapenem: Involvement of human OATP family in apical membrane transport. </w:t>
      </w:r>
      <w:r w:rsidRPr="005867EF">
        <w:rPr>
          <w:rFonts w:ascii="Calibri Light" w:hAnsi="Calibri Light" w:cs="Calibri Light"/>
          <w:i/>
          <w:noProof/>
          <w:lang w:val="en-US"/>
        </w:rPr>
        <w:t>Mol Pharm</w:t>
      </w:r>
      <w:r w:rsidRPr="00AB2E46">
        <w:rPr>
          <w:rFonts w:ascii="Calibri Light" w:hAnsi="Calibri Light" w:cs="Calibri Light"/>
          <w:noProof/>
          <w:lang w:val="en-US"/>
        </w:rPr>
        <w:t xml:space="preserve"> </w:t>
      </w:r>
      <w:r w:rsidRPr="005867EF">
        <w:rPr>
          <w:rFonts w:ascii="Calibri Light" w:hAnsi="Calibri Light" w:cs="Calibri Light"/>
          <w:b/>
          <w:noProof/>
          <w:lang w:val="en-US"/>
        </w:rPr>
        <w:t>7</w:t>
      </w:r>
      <w:r w:rsidRPr="00AB2E46">
        <w:rPr>
          <w:rFonts w:ascii="Calibri Light" w:hAnsi="Calibri Light" w:cs="Calibri Light"/>
          <w:noProof/>
          <w:lang w:val="en-US"/>
        </w:rPr>
        <w:t>:1747–1756.</w:t>
      </w:r>
    </w:p>
    <w:p w14:paraId="5502D200"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8. </w:t>
      </w:r>
      <w:r w:rsidRPr="00F10449">
        <w:rPr>
          <w:rFonts w:ascii="Calibri Light" w:hAnsi="Calibri Light" w:cs="Calibri Light"/>
          <w:noProof/>
          <w:lang w:val="en-US"/>
        </w:rPr>
        <w:tab/>
      </w:r>
      <w:r w:rsidRPr="00AB2E46">
        <w:rPr>
          <w:rFonts w:ascii="Calibri Light" w:hAnsi="Calibri Light" w:cs="Calibri Light"/>
          <w:noProof/>
          <w:lang w:val="en-US"/>
        </w:rPr>
        <w:t xml:space="preserve">Sakata H, Kuroki H, Ouchi K, Tajima T, Iwata S. 2017. Pediatric community-acquired pneumonia treated with a three-day course of tebipenem pivoxil. </w:t>
      </w:r>
      <w:r w:rsidRPr="002F2FBD">
        <w:rPr>
          <w:rFonts w:ascii="Calibri Light" w:hAnsi="Calibri Light" w:cs="Calibri Light"/>
          <w:i/>
          <w:noProof/>
          <w:lang w:val="en-US"/>
        </w:rPr>
        <w:t>J Infect Chemother</w:t>
      </w:r>
      <w:r w:rsidRPr="00AB2E46">
        <w:rPr>
          <w:rFonts w:ascii="Calibri Light" w:hAnsi="Calibri Light" w:cs="Calibri Light"/>
          <w:noProof/>
          <w:lang w:val="en-US"/>
        </w:rPr>
        <w:t xml:space="preserve"> </w:t>
      </w:r>
      <w:r w:rsidRPr="002F2FBD">
        <w:rPr>
          <w:rFonts w:ascii="Calibri Light" w:hAnsi="Calibri Light" w:cs="Calibri Light"/>
          <w:b/>
          <w:noProof/>
          <w:lang w:val="en-US"/>
        </w:rPr>
        <w:t>23</w:t>
      </w:r>
      <w:r w:rsidRPr="00AB2E46">
        <w:rPr>
          <w:rFonts w:ascii="Calibri Light" w:hAnsi="Calibri Light" w:cs="Calibri Light"/>
          <w:noProof/>
          <w:lang w:val="en-US"/>
        </w:rPr>
        <w:t>:307–311.</w:t>
      </w:r>
    </w:p>
    <w:p w14:paraId="683F2AA8"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9. </w:t>
      </w:r>
      <w:r w:rsidRPr="00F10449">
        <w:rPr>
          <w:rFonts w:ascii="Calibri Light" w:hAnsi="Calibri Light" w:cs="Calibri Light"/>
          <w:noProof/>
          <w:lang w:val="en-US"/>
        </w:rPr>
        <w:tab/>
      </w:r>
      <w:r w:rsidRPr="00AB2E46">
        <w:rPr>
          <w:rFonts w:ascii="Calibri Light" w:hAnsi="Calibri Light" w:cs="Calibri Light"/>
          <w:noProof/>
          <w:lang w:val="en-US"/>
        </w:rPr>
        <w:t xml:space="preserve">Rubio A, Pucci MJ, Jain A. 2018. Characterization of SPR994, an Orally Available Carbapenem, with Activity Comparable to Intravenously Administered Carbapenems. </w:t>
      </w:r>
      <w:r w:rsidRPr="005867EF">
        <w:rPr>
          <w:rFonts w:ascii="Calibri Light" w:hAnsi="Calibri Light" w:cs="Calibri Light"/>
          <w:i/>
          <w:noProof/>
          <w:lang w:val="en-US"/>
        </w:rPr>
        <w:t>ACS Infect Dis</w:t>
      </w:r>
      <w:r w:rsidRPr="00AB2E46">
        <w:rPr>
          <w:rFonts w:ascii="Calibri Light" w:hAnsi="Calibri Light" w:cs="Calibri Light"/>
          <w:noProof/>
          <w:lang w:val="en-US"/>
        </w:rPr>
        <w:t xml:space="preserve"> </w:t>
      </w:r>
      <w:r w:rsidRPr="005867EF">
        <w:rPr>
          <w:rFonts w:ascii="Calibri Light" w:hAnsi="Calibri Light" w:cs="Calibri Light"/>
          <w:b/>
          <w:noProof/>
          <w:lang w:val="en-US"/>
        </w:rPr>
        <w:t>4</w:t>
      </w:r>
      <w:r w:rsidRPr="00AB2E46">
        <w:rPr>
          <w:rFonts w:ascii="Calibri Light" w:hAnsi="Calibri Light" w:cs="Calibri Light"/>
          <w:noProof/>
          <w:lang w:val="en-US"/>
        </w:rPr>
        <w:t>:1436–1438.</w:t>
      </w:r>
    </w:p>
    <w:p w14:paraId="5A545502"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10. </w:t>
      </w:r>
      <w:r w:rsidRPr="00F10449">
        <w:rPr>
          <w:rFonts w:ascii="Calibri Light" w:hAnsi="Calibri Light" w:cs="Calibri Light"/>
          <w:noProof/>
          <w:lang w:val="en-US"/>
        </w:rPr>
        <w:tab/>
      </w:r>
      <w:r>
        <w:rPr>
          <w:rFonts w:ascii="Calibri Light" w:hAnsi="Calibri Light" w:cs="Calibri Light"/>
          <w:noProof/>
          <w:lang w:val="en-US"/>
        </w:rPr>
        <w:t>Clinical and Laboratory Standards Institute. 2015. Methods for Dilution Antimicrobial Susceptibility Tests for Bacteria That Grow Aerobically; Approved Standard - Tenth Edition. CLSI document M07-A10. CLSI, Wayne, PA, USA</w:t>
      </w:r>
    </w:p>
    <w:p w14:paraId="704E0FBB"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11. </w:t>
      </w:r>
      <w:r w:rsidRPr="00F10449">
        <w:rPr>
          <w:rFonts w:ascii="Calibri Light" w:hAnsi="Calibri Light" w:cs="Calibri Light"/>
          <w:noProof/>
          <w:lang w:val="en-US"/>
        </w:rPr>
        <w:tab/>
      </w:r>
      <w:r>
        <w:rPr>
          <w:rFonts w:ascii="Calibri Light" w:hAnsi="Calibri Light" w:cs="Calibri Light"/>
          <w:noProof/>
          <w:lang w:val="en-US"/>
        </w:rPr>
        <w:t>Zou Y, Cotroneo N, Rubio A. 2018. In vitro Bactericidal Activity and Post-Antibiotic Effect of Tebipenem (SPR859) Against Susceptible and Extended-Spectrum Beta-Lactamase Producing Enterobacteriaecae as Compared to Levofloxacin (LVX) and Meropenem (MEM). ASM Microbe 2018, Session 412, Poster 561</w:t>
      </w:r>
      <w:r w:rsidRPr="00F10449">
        <w:rPr>
          <w:rFonts w:ascii="Calibri Light" w:hAnsi="Calibri Light" w:cs="Calibri Light"/>
          <w:noProof/>
          <w:lang w:val="en-US"/>
        </w:rPr>
        <w:t xml:space="preserve"> </w:t>
      </w:r>
    </w:p>
    <w:p w14:paraId="7DBE693F"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12. </w:t>
      </w:r>
      <w:r w:rsidRPr="00F10449">
        <w:rPr>
          <w:rFonts w:ascii="Calibri Light" w:hAnsi="Calibri Light" w:cs="Calibri Light"/>
          <w:noProof/>
          <w:lang w:val="en-US"/>
        </w:rPr>
        <w:tab/>
      </w:r>
      <w:r>
        <w:rPr>
          <w:rFonts w:ascii="Calibri Light" w:hAnsi="Calibri Light" w:cs="Calibri Light"/>
          <w:noProof/>
          <w:lang w:val="en-US"/>
        </w:rPr>
        <w:t>Goutelle S, Valour F, Gagnieu MC, Laurent F, Chidiac C, Ferry T</w:t>
      </w:r>
      <w:r w:rsidRPr="00AB2E46">
        <w:rPr>
          <w:rFonts w:ascii="Calibri Light" w:hAnsi="Calibri Light" w:cs="Calibri Light"/>
          <w:noProof/>
          <w:lang w:val="en-US"/>
        </w:rPr>
        <w:t>. 201</w:t>
      </w:r>
      <w:r>
        <w:rPr>
          <w:rFonts w:ascii="Calibri Light" w:hAnsi="Calibri Light" w:cs="Calibri Light"/>
          <w:noProof/>
          <w:lang w:val="en-US"/>
        </w:rPr>
        <w:t>8</w:t>
      </w:r>
      <w:r w:rsidRPr="00AB2E46">
        <w:rPr>
          <w:rFonts w:ascii="Calibri Light" w:hAnsi="Calibri Light" w:cs="Calibri Light"/>
          <w:noProof/>
          <w:lang w:val="en-US"/>
        </w:rPr>
        <w:t>.</w:t>
      </w:r>
      <w:r>
        <w:rPr>
          <w:rFonts w:ascii="Calibri Light" w:hAnsi="Calibri Light" w:cs="Calibri Light"/>
          <w:noProof/>
          <w:lang w:val="en-US"/>
        </w:rPr>
        <w:t xml:space="preserve"> Population pharmacokinetics and probability of target attainment of ertapenem administered by subcutaneous or intravenous route in patients with bone and joint infection. </w:t>
      </w:r>
      <w:r>
        <w:rPr>
          <w:rFonts w:ascii="Calibri Light" w:hAnsi="Calibri Light" w:cs="Calibri Light"/>
          <w:i/>
          <w:noProof/>
          <w:lang w:val="en-US"/>
        </w:rPr>
        <w:t>J Antimicrob Chemother</w:t>
      </w:r>
      <w:r w:rsidRPr="00AB2E46">
        <w:rPr>
          <w:rFonts w:ascii="Calibri Light" w:hAnsi="Calibri Light" w:cs="Calibri Light"/>
          <w:noProof/>
          <w:lang w:val="en-US"/>
        </w:rPr>
        <w:t xml:space="preserve"> </w:t>
      </w:r>
      <w:r>
        <w:rPr>
          <w:rFonts w:ascii="Calibri Light" w:hAnsi="Calibri Light" w:cs="Calibri Light"/>
          <w:b/>
          <w:noProof/>
          <w:lang w:val="en-US"/>
        </w:rPr>
        <w:t>73</w:t>
      </w:r>
      <w:r w:rsidRPr="00AB2E46">
        <w:rPr>
          <w:rFonts w:ascii="Calibri Light" w:hAnsi="Calibri Light" w:cs="Calibri Light"/>
          <w:noProof/>
          <w:lang w:val="en-US"/>
        </w:rPr>
        <w:t>:9</w:t>
      </w:r>
      <w:r>
        <w:rPr>
          <w:rFonts w:ascii="Calibri Light" w:hAnsi="Calibri Light" w:cs="Calibri Light"/>
          <w:noProof/>
          <w:lang w:val="en-US"/>
        </w:rPr>
        <w:t>87</w:t>
      </w:r>
      <w:r w:rsidRPr="00AB2E46">
        <w:rPr>
          <w:rFonts w:ascii="Calibri Light" w:hAnsi="Calibri Light" w:cs="Calibri Light"/>
          <w:noProof/>
          <w:lang w:val="en-US"/>
        </w:rPr>
        <w:t>–9</w:t>
      </w:r>
      <w:r>
        <w:rPr>
          <w:rFonts w:ascii="Calibri Light" w:hAnsi="Calibri Light" w:cs="Calibri Light"/>
          <w:noProof/>
          <w:lang w:val="en-US"/>
        </w:rPr>
        <w:t>94</w:t>
      </w:r>
      <w:r w:rsidRPr="00AB2E46">
        <w:rPr>
          <w:rFonts w:ascii="Calibri Light" w:hAnsi="Calibri Light" w:cs="Calibri Light"/>
          <w:noProof/>
          <w:lang w:val="en-US"/>
        </w:rPr>
        <w:t>.</w:t>
      </w:r>
    </w:p>
    <w:p w14:paraId="0CD8A0E2"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13. </w:t>
      </w:r>
      <w:r w:rsidRPr="00F10449">
        <w:rPr>
          <w:rFonts w:ascii="Calibri Light" w:hAnsi="Calibri Light" w:cs="Calibri Light"/>
          <w:noProof/>
          <w:lang w:val="en-US"/>
        </w:rPr>
        <w:tab/>
      </w:r>
      <w:r w:rsidRPr="00AB2E46">
        <w:rPr>
          <w:rFonts w:ascii="Calibri Light" w:hAnsi="Calibri Light" w:cs="Calibri Light"/>
          <w:noProof/>
          <w:lang w:val="en-US"/>
        </w:rPr>
        <w:t xml:space="preserve">Yao Q, Wang J, Cui T, Yang Z, Su M, Zhao P, Yan H, Zhan Y. 2016. Antibacterial Properties of Tebipenem Pivoxil Tablet , a New Oral Carbapenem Preparation against a Variety of Pathogenic Bacteria </w:t>
      </w:r>
      <w:r w:rsidRPr="002F2FBD">
        <w:rPr>
          <w:rFonts w:ascii="Calibri Light" w:hAnsi="Calibri Light" w:cs="Calibri Light"/>
          <w:i/>
          <w:noProof/>
          <w:lang w:val="en-US"/>
        </w:rPr>
        <w:t>in Vitro</w:t>
      </w:r>
      <w:r w:rsidRPr="00AB2E46">
        <w:rPr>
          <w:rFonts w:ascii="Calibri Light" w:hAnsi="Calibri Light" w:cs="Calibri Light"/>
          <w:noProof/>
          <w:lang w:val="en-US"/>
        </w:rPr>
        <w:t xml:space="preserve"> and </w:t>
      </w:r>
      <w:r w:rsidRPr="002F2FBD">
        <w:rPr>
          <w:rFonts w:ascii="Calibri Light" w:hAnsi="Calibri Light" w:cs="Calibri Light"/>
          <w:i/>
          <w:noProof/>
          <w:lang w:val="en-US"/>
        </w:rPr>
        <w:t>in Vivo</w:t>
      </w:r>
      <w:r w:rsidRPr="00AB2E46">
        <w:rPr>
          <w:rFonts w:ascii="Calibri Light" w:hAnsi="Calibri Light" w:cs="Calibri Light"/>
          <w:noProof/>
          <w:lang w:val="en-US"/>
        </w:rPr>
        <w:t>.</w:t>
      </w:r>
      <w:r>
        <w:rPr>
          <w:rFonts w:ascii="Calibri Light" w:hAnsi="Calibri Light" w:cs="Calibri Light"/>
          <w:noProof/>
          <w:lang w:val="en-US"/>
        </w:rPr>
        <w:t xml:space="preserve"> </w:t>
      </w:r>
      <w:r w:rsidRPr="002F2FBD">
        <w:rPr>
          <w:rFonts w:ascii="Calibri Light" w:hAnsi="Calibri Light" w:cs="Calibri Light"/>
          <w:i/>
          <w:noProof/>
          <w:lang w:val="en-US"/>
        </w:rPr>
        <w:t xml:space="preserve">Molecules </w:t>
      </w:r>
      <w:r w:rsidRPr="002F2FBD">
        <w:rPr>
          <w:rFonts w:ascii="Calibri Light" w:hAnsi="Calibri Light" w:cs="Calibri Light"/>
          <w:b/>
          <w:noProof/>
          <w:lang w:val="en-US"/>
        </w:rPr>
        <w:t>21</w:t>
      </w:r>
      <w:r>
        <w:rPr>
          <w:rFonts w:ascii="Calibri Light" w:hAnsi="Calibri Light" w:cs="Calibri Light"/>
          <w:noProof/>
          <w:lang w:val="en-US"/>
        </w:rPr>
        <w:t>:62</w:t>
      </w:r>
    </w:p>
    <w:p w14:paraId="6DA0AF7A"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14. </w:t>
      </w:r>
      <w:r w:rsidRPr="00F10449">
        <w:rPr>
          <w:rFonts w:ascii="Calibri Light" w:hAnsi="Calibri Light" w:cs="Calibri Light"/>
          <w:noProof/>
          <w:lang w:val="en-US"/>
        </w:rPr>
        <w:tab/>
      </w:r>
      <w:r w:rsidRPr="00AB2E46">
        <w:rPr>
          <w:rFonts w:ascii="Calibri Light" w:hAnsi="Calibri Light" w:cs="Calibri Light"/>
          <w:noProof/>
          <w:lang w:val="en-US"/>
        </w:rPr>
        <w:t xml:space="preserve">Kim ES, Hooper DC. 2014. Clinical Importance and Epidemiology of Quinolone </w:t>
      </w:r>
      <w:r w:rsidRPr="00AB2E46">
        <w:rPr>
          <w:rFonts w:ascii="Calibri Light" w:hAnsi="Calibri Light" w:cs="Calibri Light"/>
          <w:noProof/>
          <w:lang w:val="en-US"/>
        </w:rPr>
        <w:lastRenderedPageBreak/>
        <w:t>Resistance</w:t>
      </w:r>
      <w:r>
        <w:rPr>
          <w:rFonts w:ascii="Calibri Light" w:hAnsi="Calibri Light" w:cs="Calibri Light"/>
          <w:noProof/>
          <w:lang w:val="en-US"/>
        </w:rPr>
        <w:t xml:space="preserve">. </w:t>
      </w:r>
      <w:r w:rsidRPr="002F2FBD">
        <w:rPr>
          <w:rFonts w:ascii="Calibri Light" w:hAnsi="Calibri Light" w:cs="Calibri Light"/>
          <w:i/>
          <w:noProof/>
          <w:lang w:val="en-US"/>
        </w:rPr>
        <w:t>Infect Chemother</w:t>
      </w:r>
      <w:r w:rsidRPr="00AB2E46">
        <w:rPr>
          <w:rFonts w:ascii="Calibri Light" w:hAnsi="Calibri Light" w:cs="Calibri Light"/>
          <w:noProof/>
          <w:lang w:val="en-US"/>
        </w:rPr>
        <w:t xml:space="preserve"> </w:t>
      </w:r>
      <w:r w:rsidRPr="002F2FBD">
        <w:rPr>
          <w:rFonts w:ascii="Calibri Light" w:hAnsi="Calibri Light" w:cs="Calibri Light"/>
          <w:b/>
          <w:noProof/>
          <w:lang w:val="en-US"/>
        </w:rPr>
        <w:t>46</w:t>
      </w:r>
      <w:r w:rsidRPr="00AB2E46">
        <w:rPr>
          <w:rFonts w:ascii="Calibri Light" w:hAnsi="Calibri Light" w:cs="Calibri Light"/>
          <w:noProof/>
          <w:lang w:val="en-US"/>
        </w:rPr>
        <w:t>:226–238.</w:t>
      </w:r>
    </w:p>
    <w:p w14:paraId="4878D00F"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15. </w:t>
      </w:r>
      <w:r w:rsidRPr="00F10449">
        <w:rPr>
          <w:rFonts w:ascii="Calibri Light" w:hAnsi="Calibri Light" w:cs="Calibri Light"/>
          <w:noProof/>
          <w:lang w:val="en-US"/>
        </w:rPr>
        <w:tab/>
      </w:r>
      <w:r w:rsidRPr="00AB2E46">
        <w:rPr>
          <w:rFonts w:ascii="Calibri Light" w:hAnsi="Calibri Light" w:cs="Calibri Light"/>
          <w:noProof/>
          <w:lang w:val="en-US"/>
        </w:rPr>
        <w:t>Bidell MR, Palchak M, Mohr J, Lodise P. 2016.</w:t>
      </w:r>
      <w:r>
        <w:rPr>
          <w:rFonts w:ascii="Calibri Light" w:hAnsi="Calibri Light" w:cs="Calibri Light"/>
          <w:noProof/>
          <w:lang w:val="en-US"/>
        </w:rPr>
        <w:t xml:space="preserve"> Fluoroquinolone and Third-Generation-Cephalosporin Resistance</w:t>
      </w:r>
      <w:r w:rsidRPr="00AB2E46">
        <w:rPr>
          <w:rFonts w:ascii="Calibri Light" w:hAnsi="Calibri Light" w:cs="Calibri Light"/>
          <w:noProof/>
          <w:lang w:val="en-US"/>
        </w:rPr>
        <w:t xml:space="preserve"> among Hospitalized Patients with Urinary Tract Infections Due to </w:t>
      </w:r>
      <w:r w:rsidRPr="00135B51">
        <w:rPr>
          <w:rFonts w:ascii="Calibri Light" w:hAnsi="Calibri Light" w:cs="Calibri Light"/>
          <w:i/>
          <w:noProof/>
          <w:lang w:val="en-US"/>
        </w:rPr>
        <w:t>Escherichia coli</w:t>
      </w:r>
      <w:r w:rsidRPr="00AB2E46">
        <w:rPr>
          <w:rFonts w:ascii="Calibri Light" w:hAnsi="Calibri Light" w:cs="Calibri Light"/>
          <w:noProof/>
          <w:lang w:val="en-US"/>
        </w:rPr>
        <w:t>: Do Rates Vary by Hospital Characteristics and Geographic Region?</w:t>
      </w:r>
      <w:r>
        <w:rPr>
          <w:rFonts w:ascii="Calibri Light" w:hAnsi="Calibri Light" w:cs="Calibri Light"/>
          <w:noProof/>
          <w:lang w:val="en-US"/>
        </w:rPr>
        <w:t xml:space="preserve"> </w:t>
      </w:r>
      <w:r w:rsidRPr="00135B51">
        <w:rPr>
          <w:rFonts w:ascii="Calibri Light" w:hAnsi="Calibri Light" w:cs="Calibri Light"/>
          <w:i/>
          <w:noProof/>
          <w:lang w:val="en-US"/>
        </w:rPr>
        <w:t>Antimicrob Agents Chemother</w:t>
      </w:r>
      <w:r w:rsidRPr="00AB2E46">
        <w:rPr>
          <w:rFonts w:ascii="Calibri Light" w:hAnsi="Calibri Light" w:cs="Calibri Light"/>
          <w:noProof/>
          <w:lang w:val="en-US"/>
        </w:rPr>
        <w:t xml:space="preserve"> </w:t>
      </w:r>
      <w:r w:rsidRPr="00135B51">
        <w:rPr>
          <w:rFonts w:ascii="Calibri Light" w:hAnsi="Calibri Light" w:cs="Calibri Light"/>
          <w:b/>
          <w:noProof/>
          <w:lang w:val="en-US"/>
        </w:rPr>
        <w:t>60</w:t>
      </w:r>
      <w:r w:rsidRPr="00AB2E46">
        <w:rPr>
          <w:rFonts w:ascii="Calibri Light" w:hAnsi="Calibri Light" w:cs="Calibri Light"/>
          <w:noProof/>
          <w:lang w:val="en-US"/>
        </w:rPr>
        <w:t>:3170–3173</w:t>
      </w:r>
    </w:p>
    <w:p w14:paraId="5DD2A949"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16. </w:t>
      </w:r>
      <w:r w:rsidRPr="00F10449">
        <w:rPr>
          <w:rFonts w:ascii="Calibri Light" w:hAnsi="Calibri Light" w:cs="Calibri Light"/>
          <w:noProof/>
          <w:lang w:val="en-US"/>
        </w:rPr>
        <w:tab/>
      </w:r>
      <w:r w:rsidRPr="00AB2E46">
        <w:rPr>
          <w:rFonts w:ascii="Calibri Light" w:hAnsi="Calibri Light" w:cs="Calibri Light"/>
          <w:noProof/>
          <w:lang w:val="en-US"/>
        </w:rPr>
        <w:t>Paterson DL, Bonomo RA. 2005. Extended-Spectrum</w:t>
      </w:r>
      <w:r>
        <w:rPr>
          <w:rFonts w:ascii="Calibri Light" w:hAnsi="Calibri Light" w:cs="Calibri Light"/>
          <w:noProof/>
          <w:lang w:val="en-US"/>
        </w:rPr>
        <w:t>-Beta</w:t>
      </w:r>
      <w:r w:rsidRPr="00AB2E46">
        <w:rPr>
          <w:rFonts w:ascii="Calibri Light" w:hAnsi="Calibri Light" w:cs="Calibri Light"/>
          <w:noProof/>
          <w:lang w:val="en-US"/>
        </w:rPr>
        <w:t>-Lactamases: a Clinical Update</w:t>
      </w:r>
      <w:r>
        <w:rPr>
          <w:rFonts w:ascii="Calibri Light" w:hAnsi="Calibri Light" w:cs="Calibri Light"/>
          <w:noProof/>
          <w:lang w:val="en-US"/>
        </w:rPr>
        <w:t xml:space="preserve">. </w:t>
      </w:r>
      <w:r w:rsidRPr="00135B51">
        <w:rPr>
          <w:rFonts w:ascii="Calibri Light" w:hAnsi="Calibri Light" w:cs="Calibri Light"/>
          <w:i/>
          <w:noProof/>
          <w:lang w:val="en-US"/>
        </w:rPr>
        <w:t>Clin Microbiol Rev</w:t>
      </w:r>
      <w:r w:rsidRPr="00AB2E46">
        <w:rPr>
          <w:rFonts w:ascii="Calibri Light" w:hAnsi="Calibri Light" w:cs="Calibri Light"/>
          <w:noProof/>
          <w:lang w:val="en-US"/>
        </w:rPr>
        <w:t xml:space="preserve"> </w:t>
      </w:r>
      <w:r w:rsidRPr="00135B51">
        <w:rPr>
          <w:rFonts w:ascii="Calibri Light" w:hAnsi="Calibri Light" w:cs="Calibri Light"/>
          <w:b/>
          <w:noProof/>
          <w:lang w:val="en-US"/>
        </w:rPr>
        <w:t>18</w:t>
      </w:r>
      <w:r w:rsidRPr="00AB2E46">
        <w:rPr>
          <w:rFonts w:ascii="Calibri Light" w:hAnsi="Calibri Light" w:cs="Calibri Light"/>
          <w:noProof/>
          <w:lang w:val="en-US"/>
        </w:rPr>
        <w:t>:657–686</w:t>
      </w:r>
    </w:p>
    <w:p w14:paraId="75B54D8D"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17. </w:t>
      </w:r>
      <w:r w:rsidRPr="00F10449">
        <w:rPr>
          <w:rFonts w:ascii="Calibri Light" w:hAnsi="Calibri Light" w:cs="Calibri Light"/>
          <w:noProof/>
          <w:lang w:val="en-US"/>
        </w:rPr>
        <w:tab/>
      </w:r>
      <w:r>
        <w:rPr>
          <w:rFonts w:ascii="Calibri Light" w:hAnsi="Calibri Light" w:cs="Calibri Light"/>
          <w:noProof/>
          <w:lang w:val="en-US"/>
        </w:rPr>
        <w:t>Bulitta JB, Hope W, Eakin AE, Guina T, Tam VH, Louie A, Drusano GL, Hoover JL. In press. Generating robust and informative nonclinical</w:t>
      </w:r>
      <w:r w:rsidRPr="00671210">
        <w:rPr>
          <w:rFonts w:ascii="Calibri Light" w:hAnsi="Calibri Light" w:cs="Calibri Light"/>
          <w:i/>
          <w:noProof/>
          <w:lang w:val="en-US"/>
        </w:rPr>
        <w:t xml:space="preserve"> in vitro</w:t>
      </w:r>
      <w:r>
        <w:rPr>
          <w:rFonts w:ascii="Calibri Light" w:hAnsi="Calibri Light" w:cs="Calibri Light"/>
          <w:noProof/>
          <w:lang w:val="en-US"/>
        </w:rPr>
        <w:t xml:space="preserve"> and </w:t>
      </w:r>
      <w:r w:rsidRPr="00671210">
        <w:rPr>
          <w:rFonts w:ascii="Calibri Light" w:hAnsi="Calibri Light" w:cs="Calibri Light"/>
          <w:i/>
          <w:noProof/>
          <w:lang w:val="en-US"/>
        </w:rPr>
        <w:t>in vivo b</w:t>
      </w:r>
      <w:r>
        <w:rPr>
          <w:rFonts w:ascii="Calibri Light" w:hAnsi="Calibri Light" w:cs="Calibri Light"/>
          <w:noProof/>
          <w:lang w:val="en-US"/>
        </w:rPr>
        <w:t xml:space="preserve">acterial infection model efficacy data to support translation to humans. </w:t>
      </w:r>
      <w:r w:rsidRPr="00671210">
        <w:rPr>
          <w:rFonts w:ascii="Calibri Light" w:hAnsi="Calibri Light" w:cs="Calibri Light"/>
          <w:i/>
          <w:noProof/>
          <w:lang w:val="en-US"/>
        </w:rPr>
        <w:t>Antimicrob Agents Chemother</w:t>
      </w:r>
      <w:r>
        <w:rPr>
          <w:rFonts w:ascii="Calibri Light" w:hAnsi="Calibri Light" w:cs="Calibri Light"/>
          <w:noProof/>
          <w:lang w:val="en-US"/>
        </w:rPr>
        <w:t xml:space="preserve"> In press</w:t>
      </w:r>
    </w:p>
    <w:p w14:paraId="476D19FA"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18. </w:t>
      </w:r>
      <w:r w:rsidRPr="00F10449">
        <w:rPr>
          <w:rFonts w:ascii="Calibri Light" w:hAnsi="Calibri Light" w:cs="Calibri Light"/>
          <w:noProof/>
          <w:lang w:val="en-US"/>
        </w:rPr>
        <w:tab/>
      </w:r>
      <w:r w:rsidRPr="00AB2E46">
        <w:rPr>
          <w:rFonts w:ascii="Calibri Light" w:hAnsi="Calibri Light" w:cs="Calibri Light"/>
          <w:noProof/>
          <w:lang w:val="en-US"/>
        </w:rPr>
        <w:t xml:space="preserve">Danhof M, de Lange ECM, Della Pasqua OE, Ploeger BA, Voskuyl RA. 2008. Mechanism-based pharmacokinetic-pharmacodynamic (PK-PD) modeling in translational drug research. </w:t>
      </w:r>
      <w:r w:rsidRPr="00135B51">
        <w:rPr>
          <w:rFonts w:ascii="Calibri Light" w:hAnsi="Calibri Light" w:cs="Calibri Light"/>
          <w:i/>
          <w:noProof/>
          <w:lang w:val="en-US"/>
        </w:rPr>
        <w:t>Trends Pharmacol Sci</w:t>
      </w:r>
      <w:r w:rsidRPr="00AB2E46">
        <w:rPr>
          <w:rFonts w:ascii="Calibri Light" w:hAnsi="Calibri Light" w:cs="Calibri Light"/>
          <w:noProof/>
          <w:lang w:val="en-US"/>
        </w:rPr>
        <w:t xml:space="preserve"> </w:t>
      </w:r>
      <w:r w:rsidRPr="00135B51">
        <w:rPr>
          <w:rFonts w:ascii="Calibri Light" w:hAnsi="Calibri Light" w:cs="Calibri Light"/>
          <w:b/>
          <w:noProof/>
          <w:lang w:val="en-US"/>
        </w:rPr>
        <w:t>29</w:t>
      </w:r>
      <w:r w:rsidRPr="00AB2E46">
        <w:rPr>
          <w:rFonts w:ascii="Calibri Light" w:hAnsi="Calibri Light" w:cs="Calibri Light"/>
          <w:noProof/>
          <w:lang w:val="en-US"/>
        </w:rPr>
        <w:t>:186–191.</w:t>
      </w:r>
    </w:p>
    <w:p w14:paraId="3F8A5A1F"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19. </w:t>
      </w:r>
      <w:r w:rsidRPr="00F10449">
        <w:rPr>
          <w:rFonts w:ascii="Calibri Light" w:hAnsi="Calibri Light" w:cs="Calibri Light"/>
          <w:noProof/>
          <w:lang w:val="en-US"/>
        </w:rPr>
        <w:tab/>
      </w:r>
      <w:r w:rsidRPr="00AB2E46">
        <w:rPr>
          <w:rFonts w:ascii="Calibri Light" w:hAnsi="Calibri Light" w:cs="Calibri Light"/>
          <w:noProof/>
          <w:lang w:val="en-US"/>
        </w:rPr>
        <w:t xml:space="preserve">Tuntland T, Ethell B, Kosaka T, Blasco F, Zang R, Jain M, Gould T, Hoffmaster K. 2014. Implementation of pharmacokinetic and pharmacodynamic strategies in early research phases of drug discovery and development at </w:t>
      </w:r>
      <w:r>
        <w:rPr>
          <w:rFonts w:ascii="Calibri Light" w:hAnsi="Calibri Light" w:cs="Calibri Light"/>
          <w:noProof/>
          <w:lang w:val="en-US"/>
        </w:rPr>
        <w:t>N</w:t>
      </w:r>
      <w:r w:rsidRPr="00AB2E46">
        <w:rPr>
          <w:rFonts w:ascii="Calibri Light" w:hAnsi="Calibri Light" w:cs="Calibri Light"/>
          <w:noProof/>
          <w:lang w:val="en-US"/>
        </w:rPr>
        <w:t xml:space="preserve">ovartis </w:t>
      </w:r>
      <w:r>
        <w:rPr>
          <w:rFonts w:ascii="Calibri Light" w:hAnsi="Calibri Light" w:cs="Calibri Light"/>
          <w:noProof/>
          <w:lang w:val="en-US"/>
        </w:rPr>
        <w:t>I</w:t>
      </w:r>
      <w:r w:rsidRPr="00AB2E46">
        <w:rPr>
          <w:rFonts w:ascii="Calibri Light" w:hAnsi="Calibri Light" w:cs="Calibri Light"/>
          <w:noProof/>
          <w:lang w:val="en-US"/>
        </w:rPr>
        <w:t xml:space="preserve">nstitute of </w:t>
      </w:r>
      <w:r>
        <w:rPr>
          <w:rFonts w:ascii="Calibri Light" w:hAnsi="Calibri Light" w:cs="Calibri Light"/>
          <w:noProof/>
          <w:lang w:val="en-US"/>
        </w:rPr>
        <w:t>B</w:t>
      </w:r>
      <w:r w:rsidRPr="00AB2E46">
        <w:rPr>
          <w:rFonts w:ascii="Calibri Light" w:hAnsi="Calibri Light" w:cs="Calibri Light"/>
          <w:noProof/>
          <w:lang w:val="en-US"/>
        </w:rPr>
        <w:t xml:space="preserve">iomedical </w:t>
      </w:r>
      <w:r>
        <w:rPr>
          <w:rFonts w:ascii="Calibri Light" w:hAnsi="Calibri Light" w:cs="Calibri Light"/>
          <w:noProof/>
          <w:lang w:val="en-US"/>
        </w:rPr>
        <w:t>R</w:t>
      </w:r>
      <w:r w:rsidRPr="00AB2E46">
        <w:rPr>
          <w:rFonts w:ascii="Calibri Light" w:hAnsi="Calibri Light" w:cs="Calibri Light"/>
          <w:noProof/>
          <w:lang w:val="en-US"/>
        </w:rPr>
        <w:t xml:space="preserve">esearch. </w:t>
      </w:r>
      <w:r w:rsidRPr="00135B51">
        <w:rPr>
          <w:rFonts w:ascii="Calibri Light" w:hAnsi="Calibri Light" w:cs="Calibri Light"/>
          <w:i/>
          <w:noProof/>
          <w:lang w:val="en-US"/>
        </w:rPr>
        <w:t>Front Pharmacol</w:t>
      </w:r>
      <w:r w:rsidRPr="00AB2E46">
        <w:rPr>
          <w:rFonts w:ascii="Calibri Light" w:hAnsi="Calibri Light" w:cs="Calibri Light"/>
          <w:noProof/>
          <w:lang w:val="en-US"/>
        </w:rPr>
        <w:t xml:space="preserve"> </w:t>
      </w:r>
      <w:r w:rsidRPr="00135B51">
        <w:rPr>
          <w:rFonts w:ascii="Calibri Light" w:hAnsi="Calibri Light" w:cs="Calibri Light"/>
          <w:b/>
          <w:noProof/>
          <w:lang w:val="en-US"/>
        </w:rPr>
        <w:t>5</w:t>
      </w:r>
      <w:r w:rsidRPr="00AB2E46">
        <w:rPr>
          <w:rFonts w:ascii="Calibri Light" w:hAnsi="Calibri Light" w:cs="Calibri Light"/>
          <w:noProof/>
          <w:lang w:val="en-US"/>
        </w:rPr>
        <w:t>:1–16.</w:t>
      </w:r>
    </w:p>
    <w:p w14:paraId="39B029FC"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20. </w:t>
      </w:r>
      <w:r w:rsidRPr="00F10449">
        <w:rPr>
          <w:rFonts w:ascii="Calibri Light" w:hAnsi="Calibri Light" w:cs="Calibri Light"/>
          <w:noProof/>
          <w:lang w:val="en-US"/>
        </w:rPr>
        <w:tab/>
      </w:r>
      <w:r w:rsidRPr="00AB2E46">
        <w:rPr>
          <w:rFonts w:ascii="Calibri Light" w:hAnsi="Calibri Light" w:cs="Calibri Light"/>
          <w:noProof/>
          <w:lang w:val="en-US"/>
        </w:rPr>
        <w:t xml:space="preserve">Drusano GL. 2003. Prevention of Resistance: A Goal for Dose Selection for Antimicrobial Agents. </w:t>
      </w:r>
      <w:r w:rsidRPr="00135B51">
        <w:rPr>
          <w:rFonts w:ascii="Calibri Light" w:hAnsi="Calibri Light" w:cs="Calibri Light"/>
          <w:i/>
          <w:noProof/>
          <w:lang w:val="en-US"/>
        </w:rPr>
        <w:t>Clin Infect Dis</w:t>
      </w:r>
      <w:r w:rsidRPr="00AB2E46">
        <w:rPr>
          <w:rFonts w:ascii="Calibri Light" w:hAnsi="Calibri Light" w:cs="Calibri Light"/>
          <w:noProof/>
          <w:lang w:val="en-US"/>
        </w:rPr>
        <w:t xml:space="preserve"> </w:t>
      </w:r>
      <w:r w:rsidRPr="00135B51">
        <w:rPr>
          <w:rFonts w:ascii="Calibri Light" w:hAnsi="Calibri Light" w:cs="Calibri Light"/>
          <w:b/>
          <w:noProof/>
          <w:lang w:val="en-US"/>
        </w:rPr>
        <w:t>36</w:t>
      </w:r>
      <w:r w:rsidRPr="00AB2E46">
        <w:rPr>
          <w:rFonts w:ascii="Calibri Light" w:hAnsi="Calibri Light" w:cs="Calibri Light"/>
          <w:noProof/>
          <w:lang w:val="en-US"/>
        </w:rPr>
        <w:t>:S42–S50.</w:t>
      </w:r>
    </w:p>
    <w:p w14:paraId="36477067"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21. </w:t>
      </w:r>
      <w:r w:rsidRPr="00F10449">
        <w:rPr>
          <w:rFonts w:ascii="Calibri Light" w:hAnsi="Calibri Light" w:cs="Calibri Light"/>
          <w:noProof/>
          <w:lang w:val="en-US"/>
        </w:rPr>
        <w:tab/>
      </w:r>
      <w:r w:rsidRPr="00AB2E46">
        <w:rPr>
          <w:rFonts w:ascii="Calibri Light" w:hAnsi="Calibri Light" w:cs="Calibri Light"/>
          <w:noProof/>
          <w:lang w:val="en-US"/>
        </w:rPr>
        <w:t xml:space="preserve">Ambrose PG, Bhavnani SM, Rubino CM, Louie A, Gumbo T, Forrest A, Drusano GL. 2007. Antimicrobial Resistance: Pharmacokinetics‐Pharmacodynamics of Antimicrobial Therapy: It’s Not Just for Mice Anymore. </w:t>
      </w:r>
      <w:r w:rsidRPr="00135B51">
        <w:rPr>
          <w:rFonts w:ascii="Calibri Light" w:hAnsi="Calibri Light" w:cs="Calibri Light"/>
          <w:i/>
          <w:noProof/>
          <w:lang w:val="en-US"/>
        </w:rPr>
        <w:t>Clin Infect Dis</w:t>
      </w:r>
      <w:r w:rsidRPr="00AB2E46">
        <w:rPr>
          <w:rFonts w:ascii="Calibri Light" w:hAnsi="Calibri Light" w:cs="Calibri Light"/>
          <w:noProof/>
          <w:lang w:val="en-US"/>
        </w:rPr>
        <w:t xml:space="preserve"> </w:t>
      </w:r>
      <w:r w:rsidRPr="00135B51">
        <w:rPr>
          <w:rFonts w:ascii="Calibri Light" w:hAnsi="Calibri Light" w:cs="Calibri Light"/>
          <w:b/>
          <w:noProof/>
          <w:lang w:val="en-US"/>
        </w:rPr>
        <w:t>44</w:t>
      </w:r>
      <w:r w:rsidRPr="00AB2E46">
        <w:rPr>
          <w:rFonts w:ascii="Calibri Light" w:hAnsi="Calibri Light" w:cs="Calibri Light"/>
          <w:noProof/>
          <w:lang w:val="en-US"/>
        </w:rPr>
        <w:t>:79–86.</w:t>
      </w:r>
      <w:r w:rsidRPr="00F10449">
        <w:rPr>
          <w:rFonts w:ascii="Calibri Light" w:hAnsi="Calibri Light" w:cs="Calibri Light"/>
          <w:noProof/>
          <w:lang w:val="en-US"/>
        </w:rPr>
        <w:t>.</w:t>
      </w:r>
    </w:p>
    <w:p w14:paraId="6DB000AC"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22. </w:t>
      </w:r>
      <w:r w:rsidRPr="00F10449">
        <w:rPr>
          <w:rFonts w:ascii="Calibri Light" w:hAnsi="Calibri Light" w:cs="Calibri Light"/>
          <w:noProof/>
          <w:lang w:val="en-US"/>
        </w:rPr>
        <w:tab/>
      </w:r>
      <w:r w:rsidRPr="00AB2E46">
        <w:rPr>
          <w:rFonts w:ascii="Calibri Light" w:hAnsi="Calibri Light" w:cs="Calibri Light"/>
          <w:noProof/>
          <w:lang w:val="en-US"/>
        </w:rPr>
        <w:t xml:space="preserve">Nicolau DP. 2003. Optimizing outcomes with antimicrobial therapy through pharmacodynamic profiling. </w:t>
      </w:r>
      <w:r w:rsidRPr="00135B51">
        <w:rPr>
          <w:rFonts w:ascii="Calibri Light" w:hAnsi="Calibri Light" w:cs="Calibri Light"/>
          <w:i/>
          <w:noProof/>
          <w:lang w:val="en-US"/>
        </w:rPr>
        <w:t>J Infect Chemother</w:t>
      </w:r>
      <w:r w:rsidRPr="00AB2E46">
        <w:rPr>
          <w:rFonts w:ascii="Calibri Light" w:hAnsi="Calibri Light" w:cs="Calibri Light"/>
          <w:noProof/>
          <w:lang w:val="en-US"/>
        </w:rPr>
        <w:t xml:space="preserve"> </w:t>
      </w:r>
      <w:r w:rsidRPr="00135B51">
        <w:rPr>
          <w:rFonts w:ascii="Calibri Light" w:hAnsi="Calibri Light" w:cs="Calibri Light"/>
          <w:b/>
          <w:noProof/>
          <w:lang w:val="en-US"/>
        </w:rPr>
        <w:t>9</w:t>
      </w:r>
      <w:r w:rsidRPr="00AB2E46">
        <w:rPr>
          <w:rFonts w:ascii="Calibri Light" w:hAnsi="Calibri Light" w:cs="Calibri Light"/>
          <w:noProof/>
          <w:lang w:val="en-US"/>
        </w:rPr>
        <w:t>:292–296.</w:t>
      </w:r>
    </w:p>
    <w:p w14:paraId="1416BDD9"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23. </w:t>
      </w:r>
      <w:r w:rsidRPr="00F10449">
        <w:rPr>
          <w:rFonts w:ascii="Calibri Light" w:hAnsi="Calibri Light" w:cs="Calibri Light"/>
          <w:noProof/>
          <w:lang w:val="en-US"/>
        </w:rPr>
        <w:tab/>
      </w:r>
      <w:r w:rsidRPr="00AB2E46">
        <w:rPr>
          <w:rFonts w:ascii="Calibri Light" w:hAnsi="Calibri Light" w:cs="Calibri Light"/>
          <w:noProof/>
          <w:lang w:val="en-US"/>
        </w:rPr>
        <w:t xml:space="preserve">Craig WA. 1998. State‐of‐the‐Art Clinical Article: Pharmacokinetic/Pharmacodynamic Parameters: Rationale for Antibacterial Dosing of Mice and Men. </w:t>
      </w:r>
      <w:r w:rsidRPr="00135B51">
        <w:rPr>
          <w:rFonts w:ascii="Calibri Light" w:hAnsi="Calibri Light" w:cs="Calibri Light"/>
          <w:i/>
          <w:noProof/>
          <w:lang w:val="en-US"/>
        </w:rPr>
        <w:t>Clin Infect Dis</w:t>
      </w:r>
      <w:r w:rsidRPr="00AB2E46">
        <w:rPr>
          <w:rFonts w:ascii="Calibri Light" w:hAnsi="Calibri Light" w:cs="Calibri Light"/>
          <w:noProof/>
          <w:lang w:val="en-US"/>
        </w:rPr>
        <w:t xml:space="preserve"> </w:t>
      </w:r>
      <w:r w:rsidRPr="00135B51">
        <w:rPr>
          <w:rFonts w:ascii="Calibri Light" w:hAnsi="Calibri Light" w:cs="Calibri Light"/>
          <w:b/>
          <w:noProof/>
          <w:lang w:val="en-US"/>
        </w:rPr>
        <w:t>26</w:t>
      </w:r>
      <w:r w:rsidRPr="00AB2E46">
        <w:rPr>
          <w:rFonts w:ascii="Calibri Light" w:hAnsi="Calibri Light" w:cs="Calibri Light"/>
          <w:noProof/>
          <w:lang w:val="en-US"/>
        </w:rPr>
        <w:t>:1–10.</w:t>
      </w:r>
    </w:p>
    <w:p w14:paraId="477DEEF2"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24. </w:t>
      </w:r>
      <w:r w:rsidRPr="00F10449">
        <w:rPr>
          <w:rFonts w:ascii="Calibri Light" w:hAnsi="Calibri Light" w:cs="Calibri Light"/>
          <w:noProof/>
          <w:lang w:val="en-US"/>
        </w:rPr>
        <w:tab/>
      </w:r>
      <w:r w:rsidRPr="00AB2E46">
        <w:rPr>
          <w:rFonts w:ascii="Calibri Light" w:hAnsi="Calibri Light" w:cs="Calibri Light"/>
          <w:noProof/>
          <w:lang w:val="en-US"/>
        </w:rPr>
        <w:t>Hope WW, Mc</w:t>
      </w:r>
      <w:r>
        <w:rPr>
          <w:rFonts w:ascii="Calibri Light" w:hAnsi="Calibri Light" w:cs="Calibri Light"/>
          <w:noProof/>
          <w:lang w:val="en-US"/>
        </w:rPr>
        <w:t>E</w:t>
      </w:r>
      <w:r w:rsidRPr="00AB2E46">
        <w:rPr>
          <w:rFonts w:ascii="Calibri Light" w:hAnsi="Calibri Light" w:cs="Calibri Light"/>
          <w:noProof/>
          <w:lang w:val="en-US"/>
        </w:rPr>
        <w:t xml:space="preserve">ntee L, Livermore J, Whalley S, Johnson A, Farrington N, Kolamunnage-dona R, Schwartz J, Kennedy A, Law D, Birch M, Rex H. 2017. crossm Pharmacodynamics of the Orotomides against </w:t>
      </w:r>
      <w:r w:rsidRPr="00B90EBC">
        <w:rPr>
          <w:rFonts w:ascii="Calibri Light" w:hAnsi="Calibri Light" w:cs="Calibri Light"/>
          <w:i/>
          <w:noProof/>
          <w:lang w:val="en-US"/>
        </w:rPr>
        <w:t>Aspergillus fumigatus</w:t>
      </w:r>
      <w:r>
        <w:rPr>
          <w:rFonts w:ascii="Calibri Light" w:hAnsi="Calibri Light" w:cs="Calibri Light"/>
          <w:noProof/>
          <w:lang w:val="en-US"/>
        </w:rPr>
        <w:t>:</w:t>
      </w:r>
      <w:r w:rsidRPr="00AB2E46">
        <w:rPr>
          <w:rFonts w:ascii="Calibri Light" w:hAnsi="Calibri Light" w:cs="Calibri Light"/>
          <w:noProof/>
          <w:lang w:val="en-US"/>
        </w:rPr>
        <w:t xml:space="preserve"> New Opportunities for Treatment of Multidrug-Resistant Fungal Disease</w:t>
      </w:r>
      <w:r>
        <w:rPr>
          <w:rFonts w:ascii="Calibri Light" w:hAnsi="Calibri Light" w:cs="Calibri Light"/>
          <w:noProof/>
          <w:lang w:val="en-US"/>
        </w:rPr>
        <w:t>.</w:t>
      </w:r>
      <w:r w:rsidRPr="00AB2E46">
        <w:rPr>
          <w:rFonts w:ascii="Calibri Light" w:hAnsi="Calibri Light" w:cs="Calibri Light"/>
          <w:noProof/>
          <w:lang w:val="en-US"/>
        </w:rPr>
        <w:t xml:space="preserve"> </w:t>
      </w:r>
      <w:r w:rsidRPr="00793747">
        <w:rPr>
          <w:rFonts w:ascii="Calibri Light" w:hAnsi="Calibri Light" w:cs="Calibri Light"/>
          <w:i/>
          <w:noProof/>
          <w:lang w:val="en-US"/>
        </w:rPr>
        <w:t>mBio</w:t>
      </w:r>
      <w:r>
        <w:rPr>
          <w:rFonts w:ascii="Calibri Light" w:hAnsi="Calibri Light" w:cs="Calibri Light"/>
          <w:noProof/>
          <w:lang w:val="en-US"/>
        </w:rPr>
        <w:t xml:space="preserve"> </w:t>
      </w:r>
      <w:r w:rsidRPr="00793747">
        <w:rPr>
          <w:rFonts w:ascii="Calibri Light" w:hAnsi="Calibri Light" w:cs="Calibri Light"/>
          <w:b/>
          <w:noProof/>
          <w:lang w:val="en-US"/>
        </w:rPr>
        <w:t>8</w:t>
      </w:r>
      <w:r>
        <w:rPr>
          <w:rFonts w:ascii="Calibri Light" w:hAnsi="Calibri Light" w:cs="Calibri Light"/>
          <w:noProof/>
          <w:lang w:val="en-US"/>
        </w:rPr>
        <w:t>:e01157-17</w:t>
      </w:r>
      <w:r w:rsidRPr="00AB2E46">
        <w:rPr>
          <w:rFonts w:ascii="Calibri Light" w:hAnsi="Calibri Light" w:cs="Calibri Light"/>
          <w:noProof/>
          <w:lang w:val="en-US"/>
        </w:rPr>
        <w:t>.</w:t>
      </w:r>
    </w:p>
    <w:p w14:paraId="45448DD5"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25. </w:t>
      </w:r>
      <w:r w:rsidRPr="00F10449">
        <w:rPr>
          <w:rFonts w:ascii="Calibri Light" w:hAnsi="Calibri Light" w:cs="Calibri Light"/>
          <w:noProof/>
          <w:lang w:val="en-US"/>
        </w:rPr>
        <w:tab/>
      </w:r>
      <w:r w:rsidRPr="00AB2E46">
        <w:rPr>
          <w:rFonts w:ascii="Calibri Light" w:hAnsi="Calibri Light" w:cs="Calibri Light"/>
          <w:noProof/>
          <w:lang w:val="en-US"/>
        </w:rPr>
        <w:t xml:space="preserve">Lakota EA, Bader JC, Bhavnani </w:t>
      </w:r>
      <w:r>
        <w:rPr>
          <w:rFonts w:ascii="Calibri Light" w:hAnsi="Calibri Light" w:cs="Calibri Light"/>
          <w:noProof/>
          <w:lang w:val="en-US"/>
        </w:rPr>
        <w:t>S</w:t>
      </w:r>
      <w:r w:rsidRPr="00AB2E46">
        <w:rPr>
          <w:rFonts w:ascii="Calibri Light" w:hAnsi="Calibri Light" w:cs="Calibri Light"/>
          <w:noProof/>
          <w:lang w:val="en-US"/>
        </w:rPr>
        <w:t>M, Andes DR, Ambrose PG. 2017.</w:t>
      </w:r>
      <w:r>
        <w:rPr>
          <w:rFonts w:ascii="Calibri Light" w:hAnsi="Calibri Light" w:cs="Calibri Light"/>
          <w:noProof/>
          <w:lang w:val="en-US"/>
        </w:rPr>
        <w:t xml:space="preserve"> Traditional PK-PD Indices for Efficacy - Can We Do Better? Abstr ID Week 2017, Session 77, Poster 831</w:t>
      </w:r>
    </w:p>
    <w:p w14:paraId="72020F00"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26. </w:t>
      </w:r>
      <w:r w:rsidRPr="00F10449">
        <w:rPr>
          <w:rFonts w:ascii="Calibri Light" w:hAnsi="Calibri Light" w:cs="Calibri Light"/>
          <w:noProof/>
          <w:lang w:val="en-US"/>
        </w:rPr>
        <w:tab/>
      </w:r>
      <w:r>
        <w:rPr>
          <w:rFonts w:ascii="Calibri Light" w:hAnsi="Calibri Light" w:cs="Calibri Light"/>
          <w:noProof/>
          <w:lang w:val="en-US"/>
        </w:rPr>
        <w:t>Kuti JL</w:t>
      </w:r>
      <w:r w:rsidRPr="00AB2E46">
        <w:rPr>
          <w:rFonts w:ascii="Calibri Light" w:hAnsi="Calibri Light" w:cs="Calibri Light"/>
          <w:noProof/>
          <w:lang w:val="en-US"/>
        </w:rPr>
        <w:t xml:space="preserve">. 2016. </w:t>
      </w:r>
      <w:r>
        <w:rPr>
          <w:rFonts w:ascii="Calibri Light" w:hAnsi="Calibri Light" w:cs="Calibri Light"/>
          <w:noProof/>
          <w:lang w:val="en-US"/>
        </w:rPr>
        <w:t>Optimizing Antimicrobial Pharmacodynamics: A Guide for Your Stewardship Program</w:t>
      </w:r>
      <w:r w:rsidRPr="00AB2E46">
        <w:rPr>
          <w:rFonts w:ascii="Calibri Light" w:hAnsi="Calibri Light" w:cs="Calibri Light"/>
          <w:noProof/>
          <w:lang w:val="en-US"/>
        </w:rPr>
        <w:t xml:space="preserve">. </w:t>
      </w:r>
      <w:r w:rsidRPr="00A05B33">
        <w:rPr>
          <w:rFonts w:ascii="Calibri Light" w:hAnsi="Calibri Light" w:cs="Calibri Light"/>
          <w:i/>
          <w:noProof/>
          <w:lang w:val="en-US"/>
        </w:rPr>
        <w:t>Rev Clínica Las Condes</w:t>
      </w:r>
      <w:r w:rsidRPr="00AB2E46">
        <w:rPr>
          <w:rFonts w:ascii="Calibri Light" w:hAnsi="Calibri Light" w:cs="Calibri Light"/>
          <w:noProof/>
          <w:lang w:val="en-US"/>
        </w:rPr>
        <w:t xml:space="preserve"> </w:t>
      </w:r>
      <w:r w:rsidRPr="00A05B33">
        <w:rPr>
          <w:rFonts w:ascii="Calibri Light" w:hAnsi="Calibri Light" w:cs="Calibri Light"/>
          <w:b/>
          <w:noProof/>
          <w:lang w:val="en-US"/>
        </w:rPr>
        <w:t>27</w:t>
      </w:r>
      <w:r w:rsidRPr="00AB2E46">
        <w:rPr>
          <w:rFonts w:ascii="Calibri Light" w:hAnsi="Calibri Light" w:cs="Calibri Light"/>
          <w:noProof/>
          <w:lang w:val="en-US"/>
        </w:rPr>
        <w:t>:615–624</w:t>
      </w:r>
      <w:r w:rsidRPr="00F10449">
        <w:rPr>
          <w:rFonts w:ascii="Calibri Light" w:hAnsi="Calibri Light" w:cs="Calibri Light"/>
          <w:noProof/>
          <w:lang w:val="en-US"/>
        </w:rPr>
        <w:t>.</w:t>
      </w:r>
    </w:p>
    <w:p w14:paraId="54065F0C"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27. </w:t>
      </w:r>
      <w:r w:rsidRPr="00F10449">
        <w:rPr>
          <w:rFonts w:ascii="Calibri Light" w:hAnsi="Calibri Light" w:cs="Calibri Light"/>
          <w:noProof/>
          <w:lang w:val="en-US"/>
        </w:rPr>
        <w:tab/>
      </w:r>
      <w:r w:rsidRPr="00AB2E46">
        <w:rPr>
          <w:rFonts w:ascii="Calibri Light" w:hAnsi="Calibri Light" w:cs="Calibri Light"/>
          <w:noProof/>
          <w:lang w:val="en-US"/>
        </w:rPr>
        <w:t xml:space="preserve">Zhao M, Lepak AJ, Andes DR. 2016. Animal models in the pharmacokinetic/pharmacodynamic evaluation of antimicrobial agents. </w:t>
      </w:r>
      <w:r w:rsidRPr="00A05B33">
        <w:rPr>
          <w:rFonts w:ascii="Calibri Light" w:hAnsi="Calibri Light" w:cs="Calibri Light"/>
          <w:i/>
          <w:noProof/>
          <w:lang w:val="en-US"/>
        </w:rPr>
        <w:t>Bioorganic Med Chem</w:t>
      </w:r>
      <w:r w:rsidRPr="00AB2E46">
        <w:rPr>
          <w:rFonts w:ascii="Calibri Light" w:hAnsi="Calibri Light" w:cs="Calibri Light"/>
          <w:noProof/>
          <w:lang w:val="en-US"/>
        </w:rPr>
        <w:t xml:space="preserve"> </w:t>
      </w:r>
      <w:r w:rsidRPr="00A05B33">
        <w:rPr>
          <w:rFonts w:ascii="Calibri Light" w:hAnsi="Calibri Light" w:cs="Calibri Light"/>
          <w:b/>
          <w:noProof/>
          <w:lang w:val="en-US"/>
        </w:rPr>
        <w:t>24</w:t>
      </w:r>
      <w:r w:rsidRPr="00AB2E46">
        <w:rPr>
          <w:rFonts w:ascii="Calibri Light" w:hAnsi="Calibri Light" w:cs="Calibri Light"/>
          <w:noProof/>
          <w:lang w:val="en-US"/>
        </w:rPr>
        <w:t>:6390–6400.</w:t>
      </w:r>
    </w:p>
    <w:p w14:paraId="13792681"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28. </w:t>
      </w:r>
      <w:r w:rsidRPr="00F10449">
        <w:rPr>
          <w:rFonts w:ascii="Calibri Light" w:hAnsi="Calibri Light" w:cs="Calibri Light"/>
          <w:noProof/>
          <w:lang w:val="en-US"/>
        </w:rPr>
        <w:tab/>
      </w:r>
      <w:r w:rsidRPr="00AB2E46">
        <w:rPr>
          <w:rFonts w:ascii="Calibri Light" w:hAnsi="Calibri Light" w:cs="Calibri Light"/>
          <w:noProof/>
          <w:lang w:val="en-US"/>
        </w:rPr>
        <w:t xml:space="preserve">Wright DFB, Winter HR, Duffull SB. 2011. Understanding the time course of pharmacological effect: A PKPD approach. </w:t>
      </w:r>
      <w:r w:rsidRPr="00A05B33">
        <w:rPr>
          <w:rFonts w:ascii="Calibri Light" w:hAnsi="Calibri Light" w:cs="Calibri Light"/>
          <w:i/>
          <w:noProof/>
          <w:lang w:val="en-US"/>
        </w:rPr>
        <w:t>Br J Clin Pharmacol</w:t>
      </w:r>
      <w:r w:rsidRPr="00AB2E46">
        <w:rPr>
          <w:rFonts w:ascii="Calibri Light" w:hAnsi="Calibri Light" w:cs="Calibri Light"/>
          <w:noProof/>
          <w:lang w:val="en-US"/>
        </w:rPr>
        <w:t xml:space="preserve"> </w:t>
      </w:r>
      <w:r w:rsidRPr="00A05B33">
        <w:rPr>
          <w:rFonts w:ascii="Calibri Light" w:hAnsi="Calibri Light" w:cs="Calibri Light"/>
          <w:b/>
          <w:noProof/>
          <w:lang w:val="en-US"/>
        </w:rPr>
        <w:t>71</w:t>
      </w:r>
      <w:r w:rsidRPr="00AB2E46">
        <w:rPr>
          <w:rFonts w:ascii="Calibri Light" w:hAnsi="Calibri Light" w:cs="Calibri Light"/>
          <w:noProof/>
          <w:lang w:val="en-US"/>
        </w:rPr>
        <w:t>:815–823.</w:t>
      </w:r>
    </w:p>
    <w:p w14:paraId="29C6DFDB"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29. </w:t>
      </w:r>
      <w:r w:rsidRPr="00F10449">
        <w:rPr>
          <w:rFonts w:ascii="Calibri Light" w:hAnsi="Calibri Light" w:cs="Calibri Light"/>
          <w:noProof/>
          <w:lang w:val="en-US"/>
        </w:rPr>
        <w:tab/>
      </w:r>
      <w:r w:rsidRPr="00AB2E46">
        <w:rPr>
          <w:rFonts w:ascii="Calibri Light" w:hAnsi="Calibri Light" w:cs="Calibri Light"/>
          <w:noProof/>
          <w:lang w:val="en-US"/>
        </w:rPr>
        <w:t xml:space="preserve">Onufrak NJ, Forrest A, Gonzalez D. 2016. Pharmacokinetic and Pharmacodynamic Principles of Anti-infective Dosing. </w:t>
      </w:r>
      <w:r w:rsidRPr="00A05B33">
        <w:rPr>
          <w:rFonts w:ascii="Calibri Light" w:hAnsi="Calibri Light" w:cs="Calibri Light"/>
          <w:i/>
          <w:noProof/>
          <w:lang w:val="en-US"/>
        </w:rPr>
        <w:t>Clin Ther</w:t>
      </w:r>
      <w:r w:rsidRPr="00AB2E46">
        <w:rPr>
          <w:rFonts w:ascii="Calibri Light" w:hAnsi="Calibri Light" w:cs="Calibri Light"/>
          <w:noProof/>
          <w:lang w:val="en-US"/>
        </w:rPr>
        <w:t xml:space="preserve"> </w:t>
      </w:r>
      <w:r w:rsidRPr="00A05B33">
        <w:rPr>
          <w:rFonts w:ascii="Calibri Light" w:hAnsi="Calibri Light" w:cs="Calibri Light"/>
          <w:b/>
          <w:noProof/>
          <w:lang w:val="en-US"/>
        </w:rPr>
        <w:t>38</w:t>
      </w:r>
      <w:r w:rsidRPr="00AB2E46">
        <w:rPr>
          <w:rFonts w:ascii="Calibri Light" w:hAnsi="Calibri Light" w:cs="Calibri Light"/>
          <w:noProof/>
          <w:lang w:val="en-US"/>
        </w:rPr>
        <w:t>:1930–1947</w:t>
      </w:r>
      <w:r w:rsidRPr="00F10449">
        <w:rPr>
          <w:rFonts w:ascii="Calibri Light" w:hAnsi="Calibri Light" w:cs="Calibri Light"/>
          <w:noProof/>
          <w:lang w:val="en-US"/>
        </w:rPr>
        <w:t>.</w:t>
      </w:r>
    </w:p>
    <w:p w14:paraId="4D86A8DA"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30. </w:t>
      </w:r>
      <w:r w:rsidRPr="00F10449">
        <w:rPr>
          <w:rFonts w:ascii="Calibri Light" w:hAnsi="Calibri Light" w:cs="Calibri Light"/>
          <w:noProof/>
          <w:lang w:val="en-US"/>
        </w:rPr>
        <w:tab/>
      </w:r>
      <w:r w:rsidRPr="00AB2E46">
        <w:rPr>
          <w:rFonts w:ascii="Calibri Light" w:hAnsi="Calibri Light" w:cs="Calibri Light"/>
          <w:noProof/>
          <w:lang w:val="en-US"/>
        </w:rPr>
        <w:t xml:space="preserve">Asín-Prieto E, Rodríguez-Gascón A, Isla A. 2015. Applications of the pharmacokinetic/pharmacodynamic (PK/PD) analysis of antimicrobial agents. </w:t>
      </w:r>
      <w:r w:rsidRPr="00A05B33">
        <w:rPr>
          <w:rFonts w:ascii="Calibri Light" w:hAnsi="Calibri Light" w:cs="Calibri Light"/>
          <w:i/>
          <w:noProof/>
          <w:lang w:val="en-US"/>
        </w:rPr>
        <w:t>J Infect Chemother</w:t>
      </w:r>
      <w:r w:rsidRPr="00AB2E46">
        <w:rPr>
          <w:rFonts w:ascii="Calibri Light" w:hAnsi="Calibri Light" w:cs="Calibri Light"/>
          <w:noProof/>
          <w:lang w:val="en-US"/>
        </w:rPr>
        <w:t xml:space="preserve"> </w:t>
      </w:r>
      <w:r w:rsidRPr="00A05B33">
        <w:rPr>
          <w:rFonts w:ascii="Calibri Light" w:hAnsi="Calibri Light" w:cs="Calibri Light"/>
          <w:b/>
          <w:noProof/>
          <w:lang w:val="en-US"/>
        </w:rPr>
        <w:t>21</w:t>
      </w:r>
      <w:r w:rsidRPr="00AB2E46">
        <w:rPr>
          <w:rFonts w:ascii="Calibri Light" w:hAnsi="Calibri Light" w:cs="Calibri Light"/>
          <w:noProof/>
          <w:lang w:val="en-US"/>
        </w:rPr>
        <w:t>:319–329</w:t>
      </w:r>
      <w:r w:rsidRPr="00F10449">
        <w:rPr>
          <w:rFonts w:ascii="Calibri Light" w:hAnsi="Calibri Light" w:cs="Calibri Light"/>
          <w:noProof/>
          <w:lang w:val="en-US"/>
        </w:rPr>
        <w:t>.</w:t>
      </w:r>
    </w:p>
    <w:p w14:paraId="42089A4C"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lastRenderedPageBreak/>
        <w:t xml:space="preserve">31. </w:t>
      </w:r>
      <w:r w:rsidRPr="00F10449">
        <w:rPr>
          <w:rFonts w:ascii="Calibri Light" w:hAnsi="Calibri Light" w:cs="Calibri Light"/>
          <w:noProof/>
          <w:lang w:val="en-US"/>
        </w:rPr>
        <w:tab/>
      </w:r>
      <w:r>
        <w:rPr>
          <w:rFonts w:ascii="Calibri Light" w:hAnsi="Calibri Light" w:cs="Calibri Light"/>
          <w:noProof/>
          <w:lang w:val="en-US"/>
        </w:rPr>
        <w:t>FDA. 2018. Center for Drug Evaluation and Research: Clinical Microbiology/Virology Review. Ref ID 4282373. FDA, Maryland, USA. Accessed 15</w:t>
      </w:r>
      <w:r w:rsidRPr="007D3FCB">
        <w:rPr>
          <w:rFonts w:ascii="Calibri Light" w:hAnsi="Calibri Light" w:cs="Calibri Light"/>
          <w:noProof/>
          <w:vertAlign w:val="superscript"/>
          <w:lang w:val="en-US"/>
        </w:rPr>
        <w:t>th</w:t>
      </w:r>
      <w:r>
        <w:rPr>
          <w:rFonts w:ascii="Calibri Light" w:hAnsi="Calibri Light" w:cs="Calibri Light"/>
          <w:noProof/>
          <w:lang w:val="en-US"/>
        </w:rPr>
        <w:t xml:space="preserve"> February 2019</w:t>
      </w:r>
    </w:p>
    <w:p w14:paraId="5F142D0D"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32. </w:t>
      </w:r>
      <w:r w:rsidRPr="00F10449">
        <w:rPr>
          <w:rFonts w:ascii="Calibri Light" w:hAnsi="Calibri Light" w:cs="Calibri Light"/>
          <w:noProof/>
          <w:lang w:val="en-US"/>
        </w:rPr>
        <w:tab/>
      </w:r>
      <w:r>
        <w:rPr>
          <w:rFonts w:ascii="Calibri Light" w:hAnsi="Calibri Light" w:cs="Calibri Light"/>
          <w:noProof/>
          <w:lang w:val="en-US"/>
        </w:rPr>
        <w:t>EMA. 2018. Vabomere assessment report. EMA/CHMP/700663/2018. EMA, London, UK. Accessed 15</w:t>
      </w:r>
      <w:r w:rsidRPr="006F25B6">
        <w:rPr>
          <w:rFonts w:ascii="Calibri Light" w:hAnsi="Calibri Light" w:cs="Calibri Light"/>
          <w:noProof/>
          <w:vertAlign w:val="superscript"/>
          <w:lang w:val="en-US"/>
        </w:rPr>
        <w:t>th</w:t>
      </w:r>
      <w:r>
        <w:rPr>
          <w:rFonts w:ascii="Calibri Light" w:hAnsi="Calibri Light" w:cs="Calibri Light"/>
          <w:noProof/>
          <w:lang w:val="en-US"/>
        </w:rPr>
        <w:t xml:space="preserve"> February 2019</w:t>
      </w:r>
      <w:r w:rsidRPr="00F10449">
        <w:rPr>
          <w:rFonts w:ascii="Calibri Light" w:hAnsi="Calibri Light" w:cs="Calibri Light"/>
          <w:noProof/>
          <w:lang w:val="en-US"/>
        </w:rPr>
        <w:t>.</w:t>
      </w:r>
    </w:p>
    <w:p w14:paraId="24112497" w14:textId="77777777" w:rsidR="00127FDF" w:rsidRPr="00F10449" w:rsidRDefault="00127FDF" w:rsidP="00127FDF">
      <w:pPr>
        <w:widowControl w:val="0"/>
        <w:autoSpaceDE w:val="0"/>
        <w:autoSpaceDN w:val="0"/>
        <w:adjustRightInd w:val="0"/>
        <w:ind w:left="640" w:hanging="640"/>
        <w:rPr>
          <w:rFonts w:ascii="Calibri Light" w:hAnsi="Calibri Light" w:cs="Calibri Light"/>
          <w:noProof/>
          <w:lang w:val="en-US"/>
        </w:rPr>
      </w:pPr>
      <w:r w:rsidRPr="00F10449">
        <w:rPr>
          <w:rFonts w:ascii="Calibri Light" w:hAnsi="Calibri Light" w:cs="Calibri Light"/>
          <w:noProof/>
          <w:lang w:val="en-US"/>
        </w:rPr>
        <w:t xml:space="preserve">33. </w:t>
      </w:r>
      <w:r w:rsidRPr="00F10449">
        <w:rPr>
          <w:rFonts w:ascii="Calibri Light" w:hAnsi="Calibri Light" w:cs="Calibri Light"/>
          <w:noProof/>
          <w:lang w:val="en-US"/>
        </w:rPr>
        <w:tab/>
      </w:r>
      <w:r>
        <w:rPr>
          <w:rFonts w:ascii="Calibri Light" w:hAnsi="Calibri Light" w:cs="Calibri Light"/>
          <w:noProof/>
          <w:lang w:val="en-US"/>
        </w:rPr>
        <w:t>EMA. 2016. Zavicefta assessment report. EMA/CHMP/377887/2016. EMA, London, UK. Accessed 15</w:t>
      </w:r>
      <w:r w:rsidRPr="006F25B6">
        <w:rPr>
          <w:rFonts w:ascii="Calibri Light" w:hAnsi="Calibri Light" w:cs="Calibri Light"/>
          <w:noProof/>
          <w:vertAlign w:val="superscript"/>
          <w:lang w:val="en-US"/>
        </w:rPr>
        <w:t>th</w:t>
      </w:r>
      <w:r>
        <w:rPr>
          <w:rFonts w:ascii="Calibri Light" w:hAnsi="Calibri Light" w:cs="Calibri Light"/>
          <w:noProof/>
          <w:lang w:val="en-US"/>
        </w:rPr>
        <w:t xml:space="preserve"> February 2019</w:t>
      </w:r>
      <w:r w:rsidRPr="00F10449">
        <w:rPr>
          <w:rFonts w:ascii="Calibri Light" w:hAnsi="Calibri Light" w:cs="Calibri Light"/>
          <w:noProof/>
          <w:lang w:val="en-US"/>
        </w:rPr>
        <w:t>.</w:t>
      </w:r>
    </w:p>
    <w:p w14:paraId="40B578AA" w14:textId="77777777" w:rsidR="00127FDF" w:rsidRPr="00F10449" w:rsidRDefault="00127FDF" w:rsidP="00127FDF">
      <w:pPr>
        <w:widowControl w:val="0"/>
        <w:autoSpaceDE w:val="0"/>
        <w:autoSpaceDN w:val="0"/>
        <w:adjustRightInd w:val="0"/>
        <w:ind w:left="640" w:hanging="640"/>
        <w:rPr>
          <w:rFonts w:ascii="Calibri Light" w:hAnsi="Calibri Light" w:cs="Calibri Light"/>
          <w:noProof/>
        </w:rPr>
      </w:pPr>
      <w:r w:rsidRPr="00F10449">
        <w:rPr>
          <w:rFonts w:ascii="Calibri Light" w:hAnsi="Calibri Light" w:cs="Calibri Light"/>
          <w:noProof/>
          <w:lang w:val="en-US"/>
        </w:rPr>
        <w:t xml:space="preserve">34. </w:t>
      </w:r>
      <w:r w:rsidRPr="00F10449">
        <w:rPr>
          <w:rFonts w:ascii="Calibri Light" w:hAnsi="Calibri Light" w:cs="Calibri Light"/>
          <w:noProof/>
          <w:lang w:val="en-US"/>
        </w:rPr>
        <w:tab/>
      </w:r>
      <w:r>
        <w:rPr>
          <w:rFonts w:ascii="Calibri Light" w:hAnsi="Calibri Light" w:cs="Calibri Light"/>
          <w:noProof/>
          <w:lang w:val="en-US"/>
        </w:rPr>
        <w:t>EMA. 2015. CHMP assessment report: Zerbaxa. EMA/CHMP/388494/2015. EMA, London, UK. Accessed 15</w:t>
      </w:r>
      <w:r w:rsidRPr="006F25B6">
        <w:rPr>
          <w:rFonts w:ascii="Calibri Light" w:hAnsi="Calibri Light" w:cs="Calibri Light"/>
          <w:noProof/>
          <w:vertAlign w:val="superscript"/>
          <w:lang w:val="en-US"/>
        </w:rPr>
        <w:t>th</w:t>
      </w:r>
      <w:r>
        <w:rPr>
          <w:rFonts w:ascii="Calibri Light" w:hAnsi="Calibri Light" w:cs="Calibri Light"/>
          <w:noProof/>
          <w:lang w:val="en-US"/>
        </w:rPr>
        <w:t xml:space="preserve"> February 2019</w:t>
      </w:r>
    </w:p>
    <w:p w14:paraId="0CE2FA5C" w14:textId="77777777" w:rsidR="00127FDF" w:rsidRPr="00093E93" w:rsidRDefault="00127FDF" w:rsidP="00127FDF">
      <w:pPr>
        <w:widowControl w:val="0"/>
        <w:autoSpaceDE w:val="0"/>
        <w:autoSpaceDN w:val="0"/>
        <w:adjustRightInd w:val="0"/>
        <w:ind w:left="640" w:hanging="640"/>
        <w:rPr>
          <w:rFonts w:ascii="Calibri Light" w:hAnsi="Calibri Light" w:cs="Calibri Light"/>
          <w:noProof/>
        </w:rPr>
      </w:pPr>
      <w:r w:rsidRPr="00093E93">
        <w:rPr>
          <w:rFonts w:ascii="Calibri Light" w:hAnsi="Calibri Light" w:cs="Calibri Light"/>
          <w:noProof/>
          <w:lang w:val="en-US"/>
        </w:rPr>
        <w:t xml:space="preserve">35. </w:t>
      </w:r>
      <w:r w:rsidRPr="00093E93">
        <w:rPr>
          <w:rFonts w:ascii="Calibri Light" w:hAnsi="Calibri Light" w:cs="Calibri Light"/>
          <w:noProof/>
          <w:lang w:val="en-US"/>
        </w:rPr>
        <w:tab/>
        <w:t xml:space="preserve">Craig WA, Redington J, Ebert SC. 1991. Pharmacodynamics of amikacin </w:t>
      </w:r>
      <w:r w:rsidRPr="00B93A31">
        <w:rPr>
          <w:rFonts w:ascii="Calibri Light" w:hAnsi="Calibri Light" w:cs="Calibri Light"/>
          <w:i/>
          <w:noProof/>
          <w:lang w:val="en-US"/>
        </w:rPr>
        <w:t>in vitro</w:t>
      </w:r>
      <w:r w:rsidRPr="00093E93">
        <w:rPr>
          <w:rFonts w:ascii="Calibri Light" w:hAnsi="Calibri Light" w:cs="Calibri Light"/>
          <w:noProof/>
          <w:lang w:val="en-US"/>
        </w:rPr>
        <w:t xml:space="preserve"> and in mouse thigh and lung infections</w:t>
      </w:r>
      <w:r>
        <w:rPr>
          <w:rFonts w:ascii="Calibri Light" w:hAnsi="Calibri Light" w:cs="Calibri Light"/>
          <w:noProof/>
          <w:lang w:val="en-US"/>
        </w:rPr>
        <w:t xml:space="preserve">. </w:t>
      </w:r>
      <w:r w:rsidRPr="00B93A31">
        <w:rPr>
          <w:rFonts w:ascii="Calibri Light" w:hAnsi="Calibri Light" w:cs="Calibri Light"/>
          <w:i/>
          <w:noProof/>
          <w:lang w:val="en-US"/>
        </w:rPr>
        <w:t>J Antimicrob Chemother</w:t>
      </w:r>
      <w:r w:rsidRPr="00093E93">
        <w:rPr>
          <w:rFonts w:ascii="Calibri Light" w:hAnsi="Calibri Light" w:cs="Calibri Light"/>
          <w:noProof/>
          <w:lang w:val="en-US"/>
        </w:rPr>
        <w:t xml:space="preserve"> </w:t>
      </w:r>
      <w:r w:rsidRPr="00B93A31">
        <w:rPr>
          <w:rFonts w:ascii="Calibri Light" w:hAnsi="Calibri Light" w:cs="Calibri Light"/>
          <w:b/>
          <w:noProof/>
          <w:lang w:val="en-US"/>
        </w:rPr>
        <w:t>27</w:t>
      </w:r>
      <w:r>
        <w:rPr>
          <w:rFonts w:ascii="Calibri Light" w:hAnsi="Calibri Light" w:cs="Calibri Light"/>
          <w:noProof/>
          <w:lang w:val="en-US"/>
        </w:rPr>
        <w:t>:</w:t>
      </w:r>
      <w:r w:rsidRPr="00093E93">
        <w:rPr>
          <w:rFonts w:ascii="Calibri Light" w:hAnsi="Calibri Light" w:cs="Calibri Light"/>
          <w:noProof/>
          <w:lang w:val="en-US"/>
        </w:rPr>
        <w:t>29–40.</w:t>
      </w:r>
    </w:p>
    <w:p w14:paraId="535B6B08" w14:textId="5B09FD64" w:rsidR="00127FDF" w:rsidRDefault="00127FDF" w:rsidP="00127FDF">
      <w:pPr>
        <w:rPr>
          <w:rFonts w:asciiTheme="majorHAnsi" w:hAnsiTheme="majorHAnsi" w:cstheme="majorHAnsi"/>
        </w:rPr>
      </w:pPr>
      <w:r>
        <w:rPr>
          <w:rFonts w:asciiTheme="majorHAnsi" w:hAnsiTheme="majorHAnsi" w:cstheme="majorHAnsi"/>
        </w:rPr>
        <w:fldChar w:fldCharType="end"/>
      </w:r>
    </w:p>
    <w:p w14:paraId="294ACB75" w14:textId="77777777" w:rsidR="00127FDF" w:rsidRDefault="00127FDF">
      <w:pPr>
        <w:rPr>
          <w:rFonts w:asciiTheme="majorHAnsi" w:hAnsiTheme="majorHAnsi" w:cstheme="majorHAnsi"/>
        </w:rPr>
      </w:pPr>
      <w:r>
        <w:rPr>
          <w:rFonts w:asciiTheme="majorHAnsi" w:hAnsiTheme="majorHAnsi" w:cstheme="majorHAnsi"/>
        </w:rPr>
        <w:br w:type="page"/>
      </w:r>
    </w:p>
    <w:p w14:paraId="3A9AADCA" w14:textId="77777777" w:rsidR="00A10DE7" w:rsidRDefault="00A10DE7" w:rsidP="00127FDF">
      <w:pPr>
        <w:rPr>
          <w:rFonts w:asciiTheme="majorHAnsi" w:hAnsiTheme="majorHAnsi" w:cstheme="majorHAnsi"/>
        </w:rPr>
      </w:pPr>
    </w:p>
    <w:p w14:paraId="6017377A" w14:textId="103D4612" w:rsidR="00527F88" w:rsidRDefault="00C05944" w:rsidP="00527F88">
      <w:pPr>
        <w:rPr>
          <w:rFonts w:asciiTheme="majorHAnsi" w:hAnsiTheme="majorHAnsi" w:cstheme="majorHAnsi"/>
        </w:rPr>
      </w:pPr>
      <w:r>
        <w:rPr>
          <w:rFonts w:asciiTheme="majorHAnsi" w:hAnsiTheme="majorHAnsi" w:cstheme="majorHAnsi"/>
        </w:rPr>
        <w:t>Table 1. The challenge strains used in this study</w:t>
      </w:r>
    </w:p>
    <w:p w14:paraId="75B839DB" w14:textId="77777777" w:rsidR="00527F88" w:rsidRDefault="00527F88" w:rsidP="00527F88">
      <w:pPr>
        <w:rPr>
          <w:rFonts w:asciiTheme="majorHAnsi" w:hAnsiTheme="majorHAnsi" w:cstheme="majorHAnsi"/>
        </w:rPr>
      </w:pP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6"/>
        <w:gridCol w:w="1560"/>
        <w:gridCol w:w="3490"/>
        <w:gridCol w:w="2264"/>
      </w:tblGrid>
      <w:tr w:rsidR="008C4BE5" w:rsidRPr="006650D6" w14:paraId="4E663D50" w14:textId="77777777" w:rsidTr="002D339E">
        <w:trPr>
          <w:trHeight w:val="592"/>
        </w:trPr>
        <w:tc>
          <w:tcPr>
            <w:tcW w:w="1706" w:type="dxa"/>
            <w:shd w:val="clear" w:color="auto" w:fill="auto"/>
            <w:vAlign w:val="center"/>
            <w:hideMark/>
          </w:tcPr>
          <w:p w14:paraId="5FA8D768"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Species</w:t>
            </w:r>
          </w:p>
        </w:tc>
        <w:tc>
          <w:tcPr>
            <w:tcW w:w="1560" w:type="dxa"/>
            <w:shd w:val="clear" w:color="auto" w:fill="auto"/>
            <w:vAlign w:val="center"/>
            <w:hideMark/>
          </w:tcPr>
          <w:p w14:paraId="6B5CA405"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Strain ID</w:t>
            </w:r>
          </w:p>
        </w:tc>
        <w:tc>
          <w:tcPr>
            <w:tcW w:w="3490" w:type="dxa"/>
            <w:shd w:val="clear" w:color="auto" w:fill="auto"/>
            <w:vAlign w:val="center"/>
            <w:hideMark/>
          </w:tcPr>
          <w:p w14:paraId="5C0D3B97" w14:textId="39F5E390" w:rsidR="008C4BE5" w:rsidRPr="008C4BE5" w:rsidRDefault="0046170B" w:rsidP="000F20FF">
            <w:pPr>
              <w:rPr>
                <w:rFonts w:ascii="Calibri Light" w:hAnsi="Calibri Light" w:cs="Calibri Light"/>
                <w:color w:val="000000"/>
                <w:sz w:val="22"/>
                <w:szCs w:val="22"/>
                <w:lang w:val="en-US"/>
              </w:rPr>
            </w:pPr>
            <w:r>
              <w:rPr>
                <w:rFonts w:ascii="Calibri Light" w:hAnsi="Calibri Light" w:cs="Calibri Light"/>
                <w:color w:val="000000"/>
                <w:sz w:val="22"/>
                <w:szCs w:val="22"/>
                <w:lang w:val="en-US"/>
              </w:rPr>
              <w:t>Genotype</w:t>
            </w:r>
          </w:p>
        </w:tc>
        <w:tc>
          <w:tcPr>
            <w:tcW w:w="0" w:type="auto"/>
            <w:shd w:val="clear" w:color="auto" w:fill="auto"/>
            <w:vAlign w:val="center"/>
            <w:hideMark/>
          </w:tcPr>
          <w:p w14:paraId="02B3FFBA" w14:textId="3B8F55FB" w:rsidR="008C4BE5" w:rsidRPr="008C4BE5" w:rsidRDefault="00196490" w:rsidP="000F20FF">
            <w:pPr>
              <w:jc w:val="center"/>
              <w:rPr>
                <w:rFonts w:ascii="Calibri Light" w:hAnsi="Calibri Light" w:cs="Calibri Light"/>
                <w:color w:val="000000"/>
                <w:sz w:val="22"/>
                <w:szCs w:val="22"/>
                <w:lang w:val="en-US"/>
              </w:rPr>
            </w:pPr>
            <w:r>
              <w:rPr>
                <w:rFonts w:ascii="Calibri Light" w:hAnsi="Calibri Light" w:cs="Calibri Light"/>
                <w:color w:val="000000"/>
                <w:sz w:val="22"/>
                <w:szCs w:val="22"/>
                <w:lang w:val="en-US"/>
              </w:rPr>
              <w:t>Tebipenem modal</w:t>
            </w:r>
            <w:r w:rsidRPr="008C4BE5">
              <w:rPr>
                <w:rFonts w:ascii="Calibri Light" w:hAnsi="Calibri Light" w:cs="Calibri Light"/>
                <w:color w:val="000000"/>
                <w:sz w:val="22"/>
                <w:szCs w:val="22"/>
                <w:lang w:val="en-US"/>
              </w:rPr>
              <w:t xml:space="preserve"> </w:t>
            </w:r>
            <w:r w:rsidR="008C4BE5" w:rsidRPr="008C4BE5">
              <w:rPr>
                <w:rFonts w:ascii="Calibri Light" w:hAnsi="Calibri Light" w:cs="Calibri Light"/>
                <w:color w:val="000000"/>
                <w:sz w:val="22"/>
                <w:szCs w:val="22"/>
                <w:lang w:val="en-US"/>
              </w:rPr>
              <w:t>MIC (</w:t>
            </w:r>
            <w:r>
              <w:rPr>
                <w:rFonts w:ascii="Calibri Light" w:hAnsi="Calibri Light" w:cs="Calibri Light"/>
                <w:color w:val="000000"/>
                <w:sz w:val="22"/>
                <w:szCs w:val="22"/>
                <w:lang w:val="en-US"/>
              </w:rPr>
              <w:t>m</w:t>
            </w:r>
            <w:r w:rsidR="008C4BE5" w:rsidRPr="008C4BE5">
              <w:rPr>
                <w:rFonts w:ascii="Calibri Light" w:hAnsi="Calibri Light" w:cs="Calibri Light"/>
                <w:color w:val="000000"/>
                <w:sz w:val="22"/>
                <w:szCs w:val="22"/>
                <w:lang w:val="en-US"/>
              </w:rPr>
              <w:t>g/L) [range]</w:t>
            </w:r>
          </w:p>
        </w:tc>
      </w:tr>
      <w:tr w:rsidR="008C4BE5" w:rsidRPr="006650D6" w14:paraId="2D18564A" w14:textId="77777777" w:rsidTr="002D339E">
        <w:trPr>
          <w:trHeight w:val="292"/>
        </w:trPr>
        <w:tc>
          <w:tcPr>
            <w:tcW w:w="1706" w:type="dxa"/>
            <w:shd w:val="clear" w:color="auto" w:fill="auto"/>
            <w:vAlign w:val="center"/>
            <w:hideMark/>
          </w:tcPr>
          <w:p w14:paraId="434B0F7D" w14:textId="77777777" w:rsidR="008C4BE5" w:rsidRPr="008C4BE5" w:rsidRDefault="008C4BE5" w:rsidP="000F20FF">
            <w:pPr>
              <w:rPr>
                <w:rFonts w:ascii="Calibri Light" w:hAnsi="Calibri Light" w:cs="Calibri Light"/>
                <w:i/>
                <w:iCs/>
                <w:color w:val="000000"/>
                <w:sz w:val="22"/>
                <w:szCs w:val="22"/>
                <w:lang w:val="en-US"/>
              </w:rPr>
            </w:pPr>
            <w:r w:rsidRPr="008C4BE5">
              <w:rPr>
                <w:rFonts w:ascii="Calibri Light" w:hAnsi="Calibri Light" w:cs="Calibri Light"/>
                <w:i/>
                <w:iCs/>
                <w:color w:val="000000"/>
                <w:sz w:val="22"/>
                <w:szCs w:val="22"/>
                <w:lang w:val="en-US"/>
              </w:rPr>
              <w:t>E. coli</w:t>
            </w:r>
          </w:p>
        </w:tc>
        <w:tc>
          <w:tcPr>
            <w:tcW w:w="1560" w:type="dxa"/>
            <w:shd w:val="clear" w:color="auto" w:fill="auto"/>
            <w:vAlign w:val="center"/>
            <w:hideMark/>
          </w:tcPr>
          <w:p w14:paraId="319E0EB2"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NCTC 13462</w:t>
            </w:r>
          </w:p>
        </w:tc>
        <w:tc>
          <w:tcPr>
            <w:tcW w:w="3490" w:type="dxa"/>
            <w:shd w:val="clear" w:color="auto" w:fill="auto"/>
            <w:vAlign w:val="center"/>
            <w:hideMark/>
          </w:tcPr>
          <w:p w14:paraId="17A685CD"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CTX-M2</w:t>
            </w:r>
          </w:p>
        </w:tc>
        <w:tc>
          <w:tcPr>
            <w:tcW w:w="0" w:type="auto"/>
            <w:shd w:val="clear" w:color="auto" w:fill="auto"/>
            <w:vAlign w:val="center"/>
            <w:hideMark/>
          </w:tcPr>
          <w:p w14:paraId="6A67D9B8" w14:textId="77777777" w:rsidR="008C4BE5" w:rsidRPr="008C4BE5" w:rsidRDefault="008C4BE5" w:rsidP="000F20FF">
            <w:pPr>
              <w:jc w:val="cente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0.016 [0.016]</w:t>
            </w:r>
          </w:p>
        </w:tc>
      </w:tr>
      <w:tr w:rsidR="008C4BE5" w:rsidRPr="006650D6" w14:paraId="46D9274A" w14:textId="77777777" w:rsidTr="002D339E">
        <w:trPr>
          <w:trHeight w:val="292"/>
        </w:trPr>
        <w:tc>
          <w:tcPr>
            <w:tcW w:w="1706" w:type="dxa"/>
            <w:shd w:val="clear" w:color="auto" w:fill="auto"/>
            <w:vAlign w:val="center"/>
            <w:hideMark/>
          </w:tcPr>
          <w:p w14:paraId="19B324AF" w14:textId="77777777" w:rsidR="008C4BE5" w:rsidRPr="008C4BE5" w:rsidRDefault="008C4BE5" w:rsidP="000F20FF">
            <w:pPr>
              <w:rPr>
                <w:rFonts w:ascii="Calibri Light" w:hAnsi="Calibri Light" w:cs="Calibri Light"/>
                <w:i/>
                <w:iCs/>
                <w:color w:val="000000"/>
                <w:sz w:val="22"/>
                <w:szCs w:val="22"/>
                <w:lang w:val="en-US"/>
              </w:rPr>
            </w:pPr>
            <w:r w:rsidRPr="008C4BE5">
              <w:rPr>
                <w:rFonts w:ascii="Calibri Light" w:hAnsi="Calibri Light" w:cs="Calibri Light"/>
                <w:i/>
                <w:iCs/>
                <w:color w:val="000000"/>
                <w:sz w:val="22"/>
                <w:szCs w:val="22"/>
                <w:lang w:val="en-US"/>
              </w:rPr>
              <w:t>E. coli</w:t>
            </w:r>
          </w:p>
        </w:tc>
        <w:tc>
          <w:tcPr>
            <w:tcW w:w="1560" w:type="dxa"/>
            <w:shd w:val="clear" w:color="auto" w:fill="auto"/>
            <w:vAlign w:val="center"/>
            <w:hideMark/>
          </w:tcPr>
          <w:p w14:paraId="08931236"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ATCC 35218</w:t>
            </w:r>
          </w:p>
        </w:tc>
        <w:tc>
          <w:tcPr>
            <w:tcW w:w="3490" w:type="dxa"/>
            <w:shd w:val="clear" w:color="auto" w:fill="auto"/>
            <w:vAlign w:val="center"/>
            <w:hideMark/>
          </w:tcPr>
          <w:p w14:paraId="0D2E63C8"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TEM-1_ESBL</w:t>
            </w:r>
          </w:p>
        </w:tc>
        <w:tc>
          <w:tcPr>
            <w:tcW w:w="0" w:type="auto"/>
            <w:shd w:val="clear" w:color="auto" w:fill="auto"/>
            <w:vAlign w:val="center"/>
            <w:hideMark/>
          </w:tcPr>
          <w:p w14:paraId="47B6B20B" w14:textId="77777777" w:rsidR="008C4BE5" w:rsidRPr="008C4BE5" w:rsidRDefault="008C4BE5" w:rsidP="000F20FF">
            <w:pPr>
              <w:jc w:val="cente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0.016 [0.008-0.016]</w:t>
            </w:r>
          </w:p>
        </w:tc>
      </w:tr>
      <w:tr w:rsidR="008C4BE5" w:rsidRPr="006650D6" w14:paraId="16FFF561" w14:textId="77777777" w:rsidTr="002D339E">
        <w:trPr>
          <w:trHeight w:val="292"/>
        </w:trPr>
        <w:tc>
          <w:tcPr>
            <w:tcW w:w="1706" w:type="dxa"/>
            <w:shd w:val="clear" w:color="auto" w:fill="auto"/>
            <w:vAlign w:val="center"/>
            <w:hideMark/>
          </w:tcPr>
          <w:p w14:paraId="13C50CD0" w14:textId="77777777" w:rsidR="008C4BE5" w:rsidRPr="008C4BE5" w:rsidRDefault="008C4BE5" w:rsidP="000F20FF">
            <w:pPr>
              <w:rPr>
                <w:rFonts w:ascii="Calibri Light" w:hAnsi="Calibri Light" w:cs="Calibri Light"/>
                <w:i/>
                <w:iCs/>
                <w:color w:val="000000"/>
                <w:sz w:val="22"/>
                <w:szCs w:val="22"/>
                <w:lang w:val="en-US"/>
              </w:rPr>
            </w:pPr>
            <w:r w:rsidRPr="008C4BE5">
              <w:rPr>
                <w:rFonts w:ascii="Calibri Light" w:hAnsi="Calibri Light" w:cs="Calibri Light"/>
                <w:i/>
                <w:iCs/>
                <w:color w:val="000000"/>
                <w:sz w:val="22"/>
                <w:szCs w:val="22"/>
                <w:lang w:val="en-US"/>
              </w:rPr>
              <w:t>E. coli</w:t>
            </w:r>
          </w:p>
        </w:tc>
        <w:tc>
          <w:tcPr>
            <w:tcW w:w="1560" w:type="dxa"/>
            <w:shd w:val="clear" w:color="auto" w:fill="auto"/>
            <w:vAlign w:val="center"/>
            <w:hideMark/>
          </w:tcPr>
          <w:p w14:paraId="0989539E"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ATCC 25922</w:t>
            </w:r>
          </w:p>
        </w:tc>
        <w:tc>
          <w:tcPr>
            <w:tcW w:w="3490" w:type="dxa"/>
            <w:shd w:val="clear" w:color="auto" w:fill="auto"/>
            <w:vAlign w:val="center"/>
            <w:hideMark/>
          </w:tcPr>
          <w:p w14:paraId="745995E2"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Wild type</w:t>
            </w:r>
          </w:p>
        </w:tc>
        <w:tc>
          <w:tcPr>
            <w:tcW w:w="0" w:type="auto"/>
            <w:shd w:val="clear" w:color="auto" w:fill="auto"/>
            <w:vAlign w:val="center"/>
            <w:hideMark/>
          </w:tcPr>
          <w:p w14:paraId="2BD7F5DD" w14:textId="04E2545B" w:rsidR="008C4BE5" w:rsidRPr="008C4BE5" w:rsidRDefault="008C4BE5" w:rsidP="000F20FF">
            <w:pPr>
              <w:jc w:val="cente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0.016 [0.008-0.016]</w:t>
            </w:r>
          </w:p>
        </w:tc>
      </w:tr>
      <w:tr w:rsidR="008C4BE5" w:rsidRPr="006650D6" w14:paraId="61567059" w14:textId="77777777" w:rsidTr="002D339E">
        <w:trPr>
          <w:trHeight w:val="292"/>
        </w:trPr>
        <w:tc>
          <w:tcPr>
            <w:tcW w:w="1706" w:type="dxa"/>
            <w:shd w:val="clear" w:color="auto" w:fill="auto"/>
            <w:vAlign w:val="center"/>
            <w:hideMark/>
          </w:tcPr>
          <w:p w14:paraId="747558C3" w14:textId="77777777" w:rsidR="008C4BE5" w:rsidRPr="008C4BE5" w:rsidRDefault="008C4BE5" w:rsidP="000F20FF">
            <w:pPr>
              <w:rPr>
                <w:rFonts w:ascii="Calibri Light" w:hAnsi="Calibri Light" w:cs="Calibri Light"/>
                <w:i/>
                <w:iCs/>
                <w:color w:val="000000"/>
                <w:sz w:val="22"/>
                <w:szCs w:val="22"/>
                <w:lang w:val="en-US"/>
              </w:rPr>
            </w:pPr>
            <w:r w:rsidRPr="008C4BE5">
              <w:rPr>
                <w:rFonts w:ascii="Calibri Light" w:hAnsi="Calibri Light" w:cs="Calibri Light"/>
                <w:i/>
                <w:iCs/>
                <w:color w:val="000000"/>
                <w:sz w:val="22"/>
                <w:szCs w:val="22"/>
                <w:lang w:val="en-US"/>
              </w:rPr>
              <w:t>E. coli</w:t>
            </w:r>
          </w:p>
        </w:tc>
        <w:tc>
          <w:tcPr>
            <w:tcW w:w="1560" w:type="dxa"/>
            <w:shd w:val="clear" w:color="auto" w:fill="auto"/>
            <w:vAlign w:val="center"/>
            <w:hideMark/>
          </w:tcPr>
          <w:p w14:paraId="54DB1877"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SPT 719 (JMI 742654)</w:t>
            </w:r>
          </w:p>
        </w:tc>
        <w:tc>
          <w:tcPr>
            <w:tcW w:w="3490" w:type="dxa"/>
            <w:shd w:val="clear" w:color="auto" w:fill="auto"/>
            <w:vAlign w:val="center"/>
            <w:hideMark/>
          </w:tcPr>
          <w:p w14:paraId="74466F29"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SHV-12, TEM-1</w:t>
            </w:r>
          </w:p>
        </w:tc>
        <w:tc>
          <w:tcPr>
            <w:tcW w:w="0" w:type="auto"/>
            <w:shd w:val="clear" w:color="auto" w:fill="auto"/>
            <w:vAlign w:val="center"/>
            <w:hideMark/>
          </w:tcPr>
          <w:p w14:paraId="4D23613E" w14:textId="77777777" w:rsidR="008C4BE5" w:rsidRPr="008C4BE5" w:rsidRDefault="008C4BE5" w:rsidP="000F20FF">
            <w:pPr>
              <w:jc w:val="cente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0.03 [0.03-0.25]</w:t>
            </w:r>
          </w:p>
        </w:tc>
      </w:tr>
      <w:tr w:rsidR="008C4BE5" w:rsidRPr="006650D6" w14:paraId="43EEA964" w14:textId="77777777" w:rsidTr="002D339E">
        <w:trPr>
          <w:trHeight w:val="292"/>
        </w:trPr>
        <w:tc>
          <w:tcPr>
            <w:tcW w:w="1706" w:type="dxa"/>
            <w:shd w:val="clear" w:color="auto" w:fill="auto"/>
            <w:vAlign w:val="center"/>
            <w:hideMark/>
          </w:tcPr>
          <w:p w14:paraId="4C20E497" w14:textId="77777777" w:rsidR="008C4BE5" w:rsidRPr="008C4BE5" w:rsidRDefault="008C4BE5" w:rsidP="000F20FF">
            <w:pPr>
              <w:rPr>
                <w:rFonts w:ascii="Calibri Light" w:hAnsi="Calibri Light" w:cs="Calibri Light"/>
                <w:i/>
                <w:iCs/>
                <w:color w:val="000000"/>
                <w:sz w:val="22"/>
                <w:szCs w:val="22"/>
                <w:lang w:val="en-US"/>
              </w:rPr>
            </w:pPr>
            <w:r w:rsidRPr="008C4BE5">
              <w:rPr>
                <w:rFonts w:ascii="Calibri Light" w:hAnsi="Calibri Light" w:cs="Calibri Light"/>
                <w:i/>
                <w:iCs/>
                <w:color w:val="000000"/>
                <w:sz w:val="22"/>
                <w:szCs w:val="22"/>
                <w:lang w:val="en-US"/>
              </w:rPr>
              <w:t>E. coli</w:t>
            </w:r>
          </w:p>
        </w:tc>
        <w:tc>
          <w:tcPr>
            <w:tcW w:w="1560" w:type="dxa"/>
            <w:shd w:val="clear" w:color="auto" w:fill="auto"/>
            <w:vAlign w:val="center"/>
            <w:hideMark/>
          </w:tcPr>
          <w:p w14:paraId="24EE6207"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SPT 720 (JMI 850505)</w:t>
            </w:r>
          </w:p>
        </w:tc>
        <w:tc>
          <w:tcPr>
            <w:tcW w:w="3490" w:type="dxa"/>
            <w:shd w:val="clear" w:color="auto" w:fill="auto"/>
            <w:vAlign w:val="center"/>
            <w:hideMark/>
          </w:tcPr>
          <w:p w14:paraId="683372F8" w14:textId="77777777" w:rsidR="008C4BE5" w:rsidRPr="008C4BE5" w:rsidRDefault="008C4BE5" w:rsidP="000F20FF">
            <w:pPr>
              <w:rPr>
                <w:rFonts w:ascii="Calibri Light" w:hAnsi="Calibri Light" w:cs="Calibri Light"/>
                <w:i/>
                <w:iCs/>
                <w:color w:val="000000"/>
                <w:sz w:val="22"/>
                <w:szCs w:val="22"/>
                <w:lang w:val="en-US"/>
              </w:rPr>
            </w:pPr>
            <w:r w:rsidRPr="008C4BE5">
              <w:rPr>
                <w:rFonts w:ascii="Calibri Light" w:hAnsi="Calibri Light" w:cs="Calibri Light"/>
                <w:i/>
                <w:iCs/>
                <w:color w:val="000000"/>
                <w:sz w:val="22"/>
                <w:szCs w:val="22"/>
                <w:lang w:val="en-US"/>
              </w:rPr>
              <w:t>mcr-1</w:t>
            </w:r>
            <w:r w:rsidRPr="008C4BE5">
              <w:rPr>
                <w:rFonts w:ascii="Calibri Light" w:hAnsi="Calibri Light" w:cs="Calibri Light"/>
                <w:color w:val="000000"/>
                <w:sz w:val="22"/>
                <w:szCs w:val="22"/>
                <w:lang w:val="en-US"/>
              </w:rPr>
              <w:t>, CMY-2, OXA-1, TEM</w:t>
            </w:r>
            <w:r w:rsidRPr="008C4BE5">
              <w:rPr>
                <w:rFonts w:ascii="Calibri Light" w:hAnsi="Calibri Light" w:cs="Calibri Light"/>
                <w:color w:val="000000"/>
                <w:sz w:val="22"/>
                <w:szCs w:val="22"/>
                <w:lang w:val="en-US"/>
              </w:rPr>
              <w:noBreakHyphen/>
              <w:t>1</w:t>
            </w:r>
          </w:p>
        </w:tc>
        <w:tc>
          <w:tcPr>
            <w:tcW w:w="0" w:type="auto"/>
            <w:shd w:val="clear" w:color="auto" w:fill="auto"/>
            <w:vAlign w:val="center"/>
            <w:hideMark/>
          </w:tcPr>
          <w:p w14:paraId="18CE786D" w14:textId="77777777" w:rsidR="008C4BE5" w:rsidRPr="008C4BE5" w:rsidRDefault="008C4BE5" w:rsidP="000F20FF">
            <w:pPr>
              <w:jc w:val="cente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0.5 [0.25-0.5]</w:t>
            </w:r>
          </w:p>
        </w:tc>
      </w:tr>
      <w:tr w:rsidR="008C4BE5" w:rsidRPr="006650D6" w14:paraId="31D20A36" w14:textId="77777777" w:rsidTr="002D339E">
        <w:trPr>
          <w:trHeight w:val="292"/>
        </w:trPr>
        <w:tc>
          <w:tcPr>
            <w:tcW w:w="1706" w:type="dxa"/>
            <w:shd w:val="clear" w:color="auto" w:fill="auto"/>
            <w:vAlign w:val="center"/>
            <w:hideMark/>
          </w:tcPr>
          <w:p w14:paraId="35E53938" w14:textId="77777777" w:rsidR="008C4BE5" w:rsidRPr="008C4BE5" w:rsidRDefault="008C4BE5" w:rsidP="000F20FF">
            <w:pPr>
              <w:rPr>
                <w:rFonts w:ascii="Calibri Light" w:hAnsi="Calibri Light" w:cs="Calibri Light"/>
                <w:i/>
                <w:iCs/>
                <w:color w:val="000000"/>
                <w:sz w:val="22"/>
                <w:szCs w:val="22"/>
                <w:lang w:val="en-US"/>
              </w:rPr>
            </w:pPr>
            <w:r w:rsidRPr="008C4BE5">
              <w:rPr>
                <w:rFonts w:ascii="Calibri Light" w:hAnsi="Calibri Light" w:cs="Calibri Light"/>
                <w:i/>
                <w:iCs/>
                <w:color w:val="000000"/>
                <w:sz w:val="22"/>
                <w:szCs w:val="22"/>
                <w:lang w:val="en-US"/>
              </w:rPr>
              <w:t>E. coli</w:t>
            </w:r>
          </w:p>
        </w:tc>
        <w:tc>
          <w:tcPr>
            <w:tcW w:w="1560" w:type="dxa"/>
            <w:shd w:val="clear" w:color="auto" w:fill="auto"/>
            <w:vAlign w:val="center"/>
            <w:hideMark/>
          </w:tcPr>
          <w:p w14:paraId="35D0F5A8"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SPT 731 (JMI 845741)</w:t>
            </w:r>
          </w:p>
        </w:tc>
        <w:tc>
          <w:tcPr>
            <w:tcW w:w="3490" w:type="dxa"/>
            <w:shd w:val="clear" w:color="auto" w:fill="auto"/>
            <w:vAlign w:val="center"/>
            <w:hideMark/>
          </w:tcPr>
          <w:p w14:paraId="2C6CFF7B"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CTX-M-15, OXA-1/30, TEM-1 ST131 O25b clade</w:t>
            </w:r>
          </w:p>
        </w:tc>
        <w:tc>
          <w:tcPr>
            <w:tcW w:w="0" w:type="auto"/>
            <w:shd w:val="clear" w:color="auto" w:fill="auto"/>
            <w:vAlign w:val="center"/>
            <w:hideMark/>
          </w:tcPr>
          <w:p w14:paraId="6C91D62A" w14:textId="77777777" w:rsidR="008C4BE5" w:rsidRPr="008C4BE5" w:rsidRDefault="008C4BE5" w:rsidP="000F20FF">
            <w:pPr>
              <w:jc w:val="cente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0.03 [0.015-0.03]</w:t>
            </w:r>
          </w:p>
        </w:tc>
      </w:tr>
      <w:tr w:rsidR="008C4BE5" w:rsidRPr="006650D6" w14:paraId="7A94D3AD" w14:textId="77777777" w:rsidTr="002D339E">
        <w:trPr>
          <w:trHeight w:val="292"/>
        </w:trPr>
        <w:tc>
          <w:tcPr>
            <w:tcW w:w="1706" w:type="dxa"/>
            <w:shd w:val="clear" w:color="auto" w:fill="auto"/>
            <w:vAlign w:val="center"/>
            <w:hideMark/>
          </w:tcPr>
          <w:p w14:paraId="61DE8452" w14:textId="77777777" w:rsidR="008C4BE5" w:rsidRPr="008C4BE5" w:rsidRDefault="008C4BE5" w:rsidP="000F20FF">
            <w:pPr>
              <w:rPr>
                <w:rFonts w:ascii="Calibri Light" w:hAnsi="Calibri Light" w:cs="Calibri Light"/>
                <w:i/>
                <w:iCs/>
                <w:color w:val="000000"/>
                <w:sz w:val="22"/>
                <w:szCs w:val="22"/>
                <w:lang w:val="en-US"/>
              </w:rPr>
            </w:pPr>
            <w:r w:rsidRPr="008C4BE5">
              <w:rPr>
                <w:rFonts w:ascii="Calibri Light" w:hAnsi="Calibri Light" w:cs="Calibri Light"/>
                <w:i/>
                <w:iCs/>
                <w:color w:val="000000"/>
                <w:sz w:val="22"/>
                <w:szCs w:val="22"/>
                <w:lang w:val="en-US"/>
              </w:rPr>
              <w:t>K. pneumoniae</w:t>
            </w:r>
          </w:p>
        </w:tc>
        <w:tc>
          <w:tcPr>
            <w:tcW w:w="1560" w:type="dxa"/>
            <w:shd w:val="clear" w:color="auto" w:fill="auto"/>
            <w:vAlign w:val="center"/>
            <w:hideMark/>
          </w:tcPr>
          <w:p w14:paraId="30871B4D"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NCTC 13465</w:t>
            </w:r>
          </w:p>
        </w:tc>
        <w:tc>
          <w:tcPr>
            <w:tcW w:w="3490" w:type="dxa"/>
            <w:shd w:val="clear" w:color="auto" w:fill="auto"/>
            <w:vAlign w:val="center"/>
            <w:hideMark/>
          </w:tcPr>
          <w:p w14:paraId="4A2F26D3"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ESBL+ CTX-M25</w:t>
            </w:r>
          </w:p>
        </w:tc>
        <w:tc>
          <w:tcPr>
            <w:tcW w:w="0" w:type="auto"/>
            <w:shd w:val="clear" w:color="auto" w:fill="auto"/>
            <w:vAlign w:val="center"/>
            <w:hideMark/>
          </w:tcPr>
          <w:p w14:paraId="0DF13BEE" w14:textId="77777777" w:rsidR="008C4BE5" w:rsidRPr="008C4BE5" w:rsidRDefault="008C4BE5" w:rsidP="000F20FF">
            <w:pPr>
              <w:jc w:val="cente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0.03 [0.015-0.03]</w:t>
            </w:r>
          </w:p>
        </w:tc>
      </w:tr>
      <w:tr w:rsidR="008C4BE5" w:rsidRPr="006650D6" w14:paraId="4EB174C5" w14:textId="77777777" w:rsidTr="002D339E">
        <w:trPr>
          <w:trHeight w:val="292"/>
        </w:trPr>
        <w:tc>
          <w:tcPr>
            <w:tcW w:w="1706" w:type="dxa"/>
            <w:shd w:val="clear" w:color="auto" w:fill="auto"/>
            <w:vAlign w:val="center"/>
            <w:hideMark/>
          </w:tcPr>
          <w:p w14:paraId="3A899938" w14:textId="77777777" w:rsidR="008C4BE5" w:rsidRPr="008C4BE5" w:rsidRDefault="008C4BE5" w:rsidP="000F20FF">
            <w:pPr>
              <w:rPr>
                <w:rFonts w:ascii="Calibri Light" w:hAnsi="Calibri Light" w:cs="Calibri Light"/>
                <w:i/>
                <w:iCs/>
                <w:color w:val="000000"/>
                <w:sz w:val="22"/>
                <w:szCs w:val="22"/>
                <w:lang w:val="en-US"/>
              </w:rPr>
            </w:pPr>
            <w:r w:rsidRPr="008C4BE5">
              <w:rPr>
                <w:rFonts w:ascii="Calibri Light" w:hAnsi="Calibri Light" w:cs="Calibri Light"/>
                <w:i/>
                <w:iCs/>
                <w:color w:val="000000"/>
                <w:sz w:val="22"/>
                <w:szCs w:val="22"/>
                <w:lang w:val="en-US"/>
              </w:rPr>
              <w:t>K. pneumoniae</w:t>
            </w:r>
          </w:p>
        </w:tc>
        <w:tc>
          <w:tcPr>
            <w:tcW w:w="1560" w:type="dxa"/>
            <w:shd w:val="clear" w:color="auto" w:fill="auto"/>
            <w:vAlign w:val="center"/>
            <w:hideMark/>
          </w:tcPr>
          <w:p w14:paraId="4BC7DF78"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ATCC 27736</w:t>
            </w:r>
          </w:p>
        </w:tc>
        <w:tc>
          <w:tcPr>
            <w:tcW w:w="3490" w:type="dxa"/>
            <w:shd w:val="clear" w:color="auto" w:fill="auto"/>
            <w:vAlign w:val="center"/>
            <w:hideMark/>
          </w:tcPr>
          <w:p w14:paraId="4DD4EE89"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Wild type</w:t>
            </w:r>
          </w:p>
        </w:tc>
        <w:tc>
          <w:tcPr>
            <w:tcW w:w="0" w:type="auto"/>
            <w:shd w:val="clear" w:color="auto" w:fill="auto"/>
            <w:vAlign w:val="center"/>
            <w:hideMark/>
          </w:tcPr>
          <w:p w14:paraId="7CCFE5D7" w14:textId="77777777" w:rsidR="008C4BE5" w:rsidRPr="008C4BE5" w:rsidRDefault="008C4BE5" w:rsidP="000F20FF">
            <w:pPr>
              <w:jc w:val="cente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0.03 [0.03-0.06]</w:t>
            </w:r>
          </w:p>
        </w:tc>
      </w:tr>
      <w:tr w:rsidR="008C4BE5" w:rsidRPr="006650D6" w14:paraId="68C073D3" w14:textId="77777777" w:rsidTr="002D339E">
        <w:trPr>
          <w:trHeight w:val="292"/>
        </w:trPr>
        <w:tc>
          <w:tcPr>
            <w:tcW w:w="1706" w:type="dxa"/>
            <w:shd w:val="clear" w:color="auto" w:fill="auto"/>
            <w:vAlign w:val="center"/>
            <w:hideMark/>
          </w:tcPr>
          <w:p w14:paraId="08D99997" w14:textId="77777777" w:rsidR="008C4BE5" w:rsidRPr="008C4BE5" w:rsidRDefault="008C4BE5" w:rsidP="000F20FF">
            <w:pPr>
              <w:rPr>
                <w:rFonts w:ascii="Calibri Light" w:hAnsi="Calibri Light" w:cs="Calibri Light"/>
                <w:i/>
                <w:iCs/>
                <w:color w:val="000000"/>
                <w:sz w:val="22"/>
                <w:szCs w:val="22"/>
                <w:lang w:val="en-US"/>
              </w:rPr>
            </w:pPr>
            <w:r w:rsidRPr="008C4BE5">
              <w:rPr>
                <w:rFonts w:ascii="Calibri Light" w:hAnsi="Calibri Light" w:cs="Calibri Light"/>
                <w:i/>
                <w:iCs/>
                <w:color w:val="000000"/>
                <w:sz w:val="22"/>
                <w:szCs w:val="22"/>
                <w:lang w:val="en-US"/>
              </w:rPr>
              <w:t>K. pneumoniae</w:t>
            </w:r>
          </w:p>
        </w:tc>
        <w:tc>
          <w:tcPr>
            <w:tcW w:w="1560" w:type="dxa"/>
            <w:shd w:val="clear" w:color="auto" w:fill="auto"/>
            <w:vAlign w:val="center"/>
            <w:hideMark/>
          </w:tcPr>
          <w:p w14:paraId="1EE5D82D"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SPT 725 (JMI 776273)</w:t>
            </w:r>
          </w:p>
        </w:tc>
        <w:tc>
          <w:tcPr>
            <w:tcW w:w="3490" w:type="dxa"/>
            <w:shd w:val="clear" w:color="auto" w:fill="auto"/>
            <w:vAlign w:val="center"/>
            <w:hideMark/>
          </w:tcPr>
          <w:p w14:paraId="72A2F12A"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SHV-12</w:t>
            </w:r>
          </w:p>
        </w:tc>
        <w:tc>
          <w:tcPr>
            <w:tcW w:w="0" w:type="auto"/>
            <w:shd w:val="clear" w:color="auto" w:fill="auto"/>
            <w:vAlign w:val="center"/>
            <w:hideMark/>
          </w:tcPr>
          <w:p w14:paraId="700AC8A6" w14:textId="77777777" w:rsidR="008C4BE5" w:rsidRPr="008C4BE5" w:rsidRDefault="008C4BE5" w:rsidP="000F20FF">
            <w:pPr>
              <w:jc w:val="cente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0.125 [0.06-0.25]</w:t>
            </w:r>
          </w:p>
        </w:tc>
      </w:tr>
      <w:tr w:rsidR="008C4BE5" w:rsidRPr="006650D6" w14:paraId="7E96828B" w14:textId="77777777" w:rsidTr="002D339E">
        <w:trPr>
          <w:trHeight w:val="292"/>
        </w:trPr>
        <w:tc>
          <w:tcPr>
            <w:tcW w:w="1706" w:type="dxa"/>
            <w:shd w:val="clear" w:color="auto" w:fill="auto"/>
            <w:vAlign w:val="center"/>
            <w:hideMark/>
          </w:tcPr>
          <w:p w14:paraId="3A2858AB" w14:textId="77777777" w:rsidR="008C4BE5" w:rsidRPr="008C4BE5" w:rsidRDefault="008C4BE5" w:rsidP="000F20FF">
            <w:pPr>
              <w:rPr>
                <w:rFonts w:ascii="Calibri Light" w:hAnsi="Calibri Light" w:cs="Calibri Light"/>
                <w:i/>
                <w:iCs/>
                <w:color w:val="000000"/>
                <w:sz w:val="22"/>
                <w:szCs w:val="22"/>
                <w:lang w:val="en-US"/>
              </w:rPr>
            </w:pPr>
            <w:r w:rsidRPr="008C4BE5">
              <w:rPr>
                <w:rFonts w:ascii="Calibri Light" w:hAnsi="Calibri Light" w:cs="Calibri Light"/>
                <w:i/>
                <w:iCs/>
                <w:color w:val="000000"/>
                <w:sz w:val="22"/>
                <w:szCs w:val="22"/>
                <w:lang w:val="en-US"/>
              </w:rPr>
              <w:t>K. pneumoniae</w:t>
            </w:r>
          </w:p>
        </w:tc>
        <w:tc>
          <w:tcPr>
            <w:tcW w:w="1560" w:type="dxa"/>
            <w:shd w:val="clear" w:color="auto" w:fill="auto"/>
            <w:vAlign w:val="center"/>
            <w:hideMark/>
          </w:tcPr>
          <w:p w14:paraId="38DE6AFE"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SPT 722 (JMI 934954)</w:t>
            </w:r>
          </w:p>
        </w:tc>
        <w:tc>
          <w:tcPr>
            <w:tcW w:w="3490" w:type="dxa"/>
            <w:shd w:val="clear" w:color="auto" w:fill="auto"/>
            <w:vAlign w:val="center"/>
            <w:hideMark/>
          </w:tcPr>
          <w:p w14:paraId="47BB6811"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CTX-M-15, OXA-1, OXA-9, SHV-28, TEM-1, OmpK35 disrupted, OmpK36 altered</w:t>
            </w:r>
          </w:p>
        </w:tc>
        <w:tc>
          <w:tcPr>
            <w:tcW w:w="0" w:type="auto"/>
            <w:shd w:val="clear" w:color="auto" w:fill="auto"/>
            <w:vAlign w:val="center"/>
            <w:hideMark/>
          </w:tcPr>
          <w:p w14:paraId="7B942D30" w14:textId="77777777" w:rsidR="008C4BE5" w:rsidRPr="008C4BE5" w:rsidRDefault="008C4BE5" w:rsidP="000F20FF">
            <w:pPr>
              <w:jc w:val="cente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0.25 [0.12-0.5]</w:t>
            </w:r>
          </w:p>
        </w:tc>
      </w:tr>
      <w:tr w:rsidR="008C4BE5" w:rsidRPr="006650D6" w14:paraId="6914F645" w14:textId="77777777" w:rsidTr="002D339E">
        <w:trPr>
          <w:trHeight w:val="292"/>
        </w:trPr>
        <w:tc>
          <w:tcPr>
            <w:tcW w:w="1706" w:type="dxa"/>
            <w:shd w:val="clear" w:color="auto" w:fill="auto"/>
            <w:vAlign w:val="center"/>
            <w:hideMark/>
          </w:tcPr>
          <w:p w14:paraId="6F1B154A" w14:textId="77777777" w:rsidR="008C4BE5" w:rsidRPr="008C4BE5" w:rsidRDefault="008C4BE5" w:rsidP="000F20FF">
            <w:pPr>
              <w:rPr>
                <w:rFonts w:ascii="Calibri Light" w:hAnsi="Calibri Light" w:cs="Calibri Light"/>
                <w:i/>
                <w:iCs/>
                <w:color w:val="000000"/>
                <w:sz w:val="22"/>
                <w:szCs w:val="22"/>
                <w:lang w:val="en-US"/>
              </w:rPr>
            </w:pPr>
            <w:r w:rsidRPr="008C4BE5">
              <w:rPr>
                <w:rFonts w:ascii="Calibri Light" w:hAnsi="Calibri Light" w:cs="Calibri Light"/>
                <w:i/>
                <w:iCs/>
                <w:color w:val="000000"/>
                <w:sz w:val="22"/>
                <w:szCs w:val="22"/>
                <w:lang w:val="en-US"/>
              </w:rPr>
              <w:t>K. pneumoniae</w:t>
            </w:r>
          </w:p>
        </w:tc>
        <w:tc>
          <w:tcPr>
            <w:tcW w:w="1560" w:type="dxa"/>
            <w:shd w:val="clear" w:color="auto" w:fill="auto"/>
            <w:vAlign w:val="center"/>
            <w:hideMark/>
          </w:tcPr>
          <w:p w14:paraId="7D0CAF64"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SPT 723 (JMI 632346)</w:t>
            </w:r>
          </w:p>
        </w:tc>
        <w:tc>
          <w:tcPr>
            <w:tcW w:w="3490" w:type="dxa"/>
            <w:shd w:val="clear" w:color="auto" w:fill="auto"/>
            <w:vAlign w:val="center"/>
            <w:hideMark/>
          </w:tcPr>
          <w:p w14:paraId="6AB184BD" w14:textId="77777777" w:rsidR="008C4BE5" w:rsidRPr="008C4BE5" w:rsidRDefault="008C4BE5" w:rsidP="000F20FF">
            <w:pP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CTX-M-15, OXA-1, SHV-12</w:t>
            </w:r>
          </w:p>
        </w:tc>
        <w:tc>
          <w:tcPr>
            <w:tcW w:w="0" w:type="auto"/>
            <w:shd w:val="clear" w:color="auto" w:fill="auto"/>
            <w:vAlign w:val="center"/>
            <w:hideMark/>
          </w:tcPr>
          <w:p w14:paraId="373E38C7" w14:textId="77777777" w:rsidR="008C4BE5" w:rsidRPr="008C4BE5" w:rsidRDefault="008C4BE5" w:rsidP="000F20FF">
            <w:pPr>
              <w:jc w:val="center"/>
              <w:rPr>
                <w:rFonts w:ascii="Calibri Light" w:hAnsi="Calibri Light" w:cs="Calibri Light"/>
                <w:color w:val="000000"/>
                <w:sz w:val="22"/>
                <w:szCs w:val="22"/>
                <w:lang w:val="en-US"/>
              </w:rPr>
            </w:pPr>
            <w:r w:rsidRPr="008C4BE5">
              <w:rPr>
                <w:rFonts w:ascii="Calibri Light" w:hAnsi="Calibri Light" w:cs="Calibri Light"/>
                <w:color w:val="000000"/>
                <w:sz w:val="22"/>
                <w:szCs w:val="22"/>
                <w:lang w:val="en-US"/>
              </w:rPr>
              <w:t>0.125 [0.12]</w:t>
            </w:r>
          </w:p>
        </w:tc>
      </w:tr>
    </w:tbl>
    <w:p w14:paraId="201E4766" w14:textId="65B199CC" w:rsidR="003C63D3" w:rsidRDefault="003C63D3">
      <w:pPr>
        <w:rPr>
          <w:rFonts w:asciiTheme="majorHAnsi" w:hAnsiTheme="majorHAnsi" w:cstheme="majorHAnsi"/>
        </w:rPr>
      </w:pPr>
      <w:r>
        <w:rPr>
          <w:rFonts w:asciiTheme="majorHAnsi" w:hAnsiTheme="majorHAnsi" w:cstheme="majorHAnsi"/>
        </w:rPr>
        <w:br w:type="page"/>
      </w:r>
    </w:p>
    <w:p w14:paraId="6966042B" w14:textId="0CE7449E" w:rsidR="003C63D3" w:rsidRDefault="0025481E">
      <w:pPr>
        <w:rPr>
          <w:rFonts w:asciiTheme="majorHAnsi" w:hAnsiTheme="majorHAnsi" w:cstheme="majorHAnsi"/>
        </w:rPr>
      </w:pPr>
      <w:r>
        <w:rPr>
          <w:rFonts w:asciiTheme="majorHAnsi" w:hAnsiTheme="majorHAnsi" w:cstheme="majorHAnsi"/>
        </w:rPr>
        <w:lastRenderedPageBreak/>
        <w:t xml:space="preserve">Table </w:t>
      </w:r>
      <w:r w:rsidR="009D0315">
        <w:rPr>
          <w:rFonts w:asciiTheme="majorHAnsi" w:hAnsiTheme="majorHAnsi" w:cstheme="majorHAnsi"/>
        </w:rPr>
        <w:t>2</w:t>
      </w:r>
      <w:r>
        <w:rPr>
          <w:rFonts w:asciiTheme="majorHAnsi" w:hAnsiTheme="majorHAnsi" w:cstheme="majorHAnsi"/>
        </w:rPr>
        <w:t>. The parameter estimates from the population PK analysis</w:t>
      </w:r>
      <w:r w:rsidR="008E44F1">
        <w:rPr>
          <w:rFonts w:asciiTheme="majorHAnsi" w:hAnsiTheme="majorHAnsi" w:cstheme="majorHAnsi"/>
        </w:rPr>
        <w:t xml:space="preserve"> fitted to total drug concentrations.</w:t>
      </w:r>
    </w:p>
    <w:p w14:paraId="5C5D205F" w14:textId="48064C6B" w:rsidR="00A225EC" w:rsidRDefault="00A225EC">
      <w:pPr>
        <w:rPr>
          <w:rFonts w:asciiTheme="majorHAnsi" w:hAnsiTheme="majorHAnsi" w:cstheme="majorHAnsi"/>
        </w:rPr>
      </w:pPr>
    </w:p>
    <w:tbl>
      <w:tblPr>
        <w:tblW w:w="7513" w:type="dxa"/>
        <w:tblLook w:val="04A0" w:firstRow="1" w:lastRow="0" w:firstColumn="1" w:lastColumn="0" w:noHBand="0" w:noVBand="1"/>
      </w:tblPr>
      <w:tblGrid>
        <w:gridCol w:w="2410"/>
        <w:gridCol w:w="883"/>
        <w:gridCol w:w="1810"/>
        <w:gridCol w:w="2410"/>
      </w:tblGrid>
      <w:tr w:rsidR="00A225EC" w14:paraId="149AF16E" w14:textId="77777777" w:rsidTr="00CA17F3">
        <w:trPr>
          <w:trHeight w:val="320"/>
        </w:trPr>
        <w:tc>
          <w:tcPr>
            <w:tcW w:w="2410" w:type="dxa"/>
            <w:tcBorders>
              <w:top w:val="nil"/>
              <w:left w:val="nil"/>
              <w:bottom w:val="nil"/>
              <w:right w:val="nil"/>
            </w:tcBorders>
            <w:shd w:val="clear" w:color="auto" w:fill="auto"/>
            <w:noWrap/>
            <w:vAlign w:val="bottom"/>
            <w:hideMark/>
          </w:tcPr>
          <w:p w14:paraId="45FA9708" w14:textId="4178F082" w:rsidR="00A225EC" w:rsidRPr="00CA17F3" w:rsidRDefault="00F313DE">
            <w:pPr>
              <w:rPr>
                <w:rFonts w:asciiTheme="majorHAnsi" w:hAnsiTheme="majorHAnsi" w:cstheme="majorHAnsi"/>
              </w:rPr>
            </w:pPr>
            <w:r w:rsidRPr="00CA17F3">
              <w:rPr>
                <w:rFonts w:asciiTheme="majorHAnsi" w:hAnsiTheme="majorHAnsi" w:cstheme="majorHAnsi"/>
              </w:rPr>
              <w:t>Parameter</w:t>
            </w:r>
            <w:r w:rsidR="0025481E">
              <w:rPr>
                <w:rFonts w:asciiTheme="majorHAnsi" w:hAnsiTheme="majorHAnsi" w:cstheme="majorHAnsi"/>
              </w:rPr>
              <w:t xml:space="preserve"> </w:t>
            </w:r>
            <w:r w:rsidRPr="00CA17F3">
              <w:rPr>
                <w:rFonts w:asciiTheme="majorHAnsi" w:hAnsiTheme="majorHAnsi" w:cstheme="majorHAnsi"/>
              </w:rPr>
              <w:t>(Units)</w:t>
            </w:r>
            <w:r w:rsidR="0025481E" w:rsidRPr="00CA17F3">
              <w:rPr>
                <w:rFonts w:asciiTheme="majorHAnsi" w:hAnsiTheme="majorHAnsi" w:cstheme="majorHAnsi"/>
                <w:vertAlign w:val="superscript"/>
              </w:rPr>
              <w:t>a</w:t>
            </w:r>
          </w:p>
        </w:tc>
        <w:tc>
          <w:tcPr>
            <w:tcW w:w="883" w:type="dxa"/>
            <w:tcBorders>
              <w:top w:val="nil"/>
              <w:left w:val="nil"/>
              <w:bottom w:val="nil"/>
              <w:right w:val="nil"/>
            </w:tcBorders>
            <w:shd w:val="clear" w:color="auto" w:fill="auto"/>
            <w:noWrap/>
            <w:vAlign w:val="bottom"/>
            <w:hideMark/>
          </w:tcPr>
          <w:p w14:paraId="3980EA5E"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Mean</w:t>
            </w:r>
          </w:p>
        </w:tc>
        <w:tc>
          <w:tcPr>
            <w:tcW w:w="1810" w:type="dxa"/>
            <w:tcBorders>
              <w:top w:val="nil"/>
              <w:left w:val="nil"/>
              <w:bottom w:val="nil"/>
              <w:right w:val="nil"/>
            </w:tcBorders>
            <w:shd w:val="clear" w:color="auto" w:fill="auto"/>
            <w:noWrap/>
            <w:vAlign w:val="bottom"/>
            <w:hideMark/>
          </w:tcPr>
          <w:p w14:paraId="21ABF789"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Median</w:t>
            </w:r>
          </w:p>
        </w:tc>
        <w:tc>
          <w:tcPr>
            <w:tcW w:w="2410" w:type="dxa"/>
            <w:tcBorders>
              <w:top w:val="nil"/>
              <w:left w:val="nil"/>
              <w:bottom w:val="nil"/>
              <w:right w:val="nil"/>
            </w:tcBorders>
            <w:shd w:val="clear" w:color="auto" w:fill="auto"/>
            <w:noWrap/>
            <w:vAlign w:val="bottom"/>
            <w:hideMark/>
          </w:tcPr>
          <w:p w14:paraId="5D43FF03" w14:textId="4773AA90"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S</w:t>
            </w:r>
            <w:r w:rsidR="00F313DE" w:rsidRPr="00CA17F3">
              <w:rPr>
                <w:rFonts w:asciiTheme="majorHAnsi" w:hAnsiTheme="majorHAnsi" w:cstheme="majorHAnsi"/>
                <w:color w:val="000000"/>
              </w:rPr>
              <w:t xml:space="preserve">tandard </w:t>
            </w:r>
            <w:r w:rsidRPr="00CA17F3">
              <w:rPr>
                <w:rFonts w:asciiTheme="majorHAnsi" w:hAnsiTheme="majorHAnsi" w:cstheme="majorHAnsi"/>
                <w:color w:val="000000"/>
              </w:rPr>
              <w:t>D</w:t>
            </w:r>
            <w:r w:rsidR="00F313DE" w:rsidRPr="00CA17F3">
              <w:rPr>
                <w:rFonts w:asciiTheme="majorHAnsi" w:hAnsiTheme="majorHAnsi" w:cstheme="majorHAnsi"/>
                <w:color w:val="000000"/>
              </w:rPr>
              <w:t>eviation</w:t>
            </w:r>
          </w:p>
        </w:tc>
      </w:tr>
      <w:tr w:rsidR="00A225EC" w14:paraId="62C0168B" w14:textId="77777777" w:rsidTr="00CA17F3">
        <w:trPr>
          <w:trHeight w:val="320"/>
        </w:trPr>
        <w:tc>
          <w:tcPr>
            <w:tcW w:w="2410" w:type="dxa"/>
            <w:tcBorders>
              <w:top w:val="nil"/>
              <w:left w:val="nil"/>
              <w:bottom w:val="nil"/>
              <w:right w:val="nil"/>
            </w:tcBorders>
            <w:shd w:val="clear" w:color="auto" w:fill="auto"/>
            <w:noWrap/>
            <w:vAlign w:val="bottom"/>
            <w:hideMark/>
          </w:tcPr>
          <w:p w14:paraId="172CCC8D" w14:textId="1D372AC0" w:rsidR="00A225EC" w:rsidRPr="00CA17F3" w:rsidRDefault="00A225EC">
            <w:pPr>
              <w:rPr>
                <w:rFonts w:asciiTheme="majorHAnsi" w:hAnsiTheme="majorHAnsi" w:cstheme="majorHAnsi"/>
                <w:color w:val="000000"/>
              </w:rPr>
            </w:pPr>
            <w:r w:rsidRPr="00CA17F3">
              <w:rPr>
                <w:rFonts w:asciiTheme="majorHAnsi" w:hAnsiTheme="majorHAnsi" w:cstheme="majorHAnsi"/>
                <w:color w:val="000000"/>
              </w:rPr>
              <w:t>Ka</w:t>
            </w:r>
            <w:r w:rsidR="00F313DE">
              <w:rPr>
                <w:rFonts w:asciiTheme="majorHAnsi" w:hAnsiTheme="majorHAnsi" w:cstheme="majorHAnsi"/>
                <w:color w:val="000000"/>
              </w:rPr>
              <w:t xml:space="preserve"> (h</w:t>
            </w:r>
            <w:r w:rsidR="00F313DE" w:rsidRPr="00CA17F3">
              <w:rPr>
                <w:rFonts w:asciiTheme="majorHAnsi" w:hAnsiTheme="majorHAnsi" w:cstheme="majorHAnsi"/>
                <w:color w:val="000000"/>
                <w:vertAlign w:val="superscript"/>
              </w:rPr>
              <w:t>-1</w:t>
            </w:r>
            <w:r w:rsidR="00F313DE">
              <w:rPr>
                <w:rFonts w:asciiTheme="majorHAnsi" w:hAnsiTheme="majorHAnsi" w:cstheme="majorHAnsi"/>
                <w:color w:val="000000"/>
              </w:rPr>
              <w:t>)</w:t>
            </w:r>
          </w:p>
        </w:tc>
        <w:tc>
          <w:tcPr>
            <w:tcW w:w="883" w:type="dxa"/>
            <w:tcBorders>
              <w:top w:val="nil"/>
              <w:left w:val="nil"/>
              <w:bottom w:val="nil"/>
              <w:right w:val="nil"/>
            </w:tcBorders>
            <w:shd w:val="clear" w:color="auto" w:fill="auto"/>
            <w:noWrap/>
            <w:vAlign w:val="bottom"/>
            <w:hideMark/>
          </w:tcPr>
          <w:p w14:paraId="2CAFEA8E"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25.888</w:t>
            </w:r>
          </w:p>
        </w:tc>
        <w:tc>
          <w:tcPr>
            <w:tcW w:w="1810" w:type="dxa"/>
            <w:tcBorders>
              <w:top w:val="nil"/>
              <w:left w:val="nil"/>
              <w:bottom w:val="nil"/>
              <w:right w:val="nil"/>
            </w:tcBorders>
            <w:shd w:val="clear" w:color="auto" w:fill="auto"/>
            <w:noWrap/>
            <w:vAlign w:val="bottom"/>
            <w:hideMark/>
          </w:tcPr>
          <w:p w14:paraId="73C61F4D"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25.950</w:t>
            </w:r>
          </w:p>
        </w:tc>
        <w:tc>
          <w:tcPr>
            <w:tcW w:w="2410" w:type="dxa"/>
            <w:tcBorders>
              <w:top w:val="nil"/>
              <w:left w:val="nil"/>
              <w:bottom w:val="nil"/>
              <w:right w:val="nil"/>
            </w:tcBorders>
            <w:shd w:val="clear" w:color="auto" w:fill="auto"/>
            <w:noWrap/>
            <w:vAlign w:val="bottom"/>
            <w:hideMark/>
          </w:tcPr>
          <w:p w14:paraId="12ABC563"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2.399</w:t>
            </w:r>
          </w:p>
        </w:tc>
      </w:tr>
      <w:tr w:rsidR="00A225EC" w14:paraId="3FEE3E60" w14:textId="77777777" w:rsidTr="00CA17F3">
        <w:trPr>
          <w:trHeight w:val="320"/>
        </w:trPr>
        <w:tc>
          <w:tcPr>
            <w:tcW w:w="2410" w:type="dxa"/>
            <w:tcBorders>
              <w:top w:val="nil"/>
              <w:left w:val="nil"/>
              <w:bottom w:val="nil"/>
              <w:right w:val="nil"/>
            </w:tcBorders>
            <w:shd w:val="clear" w:color="auto" w:fill="auto"/>
            <w:noWrap/>
            <w:vAlign w:val="bottom"/>
            <w:hideMark/>
          </w:tcPr>
          <w:p w14:paraId="7E2DB972" w14:textId="21633E69" w:rsidR="00A225EC" w:rsidRPr="00CA17F3" w:rsidRDefault="00F313DE">
            <w:pPr>
              <w:rPr>
                <w:rFonts w:asciiTheme="majorHAnsi" w:hAnsiTheme="majorHAnsi" w:cstheme="majorHAnsi"/>
                <w:color w:val="000000"/>
              </w:rPr>
            </w:pPr>
            <w:r>
              <w:rPr>
                <w:rFonts w:asciiTheme="majorHAnsi" w:hAnsiTheme="majorHAnsi" w:cstheme="majorHAnsi"/>
                <w:color w:val="000000"/>
              </w:rPr>
              <w:t>SCL</w:t>
            </w:r>
            <w:r w:rsidR="0025481E">
              <w:rPr>
                <w:rFonts w:asciiTheme="majorHAnsi" w:hAnsiTheme="majorHAnsi" w:cstheme="majorHAnsi"/>
                <w:color w:val="000000"/>
              </w:rPr>
              <w:t>/F</w:t>
            </w:r>
            <w:r>
              <w:rPr>
                <w:rFonts w:asciiTheme="majorHAnsi" w:hAnsiTheme="majorHAnsi" w:cstheme="majorHAnsi"/>
                <w:color w:val="000000"/>
              </w:rPr>
              <w:t xml:space="preserve"> (L/h)</w:t>
            </w:r>
          </w:p>
        </w:tc>
        <w:tc>
          <w:tcPr>
            <w:tcW w:w="883" w:type="dxa"/>
            <w:tcBorders>
              <w:top w:val="nil"/>
              <w:left w:val="nil"/>
              <w:bottom w:val="nil"/>
              <w:right w:val="nil"/>
            </w:tcBorders>
            <w:shd w:val="clear" w:color="auto" w:fill="auto"/>
            <w:noWrap/>
            <w:vAlign w:val="bottom"/>
            <w:hideMark/>
          </w:tcPr>
          <w:p w14:paraId="3B303A48"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0.001</w:t>
            </w:r>
          </w:p>
        </w:tc>
        <w:tc>
          <w:tcPr>
            <w:tcW w:w="1810" w:type="dxa"/>
            <w:tcBorders>
              <w:top w:val="nil"/>
              <w:left w:val="nil"/>
              <w:bottom w:val="nil"/>
              <w:right w:val="nil"/>
            </w:tcBorders>
            <w:shd w:val="clear" w:color="auto" w:fill="auto"/>
            <w:noWrap/>
            <w:vAlign w:val="bottom"/>
            <w:hideMark/>
          </w:tcPr>
          <w:p w14:paraId="4438BD57"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0.001</w:t>
            </w:r>
          </w:p>
        </w:tc>
        <w:tc>
          <w:tcPr>
            <w:tcW w:w="2410" w:type="dxa"/>
            <w:tcBorders>
              <w:top w:val="nil"/>
              <w:left w:val="nil"/>
              <w:bottom w:val="nil"/>
              <w:right w:val="nil"/>
            </w:tcBorders>
            <w:shd w:val="clear" w:color="auto" w:fill="auto"/>
            <w:noWrap/>
            <w:vAlign w:val="bottom"/>
            <w:hideMark/>
          </w:tcPr>
          <w:p w14:paraId="4FC47CA2"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0.000</w:t>
            </w:r>
          </w:p>
        </w:tc>
      </w:tr>
      <w:tr w:rsidR="00A225EC" w14:paraId="0540FECB" w14:textId="77777777" w:rsidTr="00CA17F3">
        <w:trPr>
          <w:trHeight w:val="320"/>
        </w:trPr>
        <w:tc>
          <w:tcPr>
            <w:tcW w:w="2410" w:type="dxa"/>
            <w:tcBorders>
              <w:top w:val="nil"/>
              <w:left w:val="nil"/>
              <w:bottom w:val="nil"/>
              <w:right w:val="nil"/>
            </w:tcBorders>
            <w:shd w:val="clear" w:color="auto" w:fill="auto"/>
            <w:noWrap/>
            <w:vAlign w:val="bottom"/>
            <w:hideMark/>
          </w:tcPr>
          <w:p w14:paraId="31DBB574" w14:textId="6C1D4C7E" w:rsidR="00A225EC" w:rsidRPr="00CA17F3" w:rsidRDefault="00A225EC">
            <w:pPr>
              <w:rPr>
                <w:rFonts w:asciiTheme="majorHAnsi" w:hAnsiTheme="majorHAnsi" w:cstheme="majorHAnsi"/>
                <w:color w:val="000000"/>
              </w:rPr>
            </w:pPr>
            <w:r w:rsidRPr="00CA17F3">
              <w:rPr>
                <w:rFonts w:asciiTheme="majorHAnsi" w:hAnsiTheme="majorHAnsi" w:cstheme="majorHAnsi"/>
                <w:color w:val="000000"/>
              </w:rPr>
              <w:t>V</w:t>
            </w:r>
            <w:r w:rsidR="0025481E">
              <w:rPr>
                <w:rFonts w:asciiTheme="majorHAnsi" w:hAnsiTheme="majorHAnsi" w:cstheme="majorHAnsi"/>
                <w:color w:val="000000"/>
              </w:rPr>
              <w:t>/F</w:t>
            </w:r>
            <w:r w:rsidR="00F313DE">
              <w:rPr>
                <w:rFonts w:asciiTheme="majorHAnsi" w:hAnsiTheme="majorHAnsi" w:cstheme="majorHAnsi"/>
                <w:color w:val="000000"/>
              </w:rPr>
              <w:t xml:space="preserve"> (L)</w:t>
            </w:r>
          </w:p>
        </w:tc>
        <w:tc>
          <w:tcPr>
            <w:tcW w:w="883" w:type="dxa"/>
            <w:tcBorders>
              <w:top w:val="nil"/>
              <w:left w:val="nil"/>
              <w:bottom w:val="nil"/>
              <w:right w:val="nil"/>
            </w:tcBorders>
            <w:shd w:val="clear" w:color="auto" w:fill="auto"/>
            <w:noWrap/>
            <w:vAlign w:val="bottom"/>
            <w:hideMark/>
          </w:tcPr>
          <w:p w14:paraId="54CCEF0B"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0.003</w:t>
            </w:r>
          </w:p>
        </w:tc>
        <w:tc>
          <w:tcPr>
            <w:tcW w:w="1810" w:type="dxa"/>
            <w:tcBorders>
              <w:top w:val="nil"/>
              <w:left w:val="nil"/>
              <w:bottom w:val="nil"/>
              <w:right w:val="nil"/>
            </w:tcBorders>
            <w:shd w:val="clear" w:color="auto" w:fill="auto"/>
            <w:noWrap/>
            <w:vAlign w:val="bottom"/>
            <w:hideMark/>
          </w:tcPr>
          <w:p w14:paraId="54FB52E9"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0.003</w:t>
            </w:r>
          </w:p>
        </w:tc>
        <w:tc>
          <w:tcPr>
            <w:tcW w:w="2410" w:type="dxa"/>
            <w:tcBorders>
              <w:top w:val="nil"/>
              <w:left w:val="nil"/>
              <w:bottom w:val="nil"/>
              <w:right w:val="nil"/>
            </w:tcBorders>
            <w:shd w:val="clear" w:color="auto" w:fill="auto"/>
            <w:noWrap/>
            <w:vAlign w:val="bottom"/>
            <w:hideMark/>
          </w:tcPr>
          <w:p w14:paraId="48A88D49"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0.001</w:t>
            </w:r>
          </w:p>
        </w:tc>
      </w:tr>
      <w:tr w:rsidR="00A225EC" w14:paraId="5D308FC1" w14:textId="77777777" w:rsidTr="00CA17F3">
        <w:trPr>
          <w:trHeight w:val="320"/>
        </w:trPr>
        <w:tc>
          <w:tcPr>
            <w:tcW w:w="2410" w:type="dxa"/>
            <w:tcBorders>
              <w:top w:val="nil"/>
              <w:left w:val="nil"/>
              <w:bottom w:val="nil"/>
              <w:right w:val="nil"/>
            </w:tcBorders>
            <w:shd w:val="clear" w:color="auto" w:fill="auto"/>
            <w:noWrap/>
            <w:vAlign w:val="bottom"/>
            <w:hideMark/>
          </w:tcPr>
          <w:p w14:paraId="297B59FC" w14:textId="3B900A9E" w:rsidR="00A225EC" w:rsidRPr="00CA17F3" w:rsidRDefault="00A225EC">
            <w:pPr>
              <w:rPr>
                <w:rFonts w:asciiTheme="majorHAnsi" w:hAnsiTheme="majorHAnsi" w:cstheme="majorHAnsi"/>
                <w:color w:val="000000"/>
              </w:rPr>
            </w:pPr>
            <w:r w:rsidRPr="00CA17F3">
              <w:rPr>
                <w:rFonts w:asciiTheme="majorHAnsi" w:hAnsiTheme="majorHAnsi" w:cstheme="majorHAnsi"/>
                <w:color w:val="000000"/>
              </w:rPr>
              <w:t>Kcp</w:t>
            </w:r>
            <w:r w:rsidR="00F313DE">
              <w:rPr>
                <w:rFonts w:asciiTheme="majorHAnsi" w:hAnsiTheme="majorHAnsi" w:cstheme="majorHAnsi"/>
                <w:color w:val="000000"/>
              </w:rPr>
              <w:t xml:space="preserve"> (h</w:t>
            </w:r>
            <w:r w:rsidR="00F313DE" w:rsidRPr="00822EAC">
              <w:rPr>
                <w:rFonts w:asciiTheme="majorHAnsi" w:hAnsiTheme="majorHAnsi" w:cstheme="majorHAnsi"/>
                <w:color w:val="000000"/>
                <w:vertAlign w:val="superscript"/>
              </w:rPr>
              <w:t>-1</w:t>
            </w:r>
            <w:r w:rsidR="00F313DE">
              <w:rPr>
                <w:rFonts w:asciiTheme="majorHAnsi" w:hAnsiTheme="majorHAnsi" w:cstheme="majorHAnsi"/>
                <w:color w:val="000000"/>
              </w:rPr>
              <w:t>)</w:t>
            </w:r>
          </w:p>
        </w:tc>
        <w:tc>
          <w:tcPr>
            <w:tcW w:w="883" w:type="dxa"/>
            <w:tcBorders>
              <w:top w:val="nil"/>
              <w:left w:val="nil"/>
              <w:bottom w:val="nil"/>
              <w:right w:val="nil"/>
            </w:tcBorders>
            <w:shd w:val="clear" w:color="auto" w:fill="auto"/>
            <w:noWrap/>
            <w:vAlign w:val="bottom"/>
            <w:hideMark/>
          </w:tcPr>
          <w:p w14:paraId="7C37E0C6"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8.197</w:t>
            </w:r>
          </w:p>
        </w:tc>
        <w:tc>
          <w:tcPr>
            <w:tcW w:w="1810" w:type="dxa"/>
            <w:tcBorders>
              <w:top w:val="nil"/>
              <w:left w:val="nil"/>
              <w:bottom w:val="nil"/>
              <w:right w:val="nil"/>
            </w:tcBorders>
            <w:shd w:val="clear" w:color="auto" w:fill="auto"/>
            <w:noWrap/>
            <w:vAlign w:val="bottom"/>
            <w:hideMark/>
          </w:tcPr>
          <w:p w14:paraId="06B71008"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7.866</w:t>
            </w:r>
          </w:p>
        </w:tc>
        <w:tc>
          <w:tcPr>
            <w:tcW w:w="2410" w:type="dxa"/>
            <w:tcBorders>
              <w:top w:val="nil"/>
              <w:left w:val="nil"/>
              <w:bottom w:val="nil"/>
              <w:right w:val="nil"/>
            </w:tcBorders>
            <w:shd w:val="clear" w:color="auto" w:fill="auto"/>
            <w:noWrap/>
            <w:vAlign w:val="bottom"/>
            <w:hideMark/>
          </w:tcPr>
          <w:p w14:paraId="37EEBF60"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5.963</w:t>
            </w:r>
          </w:p>
        </w:tc>
      </w:tr>
      <w:tr w:rsidR="00A225EC" w14:paraId="20F68A5A" w14:textId="77777777" w:rsidTr="00CA17F3">
        <w:trPr>
          <w:trHeight w:val="320"/>
        </w:trPr>
        <w:tc>
          <w:tcPr>
            <w:tcW w:w="2410" w:type="dxa"/>
            <w:tcBorders>
              <w:top w:val="nil"/>
              <w:left w:val="nil"/>
              <w:bottom w:val="nil"/>
              <w:right w:val="nil"/>
            </w:tcBorders>
            <w:shd w:val="clear" w:color="auto" w:fill="auto"/>
            <w:noWrap/>
            <w:vAlign w:val="bottom"/>
            <w:hideMark/>
          </w:tcPr>
          <w:p w14:paraId="2B07BCB3" w14:textId="72667748" w:rsidR="00A225EC" w:rsidRPr="00CA17F3" w:rsidRDefault="00A225EC">
            <w:pPr>
              <w:rPr>
                <w:rFonts w:asciiTheme="majorHAnsi" w:hAnsiTheme="majorHAnsi" w:cstheme="majorHAnsi"/>
                <w:color w:val="000000"/>
              </w:rPr>
            </w:pPr>
            <w:r w:rsidRPr="00CA17F3">
              <w:rPr>
                <w:rFonts w:asciiTheme="majorHAnsi" w:hAnsiTheme="majorHAnsi" w:cstheme="majorHAnsi"/>
                <w:color w:val="000000"/>
              </w:rPr>
              <w:t>Kpc</w:t>
            </w:r>
            <w:r w:rsidR="00F313DE">
              <w:rPr>
                <w:rFonts w:asciiTheme="majorHAnsi" w:hAnsiTheme="majorHAnsi" w:cstheme="majorHAnsi"/>
                <w:color w:val="000000"/>
              </w:rPr>
              <w:t xml:space="preserve"> (h</w:t>
            </w:r>
            <w:r w:rsidR="00F313DE" w:rsidRPr="00822EAC">
              <w:rPr>
                <w:rFonts w:asciiTheme="majorHAnsi" w:hAnsiTheme="majorHAnsi" w:cstheme="majorHAnsi"/>
                <w:color w:val="000000"/>
                <w:vertAlign w:val="superscript"/>
              </w:rPr>
              <w:t>-1</w:t>
            </w:r>
            <w:r w:rsidR="00F313DE">
              <w:rPr>
                <w:rFonts w:asciiTheme="majorHAnsi" w:hAnsiTheme="majorHAnsi" w:cstheme="majorHAnsi"/>
                <w:color w:val="000000"/>
              </w:rPr>
              <w:t>)</w:t>
            </w:r>
          </w:p>
        </w:tc>
        <w:tc>
          <w:tcPr>
            <w:tcW w:w="883" w:type="dxa"/>
            <w:tcBorders>
              <w:top w:val="nil"/>
              <w:left w:val="nil"/>
              <w:bottom w:val="nil"/>
              <w:right w:val="nil"/>
            </w:tcBorders>
            <w:shd w:val="clear" w:color="auto" w:fill="auto"/>
            <w:noWrap/>
            <w:vAlign w:val="bottom"/>
            <w:hideMark/>
          </w:tcPr>
          <w:p w14:paraId="62DEF3D8"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19.137</w:t>
            </w:r>
          </w:p>
        </w:tc>
        <w:tc>
          <w:tcPr>
            <w:tcW w:w="1810" w:type="dxa"/>
            <w:tcBorders>
              <w:top w:val="nil"/>
              <w:left w:val="nil"/>
              <w:bottom w:val="nil"/>
              <w:right w:val="nil"/>
            </w:tcBorders>
            <w:shd w:val="clear" w:color="auto" w:fill="auto"/>
            <w:noWrap/>
            <w:vAlign w:val="bottom"/>
            <w:hideMark/>
          </w:tcPr>
          <w:p w14:paraId="1E3D96FD"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25.710</w:t>
            </w:r>
          </w:p>
        </w:tc>
        <w:tc>
          <w:tcPr>
            <w:tcW w:w="2410" w:type="dxa"/>
            <w:tcBorders>
              <w:top w:val="nil"/>
              <w:left w:val="nil"/>
              <w:bottom w:val="nil"/>
              <w:right w:val="nil"/>
            </w:tcBorders>
            <w:shd w:val="clear" w:color="auto" w:fill="auto"/>
            <w:noWrap/>
            <w:vAlign w:val="bottom"/>
            <w:hideMark/>
          </w:tcPr>
          <w:p w14:paraId="3BD62281"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10.161</w:t>
            </w:r>
          </w:p>
        </w:tc>
      </w:tr>
      <w:tr w:rsidR="00A225EC" w14:paraId="451E73A9" w14:textId="77777777" w:rsidTr="00CA17F3">
        <w:trPr>
          <w:trHeight w:val="320"/>
        </w:trPr>
        <w:tc>
          <w:tcPr>
            <w:tcW w:w="2410" w:type="dxa"/>
            <w:tcBorders>
              <w:top w:val="nil"/>
              <w:left w:val="nil"/>
              <w:bottom w:val="nil"/>
              <w:right w:val="nil"/>
            </w:tcBorders>
            <w:shd w:val="clear" w:color="auto" w:fill="auto"/>
            <w:noWrap/>
            <w:vAlign w:val="bottom"/>
            <w:hideMark/>
          </w:tcPr>
          <w:p w14:paraId="2D267038" w14:textId="4BABB08C" w:rsidR="00A225EC" w:rsidRPr="00CA17F3" w:rsidRDefault="00A225EC">
            <w:pPr>
              <w:rPr>
                <w:rFonts w:asciiTheme="majorHAnsi" w:hAnsiTheme="majorHAnsi" w:cstheme="majorHAnsi"/>
                <w:color w:val="000000"/>
              </w:rPr>
            </w:pPr>
            <w:proofErr w:type="spellStart"/>
            <w:r w:rsidRPr="00CA17F3">
              <w:rPr>
                <w:rFonts w:asciiTheme="majorHAnsi" w:hAnsiTheme="majorHAnsi" w:cstheme="majorHAnsi"/>
                <w:color w:val="000000"/>
              </w:rPr>
              <w:t>Tlag</w:t>
            </w:r>
            <w:proofErr w:type="spellEnd"/>
            <w:r w:rsidR="00F313DE">
              <w:rPr>
                <w:rFonts w:asciiTheme="majorHAnsi" w:hAnsiTheme="majorHAnsi" w:cstheme="majorHAnsi"/>
                <w:color w:val="000000"/>
              </w:rPr>
              <w:t xml:space="preserve"> (h)</w:t>
            </w:r>
          </w:p>
        </w:tc>
        <w:tc>
          <w:tcPr>
            <w:tcW w:w="883" w:type="dxa"/>
            <w:tcBorders>
              <w:top w:val="nil"/>
              <w:left w:val="nil"/>
              <w:bottom w:val="nil"/>
              <w:right w:val="nil"/>
            </w:tcBorders>
            <w:shd w:val="clear" w:color="auto" w:fill="auto"/>
            <w:noWrap/>
            <w:vAlign w:val="bottom"/>
            <w:hideMark/>
          </w:tcPr>
          <w:p w14:paraId="36ABDFCC"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0.084</w:t>
            </w:r>
          </w:p>
        </w:tc>
        <w:tc>
          <w:tcPr>
            <w:tcW w:w="1810" w:type="dxa"/>
            <w:tcBorders>
              <w:top w:val="nil"/>
              <w:left w:val="nil"/>
              <w:bottom w:val="nil"/>
              <w:right w:val="nil"/>
            </w:tcBorders>
            <w:shd w:val="clear" w:color="auto" w:fill="auto"/>
            <w:noWrap/>
            <w:vAlign w:val="bottom"/>
            <w:hideMark/>
          </w:tcPr>
          <w:p w14:paraId="7AB56B93"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0.063</w:t>
            </w:r>
          </w:p>
        </w:tc>
        <w:tc>
          <w:tcPr>
            <w:tcW w:w="2410" w:type="dxa"/>
            <w:tcBorders>
              <w:top w:val="nil"/>
              <w:left w:val="nil"/>
              <w:bottom w:val="nil"/>
              <w:right w:val="nil"/>
            </w:tcBorders>
            <w:shd w:val="clear" w:color="auto" w:fill="auto"/>
            <w:noWrap/>
            <w:vAlign w:val="bottom"/>
            <w:hideMark/>
          </w:tcPr>
          <w:p w14:paraId="1CECD7C5" w14:textId="77777777" w:rsidR="00A225EC" w:rsidRPr="00CA17F3" w:rsidRDefault="00A225EC" w:rsidP="00CA17F3">
            <w:pPr>
              <w:jc w:val="center"/>
              <w:rPr>
                <w:rFonts w:asciiTheme="majorHAnsi" w:hAnsiTheme="majorHAnsi" w:cstheme="majorHAnsi"/>
                <w:color w:val="000000"/>
              </w:rPr>
            </w:pPr>
            <w:r w:rsidRPr="00CA17F3">
              <w:rPr>
                <w:rFonts w:asciiTheme="majorHAnsi" w:hAnsiTheme="majorHAnsi" w:cstheme="majorHAnsi"/>
                <w:color w:val="000000"/>
              </w:rPr>
              <w:t>0.041</w:t>
            </w:r>
          </w:p>
        </w:tc>
      </w:tr>
    </w:tbl>
    <w:p w14:paraId="34AE914B" w14:textId="40B9BC4B" w:rsidR="00A225EC" w:rsidRDefault="00A225EC">
      <w:pPr>
        <w:rPr>
          <w:rFonts w:asciiTheme="majorHAnsi" w:hAnsiTheme="majorHAnsi" w:cstheme="majorHAnsi"/>
        </w:rPr>
      </w:pPr>
    </w:p>
    <w:p w14:paraId="30796E53" w14:textId="3BC8263C" w:rsidR="00A225EC" w:rsidRDefault="002668D2">
      <w:pPr>
        <w:rPr>
          <w:rFonts w:asciiTheme="majorHAnsi" w:hAnsiTheme="majorHAnsi" w:cstheme="majorHAnsi"/>
        </w:rPr>
      </w:pPr>
      <w:r>
        <w:rPr>
          <w:rFonts w:asciiTheme="majorHAnsi" w:hAnsiTheme="majorHAnsi" w:cstheme="majorHAnsi"/>
        </w:rPr>
        <w:t xml:space="preserve">Note: </w:t>
      </w:r>
      <w:proofErr w:type="spellStart"/>
      <w:r w:rsidR="0025481E" w:rsidRPr="00CA17F3">
        <w:rPr>
          <w:rFonts w:asciiTheme="majorHAnsi" w:hAnsiTheme="majorHAnsi" w:cstheme="majorHAnsi"/>
          <w:vertAlign w:val="superscript"/>
        </w:rPr>
        <w:t>a</w:t>
      </w:r>
      <w:r w:rsidR="0025481E">
        <w:rPr>
          <w:rFonts w:asciiTheme="majorHAnsi" w:hAnsiTheme="majorHAnsi" w:cstheme="majorHAnsi"/>
        </w:rPr>
        <w:t>Ka</w:t>
      </w:r>
      <w:proofErr w:type="spellEnd"/>
      <w:r w:rsidR="0025481E">
        <w:rPr>
          <w:rFonts w:asciiTheme="majorHAnsi" w:hAnsiTheme="majorHAnsi" w:cstheme="majorHAnsi"/>
        </w:rPr>
        <w:t xml:space="preserve"> is the first order rate constant connecting the gut and the central compartment; SCL is the first-order clearance of drug from the central compartment; Kcp and Kpc are the first order intercompartmental rate constants; </w:t>
      </w:r>
      <w:proofErr w:type="spellStart"/>
      <w:r w:rsidR="0025481E">
        <w:rPr>
          <w:rFonts w:asciiTheme="majorHAnsi" w:hAnsiTheme="majorHAnsi" w:cstheme="majorHAnsi"/>
        </w:rPr>
        <w:t>Tlag</w:t>
      </w:r>
      <w:proofErr w:type="spellEnd"/>
      <w:r w:rsidR="0025481E">
        <w:rPr>
          <w:rFonts w:asciiTheme="majorHAnsi" w:hAnsiTheme="majorHAnsi" w:cstheme="majorHAnsi"/>
        </w:rPr>
        <w:t xml:space="preserve"> is the lag time in absorption and F is the bioavailability which was not estimated because of the absence of an i.v. formulation. </w:t>
      </w:r>
      <w:r w:rsidR="008E44F1">
        <w:rPr>
          <w:rFonts w:asciiTheme="majorHAnsi" w:hAnsiTheme="majorHAnsi" w:cstheme="majorHAnsi"/>
        </w:rPr>
        <w:t xml:space="preserve"> </w:t>
      </w:r>
    </w:p>
    <w:p w14:paraId="5C410B15" w14:textId="2D5A39D9" w:rsidR="00A225EC" w:rsidRDefault="00A225EC">
      <w:pPr>
        <w:rPr>
          <w:rFonts w:asciiTheme="majorHAnsi" w:hAnsiTheme="majorHAnsi" w:cstheme="majorHAnsi"/>
        </w:rPr>
      </w:pPr>
    </w:p>
    <w:p w14:paraId="796A122B" w14:textId="7275AFE4" w:rsidR="00A225EC" w:rsidRDefault="00A225EC">
      <w:pPr>
        <w:rPr>
          <w:rFonts w:asciiTheme="majorHAnsi" w:hAnsiTheme="majorHAnsi" w:cstheme="majorHAnsi"/>
        </w:rPr>
      </w:pPr>
    </w:p>
    <w:p w14:paraId="27E9B93D" w14:textId="23A7496C" w:rsidR="00A225EC" w:rsidRDefault="00A225EC">
      <w:pPr>
        <w:rPr>
          <w:rFonts w:asciiTheme="majorHAnsi" w:hAnsiTheme="majorHAnsi" w:cstheme="majorHAnsi"/>
        </w:rPr>
      </w:pPr>
    </w:p>
    <w:p w14:paraId="63B87067" w14:textId="3EB05737" w:rsidR="00A225EC" w:rsidRDefault="00A225EC">
      <w:pPr>
        <w:rPr>
          <w:rFonts w:asciiTheme="majorHAnsi" w:hAnsiTheme="majorHAnsi" w:cstheme="majorHAnsi"/>
        </w:rPr>
      </w:pPr>
    </w:p>
    <w:p w14:paraId="0E0EA3D6" w14:textId="1370FFDD" w:rsidR="00A225EC" w:rsidRDefault="00A225EC">
      <w:pPr>
        <w:rPr>
          <w:rFonts w:asciiTheme="majorHAnsi" w:hAnsiTheme="majorHAnsi" w:cstheme="majorHAnsi"/>
        </w:rPr>
      </w:pPr>
    </w:p>
    <w:p w14:paraId="71148E16" w14:textId="6465937E" w:rsidR="00A225EC" w:rsidRDefault="00A225EC">
      <w:pPr>
        <w:rPr>
          <w:rFonts w:asciiTheme="majorHAnsi" w:hAnsiTheme="majorHAnsi" w:cstheme="majorHAnsi"/>
        </w:rPr>
      </w:pPr>
    </w:p>
    <w:p w14:paraId="27D83E6A" w14:textId="22B172E2" w:rsidR="00A225EC" w:rsidRDefault="00A225EC">
      <w:pPr>
        <w:rPr>
          <w:rFonts w:asciiTheme="majorHAnsi" w:hAnsiTheme="majorHAnsi" w:cstheme="majorHAnsi"/>
        </w:rPr>
      </w:pPr>
    </w:p>
    <w:p w14:paraId="0C9111C2" w14:textId="2648E75E" w:rsidR="00A225EC" w:rsidRDefault="00A225EC">
      <w:pPr>
        <w:rPr>
          <w:rFonts w:asciiTheme="majorHAnsi" w:hAnsiTheme="majorHAnsi" w:cstheme="majorHAnsi"/>
        </w:rPr>
      </w:pPr>
    </w:p>
    <w:p w14:paraId="55E0B78C" w14:textId="38D5B1A3" w:rsidR="00A225EC" w:rsidRDefault="00A225EC">
      <w:pPr>
        <w:rPr>
          <w:rFonts w:asciiTheme="majorHAnsi" w:hAnsiTheme="majorHAnsi" w:cstheme="majorHAnsi"/>
        </w:rPr>
      </w:pPr>
    </w:p>
    <w:p w14:paraId="790C8A4F" w14:textId="4C6199D0" w:rsidR="00A225EC" w:rsidRDefault="00A225EC">
      <w:pPr>
        <w:rPr>
          <w:rFonts w:asciiTheme="majorHAnsi" w:hAnsiTheme="majorHAnsi" w:cstheme="majorHAnsi"/>
        </w:rPr>
      </w:pPr>
    </w:p>
    <w:p w14:paraId="57568BCA" w14:textId="1B706E30" w:rsidR="00A225EC" w:rsidRDefault="00A225EC">
      <w:pPr>
        <w:rPr>
          <w:rFonts w:asciiTheme="majorHAnsi" w:hAnsiTheme="majorHAnsi" w:cstheme="majorHAnsi"/>
        </w:rPr>
      </w:pPr>
    </w:p>
    <w:p w14:paraId="433FE8DA" w14:textId="3F9325D4" w:rsidR="00A225EC" w:rsidRDefault="00A225EC">
      <w:pPr>
        <w:rPr>
          <w:rFonts w:asciiTheme="majorHAnsi" w:hAnsiTheme="majorHAnsi" w:cstheme="majorHAnsi"/>
        </w:rPr>
      </w:pPr>
    </w:p>
    <w:p w14:paraId="0B1EFC4D" w14:textId="435C9C52" w:rsidR="00A225EC" w:rsidRDefault="00A225EC">
      <w:pPr>
        <w:rPr>
          <w:rFonts w:asciiTheme="majorHAnsi" w:hAnsiTheme="majorHAnsi" w:cstheme="majorHAnsi"/>
        </w:rPr>
      </w:pPr>
    </w:p>
    <w:p w14:paraId="52E5C271" w14:textId="095803CA" w:rsidR="00A225EC" w:rsidRDefault="00A225EC">
      <w:pPr>
        <w:rPr>
          <w:rFonts w:asciiTheme="majorHAnsi" w:hAnsiTheme="majorHAnsi" w:cstheme="majorHAnsi"/>
        </w:rPr>
      </w:pPr>
    </w:p>
    <w:p w14:paraId="10960226" w14:textId="371D423A" w:rsidR="00A225EC" w:rsidRDefault="00A225EC">
      <w:pPr>
        <w:rPr>
          <w:rFonts w:asciiTheme="majorHAnsi" w:hAnsiTheme="majorHAnsi" w:cstheme="majorHAnsi"/>
        </w:rPr>
      </w:pPr>
    </w:p>
    <w:p w14:paraId="78827B9D" w14:textId="24D0EE96" w:rsidR="00A225EC" w:rsidRDefault="00A225EC">
      <w:pPr>
        <w:rPr>
          <w:rFonts w:asciiTheme="majorHAnsi" w:hAnsiTheme="majorHAnsi" w:cstheme="majorHAnsi"/>
        </w:rPr>
      </w:pPr>
    </w:p>
    <w:p w14:paraId="7E5DBEDD" w14:textId="0F82A2F0" w:rsidR="00A225EC" w:rsidRDefault="00A225EC">
      <w:pPr>
        <w:rPr>
          <w:rFonts w:asciiTheme="majorHAnsi" w:hAnsiTheme="majorHAnsi" w:cstheme="majorHAnsi"/>
        </w:rPr>
      </w:pPr>
    </w:p>
    <w:p w14:paraId="21B17E99" w14:textId="77777777" w:rsidR="00A225EC" w:rsidRDefault="00A225EC">
      <w:pPr>
        <w:rPr>
          <w:rFonts w:asciiTheme="majorHAnsi" w:hAnsiTheme="majorHAnsi" w:cstheme="majorHAnsi"/>
        </w:rPr>
      </w:pPr>
    </w:p>
    <w:p w14:paraId="4533B4C9" w14:textId="37450CA8" w:rsidR="00A225EC" w:rsidRDefault="00A225EC">
      <w:pPr>
        <w:rPr>
          <w:rFonts w:asciiTheme="majorHAnsi" w:hAnsiTheme="majorHAnsi" w:cstheme="majorHAnsi"/>
        </w:rPr>
      </w:pPr>
      <w:r>
        <w:rPr>
          <w:rFonts w:asciiTheme="majorHAnsi" w:hAnsiTheme="majorHAnsi" w:cstheme="majorHAnsi"/>
        </w:rPr>
        <w:br w:type="page"/>
      </w:r>
    </w:p>
    <w:p w14:paraId="2EF95665" w14:textId="77777777" w:rsidR="00C05944" w:rsidRDefault="00C05944">
      <w:pPr>
        <w:rPr>
          <w:rFonts w:asciiTheme="majorHAnsi" w:hAnsiTheme="majorHAnsi" w:cstheme="majorHAnsi"/>
        </w:rPr>
      </w:pPr>
    </w:p>
    <w:p w14:paraId="18FAE30B" w14:textId="2C0D986E" w:rsidR="00C05944" w:rsidRDefault="00C05944">
      <w:pPr>
        <w:rPr>
          <w:rFonts w:asciiTheme="majorHAnsi" w:hAnsiTheme="majorHAnsi" w:cstheme="majorHAnsi"/>
        </w:rPr>
      </w:pPr>
      <w:r>
        <w:rPr>
          <w:rFonts w:asciiTheme="majorHAnsi" w:hAnsiTheme="majorHAnsi" w:cstheme="majorHAnsi"/>
        </w:rPr>
        <w:t>Table 3</w:t>
      </w:r>
      <w:r w:rsidR="002668D2">
        <w:rPr>
          <w:rFonts w:asciiTheme="majorHAnsi" w:hAnsiTheme="majorHAnsi" w:cstheme="majorHAnsi"/>
        </w:rPr>
        <w:t>. The parameter estimates from the population PD analysis of the single dose experiment in mice</w:t>
      </w:r>
    </w:p>
    <w:p w14:paraId="1AF01123" w14:textId="5CDFEB1F" w:rsidR="0071579A" w:rsidRDefault="0071579A">
      <w:pPr>
        <w:rPr>
          <w:rFonts w:asciiTheme="majorHAnsi" w:hAnsiTheme="majorHAnsi" w:cstheme="majorHAnsi"/>
        </w:rPr>
      </w:pPr>
    </w:p>
    <w:tbl>
      <w:tblPr>
        <w:tblW w:w="3418" w:type="dxa"/>
        <w:tblLook w:val="04A0" w:firstRow="1" w:lastRow="0" w:firstColumn="1" w:lastColumn="0" w:noHBand="0" w:noVBand="1"/>
      </w:tblPr>
      <w:tblGrid>
        <w:gridCol w:w="2694"/>
        <w:gridCol w:w="1433"/>
      </w:tblGrid>
      <w:tr w:rsidR="009D0315" w:rsidRPr="009D0315" w14:paraId="098E9A13" w14:textId="77777777" w:rsidTr="00CA17F3">
        <w:trPr>
          <w:trHeight w:val="320"/>
        </w:trPr>
        <w:tc>
          <w:tcPr>
            <w:tcW w:w="2694" w:type="dxa"/>
            <w:tcBorders>
              <w:top w:val="nil"/>
              <w:left w:val="nil"/>
              <w:bottom w:val="nil"/>
              <w:right w:val="nil"/>
            </w:tcBorders>
            <w:shd w:val="clear" w:color="auto" w:fill="auto"/>
            <w:noWrap/>
            <w:vAlign w:val="bottom"/>
            <w:hideMark/>
          </w:tcPr>
          <w:p w14:paraId="0982F37B" w14:textId="49D65FDE" w:rsidR="009D0315" w:rsidRPr="00CA17F3" w:rsidRDefault="002668D2" w:rsidP="009D0315">
            <w:pPr>
              <w:rPr>
                <w:rFonts w:asciiTheme="majorHAnsi" w:hAnsiTheme="majorHAnsi" w:cstheme="majorHAnsi"/>
              </w:rPr>
            </w:pPr>
            <w:proofErr w:type="spellStart"/>
            <w:r w:rsidRPr="00B84AED">
              <w:rPr>
                <w:rFonts w:asciiTheme="majorHAnsi" w:hAnsiTheme="majorHAnsi" w:cstheme="majorHAnsi"/>
                <w:vertAlign w:val="superscript"/>
              </w:rPr>
              <w:t>a</w:t>
            </w:r>
            <w:r w:rsidRPr="00CA17F3">
              <w:rPr>
                <w:rFonts w:asciiTheme="majorHAnsi" w:hAnsiTheme="majorHAnsi" w:cstheme="majorHAnsi"/>
              </w:rPr>
              <w:t>Parameter</w:t>
            </w:r>
            <w:proofErr w:type="spellEnd"/>
            <w:r>
              <w:rPr>
                <w:rFonts w:asciiTheme="majorHAnsi" w:hAnsiTheme="majorHAnsi" w:cstheme="majorHAnsi"/>
              </w:rPr>
              <w:t xml:space="preserve"> (Units)</w:t>
            </w:r>
          </w:p>
        </w:tc>
        <w:tc>
          <w:tcPr>
            <w:tcW w:w="724" w:type="dxa"/>
            <w:tcBorders>
              <w:top w:val="nil"/>
              <w:left w:val="nil"/>
              <w:bottom w:val="nil"/>
              <w:right w:val="nil"/>
            </w:tcBorders>
            <w:shd w:val="clear" w:color="auto" w:fill="auto"/>
            <w:noWrap/>
            <w:vAlign w:val="bottom"/>
            <w:hideMark/>
          </w:tcPr>
          <w:p w14:paraId="7FC37C90" w14:textId="5EB15CFA" w:rsidR="009D0315" w:rsidRPr="00CA17F3" w:rsidRDefault="009D0315" w:rsidP="009D0315">
            <w:pPr>
              <w:rPr>
                <w:rFonts w:asciiTheme="majorHAnsi" w:hAnsiTheme="majorHAnsi" w:cstheme="majorHAnsi"/>
                <w:color w:val="000000"/>
              </w:rPr>
            </w:pPr>
            <w:proofErr w:type="spellStart"/>
            <w:r w:rsidRPr="00CA17F3">
              <w:rPr>
                <w:rFonts w:asciiTheme="majorHAnsi" w:hAnsiTheme="majorHAnsi" w:cstheme="majorHAnsi"/>
                <w:color w:val="000000"/>
              </w:rPr>
              <w:t>Mean</w:t>
            </w:r>
            <w:r w:rsidR="002668D2" w:rsidRPr="00CA17F3">
              <w:rPr>
                <w:rFonts w:asciiTheme="majorHAnsi" w:hAnsiTheme="majorHAnsi" w:cstheme="majorHAnsi"/>
                <w:color w:val="000000"/>
                <w:vertAlign w:val="superscript"/>
              </w:rPr>
              <w:t>b</w:t>
            </w:r>
            <w:proofErr w:type="spellEnd"/>
          </w:p>
        </w:tc>
      </w:tr>
      <w:tr w:rsidR="009D0315" w:rsidRPr="009D0315" w14:paraId="42CCF6A2" w14:textId="77777777" w:rsidTr="00CA17F3">
        <w:trPr>
          <w:trHeight w:val="320"/>
        </w:trPr>
        <w:tc>
          <w:tcPr>
            <w:tcW w:w="2694" w:type="dxa"/>
            <w:tcBorders>
              <w:top w:val="nil"/>
              <w:left w:val="nil"/>
              <w:bottom w:val="nil"/>
              <w:right w:val="nil"/>
            </w:tcBorders>
            <w:shd w:val="clear" w:color="auto" w:fill="auto"/>
            <w:noWrap/>
            <w:vAlign w:val="bottom"/>
            <w:hideMark/>
          </w:tcPr>
          <w:p w14:paraId="3EB984D3" w14:textId="267C1806" w:rsidR="009D0315" w:rsidRPr="00CA17F3" w:rsidRDefault="009D0315" w:rsidP="009D0315">
            <w:pPr>
              <w:rPr>
                <w:rFonts w:asciiTheme="majorHAnsi" w:hAnsiTheme="majorHAnsi" w:cstheme="majorHAnsi"/>
                <w:color w:val="000000"/>
              </w:rPr>
            </w:pPr>
            <w:proofErr w:type="spellStart"/>
            <w:r w:rsidRPr="00CA17F3">
              <w:rPr>
                <w:rFonts w:asciiTheme="majorHAnsi" w:hAnsiTheme="majorHAnsi" w:cstheme="majorHAnsi"/>
                <w:color w:val="000000"/>
              </w:rPr>
              <w:t>Kgmax</w:t>
            </w:r>
            <w:proofErr w:type="spellEnd"/>
            <w:r w:rsidR="002668D2">
              <w:rPr>
                <w:rFonts w:asciiTheme="majorHAnsi" w:hAnsiTheme="majorHAnsi" w:cstheme="majorHAnsi"/>
                <w:color w:val="000000"/>
              </w:rPr>
              <w:t xml:space="preserve"> (log</w:t>
            </w:r>
            <w:r w:rsidR="002668D2" w:rsidRPr="00CA17F3">
              <w:rPr>
                <w:rFonts w:asciiTheme="majorHAnsi" w:hAnsiTheme="majorHAnsi" w:cstheme="majorHAnsi"/>
                <w:color w:val="000000"/>
                <w:vertAlign w:val="subscript"/>
              </w:rPr>
              <w:t>10</w:t>
            </w:r>
            <w:r w:rsidR="002668D2">
              <w:rPr>
                <w:rFonts w:asciiTheme="majorHAnsi" w:hAnsiTheme="majorHAnsi" w:cstheme="majorHAnsi"/>
                <w:color w:val="000000"/>
              </w:rPr>
              <w:t>CFU/g/h)</w:t>
            </w:r>
          </w:p>
        </w:tc>
        <w:tc>
          <w:tcPr>
            <w:tcW w:w="724" w:type="dxa"/>
            <w:tcBorders>
              <w:top w:val="nil"/>
              <w:left w:val="nil"/>
              <w:bottom w:val="nil"/>
              <w:right w:val="nil"/>
            </w:tcBorders>
            <w:shd w:val="clear" w:color="auto" w:fill="auto"/>
            <w:noWrap/>
            <w:vAlign w:val="bottom"/>
            <w:hideMark/>
          </w:tcPr>
          <w:p w14:paraId="6E2955C9" w14:textId="24421F13" w:rsidR="009D0315" w:rsidRPr="00CA17F3" w:rsidRDefault="009D0315" w:rsidP="009D0315">
            <w:pPr>
              <w:jc w:val="right"/>
              <w:rPr>
                <w:rFonts w:asciiTheme="majorHAnsi" w:hAnsiTheme="majorHAnsi" w:cstheme="majorHAnsi"/>
                <w:color w:val="000000"/>
              </w:rPr>
            </w:pPr>
            <w:r w:rsidRPr="00CA17F3">
              <w:rPr>
                <w:rFonts w:asciiTheme="majorHAnsi" w:hAnsiTheme="majorHAnsi" w:cstheme="majorHAnsi"/>
                <w:color w:val="000000"/>
              </w:rPr>
              <w:t>0.51</w:t>
            </w:r>
            <w:r w:rsidR="005E7849">
              <w:rPr>
                <w:rFonts w:asciiTheme="majorHAnsi" w:hAnsiTheme="majorHAnsi" w:cstheme="majorHAnsi"/>
                <w:color w:val="000000"/>
              </w:rPr>
              <w:t>5</w:t>
            </w:r>
          </w:p>
        </w:tc>
      </w:tr>
      <w:tr w:rsidR="009D0315" w:rsidRPr="009D0315" w14:paraId="6F7414A6" w14:textId="77777777" w:rsidTr="00CA17F3">
        <w:trPr>
          <w:trHeight w:val="320"/>
        </w:trPr>
        <w:tc>
          <w:tcPr>
            <w:tcW w:w="2694" w:type="dxa"/>
            <w:tcBorders>
              <w:top w:val="nil"/>
              <w:left w:val="nil"/>
              <w:bottom w:val="nil"/>
              <w:right w:val="nil"/>
            </w:tcBorders>
            <w:shd w:val="clear" w:color="auto" w:fill="auto"/>
            <w:noWrap/>
            <w:vAlign w:val="bottom"/>
            <w:hideMark/>
          </w:tcPr>
          <w:p w14:paraId="4C1E6D02" w14:textId="77777777" w:rsidR="009D0315" w:rsidRPr="00CA17F3" w:rsidRDefault="009D0315" w:rsidP="009D0315">
            <w:pPr>
              <w:rPr>
                <w:rFonts w:asciiTheme="majorHAnsi" w:hAnsiTheme="majorHAnsi" w:cstheme="majorHAnsi"/>
                <w:color w:val="000000"/>
              </w:rPr>
            </w:pPr>
            <w:r w:rsidRPr="00CA17F3">
              <w:rPr>
                <w:rFonts w:asciiTheme="majorHAnsi" w:hAnsiTheme="majorHAnsi" w:cstheme="majorHAnsi"/>
                <w:color w:val="000000"/>
              </w:rPr>
              <w:t>Hg</w:t>
            </w:r>
          </w:p>
        </w:tc>
        <w:tc>
          <w:tcPr>
            <w:tcW w:w="724" w:type="dxa"/>
            <w:tcBorders>
              <w:top w:val="nil"/>
              <w:left w:val="nil"/>
              <w:bottom w:val="nil"/>
              <w:right w:val="nil"/>
            </w:tcBorders>
            <w:shd w:val="clear" w:color="auto" w:fill="auto"/>
            <w:noWrap/>
            <w:vAlign w:val="bottom"/>
            <w:hideMark/>
          </w:tcPr>
          <w:p w14:paraId="4648BC7E" w14:textId="399AC306" w:rsidR="009D0315" w:rsidRPr="00CA17F3" w:rsidRDefault="009D0315" w:rsidP="009D0315">
            <w:pPr>
              <w:jc w:val="right"/>
              <w:rPr>
                <w:rFonts w:asciiTheme="majorHAnsi" w:hAnsiTheme="majorHAnsi" w:cstheme="majorHAnsi"/>
                <w:color w:val="000000"/>
              </w:rPr>
            </w:pPr>
            <w:r w:rsidRPr="00CA17F3">
              <w:rPr>
                <w:rFonts w:asciiTheme="majorHAnsi" w:hAnsiTheme="majorHAnsi" w:cstheme="majorHAnsi"/>
                <w:color w:val="000000"/>
              </w:rPr>
              <w:t>19.944</w:t>
            </w:r>
          </w:p>
        </w:tc>
      </w:tr>
      <w:tr w:rsidR="009D0315" w:rsidRPr="009D0315" w14:paraId="09A98CF4" w14:textId="77777777" w:rsidTr="00CA17F3">
        <w:trPr>
          <w:trHeight w:val="320"/>
        </w:trPr>
        <w:tc>
          <w:tcPr>
            <w:tcW w:w="2694" w:type="dxa"/>
            <w:tcBorders>
              <w:top w:val="nil"/>
              <w:left w:val="nil"/>
              <w:bottom w:val="nil"/>
              <w:right w:val="nil"/>
            </w:tcBorders>
            <w:shd w:val="clear" w:color="auto" w:fill="auto"/>
            <w:noWrap/>
            <w:vAlign w:val="bottom"/>
            <w:hideMark/>
          </w:tcPr>
          <w:p w14:paraId="53490D34" w14:textId="58AB313D" w:rsidR="009D0315" w:rsidRPr="00CA17F3" w:rsidRDefault="009D0315" w:rsidP="009D0315">
            <w:pPr>
              <w:rPr>
                <w:rFonts w:asciiTheme="majorHAnsi" w:hAnsiTheme="majorHAnsi" w:cstheme="majorHAnsi"/>
                <w:color w:val="000000"/>
              </w:rPr>
            </w:pPr>
            <w:r w:rsidRPr="00CA17F3">
              <w:rPr>
                <w:rFonts w:asciiTheme="majorHAnsi" w:hAnsiTheme="majorHAnsi" w:cstheme="majorHAnsi"/>
                <w:color w:val="000000"/>
              </w:rPr>
              <w:t>C50g</w:t>
            </w:r>
            <w:r w:rsidR="002668D2">
              <w:rPr>
                <w:rFonts w:asciiTheme="majorHAnsi" w:hAnsiTheme="majorHAnsi" w:cstheme="majorHAnsi"/>
                <w:color w:val="000000"/>
              </w:rPr>
              <w:t xml:space="preserve"> (mg/L)</w:t>
            </w:r>
          </w:p>
        </w:tc>
        <w:tc>
          <w:tcPr>
            <w:tcW w:w="724" w:type="dxa"/>
            <w:tcBorders>
              <w:top w:val="nil"/>
              <w:left w:val="nil"/>
              <w:bottom w:val="nil"/>
              <w:right w:val="nil"/>
            </w:tcBorders>
            <w:shd w:val="clear" w:color="auto" w:fill="auto"/>
            <w:noWrap/>
            <w:vAlign w:val="bottom"/>
            <w:hideMark/>
          </w:tcPr>
          <w:p w14:paraId="348C691F" w14:textId="58EE73F9" w:rsidR="009D0315" w:rsidRPr="00CA17F3" w:rsidRDefault="009D0315" w:rsidP="009D0315">
            <w:pPr>
              <w:jc w:val="right"/>
              <w:rPr>
                <w:rFonts w:asciiTheme="majorHAnsi" w:hAnsiTheme="majorHAnsi" w:cstheme="majorHAnsi"/>
                <w:color w:val="000000"/>
              </w:rPr>
            </w:pPr>
            <w:r w:rsidRPr="00CA17F3">
              <w:rPr>
                <w:rFonts w:asciiTheme="majorHAnsi" w:hAnsiTheme="majorHAnsi" w:cstheme="majorHAnsi"/>
                <w:color w:val="000000"/>
              </w:rPr>
              <w:t>1.</w:t>
            </w:r>
            <w:r w:rsidR="005E7849" w:rsidRPr="00CA17F3">
              <w:rPr>
                <w:rFonts w:asciiTheme="majorHAnsi" w:hAnsiTheme="majorHAnsi" w:cstheme="majorHAnsi"/>
                <w:color w:val="000000"/>
              </w:rPr>
              <w:t>24</w:t>
            </w:r>
            <w:r w:rsidR="005E7849">
              <w:rPr>
                <w:rFonts w:asciiTheme="majorHAnsi" w:hAnsiTheme="majorHAnsi" w:cstheme="majorHAnsi"/>
                <w:color w:val="000000"/>
              </w:rPr>
              <w:t>5</w:t>
            </w:r>
          </w:p>
        </w:tc>
      </w:tr>
      <w:tr w:rsidR="009D0315" w:rsidRPr="009D0315" w14:paraId="0D02F175" w14:textId="77777777" w:rsidTr="00CA17F3">
        <w:trPr>
          <w:trHeight w:val="320"/>
        </w:trPr>
        <w:tc>
          <w:tcPr>
            <w:tcW w:w="2694" w:type="dxa"/>
            <w:tcBorders>
              <w:top w:val="nil"/>
              <w:left w:val="nil"/>
              <w:bottom w:val="nil"/>
              <w:right w:val="nil"/>
            </w:tcBorders>
            <w:shd w:val="clear" w:color="auto" w:fill="auto"/>
            <w:noWrap/>
            <w:vAlign w:val="bottom"/>
            <w:hideMark/>
          </w:tcPr>
          <w:p w14:paraId="48911314" w14:textId="1515EADF" w:rsidR="009D0315" w:rsidRPr="00CA17F3" w:rsidRDefault="002668D2" w:rsidP="009D0315">
            <w:pPr>
              <w:rPr>
                <w:rFonts w:asciiTheme="majorHAnsi" w:hAnsiTheme="majorHAnsi" w:cstheme="majorHAnsi"/>
                <w:color w:val="000000"/>
              </w:rPr>
            </w:pPr>
            <w:proofErr w:type="spellStart"/>
            <w:r w:rsidRPr="002668D2">
              <w:rPr>
                <w:rFonts w:asciiTheme="majorHAnsi" w:hAnsiTheme="majorHAnsi" w:cstheme="majorHAnsi"/>
                <w:color w:val="000000"/>
              </w:rPr>
              <w:t>P</w:t>
            </w:r>
            <w:r w:rsidR="009D0315" w:rsidRPr="00CA17F3">
              <w:rPr>
                <w:rFonts w:asciiTheme="majorHAnsi" w:hAnsiTheme="majorHAnsi" w:cstheme="majorHAnsi"/>
                <w:color w:val="000000"/>
              </w:rPr>
              <w:t>opmax</w:t>
            </w:r>
            <w:proofErr w:type="spellEnd"/>
            <w:r>
              <w:rPr>
                <w:rFonts w:asciiTheme="majorHAnsi" w:hAnsiTheme="majorHAnsi" w:cstheme="majorHAnsi"/>
                <w:color w:val="000000"/>
              </w:rPr>
              <w:t xml:space="preserve"> (CFU/g)</w:t>
            </w:r>
          </w:p>
        </w:tc>
        <w:tc>
          <w:tcPr>
            <w:tcW w:w="724" w:type="dxa"/>
            <w:tcBorders>
              <w:top w:val="nil"/>
              <w:left w:val="nil"/>
              <w:bottom w:val="nil"/>
              <w:right w:val="nil"/>
            </w:tcBorders>
            <w:shd w:val="clear" w:color="auto" w:fill="auto"/>
            <w:noWrap/>
            <w:vAlign w:val="bottom"/>
            <w:hideMark/>
          </w:tcPr>
          <w:p w14:paraId="0095C714" w14:textId="77777777" w:rsidR="009D0315" w:rsidRPr="00CA17F3" w:rsidRDefault="009D0315" w:rsidP="009D0315">
            <w:pPr>
              <w:jc w:val="right"/>
              <w:rPr>
                <w:rFonts w:asciiTheme="majorHAnsi" w:hAnsiTheme="majorHAnsi" w:cstheme="majorHAnsi"/>
                <w:color w:val="000000"/>
              </w:rPr>
            </w:pPr>
            <w:r w:rsidRPr="00CA17F3">
              <w:rPr>
                <w:rFonts w:asciiTheme="majorHAnsi" w:hAnsiTheme="majorHAnsi" w:cstheme="majorHAnsi"/>
                <w:color w:val="000000"/>
              </w:rPr>
              <w:t>1263693865</w:t>
            </w:r>
          </w:p>
        </w:tc>
      </w:tr>
      <w:tr w:rsidR="009D0315" w:rsidRPr="009D0315" w14:paraId="5DE87B3E" w14:textId="77777777" w:rsidTr="00CA17F3">
        <w:trPr>
          <w:trHeight w:val="320"/>
        </w:trPr>
        <w:tc>
          <w:tcPr>
            <w:tcW w:w="2694" w:type="dxa"/>
            <w:tcBorders>
              <w:top w:val="nil"/>
              <w:left w:val="nil"/>
              <w:bottom w:val="nil"/>
              <w:right w:val="nil"/>
            </w:tcBorders>
            <w:shd w:val="clear" w:color="auto" w:fill="auto"/>
            <w:noWrap/>
            <w:vAlign w:val="bottom"/>
            <w:hideMark/>
          </w:tcPr>
          <w:p w14:paraId="44F5C8E8" w14:textId="0A218580" w:rsidR="009D0315" w:rsidRPr="00CA17F3" w:rsidRDefault="002668D2" w:rsidP="009D0315">
            <w:pPr>
              <w:rPr>
                <w:rFonts w:asciiTheme="majorHAnsi" w:hAnsiTheme="majorHAnsi" w:cstheme="majorHAnsi"/>
                <w:color w:val="000000"/>
              </w:rPr>
            </w:pPr>
            <w:proofErr w:type="spellStart"/>
            <w:r w:rsidRPr="002668D2">
              <w:rPr>
                <w:rFonts w:asciiTheme="majorHAnsi" w:hAnsiTheme="majorHAnsi" w:cstheme="majorHAnsi"/>
                <w:color w:val="000000"/>
              </w:rPr>
              <w:t>K</w:t>
            </w:r>
            <w:r w:rsidR="009D0315" w:rsidRPr="00CA17F3">
              <w:rPr>
                <w:rFonts w:asciiTheme="majorHAnsi" w:hAnsiTheme="majorHAnsi" w:cstheme="majorHAnsi"/>
                <w:color w:val="000000"/>
              </w:rPr>
              <w:t>kmax</w:t>
            </w:r>
            <w:proofErr w:type="spellEnd"/>
            <w:r>
              <w:rPr>
                <w:rFonts w:asciiTheme="majorHAnsi" w:hAnsiTheme="majorHAnsi" w:cstheme="majorHAnsi"/>
                <w:color w:val="000000"/>
              </w:rPr>
              <w:t xml:space="preserve"> (log</w:t>
            </w:r>
            <w:r w:rsidRPr="00B84AED">
              <w:rPr>
                <w:rFonts w:asciiTheme="majorHAnsi" w:hAnsiTheme="majorHAnsi" w:cstheme="majorHAnsi"/>
                <w:color w:val="000000"/>
                <w:vertAlign w:val="subscript"/>
              </w:rPr>
              <w:t>10</w:t>
            </w:r>
            <w:r>
              <w:rPr>
                <w:rFonts w:asciiTheme="majorHAnsi" w:hAnsiTheme="majorHAnsi" w:cstheme="majorHAnsi"/>
                <w:color w:val="000000"/>
              </w:rPr>
              <w:t>CFU/g/h)</w:t>
            </w:r>
          </w:p>
        </w:tc>
        <w:tc>
          <w:tcPr>
            <w:tcW w:w="724" w:type="dxa"/>
            <w:tcBorders>
              <w:top w:val="nil"/>
              <w:left w:val="nil"/>
              <w:bottom w:val="nil"/>
              <w:right w:val="nil"/>
            </w:tcBorders>
            <w:shd w:val="clear" w:color="auto" w:fill="auto"/>
            <w:noWrap/>
            <w:vAlign w:val="bottom"/>
            <w:hideMark/>
          </w:tcPr>
          <w:p w14:paraId="2429427D" w14:textId="581391C1" w:rsidR="009D0315" w:rsidRPr="00CA17F3" w:rsidRDefault="009D0315" w:rsidP="009D0315">
            <w:pPr>
              <w:jc w:val="right"/>
              <w:rPr>
                <w:rFonts w:asciiTheme="majorHAnsi" w:hAnsiTheme="majorHAnsi" w:cstheme="majorHAnsi"/>
                <w:color w:val="000000"/>
              </w:rPr>
            </w:pPr>
            <w:r w:rsidRPr="00CA17F3">
              <w:rPr>
                <w:rFonts w:asciiTheme="majorHAnsi" w:hAnsiTheme="majorHAnsi" w:cstheme="majorHAnsi"/>
                <w:color w:val="000000"/>
              </w:rPr>
              <w:t>0.</w:t>
            </w:r>
            <w:r w:rsidR="005E7849" w:rsidRPr="00CA17F3">
              <w:rPr>
                <w:rFonts w:asciiTheme="majorHAnsi" w:hAnsiTheme="majorHAnsi" w:cstheme="majorHAnsi"/>
                <w:color w:val="000000"/>
              </w:rPr>
              <w:t>46</w:t>
            </w:r>
            <w:r w:rsidR="005E7849">
              <w:rPr>
                <w:rFonts w:asciiTheme="majorHAnsi" w:hAnsiTheme="majorHAnsi" w:cstheme="majorHAnsi"/>
                <w:color w:val="000000"/>
              </w:rPr>
              <w:t>9</w:t>
            </w:r>
          </w:p>
        </w:tc>
      </w:tr>
      <w:tr w:rsidR="009D0315" w:rsidRPr="009D0315" w14:paraId="7CCA61B5" w14:textId="77777777" w:rsidTr="00CA17F3">
        <w:trPr>
          <w:trHeight w:val="320"/>
        </w:trPr>
        <w:tc>
          <w:tcPr>
            <w:tcW w:w="2694" w:type="dxa"/>
            <w:tcBorders>
              <w:top w:val="nil"/>
              <w:left w:val="nil"/>
              <w:bottom w:val="nil"/>
              <w:right w:val="nil"/>
            </w:tcBorders>
            <w:shd w:val="clear" w:color="auto" w:fill="auto"/>
            <w:noWrap/>
            <w:vAlign w:val="bottom"/>
            <w:hideMark/>
          </w:tcPr>
          <w:p w14:paraId="3ACCDE74" w14:textId="342E6A58" w:rsidR="009D0315" w:rsidRPr="00CA17F3" w:rsidRDefault="009D0315" w:rsidP="009D0315">
            <w:pPr>
              <w:rPr>
                <w:rFonts w:asciiTheme="majorHAnsi" w:hAnsiTheme="majorHAnsi" w:cstheme="majorHAnsi"/>
                <w:color w:val="000000"/>
              </w:rPr>
            </w:pPr>
            <w:r w:rsidRPr="00CA17F3">
              <w:rPr>
                <w:rFonts w:asciiTheme="majorHAnsi" w:hAnsiTheme="majorHAnsi" w:cstheme="majorHAnsi"/>
                <w:color w:val="000000"/>
              </w:rPr>
              <w:t>C50k</w:t>
            </w:r>
            <w:r w:rsidR="002668D2">
              <w:rPr>
                <w:rFonts w:asciiTheme="majorHAnsi" w:hAnsiTheme="majorHAnsi" w:cstheme="majorHAnsi"/>
                <w:color w:val="000000"/>
              </w:rPr>
              <w:t xml:space="preserve"> (mg/L</w:t>
            </w:r>
          </w:p>
        </w:tc>
        <w:tc>
          <w:tcPr>
            <w:tcW w:w="724" w:type="dxa"/>
            <w:tcBorders>
              <w:top w:val="nil"/>
              <w:left w:val="nil"/>
              <w:bottom w:val="nil"/>
              <w:right w:val="nil"/>
            </w:tcBorders>
            <w:shd w:val="clear" w:color="auto" w:fill="auto"/>
            <w:noWrap/>
            <w:vAlign w:val="bottom"/>
            <w:hideMark/>
          </w:tcPr>
          <w:p w14:paraId="607ED551" w14:textId="5E3B5EC4" w:rsidR="009D0315" w:rsidRPr="00CA17F3" w:rsidRDefault="009D0315" w:rsidP="009D0315">
            <w:pPr>
              <w:jc w:val="right"/>
              <w:rPr>
                <w:rFonts w:asciiTheme="majorHAnsi" w:hAnsiTheme="majorHAnsi" w:cstheme="majorHAnsi"/>
                <w:color w:val="000000"/>
              </w:rPr>
            </w:pPr>
            <w:r w:rsidRPr="00CA17F3">
              <w:rPr>
                <w:rFonts w:asciiTheme="majorHAnsi" w:hAnsiTheme="majorHAnsi" w:cstheme="majorHAnsi"/>
                <w:color w:val="000000"/>
              </w:rPr>
              <w:t>49.994</w:t>
            </w:r>
          </w:p>
        </w:tc>
      </w:tr>
      <w:tr w:rsidR="009D0315" w:rsidRPr="009D0315" w14:paraId="59889C54" w14:textId="77777777" w:rsidTr="00CA17F3">
        <w:trPr>
          <w:trHeight w:val="320"/>
        </w:trPr>
        <w:tc>
          <w:tcPr>
            <w:tcW w:w="2694" w:type="dxa"/>
            <w:tcBorders>
              <w:top w:val="nil"/>
              <w:left w:val="nil"/>
              <w:bottom w:val="nil"/>
              <w:right w:val="nil"/>
            </w:tcBorders>
            <w:shd w:val="clear" w:color="auto" w:fill="auto"/>
            <w:noWrap/>
            <w:vAlign w:val="bottom"/>
            <w:hideMark/>
          </w:tcPr>
          <w:p w14:paraId="7B13626C" w14:textId="77777777" w:rsidR="009D0315" w:rsidRPr="00CA17F3" w:rsidRDefault="009D0315" w:rsidP="009D0315">
            <w:pPr>
              <w:rPr>
                <w:rFonts w:asciiTheme="majorHAnsi" w:hAnsiTheme="majorHAnsi" w:cstheme="majorHAnsi"/>
                <w:color w:val="000000"/>
              </w:rPr>
            </w:pPr>
            <w:proofErr w:type="spellStart"/>
            <w:r w:rsidRPr="00CA17F3">
              <w:rPr>
                <w:rFonts w:asciiTheme="majorHAnsi" w:hAnsiTheme="majorHAnsi" w:cstheme="majorHAnsi"/>
                <w:color w:val="000000"/>
              </w:rPr>
              <w:t>Hk</w:t>
            </w:r>
            <w:proofErr w:type="spellEnd"/>
          </w:p>
        </w:tc>
        <w:tc>
          <w:tcPr>
            <w:tcW w:w="724" w:type="dxa"/>
            <w:tcBorders>
              <w:top w:val="nil"/>
              <w:left w:val="nil"/>
              <w:bottom w:val="nil"/>
              <w:right w:val="nil"/>
            </w:tcBorders>
            <w:shd w:val="clear" w:color="auto" w:fill="auto"/>
            <w:noWrap/>
            <w:vAlign w:val="bottom"/>
            <w:hideMark/>
          </w:tcPr>
          <w:p w14:paraId="31B3CB3C" w14:textId="703A6B44" w:rsidR="009D0315" w:rsidRPr="00CA17F3" w:rsidRDefault="009D0315" w:rsidP="009D0315">
            <w:pPr>
              <w:jc w:val="right"/>
              <w:rPr>
                <w:rFonts w:asciiTheme="majorHAnsi" w:hAnsiTheme="majorHAnsi" w:cstheme="majorHAnsi"/>
                <w:color w:val="000000"/>
              </w:rPr>
            </w:pPr>
            <w:r w:rsidRPr="00CA17F3">
              <w:rPr>
                <w:rFonts w:asciiTheme="majorHAnsi" w:hAnsiTheme="majorHAnsi" w:cstheme="majorHAnsi"/>
                <w:color w:val="000000"/>
              </w:rPr>
              <w:t>15.876</w:t>
            </w:r>
          </w:p>
        </w:tc>
      </w:tr>
      <w:tr w:rsidR="009D0315" w:rsidRPr="009D0315" w14:paraId="12885432" w14:textId="77777777" w:rsidTr="00CA17F3">
        <w:trPr>
          <w:trHeight w:val="320"/>
        </w:trPr>
        <w:tc>
          <w:tcPr>
            <w:tcW w:w="2694" w:type="dxa"/>
            <w:tcBorders>
              <w:top w:val="nil"/>
              <w:left w:val="nil"/>
              <w:bottom w:val="nil"/>
              <w:right w:val="nil"/>
            </w:tcBorders>
            <w:shd w:val="clear" w:color="auto" w:fill="auto"/>
            <w:noWrap/>
            <w:vAlign w:val="bottom"/>
            <w:hideMark/>
          </w:tcPr>
          <w:p w14:paraId="68E2330E" w14:textId="16626DA2" w:rsidR="009D0315" w:rsidRPr="00CA17F3" w:rsidRDefault="009D0315" w:rsidP="009D0315">
            <w:pPr>
              <w:rPr>
                <w:rFonts w:asciiTheme="majorHAnsi" w:hAnsiTheme="majorHAnsi" w:cstheme="majorHAnsi"/>
                <w:color w:val="000000"/>
              </w:rPr>
            </w:pPr>
            <w:r w:rsidRPr="00CA17F3">
              <w:rPr>
                <w:rFonts w:asciiTheme="majorHAnsi" w:hAnsiTheme="majorHAnsi" w:cstheme="majorHAnsi"/>
                <w:color w:val="000000"/>
              </w:rPr>
              <w:t>I</w:t>
            </w:r>
            <w:r w:rsidR="002668D2">
              <w:rPr>
                <w:rFonts w:asciiTheme="majorHAnsi" w:hAnsiTheme="majorHAnsi" w:cstheme="majorHAnsi"/>
                <w:color w:val="000000"/>
              </w:rPr>
              <w:t xml:space="preserve">nitial </w:t>
            </w:r>
            <w:r w:rsidRPr="00CA17F3">
              <w:rPr>
                <w:rFonts w:asciiTheme="majorHAnsi" w:hAnsiTheme="majorHAnsi" w:cstheme="majorHAnsi"/>
                <w:color w:val="000000"/>
              </w:rPr>
              <w:t>C</w:t>
            </w:r>
            <w:r w:rsidR="002668D2">
              <w:rPr>
                <w:rFonts w:asciiTheme="majorHAnsi" w:hAnsiTheme="majorHAnsi" w:cstheme="majorHAnsi"/>
                <w:color w:val="000000"/>
              </w:rPr>
              <w:t>ondition (CFU/g)</w:t>
            </w:r>
          </w:p>
        </w:tc>
        <w:tc>
          <w:tcPr>
            <w:tcW w:w="724" w:type="dxa"/>
            <w:tcBorders>
              <w:top w:val="nil"/>
              <w:left w:val="nil"/>
              <w:bottom w:val="nil"/>
              <w:right w:val="nil"/>
            </w:tcBorders>
            <w:shd w:val="clear" w:color="auto" w:fill="auto"/>
            <w:noWrap/>
            <w:vAlign w:val="bottom"/>
            <w:hideMark/>
          </w:tcPr>
          <w:p w14:paraId="48CD998B" w14:textId="53F6672A" w:rsidR="009D0315" w:rsidRPr="00CA17F3" w:rsidRDefault="009D0315" w:rsidP="009D0315">
            <w:pPr>
              <w:jc w:val="right"/>
              <w:rPr>
                <w:rFonts w:asciiTheme="majorHAnsi" w:hAnsiTheme="majorHAnsi" w:cstheme="majorHAnsi"/>
                <w:color w:val="000000"/>
              </w:rPr>
            </w:pPr>
            <w:r w:rsidRPr="00CA17F3">
              <w:rPr>
                <w:rFonts w:asciiTheme="majorHAnsi" w:hAnsiTheme="majorHAnsi" w:cstheme="majorHAnsi"/>
                <w:color w:val="000000"/>
              </w:rPr>
              <w:t>164078</w:t>
            </w:r>
          </w:p>
        </w:tc>
      </w:tr>
    </w:tbl>
    <w:p w14:paraId="154BDC88" w14:textId="5295384C" w:rsidR="0071579A" w:rsidRDefault="0071579A">
      <w:pPr>
        <w:rPr>
          <w:rFonts w:asciiTheme="majorHAnsi" w:hAnsiTheme="majorHAnsi" w:cstheme="majorHAnsi"/>
        </w:rPr>
      </w:pPr>
    </w:p>
    <w:p w14:paraId="419D99DF" w14:textId="43D4833F" w:rsidR="002668D2" w:rsidRDefault="00322FF9">
      <w:pPr>
        <w:rPr>
          <w:rFonts w:asciiTheme="majorHAnsi" w:hAnsiTheme="majorHAnsi" w:cstheme="majorHAnsi"/>
        </w:rPr>
      </w:pPr>
      <w:r>
        <w:rPr>
          <w:rFonts w:asciiTheme="majorHAnsi" w:hAnsiTheme="majorHAnsi" w:cstheme="majorHAnsi"/>
        </w:rPr>
        <w:t xml:space="preserve">Note: </w:t>
      </w:r>
      <w:proofErr w:type="spellStart"/>
      <w:r w:rsidRPr="00CA17F3">
        <w:rPr>
          <w:rFonts w:asciiTheme="majorHAnsi" w:hAnsiTheme="majorHAnsi" w:cstheme="majorHAnsi"/>
          <w:vertAlign w:val="superscript"/>
        </w:rPr>
        <w:t>a</w:t>
      </w:r>
      <w:r>
        <w:rPr>
          <w:rFonts w:asciiTheme="majorHAnsi" w:hAnsiTheme="majorHAnsi" w:cstheme="majorHAnsi"/>
        </w:rPr>
        <w:t>Parameters</w:t>
      </w:r>
      <w:proofErr w:type="spellEnd"/>
      <w:r>
        <w:rPr>
          <w:rFonts w:asciiTheme="majorHAnsi" w:hAnsiTheme="majorHAnsi" w:cstheme="majorHAnsi"/>
        </w:rPr>
        <w:t xml:space="preserve"> are described in the text; </w:t>
      </w:r>
      <w:proofErr w:type="spellStart"/>
      <w:r w:rsidRPr="00CA17F3">
        <w:rPr>
          <w:rFonts w:asciiTheme="majorHAnsi" w:hAnsiTheme="majorHAnsi" w:cstheme="majorHAnsi"/>
          <w:vertAlign w:val="superscript"/>
        </w:rPr>
        <w:t>b</w:t>
      </w:r>
      <w:r>
        <w:rPr>
          <w:rFonts w:asciiTheme="majorHAnsi" w:hAnsiTheme="majorHAnsi" w:cstheme="majorHAnsi"/>
        </w:rPr>
        <w:t>the</w:t>
      </w:r>
      <w:proofErr w:type="spellEnd"/>
      <w:r>
        <w:rPr>
          <w:rFonts w:asciiTheme="majorHAnsi" w:hAnsiTheme="majorHAnsi" w:cstheme="majorHAnsi"/>
        </w:rPr>
        <w:t xml:space="preserve"> estimates for the median values were identical.  There were a single set of support points meaning that the standard deviation for all parameters was zero.</w:t>
      </w:r>
    </w:p>
    <w:p w14:paraId="3A802E09" w14:textId="66197EAC" w:rsidR="00C05944" w:rsidRDefault="00C05944">
      <w:pPr>
        <w:rPr>
          <w:rFonts w:asciiTheme="majorHAnsi" w:hAnsiTheme="majorHAnsi" w:cstheme="majorHAnsi"/>
        </w:rPr>
      </w:pPr>
      <w:r>
        <w:rPr>
          <w:rFonts w:asciiTheme="majorHAnsi" w:hAnsiTheme="majorHAnsi" w:cstheme="majorHAnsi"/>
        </w:rPr>
        <w:br w:type="page"/>
      </w:r>
    </w:p>
    <w:p w14:paraId="7B1D8B42" w14:textId="77777777" w:rsidR="00F1012C" w:rsidRDefault="00F1012C">
      <w:pPr>
        <w:rPr>
          <w:rFonts w:asciiTheme="majorHAnsi" w:hAnsiTheme="majorHAnsi" w:cstheme="majorHAnsi"/>
        </w:rPr>
      </w:pPr>
    </w:p>
    <w:p w14:paraId="5D2A1BD5" w14:textId="4D4BF868" w:rsidR="002668D2" w:rsidRDefault="00F1012C">
      <w:pPr>
        <w:rPr>
          <w:rFonts w:asciiTheme="majorHAnsi" w:hAnsiTheme="majorHAnsi" w:cstheme="majorHAnsi"/>
        </w:rPr>
      </w:pPr>
      <w:r>
        <w:rPr>
          <w:rFonts w:asciiTheme="majorHAnsi" w:hAnsiTheme="majorHAnsi" w:cstheme="majorHAnsi"/>
        </w:rPr>
        <w:t>Table 4.</w:t>
      </w:r>
    </w:p>
    <w:p w14:paraId="15BE2413" w14:textId="0218DC02" w:rsidR="002668D2" w:rsidRDefault="002668D2">
      <w:pPr>
        <w:rPr>
          <w:rFonts w:asciiTheme="majorHAnsi" w:hAnsiTheme="majorHAnsi" w:cstheme="majorHAnsi"/>
        </w:rPr>
      </w:pPr>
    </w:p>
    <w:tbl>
      <w:tblPr>
        <w:tblW w:w="7489" w:type="dxa"/>
        <w:tblLook w:val="04A0" w:firstRow="1" w:lastRow="0" w:firstColumn="1" w:lastColumn="0" w:noHBand="0" w:noVBand="1"/>
      </w:tblPr>
      <w:tblGrid>
        <w:gridCol w:w="3119"/>
        <w:gridCol w:w="1676"/>
        <w:gridCol w:w="1978"/>
        <w:gridCol w:w="2100"/>
      </w:tblGrid>
      <w:tr w:rsidR="00275C7E" w14:paraId="3AE92EEB" w14:textId="77777777" w:rsidTr="00275C7E">
        <w:trPr>
          <w:trHeight w:val="320"/>
        </w:trPr>
        <w:tc>
          <w:tcPr>
            <w:tcW w:w="3119" w:type="dxa"/>
            <w:tcBorders>
              <w:top w:val="nil"/>
              <w:left w:val="nil"/>
              <w:bottom w:val="nil"/>
              <w:right w:val="nil"/>
            </w:tcBorders>
            <w:shd w:val="clear" w:color="auto" w:fill="auto"/>
            <w:noWrap/>
            <w:vAlign w:val="bottom"/>
            <w:hideMark/>
          </w:tcPr>
          <w:p w14:paraId="6C11D60B" w14:textId="55AB9EA1" w:rsidR="00BF4B13" w:rsidRPr="00CA17F3" w:rsidRDefault="00275C7E">
            <w:pPr>
              <w:rPr>
                <w:rFonts w:asciiTheme="majorHAnsi" w:hAnsiTheme="majorHAnsi" w:cstheme="majorHAnsi"/>
              </w:rPr>
            </w:pPr>
            <w:proofErr w:type="spellStart"/>
            <w:r w:rsidRPr="00CA17F3">
              <w:rPr>
                <w:rFonts w:asciiTheme="majorHAnsi" w:hAnsiTheme="majorHAnsi" w:cstheme="majorHAnsi"/>
                <w:vertAlign w:val="superscript"/>
              </w:rPr>
              <w:t>a</w:t>
            </w:r>
            <w:r w:rsidR="002F150C" w:rsidRPr="00CA17F3">
              <w:rPr>
                <w:rFonts w:asciiTheme="majorHAnsi" w:hAnsiTheme="majorHAnsi" w:cstheme="majorHAnsi"/>
              </w:rPr>
              <w:t>Parameter</w:t>
            </w:r>
            <w:proofErr w:type="spellEnd"/>
            <w:r>
              <w:rPr>
                <w:rFonts w:asciiTheme="majorHAnsi" w:hAnsiTheme="majorHAnsi" w:cstheme="majorHAnsi"/>
              </w:rPr>
              <w:t xml:space="preserve"> (Units)</w:t>
            </w:r>
          </w:p>
        </w:tc>
        <w:tc>
          <w:tcPr>
            <w:tcW w:w="292" w:type="dxa"/>
            <w:tcBorders>
              <w:top w:val="nil"/>
              <w:left w:val="nil"/>
              <w:bottom w:val="nil"/>
              <w:right w:val="nil"/>
            </w:tcBorders>
            <w:shd w:val="clear" w:color="auto" w:fill="auto"/>
            <w:noWrap/>
            <w:vAlign w:val="bottom"/>
            <w:hideMark/>
          </w:tcPr>
          <w:p w14:paraId="034D4C4D"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Mean</w:t>
            </w:r>
          </w:p>
        </w:tc>
        <w:tc>
          <w:tcPr>
            <w:tcW w:w="1978" w:type="dxa"/>
            <w:tcBorders>
              <w:top w:val="nil"/>
              <w:left w:val="nil"/>
              <w:bottom w:val="nil"/>
              <w:right w:val="nil"/>
            </w:tcBorders>
            <w:shd w:val="clear" w:color="auto" w:fill="auto"/>
            <w:noWrap/>
            <w:vAlign w:val="bottom"/>
            <w:hideMark/>
          </w:tcPr>
          <w:p w14:paraId="4774D374"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Median</w:t>
            </w:r>
          </w:p>
        </w:tc>
        <w:tc>
          <w:tcPr>
            <w:tcW w:w="2100" w:type="dxa"/>
            <w:tcBorders>
              <w:top w:val="nil"/>
              <w:left w:val="nil"/>
              <w:bottom w:val="nil"/>
              <w:right w:val="nil"/>
            </w:tcBorders>
            <w:shd w:val="clear" w:color="auto" w:fill="auto"/>
            <w:noWrap/>
            <w:vAlign w:val="bottom"/>
            <w:hideMark/>
          </w:tcPr>
          <w:p w14:paraId="67E0ECCC" w14:textId="27576E30"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S</w:t>
            </w:r>
            <w:r w:rsidR="00275C7E">
              <w:rPr>
                <w:rFonts w:asciiTheme="majorHAnsi" w:hAnsiTheme="majorHAnsi" w:cstheme="majorHAnsi"/>
                <w:color w:val="000000"/>
              </w:rPr>
              <w:t>tandard deviation</w:t>
            </w:r>
          </w:p>
        </w:tc>
      </w:tr>
      <w:tr w:rsidR="00275C7E" w14:paraId="47DCB345" w14:textId="77777777" w:rsidTr="00275C7E">
        <w:trPr>
          <w:trHeight w:val="320"/>
        </w:trPr>
        <w:tc>
          <w:tcPr>
            <w:tcW w:w="3119" w:type="dxa"/>
            <w:tcBorders>
              <w:top w:val="nil"/>
              <w:left w:val="nil"/>
              <w:bottom w:val="nil"/>
              <w:right w:val="nil"/>
            </w:tcBorders>
            <w:shd w:val="clear" w:color="auto" w:fill="auto"/>
            <w:noWrap/>
            <w:vAlign w:val="bottom"/>
            <w:hideMark/>
          </w:tcPr>
          <w:p w14:paraId="1EB9BAED" w14:textId="38C40BD0" w:rsidR="00BF4B13" w:rsidRPr="00CA17F3" w:rsidRDefault="00BF4B13">
            <w:pPr>
              <w:rPr>
                <w:rFonts w:asciiTheme="majorHAnsi" w:hAnsiTheme="majorHAnsi" w:cstheme="majorHAnsi"/>
                <w:color w:val="000000"/>
              </w:rPr>
            </w:pPr>
            <w:r w:rsidRPr="00CA17F3">
              <w:rPr>
                <w:rFonts w:asciiTheme="majorHAnsi" w:hAnsiTheme="majorHAnsi" w:cstheme="majorHAnsi"/>
                <w:color w:val="000000"/>
              </w:rPr>
              <w:t>SCL</w:t>
            </w:r>
            <w:r w:rsidR="00275C7E">
              <w:rPr>
                <w:rFonts w:asciiTheme="majorHAnsi" w:hAnsiTheme="majorHAnsi" w:cstheme="majorHAnsi"/>
                <w:color w:val="000000"/>
              </w:rPr>
              <w:t xml:space="preserve"> (L/h)</w:t>
            </w:r>
          </w:p>
        </w:tc>
        <w:tc>
          <w:tcPr>
            <w:tcW w:w="292" w:type="dxa"/>
            <w:tcBorders>
              <w:top w:val="nil"/>
              <w:left w:val="nil"/>
              <w:bottom w:val="nil"/>
              <w:right w:val="nil"/>
            </w:tcBorders>
            <w:shd w:val="clear" w:color="auto" w:fill="auto"/>
            <w:noWrap/>
            <w:vAlign w:val="bottom"/>
            <w:hideMark/>
          </w:tcPr>
          <w:p w14:paraId="5644C97F"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0.527</w:t>
            </w:r>
          </w:p>
        </w:tc>
        <w:tc>
          <w:tcPr>
            <w:tcW w:w="1978" w:type="dxa"/>
            <w:tcBorders>
              <w:top w:val="nil"/>
              <w:left w:val="nil"/>
              <w:bottom w:val="nil"/>
              <w:right w:val="nil"/>
            </w:tcBorders>
            <w:shd w:val="clear" w:color="auto" w:fill="auto"/>
            <w:noWrap/>
            <w:vAlign w:val="bottom"/>
            <w:hideMark/>
          </w:tcPr>
          <w:p w14:paraId="27F2FE35"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0.531</w:t>
            </w:r>
          </w:p>
        </w:tc>
        <w:tc>
          <w:tcPr>
            <w:tcW w:w="2100" w:type="dxa"/>
            <w:tcBorders>
              <w:top w:val="nil"/>
              <w:left w:val="nil"/>
              <w:bottom w:val="nil"/>
              <w:right w:val="nil"/>
            </w:tcBorders>
            <w:shd w:val="clear" w:color="auto" w:fill="auto"/>
            <w:noWrap/>
            <w:vAlign w:val="bottom"/>
            <w:hideMark/>
          </w:tcPr>
          <w:p w14:paraId="300EEE67"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0.038</w:t>
            </w:r>
          </w:p>
        </w:tc>
      </w:tr>
      <w:tr w:rsidR="00275C7E" w14:paraId="706615F7" w14:textId="77777777" w:rsidTr="00275C7E">
        <w:trPr>
          <w:trHeight w:val="320"/>
        </w:trPr>
        <w:tc>
          <w:tcPr>
            <w:tcW w:w="3119" w:type="dxa"/>
            <w:tcBorders>
              <w:top w:val="nil"/>
              <w:left w:val="nil"/>
              <w:bottom w:val="nil"/>
              <w:right w:val="nil"/>
            </w:tcBorders>
            <w:shd w:val="clear" w:color="auto" w:fill="auto"/>
            <w:noWrap/>
            <w:vAlign w:val="bottom"/>
            <w:hideMark/>
          </w:tcPr>
          <w:p w14:paraId="78D62D56" w14:textId="159AC178" w:rsidR="00BF4B13" w:rsidRPr="00CA17F3" w:rsidRDefault="00BF4B13">
            <w:pPr>
              <w:rPr>
                <w:rFonts w:asciiTheme="majorHAnsi" w:hAnsiTheme="majorHAnsi" w:cstheme="majorHAnsi"/>
                <w:color w:val="000000"/>
              </w:rPr>
            </w:pPr>
            <w:r w:rsidRPr="00CA17F3">
              <w:rPr>
                <w:rFonts w:asciiTheme="majorHAnsi" w:hAnsiTheme="majorHAnsi" w:cstheme="majorHAnsi"/>
                <w:color w:val="000000"/>
              </w:rPr>
              <w:t>V</w:t>
            </w:r>
            <w:r w:rsidR="00275C7E">
              <w:rPr>
                <w:rFonts w:asciiTheme="majorHAnsi" w:hAnsiTheme="majorHAnsi" w:cstheme="majorHAnsi"/>
                <w:color w:val="000000"/>
              </w:rPr>
              <w:t xml:space="preserve"> (L)</w:t>
            </w:r>
          </w:p>
        </w:tc>
        <w:tc>
          <w:tcPr>
            <w:tcW w:w="292" w:type="dxa"/>
            <w:tcBorders>
              <w:top w:val="nil"/>
              <w:left w:val="nil"/>
              <w:bottom w:val="nil"/>
              <w:right w:val="nil"/>
            </w:tcBorders>
            <w:shd w:val="clear" w:color="auto" w:fill="auto"/>
            <w:noWrap/>
            <w:vAlign w:val="bottom"/>
            <w:hideMark/>
          </w:tcPr>
          <w:p w14:paraId="4B964330"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0.637</w:t>
            </w:r>
          </w:p>
        </w:tc>
        <w:tc>
          <w:tcPr>
            <w:tcW w:w="1978" w:type="dxa"/>
            <w:tcBorders>
              <w:top w:val="nil"/>
              <w:left w:val="nil"/>
              <w:bottom w:val="nil"/>
              <w:right w:val="nil"/>
            </w:tcBorders>
            <w:shd w:val="clear" w:color="auto" w:fill="auto"/>
            <w:noWrap/>
            <w:vAlign w:val="bottom"/>
            <w:hideMark/>
          </w:tcPr>
          <w:p w14:paraId="5E9C6785"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0.658</w:t>
            </w:r>
          </w:p>
        </w:tc>
        <w:tc>
          <w:tcPr>
            <w:tcW w:w="2100" w:type="dxa"/>
            <w:tcBorders>
              <w:top w:val="nil"/>
              <w:left w:val="nil"/>
              <w:bottom w:val="nil"/>
              <w:right w:val="nil"/>
            </w:tcBorders>
            <w:shd w:val="clear" w:color="auto" w:fill="auto"/>
            <w:noWrap/>
            <w:vAlign w:val="bottom"/>
            <w:hideMark/>
          </w:tcPr>
          <w:p w14:paraId="313C466A"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0.082</w:t>
            </w:r>
          </w:p>
        </w:tc>
      </w:tr>
      <w:tr w:rsidR="00275C7E" w14:paraId="6E7A0F53" w14:textId="77777777" w:rsidTr="00275C7E">
        <w:trPr>
          <w:trHeight w:val="320"/>
        </w:trPr>
        <w:tc>
          <w:tcPr>
            <w:tcW w:w="3119" w:type="dxa"/>
            <w:tcBorders>
              <w:top w:val="nil"/>
              <w:left w:val="nil"/>
              <w:bottom w:val="nil"/>
              <w:right w:val="nil"/>
            </w:tcBorders>
            <w:shd w:val="clear" w:color="auto" w:fill="auto"/>
            <w:noWrap/>
            <w:vAlign w:val="bottom"/>
            <w:hideMark/>
          </w:tcPr>
          <w:p w14:paraId="17658D2F" w14:textId="6E8F0D58" w:rsidR="00BF4B13" w:rsidRPr="00CA17F3" w:rsidRDefault="00BF4B13">
            <w:pPr>
              <w:rPr>
                <w:rFonts w:asciiTheme="majorHAnsi" w:hAnsiTheme="majorHAnsi" w:cstheme="majorHAnsi"/>
                <w:color w:val="000000"/>
              </w:rPr>
            </w:pPr>
            <w:proofErr w:type="spellStart"/>
            <w:r w:rsidRPr="00CA17F3">
              <w:rPr>
                <w:rFonts w:asciiTheme="majorHAnsi" w:hAnsiTheme="majorHAnsi" w:cstheme="majorHAnsi"/>
                <w:color w:val="000000"/>
              </w:rPr>
              <w:t>Kgmax_s</w:t>
            </w:r>
            <w:proofErr w:type="spellEnd"/>
            <w:r w:rsidR="00275C7E">
              <w:rPr>
                <w:rFonts w:asciiTheme="majorHAnsi" w:hAnsiTheme="majorHAnsi" w:cstheme="majorHAnsi"/>
                <w:color w:val="000000"/>
              </w:rPr>
              <w:t xml:space="preserve"> (Log</w:t>
            </w:r>
            <w:r w:rsidR="00275C7E" w:rsidRPr="00CA17F3">
              <w:rPr>
                <w:rFonts w:asciiTheme="majorHAnsi" w:hAnsiTheme="majorHAnsi" w:cstheme="majorHAnsi"/>
                <w:color w:val="000000"/>
                <w:vertAlign w:val="subscript"/>
              </w:rPr>
              <w:t>10</w:t>
            </w:r>
            <w:r w:rsidR="00275C7E">
              <w:rPr>
                <w:rFonts w:asciiTheme="majorHAnsi" w:hAnsiTheme="majorHAnsi" w:cstheme="majorHAnsi"/>
                <w:color w:val="000000"/>
              </w:rPr>
              <w:t>CFU/mL/h)</w:t>
            </w:r>
          </w:p>
        </w:tc>
        <w:tc>
          <w:tcPr>
            <w:tcW w:w="292" w:type="dxa"/>
            <w:tcBorders>
              <w:top w:val="nil"/>
              <w:left w:val="nil"/>
              <w:bottom w:val="nil"/>
              <w:right w:val="nil"/>
            </w:tcBorders>
            <w:shd w:val="clear" w:color="auto" w:fill="auto"/>
            <w:noWrap/>
            <w:vAlign w:val="bottom"/>
            <w:hideMark/>
          </w:tcPr>
          <w:p w14:paraId="2DE5FFA5"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0.205</w:t>
            </w:r>
          </w:p>
        </w:tc>
        <w:tc>
          <w:tcPr>
            <w:tcW w:w="1978" w:type="dxa"/>
            <w:tcBorders>
              <w:top w:val="nil"/>
              <w:left w:val="nil"/>
              <w:bottom w:val="nil"/>
              <w:right w:val="nil"/>
            </w:tcBorders>
            <w:shd w:val="clear" w:color="auto" w:fill="auto"/>
            <w:noWrap/>
            <w:vAlign w:val="bottom"/>
            <w:hideMark/>
          </w:tcPr>
          <w:p w14:paraId="6B8D1FED"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0.222</w:t>
            </w:r>
          </w:p>
        </w:tc>
        <w:tc>
          <w:tcPr>
            <w:tcW w:w="2100" w:type="dxa"/>
            <w:tcBorders>
              <w:top w:val="nil"/>
              <w:left w:val="nil"/>
              <w:bottom w:val="nil"/>
              <w:right w:val="nil"/>
            </w:tcBorders>
            <w:shd w:val="clear" w:color="auto" w:fill="auto"/>
            <w:noWrap/>
            <w:vAlign w:val="bottom"/>
            <w:hideMark/>
          </w:tcPr>
          <w:p w14:paraId="200EAFC6"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0.036</w:t>
            </w:r>
          </w:p>
        </w:tc>
      </w:tr>
      <w:tr w:rsidR="00275C7E" w14:paraId="0726A12D" w14:textId="77777777" w:rsidTr="00275C7E">
        <w:trPr>
          <w:trHeight w:val="320"/>
        </w:trPr>
        <w:tc>
          <w:tcPr>
            <w:tcW w:w="3119" w:type="dxa"/>
            <w:tcBorders>
              <w:top w:val="nil"/>
              <w:left w:val="nil"/>
              <w:bottom w:val="nil"/>
              <w:right w:val="nil"/>
            </w:tcBorders>
            <w:shd w:val="clear" w:color="auto" w:fill="auto"/>
            <w:noWrap/>
            <w:vAlign w:val="bottom"/>
            <w:hideMark/>
          </w:tcPr>
          <w:p w14:paraId="5BAADF88" w14:textId="07BD93F8" w:rsidR="00BF4B13" w:rsidRPr="00CA17F3" w:rsidRDefault="00275C7E">
            <w:pPr>
              <w:rPr>
                <w:rFonts w:asciiTheme="majorHAnsi" w:hAnsiTheme="majorHAnsi" w:cstheme="majorHAnsi"/>
                <w:color w:val="000000"/>
              </w:rPr>
            </w:pPr>
            <w:proofErr w:type="spellStart"/>
            <w:r w:rsidRPr="00275C7E">
              <w:rPr>
                <w:rFonts w:asciiTheme="majorHAnsi" w:hAnsiTheme="majorHAnsi" w:cstheme="majorHAnsi"/>
                <w:color w:val="000000"/>
              </w:rPr>
              <w:t>P</w:t>
            </w:r>
            <w:r w:rsidR="00BF4B13" w:rsidRPr="00CA17F3">
              <w:rPr>
                <w:rFonts w:asciiTheme="majorHAnsi" w:hAnsiTheme="majorHAnsi" w:cstheme="majorHAnsi"/>
                <w:color w:val="000000"/>
              </w:rPr>
              <w:t>opmax</w:t>
            </w:r>
            <w:proofErr w:type="spellEnd"/>
            <w:r>
              <w:rPr>
                <w:rFonts w:asciiTheme="majorHAnsi" w:hAnsiTheme="majorHAnsi" w:cstheme="majorHAnsi"/>
                <w:color w:val="000000"/>
              </w:rPr>
              <w:t xml:space="preserve"> (CFU/mL)</w:t>
            </w:r>
          </w:p>
        </w:tc>
        <w:tc>
          <w:tcPr>
            <w:tcW w:w="292" w:type="dxa"/>
            <w:tcBorders>
              <w:top w:val="nil"/>
              <w:left w:val="nil"/>
              <w:bottom w:val="nil"/>
              <w:right w:val="nil"/>
            </w:tcBorders>
            <w:shd w:val="clear" w:color="auto" w:fill="auto"/>
            <w:noWrap/>
            <w:vAlign w:val="bottom"/>
            <w:hideMark/>
          </w:tcPr>
          <w:p w14:paraId="454E5253" w14:textId="18DA45B4"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219331432390</w:t>
            </w:r>
          </w:p>
        </w:tc>
        <w:tc>
          <w:tcPr>
            <w:tcW w:w="1978" w:type="dxa"/>
            <w:tcBorders>
              <w:top w:val="nil"/>
              <w:left w:val="nil"/>
              <w:bottom w:val="nil"/>
              <w:right w:val="nil"/>
            </w:tcBorders>
            <w:shd w:val="clear" w:color="auto" w:fill="auto"/>
            <w:noWrap/>
            <w:vAlign w:val="bottom"/>
            <w:hideMark/>
          </w:tcPr>
          <w:p w14:paraId="68B925E6" w14:textId="7F59C86C"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31239991350</w:t>
            </w:r>
          </w:p>
        </w:tc>
        <w:tc>
          <w:tcPr>
            <w:tcW w:w="2100" w:type="dxa"/>
            <w:tcBorders>
              <w:top w:val="nil"/>
              <w:left w:val="nil"/>
              <w:bottom w:val="nil"/>
              <w:right w:val="nil"/>
            </w:tcBorders>
            <w:shd w:val="clear" w:color="auto" w:fill="auto"/>
            <w:noWrap/>
            <w:vAlign w:val="bottom"/>
            <w:hideMark/>
          </w:tcPr>
          <w:p w14:paraId="21EFCA0A" w14:textId="1D60B23C"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390522758322</w:t>
            </w:r>
          </w:p>
        </w:tc>
      </w:tr>
      <w:tr w:rsidR="00275C7E" w14:paraId="2B7977A5" w14:textId="77777777" w:rsidTr="00275C7E">
        <w:trPr>
          <w:trHeight w:val="320"/>
        </w:trPr>
        <w:tc>
          <w:tcPr>
            <w:tcW w:w="3119" w:type="dxa"/>
            <w:tcBorders>
              <w:top w:val="nil"/>
              <w:left w:val="nil"/>
              <w:bottom w:val="nil"/>
              <w:right w:val="nil"/>
            </w:tcBorders>
            <w:shd w:val="clear" w:color="auto" w:fill="auto"/>
            <w:noWrap/>
            <w:vAlign w:val="bottom"/>
            <w:hideMark/>
          </w:tcPr>
          <w:p w14:paraId="7001F005" w14:textId="1B1818AF" w:rsidR="00BF4B13" w:rsidRPr="00CA17F3" w:rsidRDefault="00BF4B13">
            <w:pPr>
              <w:rPr>
                <w:rFonts w:asciiTheme="majorHAnsi" w:hAnsiTheme="majorHAnsi" w:cstheme="majorHAnsi"/>
                <w:color w:val="000000"/>
              </w:rPr>
            </w:pPr>
            <w:proofErr w:type="spellStart"/>
            <w:r w:rsidRPr="00CA17F3">
              <w:rPr>
                <w:rFonts w:asciiTheme="majorHAnsi" w:hAnsiTheme="majorHAnsi" w:cstheme="majorHAnsi"/>
                <w:color w:val="000000"/>
              </w:rPr>
              <w:t>kkmax_s</w:t>
            </w:r>
            <w:proofErr w:type="spellEnd"/>
            <w:r w:rsidR="00275C7E">
              <w:rPr>
                <w:rFonts w:asciiTheme="majorHAnsi" w:hAnsiTheme="majorHAnsi" w:cstheme="majorHAnsi"/>
                <w:color w:val="000000"/>
              </w:rPr>
              <w:t xml:space="preserve"> (Log</w:t>
            </w:r>
            <w:r w:rsidR="00275C7E" w:rsidRPr="00B84AED">
              <w:rPr>
                <w:rFonts w:asciiTheme="majorHAnsi" w:hAnsiTheme="majorHAnsi" w:cstheme="majorHAnsi"/>
                <w:color w:val="000000"/>
                <w:vertAlign w:val="subscript"/>
              </w:rPr>
              <w:t>10</w:t>
            </w:r>
            <w:r w:rsidR="00275C7E">
              <w:rPr>
                <w:rFonts w:asciiTheme="majorHAnsi" w:hAnsiTheme="majorHAnsi" w:cstheme="majorHAnsi"/>
                <w:color w:val="000000"/>
              </w:rPr>
              <w:t>CFU/mL/h)</w:t>
            </w:r>
          </w:p>
        </w:tc>
        <w:tc>
          <w:tcPr>
            <w:tcW w:w="292" w:type="dxa"/>
            <w:tcBorders>
              <w:top w:val="nil"/>
              <w:left w:val="nil"/>
              <w:bottom w:val="nil"/>
              <w:right w:val="nil"/>
            </w:tcBorders>
            <w:shd w:val="clear" w:color="auto" w:fill="auto"/>
            <w:noWrap/>
            <w:vAlign w:val="bottom"/>
            <w:hideMark/>
          </w:tcPr>
          <w:p w14:paraId="1561E442"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1.040</w:t>
            </w:r>
          </w:p>
        </w:tc>
        <w:tc>
          <w:tcPr>
            <w:tcW w:w="1978" w:type="dxa"/>
            <w:tcBorders>
              <w:top w:val="nil"/>
              <w:left w:val="nil"/>
              <w:bottom w:val="nil"/>
              <w:right w:val="nil"/>
            </w:tcBorders>
            <w:shd w:val="clear" w:color="auto" w:fill="auto"/>
            <w:noWrap/>
            <w:vAlign w:val="bottom"/>
            <w:hideMark/>
          </w:tcPr>
          <w:p w14:paraId="677E75F1"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1.026</w:t>
            </w:r>
          </w:p>
        </w:tc>
        <w:tc>
          <w:tcPr>
            <w:tcW w:w="2100" w:type="dxa"/>
            <w:tcBorders>
              <w:top w:val="nil"/>
              <w:left w:val="nil"/>
              <w:bottom w:val="nil"/>
              <w:right w:val="nil"/>
            </w:tcBorders>
            <w:shd w:val="clear" w:color="auto" w:fill="auto"/>
            <w:noWrap/>
            <w:vAlign w:val="bottom"/>
            <w:hideMark/>
          </w:tcPr>
          <w:p w14:paraId="797F80B4"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0.240</w:t>
            </w:r>
          </w:p>
        </w:tc>
      </w:tr>
      <w:tr w:rsidR="00275C7E" w14:paraId="3BAB3287" w14:textId="77777777" w:rsidTr="00275C7E">
        <w:trPr>
          <w:trHeight w:val="320"/>
        </w:trPr>
        <w:tc>
          <w:tcPr>
            <w:tcW w:w="3119" w:type="dxa"/>
            <w:tcBorders>
              <w:top w:val="nil"/>
              <w:left w:val="nil"/>
              <w:bottom w:val="nil"/>
              <w:right w:val="nil"/>
            </w:tcBorders>
            <w:shd w:val="clear" w:color="auto" w:fill="auto"/>
            <w:noWrap/>
            <w:vAlign w:val="bottom"/>
            <w:hideMark/>
          </w:tcPr>
          <w:p w14:paraId="6DEFD153" w14:textId="47E66174" w:rsidR="00BF4B13" w:rsidRPr="00CA17F3" w:rsidRDefault="00BF4B13">
            <w:pPr>
              <w:rPr>
                <w:rFonts w:asciiTheme="majorHAnsi" w:hAnsiTheme="majorHAnsi" w:cstheme="majorHAnsi"/>
                <w:color w:val="000000"/>
              </w:rPr>
            </w:pPr>
            <w:r w:rsidRPr="00CA17F3">
              <w:rPr>
                <w:rFonts w:asciiTheme="majorHAnsi" w:hAnsiTheme="majorHAnsi" w:cstheme="majorHAnsi"/>
                <w:color w:val="000000"/>
              </w:rPr>
              <w:t>C50k_s</w:t>
            </w:r>
            <w:r w:rsidR="00275C7E">
              <w:rPr>
                <w:rFonts w:asciiTheme="majorHAnsi" w:hAnsiTheme="majorHAnsi" w:cstheme="majorHAnsi"/>
                <w:color w:val="000000"/>
              </w:rPr>
              <w:t xml:space="preserve"> (mg/L)</w:t>
            </w:r>
          </w:p>
        </w:tc>
        <w:tc>
          <w:tcPr>
            <w:tcW w:w="292" w:type="dxa"/>
            <w:tcBorders>
              <w:top w:val="nil"/>
              <w:left w:val="nil"/>
              <w:bottom w:val="nil"/>
              <w:right w:val="nil"/>
            </w:tcBorders>
            <w:shd w:val="clear" w:color="auto" w:fill="auto"/>
            <w:noWrap/>
            <w:vAlign w:val="bottom"/>
            <w:hideMark/>
          </w:tcPr>
          <w:p w14:paraId="243E5BEF"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0.397</w:t>
            </w:r>
          </w:p>
        </w:tc>
        <w:tc>
          <w:tcPr>
            <w:tcW w:w="1978" w:type="dxa"/>
            <w:tcBorders>
              <w:top w:val="nil"/>
              <w:left w:val="nil"/>
              <w:bottom w:val="nil"/>
              <w:right w:val="nil"/>
            </w:tcBorders>
            <w:shd w:val="clear" w:color="auto" w:fill="auto"/>
            <w:noWrap/>
            <w:vAlign w:val="bottom"/>
            <w:hideMark/>
          </w:tcPr>
          <w:p w14:paraId="0759A031"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0.430</w:t>
            </w:r>
          </w:p>
        </w:tc>
        <w:tc>
          <w:tcPr>
            <w:tcW w:w="2100" w:type="dxa"/>
            <w:tcBorders>
              <w:top w:val="nil"/>
              <w:left w:val="nil"/>
              <w:bottom w:val="nil"/>
              <w:right w:val="nil"/>
            </w:tcBorders>
            <w:shd w:val="clear" w:color="auto" w:fill="auto"/>
            <w:noWrap/>
            <w:vAlign w:val="bottom"/>
            <w:hideMark/>
          </w:tcPr>
          <w:p w14:paraId="14632C67"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0.066</w:t>
            </w:r>
          </w:p>
        </w:tc>
      </w:tr>
      <w:tr w:rsidR="00275C7E" w14:paraId="02C63480" w14:textId="77777777" w:rsidTr="00275C7E">
        <w:trPr>
          <w:trHeight w:val="320"/>
        </w:trPr>
        <w:tc>
          <w:tcPr>
            <w:tcW w:w="3119" w:type="dxa"/>
            <w:tcBorders>
              <w:top w:val="nil"/>
              <w:left w:val="nil"/>
              <w:bottom w:val="nil"/>
              <w:right w:val="nil"/>
            </w:tcBorders>
            <w:shd w:val="clear" w:color="auto" w:fill="auto"/>
            <w:noWrap/>
            <w:vAlign w:val="bottom"/>
            <w:hideMark/>
          </w:tcPr>
          <w:p w14:paraId="31BE26FB" w14:textId="77777777" w:rsidR="00BF4B13" w:rsidRPr="00CA17F3" w:rsidRDefault="00BF4B13">
            <w:pPr>
              <w:rPr>
                <w:rFonts w:asciiTheme="majorHAnsi" w:hAnsiTheme="majorHAnsi" w:cstheme="majorHAnsi"/>
                <w:color w:val="000000"/>
              </w:rPr>
            </w:pPr>
            <w:proofErr w:type="spellStart"/>
            <w:r w:rsidRPr="00CA17F3">
              <w:rPr>
                <w:rFonts w:asciiTheme="majorHAnsi" w:hAnsiTheme="majorHAnsi" w:cstheme="majorHAnsi"/>
                <w:color w:val="000000"/>
              </w:rPr>
              <w:t>Hks</w:t>
            </w:r>
            <w:proofErr w:type="spellEnd"/>
          </w:p>
        </w:tc>
        <w:tc>
          <w:tcPr>
            <w:tcW w:w="292" w:type="dxa"/>
            <w:tcBorders>
              <w:top w:val="nil"/>
              <w:left w:val="nil"/>
              <w:bottom w:val="nil"/>
              <w:right w:val="nil"/>
            </w:tcBorders>
            <w:shd w:val="clear" w:color="auto" w:fill="auto"/>
            <w:noWrap/>
            <w:vAlign w:val="bottom"/>
            <w:hideMark/>
          </w:tcPr>
          <w:p w14:paraId="66EA3F07"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12.665</w:t>
            </w:r>
          </w:p>
        </w:tc>
        <w:tc>
          <w:tcPr>
            <w:tcW w:w="1978" w:type="dxa"/>
            <w:tcBorders>
              <w:top w:val="nil"/>
              <w:left w:val="nil"/>
              <w:bottom w:val="nil"/>
              <w:right w:val="nil"/>
            </w:tcBorders>
            <w:shd w:val="clear" w:color="auto" w:fill="auto"/>
            <w:noWrap/>
            <w:vAlign w:val="bottom"/>
            <w:hideMark/>
          </w:tcPr>
          <w:p w14:paraId="4380D333"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13.002</w:t>
            </w:r>
          </w:p>
        </w:tc>
        <w:tc>
          <w:tcPr>
            <w:tcW w:w="2100" w:type="dxa"/>
            <w:tcBorders>
              <w:top w:val="nil"/>
              <w:left w:val="nil"/>
              <w:bottom w:val="nil"/>
              <w:right w:val="nil"/>
            </w:tcBorders>
            <w:shd w:val="clear" w:color="auto" w:fill="auto"/>
            <w:noWrap/>
            <w:vAlign w:val="bottom"/>
            <w:hideMark/>
          </w:tcPr>
          <w:p w14:paraId="40331555"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9.603</w:t>
            </w:r>
          </w:p>
        </w:tc>
      </w:tr>
      <w:tr w:rsidR="00275C7E" w14:paraId="1E58485C" w14:textId="77777777" w:rsidTr="00275C7E">
        <w:trPr>
          <w:trHeight w:val="320"/>
        </w:trPr>
        <w:tc>
          <w:tcPr>
            <w:tcW w:w="3119" w:type="dxa"/>
            <w:tcBorders>
              <w:top w:val="nil"/>
              <w:left w:val="nil"/>
              <w:bottom w:val="nil"/>
              <w:right w:val="nil"/>
            </w:tcBorders>
            <w:shd w:val="clear" w:color="auto" w:fill="auto"/>
            <w:noWrap/>
            <w:vAlign w:val="bottom"/>
            <w:hideMark/>
          </w:tcPr>
          <w:p w14:paraId="08D8C515" w14:textId="71DEDBBE" w:rsidR="00BF4B13" w:rsidRPr="00CA17F3" w:rsidRDefault="00BF4B13">
            <w:pPr>
              <w:rPr>
                <w:rFonts w:asciiTheme="majorHAnsi" w:hAnsiTheme="majorHAnsi" w:cstheme="majorHAnsi"/>
                <w:color w:val="000000"/>
              </w:rPr>
            </w:pPr>
            <w:proofErr w:type="spellStart"/>
            <w:r w:rsidRPr="00CA17F3">
              <w:rPr>
                <w:rFonts w:asciiTheme="majorHAnsi" w:hAnsiTheme="majorHAnsi" w:cstheme="majorHAnsi"/>
                <w:color w:val="000000"/>
              </w:rPr>
              <w:t>Kgmax_r</w:t>
            </w:r>
            <w:proofErr w:type="spellEnd"/>
            <w:r w:rsidR="00275C7E">
              <w:rPr>
                <w:rFonts w:asciiTheme="majorHAnsi" w:hAnsiTheme="majorHAnsi" w:cstheme="majorHAnsi"/>
                <w:color w:val="000000"/>
              </w:rPr>
              <w:t xml:space="preserve"> (Log</w:t>
            </w:r>
            <w:r w:rsidR="00275C7E" w:rsidRPr="00B84AED">
              <w:rPr>
                <w:rFonts w:asciiTheme="majorHAnsi" w:hAnsiTheme="majorHAnsi" w:cstheme="majorHAnsi"/>
                <w:color w:val="000000"/>
                <w:vertAlign w:val="subscript"/>
              </w:rPr>
              <w:t>10</w:t>
            </w:r>
            <w:r w:rsidR="00275C7E">
              <w:rPr>
                <w:rFonts w:asciiTheme="majorHAnsi" w:hAnsiTheme="majorHAnsi" w:cstheme="majorHAnsi"/>
                <w:color w:val="000000"/>
              </w:rPr>
              <w:t>CFU/mL/h)</w:t>
            </w:r>
          </w:p>
        </w:tc>
        <w:tc>
          <w:tcPr>
            <w:tcW w:w="292" w:type="dxa"/>
            <w:tcBorders>
              <w:top w:val="nil"/>
              <w:left w:val="nil"/>
              <w:bottom w:val="nil"/>
              <w:right w:val="nil"/>
            </w:tcBorders>
            <w:shd w:val="clear" w:color="auto" w:fill="auto"/>
            <w:noWrap/>
            <w:vAlign w:val="bottom"/>
            <w:hideMark/>
          </w:tcPr>
          <w:p w14:paraId="7F0D5B0B"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0.080</w:t>
            </w:r>
          </w:p>
        </w:tc>
        <w:tc>
          <w:tcPr>
            <w:tcW w:w="1978" w:type="dxa"/>
            <w:tcBorders>
              <w:top w:val="nil"/>
              <w:left w:val="nil"/>
              <w:bottom w:val="nil"/>
              <w:right w:val="nil"/>
            </w:tcBorders>
            <w:shd w:val="clear" w:color="auto" w:fill="auto"/>
            <w:noWrap/>
            <w:vAlign w:val="bottom"/>
            <w:hideMark/>
          </w:tcPr>
          <w:p w14:paraId="3E6AB078"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0.051</w:t>
            </w:r>
          </w:p>
        </w:tc>
        <w:tc>
          <w:tcPr>
            <w:tcW w:w="2100" w:type="dxa"/>
            <w:tcBorders>
              <w:top w:val="nil"/>
              <w:left w:val="nil"/>
              <w:bottom w:val="nil"/>
              <w:right w:val="nil"/>
            </w:tcBorders>
            <w:shd w:val="clear" w:color="auto" w:fill="auto"/>
            <w:noWrap/>
            <w:vAlign w:val="bottom"/>
            <w:hideMark/>
          </w:tcPr>
          <w:p w14:paraId="1E00C37D"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0.085</w:t>
            </w:r>
          </w:p>
        </w:tc>
      </w:tr>
      <w:tr w:rsidR="00275C7E" w14:paraId="40DFFC12" w14:textId="77777777" w:rsidTr="00275C7E">
        <w:trPr>
          <w:trHeight w:val="320"/>
        </w:trPr>
        <w:tc>
          <w:tcPr>
            <w:tcW w:w="3119" w:type="dxa"/>
            <w:tcBorders>
              <w:top w:val="nil"/>
              <w:left w:val="nil"/>
              <w:bottom w:val="nil"/>
              <w:right w:val="nil"/>
            </w:tcBorders>
            <w:shd w:val="clear" w:color="auto" w:fill="auto"/>
            <w:noWrap/>
            <w:vAlign w:val="bottom"/>
            <w:hideMark/>
          </w:tcPr>
          <w:p w14:paraId="3BDCC2DF" w14:textId="7688E205" w:rsidR="00BF4B13" w:rsidRPr="00CA17F3" w:rsidRDefault="00BF4B13">
            <w:pPr>
              <w:rPr>
                <w:rFonts w:asciiTheme="majorHAnsi" w:hAnsiTheme="majorHAnsi" w:cstheme="majorHAnsi"/>
                <w:color w:val="000000"/>
              </w:rPr>
            </w:pPr>
            <w:proofErr w:type="spellStart"/>
            <w:r w:rsidRPr="00CA17F3">
              <w:rPr>
                <w:rFonts w:asciiTheme="majorHAnsi" w:hAnsiTheme="majorHAnsi" w:cstheme="majorHAnsi"/>
                <w:color w:val="000000"/>
              </w:rPr>
              <w:t>kkmax_r</w:t>
            </w:r>
            <w:proofErr w:type="spellEnd"/>
            <w:r w:rsidR="00275C7E">
              <w:rPr>
                <w:rFonts w:asciiTheme="majorHAnsi" w:hAnsiTheme="majorHAnsi" w:cstheme="majorHAnsi"/>
                <w:color w:val="000000"/>
              </w:rPr>
              <w:t xml:space="preserve"> (Log</w:t>
            </w:r>
            <w:r w:rsidR="00275C7E" w:rsidRPr="00B84AED">
              <w:rPr>
                <w:rFonts w:asciiTheme="majorHAnsi" w:hAnsiTheme="majorHAnsi" w:cstheme="majorHAnsi"/>
                <w:color w:val="000000"/>
                <w:vertAlign w:val="subscript"/>
              </w:rPr>
              <w:t>10</w:t>
            </w:r>
            <w:r w:rsidR="00275C7E">
              <w:rPr>
                <w:rFonts w:asciiTheme="majorHAnsi" w:hAnsiTheme="majorHAnsi" w:cstheme="majorHAnsi"/>
                <w:color w:val="000000"/>
              </w:rPr>
              <w:t>CFU/mL/h)</w:t>
            </w:r>
          </w:p>
        </w:tc>
        <w:tc>
          <w:tcPr>
            <w:tcW w:w="292" w:type="dxa"/>
            <w:tcBorders>
              <w:top w:val="nil"/>
              <w:left w:val="nil"/>
              <w:bottom w:val="nil"/>
              <w:right w:val="nil"/>
            </w:tcBorders>
            <w:shd w:val="clear" w:color="auto" w:fill="auto"/>
            <w:noWrap/>
            <w:vAlign w:val="bottom"/>
            <w:hideMark/>
          </w:tcPr>
          <w:p w14:paraId="1F2CA980"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1.415</w:t>
            </w:r>
          </w:p>
        </w:tc>
        <w:tc>
          <w:tcPr>
            <w:tcW w:w="1978" w:type="dxa"/>
            <w:tcBorders>
              <w:top w:val="nil"/>
              <w:left w:val="nil"/>
              <w:bottom w:val="nil"/>
              <w:right w:val="nil"/>
            </w:tcBorders>
            <w:shd w:val="clear" w:color="auto" w:fill="auto"/>
            <w:noWrap/>
            <w:vAlign w:val="bottom"/>
            <w:hideMark/>
          </w:tcPr>
          <w:p w14:paraId="0F6F47BA"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1.864</w:t>
            </w:r>
          </w:p>
        </w:tc>
        <w:tc>
          <w:tcPr>
            <w:tcW w:w="2100" w:type="dxa"/>
            <w:tcBorders>
              <w:top w:val="nil"/>
              <w:left w:val="nil"/>
              <w:bottom w:val="nil"/>
              <w:right w:val="nil"/>
            </w:tcBorders>
            <w:shd w:val="clear" w:color="auto" w:fill="auto"/>
            <w:noWrap/>
            <w:vAlign w:val="bottom"/>
            <w:hideMark/>
          </w:tcPr>
          <w:p w14:paraId="3B1F7533"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0.742</w:t>
            </w:r>
          </w:p>
        </w:tc>
      </w:tr>
      <w:tr w:rsidR="00275C7E" w14:paraId="58DB5109" w14:textId="77777777" w:rsidTr="00275C7E">
        <w:trPr>
          <w:trHeight w:val="320"/>
        </w:trPr>
        <w:tc>
          <w:tcPr>
            <w:tcW w:w="3119" w:type="dxa"/>
            <w:tcBorders>
              <w:top w:val="nil"/>
              <w:left w:val="nil"/>
              <w:bottom w:val="nil"/>
              <w:right w:val="nil"/>
            </w:tcBorders>
            <w:shd w:val="clear" w:color="auto" w:fill="auto"/>
            <w:noWrap/>
            <w:vAlign w:val="bottom"/>
            <w:hideMark/>
          </w:tcPr>
          <w:p w14:paraId="6BD61082" w14:textId="1C95F543" w:rsidR="00BF4B13" w:rsidRPr="00CA17F3" w:rsidRDefault="00BF4B13">
            <w:pPr>
              <w:rPr>
                <w:rFonts w:asciiTheme="majorHAnsi" w:hAnsiTheme="majorHAnsi" w:cstheme="majorHAnsi"/>
                <w:color w:val="000000"/>
              </w:rPr>
            </w:pPr>
            <w:r w:rsidRPr="00CA17F3">
              <w:rPr>
                <w:rFonts w:asciiTheme="majorHAnsi" w:hAnsiTheme="majorHAnsi" w:cstheme="majorHAnsi"/>
                <w:color w:val="000000"/>
              </w:rPr>
              <w:t>C50k_r</w:t>
            </w:r>
            <w:r w:rsidR="00275C7E">
              <w:rPr>
                <w:rFonts w:asciiTheme="majorHAnsi" w:hAnsiTheme="majorHAnsi" w:cstheme="majorHAnsi"/>
                <w:color w:val="000000"/>
              </w:rPr>
              <w:t xml:space="preserve"> (mg/L)</w:t>
            </w:r>
          </w:p>
        </w:tc>
        <w:tc>
          <w:tcPr>
            <w:tcW w:w="292" w:type="dxa"/>
            <w:tcBorders>
              <w:top w:val="nil"/>
              <w:left w:val="nil"/>
              <w:bottom w:val="nil"/>
              <w:right w:val="nil"/>
            </w:tcBorders>
            <w:shd w:val="clear" w:color="auto" w:fill="auto"/>
            <w:noWrap/>
            <w:vAlign w:val="bottom"/>
            <w:hideMark/>
          </w:tcPr>
          <w:p w14:paraId="0E44407E"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15.682</w:t>
            </w:r>
          </w:p>
        </w:tc>
        <w:tc>
          <w:tcPr>
            <w:tcW w:w="1978" w:type="dxa"/>
            <w:tcBorders>
              <w:top w:val="nil"/>
              <w:left w:val="nil"/>
              <w:bottom w:val="nil"/>
              <w:right w:val="nil"/>
            </w:tcBorders>
            <w:shd w:val="clear" w:color="auto" w:fill="auto"/>
            <w:noWrap/>
            <w:vAlign w:val="bottom"/>
            <w:hideMark/>
          </w:tcPr>
          <w:p w14:paraId="6B6ADF96"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7.658</w:t>
            </w:r>
          </w:p>
        </w:tc>
        <w:tc>
          <w:tcPr>
            <w:tcW w:w="2100" w:type="dxa"/>
            <w:tcBorders>
              <w:top w:val="nil"/>
              <w:left w:val="nil"/>
              <w:bottom w:val="nil"/>
              <w:right w:val="nil"/>
            </w:tcBorders>
            <w:shd w:val="clear" w:color="auto" w:fill="auto"/>
            <w:noWrap/>
            <w:vAlign w:val="bottom"/>
            <w:hideMark/>
          </w:tcPr>
          <w:p w14:paraId="7E107812"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16.024</w:t>
            </w:r>
          </w:p>
        </w:tc>
      </w:tr>
      <w:tr w:rsidR="00275C7E" w14:paraId="5B234E58" w14:textId="77777777" w:rsidTr="00275C7E">
        <w:trPr>
          <w:trHeight w:val="320"/>
        </w:trPr>
        <w:tc>
          <w:tcPr>
            <w:tcW w:w="3119" w:type="dxa"/>
            <w:tcBorders>
              <w:top w:val="nil"/>
              <w:left w:val="nil"/>
              <w:bottom w:val="nil"/>
              <w:right w:val="nil"/>
            </w:tcBorders>
            <w:shd w:val="clear" w:color="auto" w:fill="auto"/>
            <w:noWrap/>
            <w:vAlign w:val="bottom"/>
            <w:hideMark/>
          </w:tcPr>
          <w:p w14:paraId="70C0A1E7" w14:textId="77777777" w:rsidR="00BF4B13" w:rsidRPr="00CA17F3" w:rsidRDefault="00BF4B13">
            <w:pPr>
              <w:rPr>
                <w:rFonts w:asciiTheme="majorHAnsi" w:hAnsiTheme="majorHAnsi" w:cstheme="majorHAnsi"/>
                <w:color w:val="000000"/>
              </w:rPr>
            </w:pPr>
            <w:proofErr w:type="spellStart"/>
            <w:r w:rsidRPr="00CA17F3">
              <w:rPr>
                <w:rFonts w:asciiTheme="majorHAnsi" w:hAnsiTheme="majorHAnsi" w:cstheme="majorHAnsi"/>
                <w:color w:val="000000"/>
              </w:rPr>
              <w:t>Hkr</w:t>
            </w:r>
            <w:proofErr w:type="spellEnd"/>
          </w:p>
        </w:tc>
        <w:tc>
          <w:tcPr>
            <w:tcW w:w="292" w:type="dxa"/>
            <w:tcBorders>
              <w:top w:val="nil"/>
              <w:left w:val="nil"/>
              <w:bottom w:val="nil"/>
              <w:right w:val="nil"/>
            </w:tcBorders>
            <w:shd w:val="clear" w:color="auto" w:fill="auto"/>
            <w:noWrap/>
            <w:vAlign w:val="bottom"/>
            <w:hideMark/>
          </w:tcPr>
          <w:p w14:paraId="291020BE"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6.518</w:t>
            </w:r>
          </w:p>
        </w:tc>
        <w:tc>
          <w:tcPr>
            <w:tcW w:w="1978" w:type="dxa"/>
            <w:tcBorders>
              <w:top w:val="nil"/>
              <w:left w:val="nil"/>
              <w:bottom w:val="nil"/>
              <w:right w:val="nil"/>
            </w:tcBorders>
            <w:shd w:val="clear" w:color="auto" w:fill="auto"/>
            <w:noWrap/>
            <w:vAlign w:val="bottom"/>
            <w:hideMark/>
          </w:tcPr>
          <w:p w14:paraId="6AC4DC62"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2.746</w:t>
            </w:r>
          </w:p>
        </w:tc>
        <w:tc>
          <w:tcPr>
            <w:tcW w:w="2100" w:type="dxa"/>
            <w:tcBorders>
              <w:top w:val="nil"/>
              <w:left w:val="nil"/>
              <w:bottom w:val="nil"/>
              <w:right w:val="nil"/>
            </w:tcBorders>
            <w:shd w:val="clear" w:color="auto" w:fill="auto"/>
            <w:noWrap/>
            <w:vAlign w:val="bottom"/>
            <w:hideMark/>
          </w:tcPr>
          <w:p w14:paraId="1D4780C2"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8.547</w:t>
            </w:r>
          </w:p>
        </w:tc>
      </w:tr>
      <w:tr w:rsidR="00275C7E" w14:paraId="3F3E974F" w14:textId="77777777" w:rsidTr="00275C7E">
        <w:trPr>
          <w:trHeight w:val="320"/>
        </w:trPr>
        <w:tc>
          <w:tcPr>
            <w:tcW w:w="3119" w:type="dxa"/>
            <w:tcBorders>
              <w:top w:val="nil"/>
              <w:left w:val="nil"/>
              <w:bottom w:val="nil"/>
              <w:right w:val="nil"/>
            </w:tcBorders>
            <w:shd w:val="clear" w:color="auto" w:fill="auto"/>
            <w:noWrap/>
            <w:vAlign w:val="bottom"/>
            <w:hideMark/>
          </w:tcPr>
          <w:p w14:paraId="748164D3" w14:textId="3DE2C883" w:rsidR="00BF4B13" w:rsidRPr="00CA17F3" w:rsidRDefault="00275C7E">
            <w:pPr>
              <w:rPr>
                <w:rFonts w:asciiTheme="majorHAnsi" w:hAnsiTheme="majorHAnsi" w:cstheme="majorHAnsi"/>
                <w:color w:val="000000"/>
              </w:rPr>
            </w:pPr>
            <w:r>
              <w:rPr>
                <w:rFonts w:asciiTheme="majorHAnsi" w:hAnsiTheme="majorHAnsi" w:cstheme="majorHAnsi"/>
                <w:color w:val="000000"/>
              </w:rPr>
              <w:t xml:space="preserve">Initial </w:t>
            </w:r>
            <w:proofErr w:type="spellStart"/>
            <w:r>
              <w:rPr>
                <w:rFonts w:asciiTheme="majorHAnsi" w:hAnsiTheme="majorHAnsi" w:cstheme="majorHAnsi"/>
                <w:color w:val="000000"/>
              </w:rPr>
              <w:t>Condition_s</w:t>
            </w:r>
            <w:proofErr w:type="spellEnd"/>
            <w:r>
              <w:rPr>
                <w:rFonts w:asciiTheme="majorHAnsi" w:hAnsiTheme="majorHAnsi" w:cstheme="majorHAnsi"/>
                <w:color w:val="000000"/>
              </w:rPr>
              <w:t xml:space="preserve"> (CFU/mL)</w:t>
            </w:r>
          </w:p>
        </w:tc>
        <w:tc>
          <w:tcPr>
            <w:tcW w:w="292" w:type="dxa"/>
            <w:tcBorders>
              <w:top w:val="nil"/>
              <w:left w:val="nil"/>
              <w:bottom w:val="nil"/>
              <w:right w:val="nil"/>
            </w:tcBorders>
            <w:shd w:val="clear" w:color="auto" w:fill="auto"/>
            <w:noWrap/>
            <w:vAlign w:val="bottom"/>
            <w:hideMark/>
          </w:tcPr>
          <w:p w14:paraId="2305F135" w14:textId="21A261DE"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221498161</w:t>
            </w:r>
          </w:p>
        </w:tc>
        <w:tc>
          <w:tcPr>
            <w:tcW w:w="1978" w:type="dxa"/>
            <w:tcBorders>
              <w:top w:val="nil"/>
              <w:left w:val="nil"/>
              <w:bottom w:val="nil"/>
              <w:right w:val="nil"/>
            </w:tcBorders>
            <w:shd w:val="clear" w:color="auto" w:fill="auto"/>
            <w:noWrap/>
            <w:vAlign w:val="bottom"/>
            <w:hideMark/>
          </w:tcPr>
          <w:p w14:paraId="36035027" w14:textId="7A9545E2"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215794786</w:t>
            </w:r>
          </w:p>
        </w:tc>
        <w:tc>
          <w:tcPr>
            <w:tcW w:w="2100" w:type="dxa"/>
            <w:tcBorders>
              <w:top w:val="nil"/>
              <w:left w:val="nil"/>
              <w:bottom w:val="nil"/>
              <w:right w:val="nil"/>
            </w:tcBorders>
            <w:shd w:val="clear" w:color="auto" w:fill="auto"/>
            <w:noWrap/>
            <w:vAlign w:val="bottom"/>
            <w:hideMark/>
          </w:tcPr>
          <w:p w14:paraId="3826B01A" w14:textId="4BA6E543"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139228645</w:t>
            </w:r>
          </w:p>
        </w:tc>
      </w:tr>
      <w:tr w:rsidR="00275C7E" w14:paraId="1FE83587" w14:textId="77777777" w:rsidTr="00275C7E">
        <w:trPr>
          <w:trHeight w:val="320"/>
        </w:trPr>
        <w:tc>
          <w:tcPr>
            <w:tcW w:w="3119" w:type="dxa"/>
            <w:tcBorders>
              <w:top w:val="nil"/>
              <w:left w:val="nil"/>
              <w:bottom w:val="nil"/>
              <w:right w:val="nil"/>
            </w:tcBorders>
            <w:shd w:val="clear" w:color="auto" w:fill="auto"/>
            <w:noWrap/>
            <w:vAlign w:val="bottom"/>
            <w:hideMark/>
          </w:tcPr>
          <w:p w14:paraId="5F3F7E93" w14:textId="1086E939" w:rsidR="00BF4B13" w:rsidRPr="00CA17F3" w:rsidRDefault="00275C7E">
            <w:pPr>
              <w:rPr>
                <w:rFonts w:asciiTheme="majorHAnsi" w:hAnsiTheme="majorHAnsi" w:cstheme="majorHAnsi"/>
                <w:color w:val="000000"/>
              </w:rPr>
            </w:pPr>
            <w:r>
              <w:rPr>
                <w:rFonts w:asciiTheme="majorHAnsi" w:hAnsiTheme="majorHAnsi" w:cstheme="majorHAnsi"/>
                <w:color w:val="000000"/>
              </w:rPr>
              <w:t xml:space="preserve">Initial </w:t>
            </w:r>
            <w:proofErr w:type="spellStart"/>
            <w:r>
              <w:rPr>
                <w:rFonts w:asciiTheme="majorHAnsi" w:hAnsiTheme="majorHAnsi" w:cstheme="majorHAnsi"/>
                <w:color w:val="000000"/>
              </w:rPr>
              <w:t>Condition_r</w:t>
            </w:r>
            <w:proofErr w:type="spellEnd"/>
            <w:r>
              <w:rPr>
                <w:rFonts w:asciiTheme="majorHAnsi" w:hAnsiTheme="majorHAnsi" w:cstheme="majorHAnsi"/>
                <w:color w:val="000000"/>
              </w:rPr>
              <w:t xml:space="preserve"> (CFU/mL)</w:t>
            </w:r>
          </w:p>
        </w:tc>
        <w:tc>
          <w:tcPr>
            <w:tcW w:w="292" w:type="dxa"/>
            <w:tcBorders>
              <w:top w:val="nil"/>
              <w:left w:val="nil"/>
              <w:bottom w:val="nil"/>
              <w:right w:val="nil"/>
            </w:tcBorders>
            <w:shd w:val="clear" w:color="auto" w:fill="auto"/>
            <w:noWrap/>
            <w:vAlign w:val="bottom"/>
            <w:hideMark/>
          </w:tcPr>
          <w:p w14:paraId="21E7B52E"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32.437</w:t>
            </w:r>
          </w:p>
        </w:tc>
        <w:tc>
          <w:tcPr>
            <w:tcW w:w="1978" w:type="dxa"/>
            <w:tcBorders>
              <w:top w:val="nil"/>
              <w:left w:val="nil"/>
              <w:bottom w:val="nil"/>
              <w:right w:val="nil"/>
            </w:tcBorders>
            <w:shd w:val="clear" w:color="auto" w:fill="auto"/>
            <w:noWrap/>
            <w:vAlign w:val="bottom"/>
            <w:hideMark/>
          </w:tcPr>
          <w:p w14:paraId="511E6F24"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31.265</w:t>
            </w:r>
          </w:p>
        </w:tc>
        <w:tc>
          <w:tcPr>
            <w:tcW w:w="2100" w:type="dxa"/>
            <w:tcBorders>
              <w:top w:val="nil"/>
              <w:left w:val="nil"/>
              <w:bottom w:val="nil"/>
              <w:right w:val="nil"/>
            </w:tcBorders>
            <w:shd w:val="clear" w:color="auto" w:fill="auto"/>
            <w:noWrap/>
            <w:vAlign w:val="bottom"/>
            <w:hideMark/>
          </w:tcPr>
          <w:p w14:paraId="179A9238" w14:textId="77777777" w:rsidR="00BF4B13" w:rsidRPr="00CA17F3" w:rsidRDefault="00BF4B13" w:rsidP="00CA17F3">
            <w:pPr>
              <w:jc w:val="center"/>
              <w:rPr>
                <w:rFonts w:asciiTheme="majorHAnsi" w:hAnsiTheme="majorHAnsi" w:cstheme="majorHAnsi"/>
                <w:color w:val="000000"/>
              </w:rPr>
            </w:pPr>
            <w:r w:rsidRPr="00CA17F3">
              <w:rPr>
                <w:rFonts w:asciiTheme="majorHAnsi" w:hAnsiTheme="majorHAnsi" w:cstheme="majorHAnsi"/>
                <w:color w:val="000000"/>
              </w:rPr>
              <w:t>17.840</w:t>
            </w:r>
          </w:p>
        </w:tc>
      </w:tr>
    </w:tbl>
    <w:p w14:paraId="0EBCDF78" w14:textId="77777777" w:rsidR="002668D2" w:rsidRDefault="002668D2">
      <w:pPr>
        <w:rPr>
          <w:rFonts w:asciiTheme="majorHAnsi" w:hAnsiTheme="majorHAnsi" w:cstheme="majorHAnsi"/>
        </w:rPr>
      </w:pPr>
    </w:p>
    <w:p w14:paraId="1F71A48F" w14:textId="3FEEC256" w:rsidR="00C05944" w:rsidRDefault="00275C7E">
      <w:pPr>
        <w:rPr>
          <w:rFonts w:asciiTheme="majorHAnsi" w:hAnsiTheme="majorHAnsi" w:cstheme="majorHAnsi"/>
        </w:rPr>
      </w:pPr>
      <w:r>
        <w:rPr>
          <w:rFonts w:asciiTheme="majorHAnsi" w:hAnsiTheme="majorHAnsi" w:cstheme="majorHAnsi"/>
        </w:rPr>
        <w:t xml:space="preserve">Note: </w:t>
      </w:r>
      <w:proofErr w:type="spellStart"/>
      <w:r w:rsidRPr="00CA17F3">
        <w:rPr>
          <w:rFonts w:asciiTheme="majorHAnsi" w:hAnsiTheme="majorHAnsi" w:cstheme="majorHAnsi"/>
          <w:vertAlign w:val="superscript"/>
        </w:rPr>
        <w:t>a</w:t>
      </w:r>
      <w:r>
        <w:rPr>
          <w:rFonts w:asciiTheme="majorHAnsi" w:hAnsiTheme="majorHAnsi" w:cstheme="majorHAnsi"/>
        </w:rPr>
        <w:t>Parameters</w:t>
      </w:r>
      <w:proofErr w:type="spellEnd"/>
      <w:r>
        <w:rPr>
          <w:rFonts w:asciiTheme="majorHAnsi" w:hAnsiTheme="majorHAnsi" w:cstheme="majorHAnsi"/>
        </w:rPr>
        <w:t xml:space="preserve"> as described in the text.</w:t>
      </w:r>
    </w:p>
    <w:p w14:paraId="26674B34" w14:textId="556F0030" w:rsidR="00F1012C" w:rsidRDefault="00F1012C">
      <w:pPr>
        <w:rPr>
          <w:rFonts w:asciiTheme="majorHAnsi" w:hAnsiTheme="majorHAnsi" w:cstheme="majorHAnsi"/>
        </w:rPr>
      </w:pPr>
      <w:r>
        <w:rPr>
          <w:rFonts w:asciiTheme="majorHAnsi" w:hAnsiTheme="majorHAnsi" w:cstheme="majorHAnsi"/>
        </w:rPr>
        <w:br w:type="page"/>
      </w:r>
    </w:p>
    <w:p w14:paraId="1E6717DE" w14:textId="77777777" w:rsidR="00C05944" w:rsidRDefault="00C05944">
      <w:pPr>
        <w:rPr>
          <w:rFonts w:asciiTheme="majorHAnsi" w:hAnsiTheme="majorHAnsi" w:cstheme="majorHAnsi"/>
        </w:rPr>
      </w:pPr>
    </w:p>
    <w:p w14:paraId="6F036172" w14:textId="571281D4" w:rsidR="003C63D3" w:rsidRDefault="00377E30">
      <w:pPr>
        <w:rPr>
          <w:rFonts w:asciiTheme="majorHAnsi" w:hAnsiTheme="majorHAnsi" w:cstheme="majorHAnsi"/>
        </w:rPr>
      </w:pPr>
      <w:r>
        <w:rPr>
          <w:rFonts w:asciiTheme="majorHAnsi" w:hAnsiTheme="majorHAnsi" w:cstheme="majorHAnsi"/>
        </w:rPr>
        <w:t xml:space="preserve">Figure 1. The pharmacodynamics of </w:t>
      </w:r>
      <w:r w:rsidR="00AE199A">
        <w:rPr>
          <w:rFonts w:asciiTheme="majorHAnsi" w:hAnsiTheme="majorHAnsi" w:cstheme="majorHAnsi"/>
        </w:rPr>
        <w:t>tebipenem</w:t>
      </w:r>
      <w:r>
        <w:rPr>
          <w:rFonts w:asciiTheme="majorHAnsi" w:hAnsiTheme="majorHAnsi" w:cstheme="majorHAnsi"/>
        </w:rPr>
        <w:t xml:space="preserve"> against </w:t>
      </w:r>
      <w:r w:rsidRPr="00CA17F3">
        <w:rPr>
          <w:rFonts w:asciiTheme="majorHAnsi" w:hAnsiTheme="majorHAnsi" w:cstheme="majorHAnsi"/>
          <w:i/>
        </w:rPr>
        <w:t>E. coli</w:t>
      </w:r>
      <w:r>
        <w:rPr>
          <w:rFonts w:asciiTheme="majorHAnsi" w:hAnsiTheme="majorHAnsi" w:cstheme="majorHAnsi"/>
        </w:rPr>
        <w:t xml:space="preserve"> ATCC</w:t>
      </w:r>
      <w:r w:rsidR="00A76C0E">
        <w:rPr>
          <w:rFonts w:asciiTheme="majorHAnsi" w:hAnsiTheme="majorHAnsi" w:cstheme="majorHAnsi"/>
        </w:rPr>
        <w:t xml:space="preserve"> </w:t>
      </w:r>
      <w:r>
        <w:rPr>
          <w:rFonts w:asciiTheme="majorHAnsi" w:hAnsiTheme="majorHAnsi" w:cstheme="majorHAnsi"/>
        </w:rPr>
        <w:t xml:space="preserve">25922 in a neutropenic thigh infection model.   </w:t>
      </w:r>
    </w:p>
    <w:p w14:paraId="1BC5E1D2" w14:textId="77777777" w:rsidR="003C63D3" w:rsidRDefault="003C63D3">
      <w:pPr>
        <w:rPr>
          <w:rFonts w:asciiTheme="majorHAnsi" w:hAnsiTheme="majorHAnsi" w:cstheme="majorHAnsi"/>
        </w:rPr>
      </w:pPr>
    </w:p>
    <w:p w14:paraId="6041E569" w14:textId="5B8BDA3D" w:rsidR="00E6777A" w:rsidRDefault="00E6777A">
      <w:pPr>
        <w:rPr>
          <w:rFonts w:asciiTheme="majorHAnsi" w:hAnsiTheme="majorHAnsi" w:cstheme="majorHAnsi"/>
        </w:rPr>
      </w:pPr>
      <w:r>
        <w:rPr>
          <w:rFonts w:asciiTheme="majorHAnsi" w:hAnsiTheme="majorHAnsi" w:cstheme="majorHAnsi"/>
          <w:noProof/>
          <w:lang w:val="en-US"/>
        </w:rPr>
        <w:drawing>
          <wp:inline distT="0" distB="0" distL="0" distR="0" wp14:anchorId="1F40420F" wp14:editId="33C55E4A">
            <wp:extent cx="3086100" cy="2070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Exposure response.tif"/>
                    <pic:cNvPicPr/>
                  </pic:nvPicPr>
                  <pic:blipFill>
                    <a:blip r:embed="rId8" cstate="screen">
                      <a:extLst>
                        <a:ext uri="{28A0092B-C50C-407E-A947-70E740481C1C}">
                          <a14:useLocalDpi xmlns:a14="http://schemas.microsoft.com/office/drawing/2010/main"/>
                        </a:ext>
                      </a:extLst>
                    </a:blip>
                    <a:stretch>
                      <a:fillRect/>
                    </a:stretch>
                  </pic:blipFill>
                  <pic:spPr>
                    <a:xfrm>
                      <a:off x="0" y="0"/>
                      <a:ext cx="3086100" cy="2070100"/>
                    </a:xfrm>
                    <a:prstGeom prst="rect">
                      <a:avLst/>
                    </a:prstGeom>
                  </pic:spPr>
                </pic:pic>
              </a:graphicData>
            </a:graphic>
          </wp:inline>
        </w:drawing>
      </w:r>
    </w:p>
    <w:p w14:paraId="5758CFBE" w14:textId="77777777" w:rsidR="009B4D20" w:rsidRDefault="009B4D20">
      <w:pPr>
        <w:rPr>
          <w:rFonts w:asciiTheme="majorHAnsi" w:hAnsiTheme="majorHAnsi" w:cstheme="majorHAnsi"/>
        </w:rPr>
      </w:pPr>
    </w:p>
    <w:p w14:paraId="65B9DF1F" w14:textId="0384B74E" w:rsidR="00E6777A" w:rsidRDefault="003C63D3">
      <w:pPr>
        <w:rPr>
          <w:rFonts w:asciiTheme="majorHAnsi" w:hAnsiTheme="majorHAnsi" w:cstheme="majorHAnsi"/>
        </w:rPr>
      </w:pPr>
      <w:r>
        <w:rPr>
          <w:rFonts w:asciiTheme="majorHAnsi" w:hAnsiTheme="majorHAnsi" w:cstheme="majorHAnsi"/>
        </w:rPr>
        <w:t xml:space="preserve">The data are the mean </w:t>
      </w:r>
      <w:r>
        <w:rPr>
          <w:rFonts w:asciiTheme="majorHAnsi" w:hAnsiTheme="majorHAnsi" w:cstheme="majorHAnsi"/>
        </w:rPr>
        <w:sym w:font="Symbol" w:char="F0B1"/>
      </w:r>
      <w:r>
        <w:rPr>
          <w:rFonts w:asciiTheme="majorHAnsi" w:hAnsiTheme="majorHAnsi" w:cstheme="majorHAnsi"/>
        </w:rPr>
        <w:t xml:space="preserve"> standard deviation from 3 mice collected over the course of three independently conducted experiments.  The solid squares are the bacterial density at the commencement of therapy, 2 hours post-inoculation.  The mean of these points defines the stasis line</w:t>
      </w:r>
      <w:r w:rsidR="00377E30">
        <w:rPr>
          <w:rFonts w:asciiTheme="majorHAnsi" w:hAnsiTheme="majorHAnsi" w:cstheme="majorHAnsi"/>
        </w:rPr>
        <w:t xml:space="preserve"> depicted by the broken horizon</w:t>
      </w:r>
      <w:r w:rsidR="00CA17F3">
        <w:rPr>
          <w:rFonts w:asciiTheme="majorHAnsi" w:hAnsiTheme="majorHAnsi" w:cstheme="majorHAnsi"/>
        </w:rPr>
        <w:t>t</w:t>
      </w:r>
      <w:r w:rsidR="00377E30">
        <w:rPr>
          <w:rFonts w:asciiTheme="majorHAnsi" w:hAnsiTheme="majorHAnsi" w:cstheme="majorHAnsi"/>
        </w:rPr>
        <w:t>al line</w:t>
      </w:r>
      <w:r>
        <w:rPr>
          <w:rFonts w:asciiTheme="majorHAnsi" w:hAnsiTheme="majorHAnsi" w:cstheme="majorHAnsi"/>
        </w:rPr>
        <w:t>.  The open circles are the data-points from mice sacrificed after receiving 24 hours of antibacterial therapy.  The solid line i</w:t>
      </w:r>
      <w:r w:rsidR="00A63CDE">
        <w:rPr>
          <w:rFonts w:asciiTheme="majorHAnsi" w:hAnsiTheme="majorHAnsi" w:cstheme="majorHAnsi"/>
        </w:rPr>
        <w:t>s the fit of an inhibitor</w:t>
      </w:r>
      <w:r>
        <w:rPr>
          <w:rFonts w:asciiTheme="majorHAnsi" w:hAnsiTheme="majorHAnsi" w:cstheme="majorHAnsi"/>
        </w:rPr>
        <w:t xml:space="preserve">y sigmoid </w:t>
      </w:r>
      <w:proofErr w:type="spellStart"/>
      <w:r>
        <w:rPr>
          <w:rFonts w:asciiTheme="majorHAnsi" w:hAnsiTheme="majorHAnsi" w:cstheme="majorHAnsi"/>
        </w:rPr>
        <w:t>Emax</w:t>
      </w:r>
      <w:proofErr w:type="spellEnd"/>
      <w:r>
        <w:rPr>
          <w:rFonts w:asciiTheme="majorHAnsi" w:hAnsiTheme="majorHAnsi" w:cstheme="majorHAnsi"/>
        </w:rPr>
        <w:t xml:space="preserve"> model.</w:t>
      </w:r>
    </w:p>
    <w:p w14:paraId="50A44942" w14:textId="56AB09D2" w:rsidR="00E6777A" w:rsidRDefault="00E6777A">
      <w:pPr>
        <w:rPr>
          <w:rFonts w:asciiTheme="majorHAnsi" w:hAnsiTheme="majorHAnsi" w:cstheme="majorHAnsi"/>
        </w:rPr>
      </w:pPr>
      <w:r>
        <w:rPr>
          <w:rFonts w:asciiTheme="majorHAnsi" w:hAnsiTheme="majorHAnsi" w:cstheme="majorHAnsi"/>
        </w:rPr>
        <w:br w:type="page"/>
      </w:r>
    </w:p>
    <w:p w14:paraId="7AA490E8" w14:textId="4B75A1EC" w:rsidR="00E6777A" w:rsidRDefault="00E6777A">
      <w:pPr>
        <w:rPr>
          <w:rFonts w:asciiTheme="majorHAnsi" w:hAnsiTheme="majorHAnsi" w:cstheme="majorHAnsi"/>
        </w:rPr>
      </w:pPr>
    </w:p>
    <w:p w14:paraId="31B533EB" w14:textId="1725FB7E" w:rsidR="00E8660C" w:rsidRDefault="00377E30">
      <w:pPr>
        <w:rPr>
          <w:rFonts w:asciiTheme="majorHAnsi" w:hAnsiTheme="majorHAnsi" w:cstheme="majorHAnsi"/>
        </w:rPr>
      </w:pPr>
      <w:r>
        <w:rPr>
          <w:rFonts w:asciiTheme="majorHAnsi" w:hAnsiTheme="majorHAnsi" w:cstheme="majorHAnsi"/>
        </w:rPr>
        <w:t xml:space="preserve">Figure 2. </w:t>
      </w:r>
      <w:r w:rsidR="005220F2">
        <w:rPr>
          <w:rFonts w:asciiTheme="majorHAnsi" w:hAnsiTheme="majorHAnsi" w:cstheme="majorHAnsi"/>
        </w:rPr>
        <w:t>P</w:t>
      </w:r>
      <w:r>
        <w:rPr>
          <w:rFonts w:asciiTheme="majorHAnsi" w:hAnsiTheme="majorHAnsi" w:cstheme="majorHAnsi"/>
        </w:rPr>
        <w:t xml:space="preserve">harmacokinetics of </w:t>
      </w:r>
      <w:r w:rsidR="00CD08E5">
        <w:rPr>
          <w:rFonts w:asciiTheme="majorHAnsi" w:hAnsiTheme="majorHAnsi" w:cstheme="majorHAnsi"/>
        </w:rPr>
        <w:t>TBPM-PI-HBr</w:t>
      </w:r>
    </w:p>
    <w:p w14:paraId="0DA7C796" w14:textId="2857331F" w:rsidR="00E8660C" w:rsidRDefault="00E8660C">
      <w:pPr>
        <w:rPr>
          <w:rFonts w:asciiTheme="majorHAnsi" w:hAnsiTheme="majorHAnsi" w:cstheme="majorHAnsi"/>
        </w:rPr>
      </w:pPr>
    </w:p>
    <w:p w14:paraId="34510068" w14:textId="6A211F98" w:rsidR="00E8660C" w:rsidRDefault="00E8660C">
      <w:pPr>
        <w:rPr>
          <w:rFonts w:asciiTheme="majorHAnsi" w:hAnsiTheme="majorHAnsi" w:cstheme="majorHAnsi"/>
        </w:rPr>
      </w:pPr>
      <w:r>
        <w:rPr>
          <w:rFonts w:asciiTheme="majorHAnsi" w:hAnsiTheme="majorHAnsi" w:cstheme="majorHAnsi"/>
          <w:noProof/>
          <w:lang w:val="en-US"/>
        </w:rPr>
        <w:drawing>
          <wp:inline distT="0" distB="0" distL="0" distR="0" wp14:anchorId="13C60973" wp14:editId="77A52816">
            <wp:extent cx="6498442" cy="4305552"/>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PK.tif"/>
                    <pic:cNvPicPr/>
                  </pic:nvPicPr>
                  <pic:blipFill>
                    <a:blip r:embed="rId9" cstate="screen">
                      <a:extLst>
                        <a:ext uri="{28A0092B-C50C-407E-A947-70E740481C1C}">
                          <a14:useLocalDpi xmlns:a14="http://schemas.microsoft.com/office/drawing/2010/main"/>
                        </a:ext>
                      </a:extLst>
                    </a:blip>
                    <a:stretch>
                      <a:fillRect/>
                    </a:stretch>
                  </pic:blipFill>
                  <pic:spPr>
                    <a:xfrm>
                      <a:off x="0" y="0"/>
                      <a:ext cx="6535511" cy="4330112"/>
                    </a:xfrm>
                    <a:prstGeom prst="rect">
                      <a:avLst/>
                    </a:prstGeom>
                  </pic:spPr>
                </pic:pic>
              </a:graphicData>
            </a:graphic>
          </wp:inline>
        </w:drawing>
      </w:r>
    </w:p>
    <w:p w14:paraId="0216C747" w14:textId="7FA256A2" w:rsidR="00E8660C" w:rsidRDefault="00377E30">
      <w:pPr>
        <w:rPr>
          <w:rFonts w:asciiTheme="majorHAnsi" w:hAnsiTheme="majorHAnsi" w:cstheme="majorHAnsi"/>
        </w:rPr>
      </w:pPr>
      <w:r>
        <w:rPr>
          <w:rFonts w:asciiTheme="majorHAnsi" w:hAnsiTheme="majorHAnsi" w:cstheme="majorHAnsi"/>
        </w:rPr>
        <w:t xml:space="preserve">Note: Data are the mean </w:t>
      </w:r>
      <w:r>
        <w:rPr>
          <w:rFonts w:asciiTheme="majorHAnsi" w:hAnsiTheme="majorHAnsi" w:cstheme="majorHAnsi"/>
        </w:rPr>
        <w:sym w:font="Symbol" w:char="F0B1"/>
      </w:r>
      <w:r>
        <w:rPr>
          <w:rFonts w:asciiTheme="majorHAnsi" w:hAnsiTheme="majorHAnsi" w:cstheme="majorHAnsi"/>
        </w:rPr>
        <w:t xml:space="preserve"> standard deviation from 3 mice</w:t>
      </w:r>
      <w:r w:rsidR="00006655">
        <w:rPr>
          <w:rFonts w:asciiTheme="majorHAnsi" w:hAnsiTheme="majorHAnsi" w:cstheme="majorHAnsi"/>
        </w:rPr>
        <w:t xml:space="preserve">.  A destructive design has been used.  Mice sampled in the period 16-24 hours had received drug at 0, 8 and 16 hours.  Mice were infected with </w:t>
      </w:r>
      <w:r w:rsidR="00006655" w:rsidRPr="008A6EFC">
        <w:rPr>
          <w:rFonts w:asciiTheme="majorHAnsi" w:hAnsiTheme="majorHAnsi" w:cstheme="majorHAnsi"/>
          <w:i/>
        </w:rPr>
        <w:t>E. coli</w:t>
      </w:r>
      <w:r w:rsidR="00006655">
        <w:rPr>
          <w:rFonts w:asciiTheme="majorHAnsi" w:hAnsiTheme="majorHAnsi" w:cstheme="majorHAnsi"/>
        </w:rPr>
        <w:t xml:space="preserve"> ATCC</w:t>
      </w:r>
      <w:r w:rsidR="008A6EFC">
        <w:rPr>
          <w:rFonts w:asciiTheme="majorHAnsi" w:hAnsiTheme="majorHAnsi" w:cstheme="majorHAnsi"/>
        </w:rPr>
        <w:t xml:space="preserve"> </w:t>
      </w:r>
      <w:r w:rsidR="00006655">
        <w:rPr>
          <w:rFonts w:asciiTheme="majorHAnsi" w:hAnsiTheme="majorHAnsi" w:cstheme="majorHAnsi"/>
        </w:rPr>
        <w:t>25922.</w:t>
      </w:r>
    </w:p>
    <w:p w14:paraId="372EB793" w14:textId="241D17DD" w:rsidR="00E8660C" w:rsidRDefault="00E8660C">
      <w:pPr>
        <w:rPr>
          <w:rFonts w:asciiTheme="majorHAnsi" w:hAnsiTheme="majorHAnsi" w:cstheme="majorHAnsi"/>
        </w:rPr>
      </w:pPr>
    </w:p>
    <w:p w14:paraId="0B293E86" w14:textId="4EBBBBE5" w:rsidR="00E8660C" w:rsidRDefault="00E8660C">
      <w:pPr>
        <w:rPr>
          <w:rFonts w:asciiTheme="majorHAnsi" w:hAnsiTheme="majorHAnsi" w:cstheme="majorHAnsi"/>
        </w:rPr>
      </w:pPr>
    </w:p>
    <w:p w14:paraId="13241D2E" w14:textId="7A5BE9B7" w:rsidR="00E8660C" w:rsidRDefault="00E8660C">
      <w:pPr>
        <w:rPr>
          <w:rFonts w:asciiTheme="majorHAnsi" w:hAnsiTheme="majorHAnsi" w:cstheme="majorHAnsi"/>
        </w:rPr>
      </w:pPr>
    </w:p>
    <w:p w14:paraId="3321FE34" w14:textId="43C30D15" w:rsidR="00E8660C" w:rsidRDefault="00E8660C">
      <w:pPr>
        <w:rPr>
          <w:rFonts w:asciiTheme="majorHAnsi" w:hAnsiTheme="majorHAnsi" w:cstheme="majorHAnsi"/>
        </w:rPr>
      </w:pPr>
    </w:p>
    <w:p w14:paraId="2CD9C1E9" w14:textId="7D861F6C" w:rsidR="00E8660C" w:rsidRDefault="00E8660C">
      <w:pPr>
        <w:rPr>
          <w:rFonts w:asciiTheme="majorHAnsi" w:hAnsiTheme="majorHAnsi" w:cstheme="majorHAnsi"/>
        </w:rPr>
      </w:pPr>
    </w:p>
    <w:p w14:paraId="1D707390" w14:textId="58DC079C" w:rsidR="00E8660C" w:rsidRDefault="00E8660C">
      <w:pPr>
        <w:rPr>
          <w:rFonts w:asciiTheme="majorHAnsi" w:hAnsiTheme="majorHAnsi" w:cstheme="majorHAnsi"/>
        </w:rPr>
      </w:pPr>
    </w:p>
    <w:p w14:paraId="0C1CC1B1" w14:textId="37097A3D" w:rsidR="00E8660C" w:rsidRDefault="00E8660C">
      <w:pPr>
        <w:rPr>
          <w:rFonts w:asciiTheme="majorHAnsi" w:hAnsiTheme="majorHAnsi" w:cstheme="majorHAnsi"/>
        </w:rPr>
      </w:pPr>
    </w:p>
    <w:p w14:paraId="01A33AF3" w14:textId="77E72C11" w:rsidR="00E8660C" w:rsidRDefault="00E8660C">
      <w:pPr>
        <w:rPr>
          <w:rFonts w:asciiTheme="majorHAnsi" w:hAnsiTheme="majorHAnsi" w:cstheme="majorHAnsi"/>
        </w:rPr>
      </w:pPr>
    </w:p>
    <w:p w14:paraId="7A927CD6" w14:textId="1DE1AC5C" w:rsidR="00E8660C" w:rsidRDefault="00E8660C">
      <w:pPr>
        <w:rPr>
          <w:rFonts w:asciiTheme="majorHAnsi" w:hAnsiTheme="majorHAnsi" w:cstheme="majorHAnsi"/>
        </w:rPr>
      </w:pPr>
    </w:p>
    <w:p w14:paraId="759E0901" w14:textId="7F076F48" w:rsidR="00E8660C" w:rsidRDefault="00E8660C">
      <w:pPr>
        <w:rPr>
          <w:rFonts w:asciiTheme="majorHAnsi" w:hAnsiTheme="majorHAnsi" w:cstheme="majorHAnsi"/>
        </w:rPr>
      </w:pPr>
    </w:p>
    <w:p w14:paraId="5B450FA5" w14:textId="77777777" w:rsidR="00E8660C" w:rsidRDefault="00E8660C">
      <w:pPr>
        <w:rPr>
          <w:rFonts w:asciiTheme="majorHAnsi" w:hAnsiTheme="majorHAnsi" w:cstheme="majorHAnsi"/>
        </w:rPr>
      </w:pPr>
    </w:p>
    <w:p w14:paraId="630C337A" w14:textId="2A304BA4" w:rsidR="00E8660C" w:rsidRDefault="00E8660C">
      <w:pPr>
        <w:rPr>
          <w:rFonts w:asciiTheme="majorHAnsi" w:hAnsiTheme="majorHAnsi" w:cstheme="majorHAnsi"/>
        </w:rPr>
      </w:pPr>
      <w:r>
        <w:rPr>
          <w:rFonts w:asciiTheme="majorHAnsi" w:hAnsiTheme="majorHAnsi" w:cstheme="majorHAnsi"/>
        </w:rPr>
        <w:br w:type="page"/>
      </w:r>
    </w:p>
    <w:p w14:paraId="19D2A06E" w14:textId="3B9864D1" w:rsidR="00E8660C" w:rsidRDefault="00006655">
      <w:pPr>
        <w:rPr>
          <w:rFonts w:asciiTheme="majorHAnsi" w:hAnsiTheme="majorHAnsi" w:cstheme="majorHAnsi"/>
        </w:rPr>
      </w:pPr>
      <w:r>
        <w:rPr>
          <w:rFonts w:asciiTheme="majorHAnsi" w:hAnsiTheme="majorHAnsi" w:cstheme="majorHAnsi"/>
        </w:rPr>
        <w:lastRenderedPageBreak/>
        <w:t xml:space="preserve">Figure 3.  The pharmacodynamics of tebipenem following a single dose of </w:t>
      </w:r>
      <w:r w:rsidR="00AB67E3">
        <w:rPr>
          <w:rFonts w:asciiTheme="majorHAnsi" w:hAnsiTheme="majorHAnsi" w:cstheme="majorHAnsi"/>
        </w:rPr>
        <w:t xml:space="preserve">TBPM-PI-HBr </w:t>
      </w:r>
      <w:r>
        <w:rPr>
          <w:rFonts w:asciiTheme="majorHAnsi" w:hAnsiTheme="majorHAnsi" w:cstheme="majorHAnsi"/>
        </w:rPr>
        <w:t>drug administered 2 hours post inoculation.</w:t>
      </w:r>
    </w:p>
    <w:p w14:paraId="5750C594" w14:textId="77777777" w:rsidR="00006655" w:rsidRDefault="00006655">
      <w:pPr>
        <w:rPr>
          <w:rFonts w:asciiTheme="majorHAnsi" w:hAnsiTheme="majorHAnsi" w:cstheme="majorHAnsi"/>
        </w:rPr>
      </w:pPr>
    </w:p>
    <w:p w14:paraId="062FAA76" w14:textId="2045BD41" w:rsidR="005A695F" w:rsidRDefault="000156A5">
      <w:pPr>
        <w:rPr>
          <w:rFonts w:asciiTheme="majorHAnsi" w:hAnsiTheme="majorHAnsi" w:cstheme="majorHAnsi"/>
        </w:rPr>
      </w:pPr>
      <w:r>
        <w:rPr>
          <w:rFonts w:asciiTheme="majorHAnsi" w:hAnsiTheme="majorHAnsi" w:cstheme="majorHAnsi"/>
          <w:noProof/>
          <w:lang w:val="en-US"/>
        </w:rPr>
        <w:drawing>
          <wp:inline distT="0" distB="0" distL="0" distR="0" wp14:anchorId="7C336FFD" wp14:editId="0D919674">
            <wp:extent cx="5727700" cy="37293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2"/>
                    <pic:cNvPicPr/>
                  </pic:nvPicPr>
                  <pic:blipFill>
                    <a:blip r:embed="rId10" cstate="screen">
                      <a:extLst>
                        <a:ext uri="{28A0092B-C50C-407E-A947-70E740481C1C}">
                          <a14:useLocalDpi xmlns:a14="http://schemas.microsoft.com/office/drawing/2010/main"/>
                        </a:ext>
                      </a:extLst>
                    </a:blip>
                    <a:stretch>
                      <a:fillRect/>
                    </a:stretch>
                  </pic:blipFill>
                  <pic:spPr>
                    <a:xfrm>
                      <a:off x="0" y="0"/>
                      <a:ext cx="5727700" cy="3729355"/>
                    </a:xfrm>
                    <a:prstGeom prst="rect">
                      <a:avLst/>
                    </a:prstGeom>
                  </pic:spPr>
                </pic:pic>
              </a:graphicData>
            </a:graphic>
          </wp:inline>
        </w:drawing>
      </w:r>
    </w:p>
    <w:p w14:paraId="0484333D" w14:textId="2939491C" w:rsidR="009B4D20" w:rsidRDefault="009B4D20">
      <w:pPr>
        <w:rPr>
          <w:rFonts w:asciiTheme="majorHAnsi" w:hAnsiTheme="majorHAnsi" w:cstheme="majorHAnsi"/>
        </w:rPr>
      </w:pPr>
    </w:p>
    <w:p w14:paraId="15B67D02" w14:textId="1A0FEC18" w:rsidR="009B4D20" w:rsidRDefault="009B4D20">
      <w:pPr>
        <w:rPr>
          <w:rFonts w:asciiTheme="majorHAnsi" w:hAnsiTheme="majorHAnsi" w:cstheme="majorHAnsi"/>
        </w:rPr>
      </w:pPr>
      <w:r>
        <w:rPr>
          <w:rFonts w:asciiTheme="majorHAnsi" w:hAnsiTheme="majorHAnsi" w:cstheme="majorHAnsi"/>
        </w:rPr>
        <w:t xml:space="preserve">Data are mean </w:t>
      </w:r>
      <w:r>
        <w:rPr>
          <w:rFonts w:asciiTheme="majorHAnsi" w:hAnsiTheme="majorHAnsi" w:cstheme="majorHAnsi"/>
        </w:rPr>
        <w:sym w:font="Symbol" w:char="F0B1"/>
      </w:r>
      <w:r>
        <w:rPr>
          <w:rFonts w:asciiTheme="majorHAnsi" w:hAnsiTheme="majorHAnsi" w:cstheme="majorHAnsi"/>
        </w:rPr>
        <w:t xml:space="preserve"> standard deviation of n=3 mice.  The solid lines are the fits of the PK-PD </w:t>
      </w:r>
      <w:r w:rsidR="00006655">
        <w:rPr>
          <w:rFonts w:asciiTheme="majorHAnsi" w:hAnsiTheme="majorHAnsi" w:cstheme="majorHAnsi"/>
        </w:rPr>
        <w:t xml:space="preserve">mathematical </w:t>
      </w:r>
      <w:r>
        <w:rPr>
          <w:rFonts w:asciiTheme="majorHAnsi" w:hAnsiTheme="majorHAnsi" w:cstheme="majorHAnsi"/>
        </w:rPr>
        <w:t>model to each cohort of mice</w:t>
      </w:r>
      <w:r w:rsidR="00006655">
        <w:rPr>
          <w:rFonts w:asciiTheme="majorHAnsi" w:hAnsiTheme="majorHAnsi" w:cstheme="majorHAnsi"/>
        </w:rPr>
        <w:t xml:space="preserve"> (i.e. the Bayesian posterior estimates have been used with an “individual” being represented by the cohort of mice)</w:t>
      </w:r>
      <w:r>
        <w:rPr>
          <w:rFonts w:asciiTheme="majorHAnsi" w:hAnsiTheme="majorHAnsi" w:cstheme="majorHAnsi"/>
        </w:rPr>
        <w:t xml:space="preserve">.  </w:t>
      </w:r>
      <w:r w:rsidR="000156A5">
        <w:rPr>
          <w:rFonts w:asciiTheme="majorHAnsi" w:hAnsiTheme="majorHAnsi" w:cstheme="majorHAnsi"/>
        </w:rPr>
        <w:t xml:space="preserve">The large arrow shows the time of drug </w:t>
      </w:r>
      <w:r w:rsidR="004D00CF">
        <w:rPr>
          <w:rFonts w:asciiTheme="majorHAnsi" w:hAnsiTheme="majorHAnsi" w:cstheme="majorHAnsi"/>
        </w:rPr>
        <w:t>administration</w:t>
      </w:r>
      <w:r w:rsidR="000156A5">
        <w:rPr>
          <w:rFonts w:asciiTheme="majorHAnsi" w:hAnsiTheme="majorHAnsi" w:cstheme="majorHAnsi"/>
        </w:rPr>
        <w:t xml:space="preserve"> and the small arrow shows the predicted time that free plasma drug concentrations fall beneath the MIC of 0.015 mg/L.  </w:t>
      </w:r>
      <w:r>
        <w:rPr>
          <w:rFonts w:asciiTheme="majorHAnsi" w:hAnsiTheme="majorHAnsi" w:cstheme="majorHAnsi"/>
        </w:rPr>
        <w:t>Note: the data point at time of treatment initiation is common to each of the cohorts.</w:t>
      </w:r>
      <w:r w:rsidR="00A225EC">
        <w:rPr>
          <w:rFonts w:asciiTheme="majorHAnsi" w:hAnsiTheme="majorHAnsi" w:cstheme="majorHAnsi"/>
        </w:rPr>
        <w:t xml:space="preserve">  A, Controls; B </w:t>
      </w:r>
      <w:r w:rsidR="008624D2">
        <w:rPr>
          <w:rFonts w:asciiTheme="majorHAnsi" w:hAnsiTheme="majorHAnsi" w:cstheme="majorHAnsi"/>
        </w:rPr>
        <w:t>6.67 mg/kg once; C, 16.67 mg/kg once and D, 33.33 mg/kg once.</w:t>
      </w:r>
      <w:r w:rsidR="00A225EC">
        <w:rPr>
          <w:rFonts w:asciiTheme="majorHAnsi" w:hAnsiTheme="majorHAnsi" w:cstheme="majorHAnsi"/>
        </w:rPr>
        <w:t xml:space="preserve"> </w:t>
      </w:r>
      <w:r w:rsidR="00006655">
        <w:rPr>
          <w:rFonts w:asciiTheme="majorHAnsi" w:hAnsiTheme="majorHAnsi" w:cstheme="majorHAnsi"/>
        </w:rPr>
        <w:t xml:space="preserve"> </w:t>
      </w:r>
      <w:r w:rsidR="000156A5">
        <w:rPr>
          <w:rFonts w:asciiTheme="majorHAnsi" w:hAnsiTheme="majorHAnsi" w:cstheme="majorHAnsi"/>
        </w:rPr>
        <w:t>There is negligible persistent effect since there is bacterial growth commences immediately after free plasma drug concentrations fall beneath the MIC</w:t>
      </w:r>
      <w:r w:rsidR="00006655">
        <w:rPr>
          <w:rFonts w:asciiTheme="majorHAnsi" w:hAnsiTheme="majorHAnsi" w:cstheme="majorHAnsi"/>
        </w:rPr>
        <w:t>.</w:t>
      </w:r>
    </w:p>
    <w:p w14:paraId="32B5E519" w14:textId="36024B29" w:rsidR="00AC3975" w:rsidRDefault="00AC3975">
      <w:pPr>
        <w:rPr>
          <w:rFonts w:asciiTheme="majorHAnsi" w:hAnsiTheme="majorHAnsi" w:cstheme="majorHAnsi"/>
        </w:rPr>
      </w:pPr>
    </w:p>
    <w:p w14:paraId="110A3439" w14:textId="7B5C7BFC" w:rsidR="00AC3975" w:rsidRDefault="00AC3975">
      <w:pPr>
        <w:rPr>
          <w:rFonts w:asciiTheme="majorHAnsi" w:hAnsiTheme="majorHAnsi" w:cstheme="majorHAnsi"/>
        </w:rPr>
      </w:pPr>
    </w:p>
    <w:p w14:paraId="260D78BF" w14:textId="21E0968F" w:rsidR="00AC3975" w:rsidRDefault="00AC3975">
      <w:pPr>
        <w:rPr>
          <w:rFonts w:asciiTheme="majorHAnsi" w:hAnsiTheme="majorHAnsi" w:cstheme="majorHAnsi"/>
        </w:rPr>
      </w:pPr>
    </w:p>
    <w:p w14:paraId="3FFCA01A" w14:textId="3062EB48" w:rsidR="00AC3975" w:rsidRDefault="00AC3975">
      <w:pPr>
        <w:rPr>
          <w:rFonts w:asciiTheme="majorHAnsi" w:hAnsiTheme="majorHAnsi" w:cstheme="majorHAnsi"/>
        </w:rPr>
      </w:pPr>
    </w:p>
    <w:p w14:paraId="5DE8F8A7" w14:textId="134EEDD6" w:rsidR="00AC3975" w:rsidRDefault="00AC3975">
      <w:pPr>
        <w:rPr>
          <w:rFonts w:asciiTheme="majorHAnsi" w:hAnsiTheme="majorHAnsi" w:cstheme="majorHAnsi"/>
        </w:rPr>
      </w:pPr>
    </w:p>
    <w:p w14:paraId="5606E5EF" w14:textId="3F834B71" w:rsidR="00AC3975" w:rsidRDefault="00AC3975">
      <w:pPr>
        <w:rPr>
          <w:rFonts w:asciiTheme="majorHAnsi" w:hAnsiTheme="majorHAnsi" w:cstheme="majorHAnsi"/>
        </w:rPr>
      </w:pPr>
    </w:p>
    <w:p w14:paraId="2AF1F6CF" w14:textId="2ED7EA72" w:rsidR="00AC3975" w:rsidRDefault="00AC3975">
      <w:pPr>
        <w:rPr>
          <w:rFonts w:asciiTheme="majorHAnsi" w:hAnsiTheme="majorHAnsi" w:cstheme="majorHAnsi"/>
        </w:rPr>
      </w:pPr>
    </w:p>
    <w:p w14:paraId="2C49EC62" w14:textId="63D70771" w:rsidR="00AC3975" w:rsidRDefault="00AC3975">
      <w:pPr>
        <w:rPr>
          <w:rFonts w:asciiTheme="majorHAnsi" w:hAnsiTheme="majorHAnsi" w:cstheme="majorHAnsi"/>
        </w:rPr>
      </w:pPr>
    </w:p>
    <w:p w14:paraId="4B456EF0" w14:textId="2F787146" w:rsidR="00AC3975" w:rsidRDefault="00AC3975">
      <w:pPr>
        <w:rPr>
          <w:rFonts w:asciiTheme="majorHAnsi" w:hAnsiTheme="majorHAnsi" w:cstheme="majorHAnsi"/>
        </w:rPr>
      </w:pPr>
    </w:p>
    <w:p w14:paraId="3A9E4480" w14:textId="503DA17E" w:rsidR="00AC3975" w:rsidRDefault="00AC3975">
      <w:pPr>
        <w:rPr>
          <w:rFonts w:asciiTheme="majorHAnsi" w:hAnsiTheme="majorHAnsi" w:cstheme="majorHAnsi"/>
        </w:rPr>
      </w:pPr>
    </w:p>
    <w:p w14:paraId="67694AAB" w14:textId="273304CE" w:rsidR="00AC3975" w:rsidRDefault="00AC3975">
      <w:pPr>
        <w:rPr>
          <w:rFonts w:asciiTheme="majorHAnsi" w:hAnsiTheme="majorHAnsi" w:cstheme="majorHAnsi"/>
        </w:rPr>
      </w:pPr>
    </w:p>
    <w:p w14:paraId="6B4C0FC0" w14:textId="07273986" w:rsidR="00AC3975" w:rsidRDefault="00AC3975">
      <w:pPr>
        <w:rPr>
          <w:rFonts w:asciiTheme="majorHAnsi" w:hAnsiTheme="majorHAnsi" w:cstheme="majorHAnsi"/>
        </w:rPr>
      </w:pPr>
    </w:p>
    <w:p w14:paraId="06D67E48" w14:textId="38750378" w:rsidR="00AC3975" w:rsidRDefault="00AC3975">
      <w:pPr>
        <w:rPr>
          <w:rFonts w:asciiTheme="majorHAnsi" w:hAnsiTheme="majorHAnsi" w:cstheme="majorHAnsi"/>
        </w:rPr>
      </w:pPr>
    </w:p>
    <w:p w14:paraId="7C12EB88" w14:textId="3F0C0BEA" w:rsidR="00AC3975" w:rsidRDefault="00AC3975">
      <w:pPr>
        <w:rPr>
          <w:rFonts w:asciiTheme="majorHAnsi" w:hAnsiTheme="majorHAnsi" w:cstheme="majorHAnsi"/>
        </w:rPr>
      </w:pPr>
    </w:p>
    <w:p w14:paraId="4C31E966" w14:textId="31F3AD83" w:rsidR="00AC3975" w:rsidRDefault="00AC3975">
      <w:pPr>
        <w:rPr>
          <w:rFonts w:asciiTheme="majorHAnsi" w:hAnsiTheme="majorHAnsi" w:cstheme="majorHAnsi"/>
        </w:rPr>
      </w:pPr>
    </w:p>
    <w:p w14:paraId="6C5445AA" w14:textId="0B0A5A07" w:rsidR="00AC3975" w:rsidRDefault="00AC3975">
      <w:pPr>
        <w:rPr>
          <w:rFonts w:asciiTheme="majorHAnsi" w:hAnsiTheme="majorHAnsi" w:cstheme="majorHAnsi"/>
        </w:rPr>
      </w:pPr>
    </w:p>
    <w:p w14:paraId="272C650F" w14:textId="27616004" w:rsidR="00AC3975" w:rsidRDefault="00AC3975">
      <w:pPr>
        <w:rPr>
          <w:rFonts w:asciiTheme="majorHAnsi" w:hAnsiTheme="majorHAnsi" w:cstheme="majorHAnsi"/>
        </w:rPr>
      </w:pPr>
    </w:p>
    <w:p w14:paraId="150FA206" w14:textId="1D9E943F" w:rsidR="00D93BC4" w:rsidRDefault="00006655">
      <w:pPr>
        <w:rPr>
          <w:rFonts w:asciiTheme="majorHAnsi" w:hAnsiTheme="majorHAnsi" w:cstheme="majorHAnsi"/>
        </w:rPr>
      </w:pPr>
      <w:r>
        <w:rPr>
          <w:rFonts w:asciiTheme="majorHAnsi" w:hAnsiTheme="majorHAnsi" w:cstheme="majorHAnsi"/>
        </w:rPr>
        <w:t xml:space="preserve">Figure 4. Dose fractionation study </w:t>
      </w:r>
    </w:p>
    <w:p w14:paraId="6B27EC50" w14:textId="0FAF9CD7" w:rsidR="00D93BC4" w:rsidRDefault="00D93BC4">
      <w:pPr>
        <w:rPr>
          <w:rFonts w:asciiTheme="majorHAnsi" w:hAnsiTheme="majorHAnsi" w:cstheme="majorHAnsi"/>
        </w:rPr>
      </w:pPr>
    </w:p>
    <w:p w14:paraId="5F2090C3" w14:textId="5488200E" w:rsidR="00D93BC4" w:rsidRDefault="0088123A">
      <w:pPr>
        <w:rPr>
          <w:rFonts w:asciiTheme="majorHAnsi" w:hAnsiTheme="majorHAnsi" w:cstheme="majorHAnsi"/>
        </w:rPr>
      </w:pPr>
      <w:r>
        <w:rPr>
          <w:rFonts w:asciiTheme="majorHAnsi" w:hAnsiTheme="majorHAnsi" w:cstheme="majorHAnsi"/>
          <w:noProof/>
          <w:lang w:val="en-US"/>
        </w:rPr>
        <w:drawing>
          <wp:inline distT="0" distB="0" distL="0" distR="0" wp14:anchorId="05429374" wp14:editId="731212BB">
            <wp:extent cx="5727700" cy="600646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3.tif"/>
                    <pic:cNvPicPr/>
                  </pic:nvPicPr>
                  <pic:blipFill>
                    <a:blip r:embed="rId11" cstate="screen">
                      <a:extLst>
                        <a:ext uri="{28A0092B-C50C-407E-A947-70E740481C1C}">
                          <a14:useLocalDpi xmlns:a14="http://schemas.microsoft.com/office/drawing/2010/main"/>
                        </a:ext>
                      </a:extLst>
                    </a:blip>
                    <a:stretch>
                      <a:fillRect/>
                    </a:stretch>
                  </pic:blipFill>
                  <pic:spPr>
                    <a:xfrm>
                      <a:off x="0" y="0"/>
                      <a:ext cx="5727700" cy="6006465"/>
                    </a:xfrm>
                    <a:prstGeom prst="rect">
                      <a:avLst/>
                    </a:prstGeom>
                  </pic:spPr>
                </pic:pic>
              </a:graphicData>
            </a:graphic>
          </wp:inline>
        </w:drawing>
      </w:r>
    </w:p>
    <w:p w14:paraId="33CC3826" w14:textId="14DDC1A2" w:rsidR="00D93BC4" w:rsidRDefault="00723F34">
      <w:pPr>
        <w:rPr>
          <w:rFonts w:asciiTheme="majorHAnsi" w:hAnsiTheme="majorHAnsi" w:cstheme="majorHAnsi"/>
        </w:rPr>
      </w:pPr>
      <w:r>
        <w:rPr>
          <w:rFonts w:asciiTheme="majorHAnsi" w:hAnsiTheme="majorHAnsi" w:cstheme="majorHAnsi"/>
        </w:rPr>
        <w:t xml:space="preserve">Regression of the various pharmacodynamic indices versus the observed antibacterial effect when various total daily dosages of </w:t>
      </w:r>
      <w:r w:rsidR="00CD08E5">
        <w:rPr>
          <w:rFonts w:asciiTheme="majorHAnsi" w:hAnsiTheme="majorHAnsi" w:cstheme="majorHAnsi"/>
        </w:rPr>
        <w:t>TBPM-PI-HBr</w:t>
      </w:r>
      <w:r>
        <w:rPr>
          <w:rFonts w:asciiTheme="majorHAnsi" w:hAnsiTheme="majorHAnsi" w:cstheme="majorHAnsi"/>
        </w:rPr>
        <w:t xml:space="preserve"> were administered Q8h, Q12h and Q24h.  Each data point is the mean </w:t>
      </w:r>
      <w:r>
        <w:rPr>
          <w:rFonts w:asciiTheme="majorHAnsi" w:hAnsiTheme="majorHAnsi" w:cstheme="majorHAnsi"/>
        </w:rPr>
        <w:sym w:font="Symbol" w:char="F0B1"/>
      </w:r>
      <w:r>
        <w:rPr>
          <w:rFonts w:asciiTheme="majorHAnsi" w:hAnsiTheme="majorHAnsi" w:cstheme="majorHAnsi"/>
        </w:rPr>
        <w:t xml:space="preserve"> standard deviation of n=4 mice</w:t>
      </w:r>
      <w:r w:rsidR="008624D2">
        <w:rPr>
          <w:rFonts w:asciiTheme="majorHAnsi" w:hAnsiTheme="majorHAnsi" w:cstheme="majorHAnsi"/>
        </w:rPr>
        <w:t xml:space="preserve">.  Tebipenem appeared to display time-dependent pharmacodynamics, but the </w:t>
      </w:r>
      <w:proofErr w:type="spellStart"/>
      <w:r w:rsidR="008624D2">
        <w:rPr>
          <w:rFonts w:asciiTheme="majorHAnsi" w:hAnsiTheme="majorHAnsi" w:cstheme="majorHAnsi"/>
        </w:rPr>
        <w:t>fT</w:t>
      </w:r>
      <w:proofErr w:type="spellEnd"/>
      <w:r w:rsidR="008624D2">
        <w:rPr>
          <w:rFonts w:asciiTheme="majorHAnsi" w:hAnsiTheme="majorHAnsi" w:cstheme="majorHAnsi"/>
        </w:rPr>
        <w:t xml:space="preserve">&gt;MIC plot (Panel B) showed clumping of data at 100% </w:t>
      </w:r>
      <w:proofErr w:type="spellStart"/>
      <w:r w:rsidR="008624D2" w:rsidRPr="00AC4D64">
        <w:rPr>
          <w:rFonts w:asciiTheme="majorHAnsi" w:hAnsiTheme="majorHAnsi" w:cstheme="majorHAnsi"/>
          <w:i/>
        </w:rPr>
        <w:t>f</w:t>
      </w:r>
      <w:r w:rsidR="008624D2">
        <w:rPr>
          <w:rFonts w:asciiTheme="majorHAnsi" w:hAnsiTheme="majorHAnsi" w:cstheme="majorHAnsi"/>
        </w:rPr>
        <w:t>T</w:t>
      </w:r>
      <w:proofErr w:type="spellEnd"/>
      <w:r w:rsidR="008624D2">
        <w:rPr>
          <w:rFonts w:asciiTheme="majorHAnsi" w:hAnsiTheme="majorHAnsi" w:cstheme="majorHAnsi"/>
        </w:rPr>
        <w:t xml:space="preserve">&gt;MIC.  Panels D and E show the relationships with </w:t>
      </w:r>
      <w:proofErr w:type="spellStart"/>
      <w:proofErr w:type="gramStart"/>
      <w:r w:rsidR="008624D2" w:rsidRPr="00AC4D64">
        <w:rPr>
          <w:rFonts w:asciiTheme="majorHAnsi" w:hAnsiTheme="majorHAnsi" w:cstheme="majorHAnsi"/>
          <w:i/>
        </w:rPr>
        <w:t>f</w:t>
      </w:r>
      <w:r w:rsidR="008624D2">
        <w:rPr>
          <w:rFonts w:asciiTheme="majorHAnsi" w:hAnsiTheme="majorHAnsi" w:cstheme="majorHAnsi"/>
        </w:rPr>
        <w:t>Cmin:MIC</w:t>
      </w:r>
      <w:proofErr w:type="spellEnd"/>
      <w:proofErr w:type="gramEnd"/>
      <w:r w:rsidR="008624D2">
        <w:rPr>
          <w:rFonts w:asciiTheme="majorHAnsi" w:hAnsiTheme="majorHAnsi" w:cstheme="majorHAnsi"/>
        </w:rPr>
        <w:t xml:space="preserve"> versus effect and </w:t>
      </w:r>
      <w:proofErr w:type="spellStart"/>
      <w:r w:rsidR="008624D2" w:rsidRPr="00AC4D64">
        <w:rPr>
          <w:rFonts w:asciiTheme="majorHAnsi" w:hAnsiTheme="majorHAnsi" w:cstheme="majorHAnsi"/>
          <w:i/>
        </w:rPr>
        <w:t>f</w:t>
      </w:r>
      <w:r w:rsidR="008624D2">
        <w:rPr>
          <w:rFonts w:asciiTheme="majorHAnsi" w:hAnsiTheme="majorHAnsi" w:cstheme="majorHAnsi"/>
        </w:rPr>
        <w:t>AUC:MIC</w:t>
      </w:r>
      <w:proofErr w:type="spellEnd"/>
      <w:r w:rsidR="008624D2">
        <w:rPr>
          <w:rFonts w:asciiTheme="majorHAnsi" w:hAnsiTheme="majorHAnsi" w:cstheme="majorHAnsi"/>
        </w:rPr>
        <w:t xml:space="preserve">*1/tau, which are two alternative time dependent indices </w:t>
      </w:r>
    </w:p>
    <w:p w14:paraId="12889E9D" w14:textId="78A27497" w:rsidR="00D93BC4" w:rsidRDefault="00D93BC4">
      <w:pPr>
        <w:rPr>
          <w:rFonts w:asciiTheme="majorHAnsi" w:hAnsiTheme="majorHAnsi" w:cstheme="majorHAnsi"/>
        </w:rPr>
      </w:pPr>
    </w:p>
    <w:p w14:paraId="0B5FCDAE" w14:textId="021BED21" w:rsidR="00D93BC4" w:rsidRDefault="00D93BC4">
      <w:pPr>
        <w:rPr>
          <w:rFonts w:asciiTheme="majorHAnsi" w:hAnsiTheme="majorHAnsi" w:cstheme="majorHAnsi"/>
        </w:rPr>
      </w:pPr>
      <w:r>
        <w:rPr>
          <w:rFonts w:asciiTheme="majorHAnsi" w:hAnsiTheme="majorHAnsi" w:cstheme="majorHAnsi"/>
        </w:rPr>
        <w:br w:type="page"/>
      </w:r>
    </w:p>
    <w:p w14:paraId="0464B57A" w14:textId="572A719A" w:rsidR="008624D2" w:rsidRDefault="008624D2">
      <w:pPr>
        <w:rPr>
          <w:rFonts w:asciiTheme="majorHAnsi" w:hAnsiTheme="majorHAnsi" w:cstheme="majorHAnsi"/>
        </w:rPr>
      </w:pPr>
    </w:p>
    <w:p w14:paraId="12550414" w14:textId="3ED5ED9F" w:rsidR="008624D2" w:rsidRDefault="008624D2">
      <w:pPr>
        <w:rPr>
          <w:rFonts w:asciiTheme="majorHAnsi" w:hAnsiTheme="majorHAnsi" w:cstheme="majorHAnsi"/>
        </w:rPr>
      </w:pPr>
      <w:r>
        <w:rPr>
          <w:rFonts w:asciiTheme="majorHAnsi" w:hAnsiTheme="majorHAnsi" w:cstheme="majorHAnsi"/>
        </w:rPr>
        <w:t>Figure 5.</w:t>
      </w:r>
      <w:r w:rsidR="00635E2D">
        <w:rPr>
          <w:rFonts w:asciiTheme="majorHAnsi" w:hAnsiTheme="majorHAnsi" w:cstheme="majorHAnsi"/>
        </w:rPr>
        <w:t xml:space="preserve"> Pharmacodynamics of </w:t>
      </w:r>
      <w:r w:rsidR="00CD08E5">
        <w:rPr>
          <w:rFonts w:asciiTheme="majorHAnsi" w:hAnsiTheme="majorHAnsi" w:cstheme="majorHAnsi"/>
        </w:rPr>
        <w:t>TBPM-PI-HBr</w:t>
      </w:r>
      <w:r w:rsidR="00635E2D">
        <w:rPr>
          <w:rFonts w:asciiTheme="majorHAnsi" w:hAnsiTheme="majorHAnsi" w:cstheme="majorHAnsi"/>
        </w:rPr>
        <w:t xml:space="preserve"> against </w:t>
      </w:r>
      <w:r w:rsidR="00633561" w:rsidRPr="00AC4D64">
        <w:rPr>
          <w:rFonts w:asciiTheme="majorHAnsi" w:hAnsiTheme="majorHAnsi" w:cstheme="majorHAnsi"/>
          <w:i/>
        </w:rPr>
        <w:t>E. coli</w:t>
      </w:r>
      <w:r w:rsidR="00633561">
        <w:rPr>
          <w:rFonts w:asciiTheme="majorHAnsi" w:hAnsiTheme="majorHAnsi" w:cstheme="majorHAnsi"/>
        </w:rPr>
        <w:t xml:space="preserve"> and </w:t>
      </w:r>
      <w:r w:rsidR="00633561" w:rsidRPr="00AC4D64">
        <w:rPr>
          <w:rFonts w:asciiTheme="majorHAnsi" w:hAnsiTheme="majorHAnsi" w:cstheme="majorHAnsi"/>
          <w:i/>
        </w:rPr>
        <w:t>K. pneumoniae</w:t>
      </w:r>
    </w:p>
    <w:p w14:paraId="541BAE37" w14:textId="77777777" w:rsidR="00633561" w:rsidRPr="00633561" w:rsidRDefault="00633561">
      <w:pPr>
        <w:rPr>
          <w:rFonts w:asciiTheme="majorHAnsi" w:hAnsiTheme="majorHAnsi" w:cstheme="majorHAnsi"/>
        </w:rPr>
      </w:pPr>
    </w:p>
    <w:p w14:paraId="4ECBEEB1" w14:textId="0F0A6897" w:rsidR="00D93BC4" w:rsidRDefault="0088123A">
      <w:pPr>
        <w:rPr>
          <w:rFonts w:asciiTheme="majorHAnsi" w:hAnsiTheme="majorHAnsi" w:cstheme="majorHAnsi"/>
        </w:rPr>
      </w:pPr>
      <w:r>
        <w:rPr>
          <w:rFonts w:asciiTheme="majorHAnsi" w:hAnsiTheme="majorHAnsi" w:cstheme="majorHAnsi"/>
          <w:noProof/>
          <w:lang w:val="en-US"/>
        </w:rPr>
        <w:drawing>
          <wp:inline distT="0" distB="0" distL="0" distR="0" wp14:anchorId="1D5B1D62" wp14:editId="0F952779">
            <wp:extent cx="4343881" cy="612829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4.tif"/>
                    <pic:cNvPicPr/>
                  </pic:nvPicPr>
                  <pic:blipFill>
                    <a:blip r:embed="rId12" cstate="screen">
                      <a:extLst>
                        <a:ext uri="{28A0092B-C50C-407E-A947-70E740481C1C}">
                          <a14:useLocalDpi xmlns:a14="http://schemas.microsoft.com/office/drawing/2010/main"/>
                        </a:ext>
                      </a:extLst>
                    </a:blip>
                    <a:stretch>
                      <a:fillRect/>
                    </a:stretch>
                  </pic:blipFill>
                  <pic:spPr>
                    <a:xfrm>
                      <a:off x="0" y="0"/>
                      <a:ext cx="4369674" cy="6164685"/>
                    </a:xfrm>
                    <a:prstGeom prst="rect">
                      <a:avLst/>
                    </a:prstGeom>
                  </pic:spPr>
                </pic:pic>
              </a:graphicData>
            </a:graphic>
          </wp:inline>
        </w:drawing>
      </w:r>
    </w:p>
    <w:p w14:paraId="05CBC79E" w14:textId="563BEB67" w:rsidR="0088123A" w:rsidRDefault="0088123A">
      <w:pPr>
        <w:rPr>
          <w:rFonts w:asciiTheme="majorHAnsi" w:hAnsiTheme="majorHAnsi" w:cstheme="majorHAnsi"/>
        </w:rPr>
      </w:pPr>
    </w:p>
    <w:p w14:paraId="53C2A8C8" w14:textId="232ADD06" w:rsidR="0088123A" w:rsidRDefault="00B439E0">
      <w:pPr>
        <w:rPr>
          <w:rFonts w:asciiTheme="majorHAnsi" w:hAnsiTheme="majorHAnsi" w:cstheme="majorHAnsi"/>
        </w:rPr>
      </w:pPr>
      <w:r>
        <w:rPr>
          <w:rFonts w:asciiTheme="majorHAnsi" w:hAnsiTheme="majorHAnsi" w:cstheme="majorHAnsi"/>
        </w:rPr>
        <w:t xml:space="preserve">Note: Data are mean </w:t>
      </w:r>
      <w:r w:rsidR="00633561">
        <w:rPr>
          <w:rFonts w:asciiTheme="majorHAnsi" w:hAnsiTheme="majorHAnsi" w:cstheme="majorHAnsi"/>
        </w:rPr>
        <w:sym w:font="Symbol" w:char="F0B1"/>
      </w:r>
      <w:r w:rsidR="00633561">
        <w:rPr>
          <w:rFonts w:asciiTheme="majorHAnsi" w:hAnsiTheme="majorHAnsi" w:cstheme="majorHAnsi"/>
        </w:rPr>
        <w:t xml:space="preserve"> standard deviation of n=3 mice.</w:t>
      </w:r>
      <w:r>
        <w:rPr>
          <w:rFonts w:asciiTheme="majorHAnsi" w:hAnsiTheme="majorHAnsi" w:cstheme="majorHAnsi"/>
        </w:rPr>
        <w:t xml:space="preserve">  Panel A, the pharmacodynamics of </w:t>
      </w:r>
      <w:r w:rsidRPr="00B73F5F">
        <w:rPr>
          <w:rFonts w:asciiTheme="majorHAnsi" w:hAnsiTheme="majorHAnsi" w:cstheme="majorHAnsi"/>
          <w:i/>
        </w:rPr>
        <w:t>E. coli</w:t>
      </w:r>
      <w:r>
        <w:rPr>
          <w:rFonts w:asciiTheme="majorHAnsi" w:hAnsiTheme="majorHAnsi" w:cstheme="majorHAnsi"/>
        </w:rPr>
        <w:t xml:space="preserve"> versus </w:t>
      </w:r>
      <w:r w:rsidRPr="00B73F5F">
        <w:rPr>
          <w:rFonts w:asciiTheme="majorHAnsi" w:hAnsiTheme="majorHAnsi" w:cstheme="majorHAnsi"/>
          <w:i/>
        </w:rPr>
        <w:t>K. pneumoniae</w:t>
      </w:r>
      <w:r>
        <w:rPr>
          <w:rFonts w:asciiTheme="majorHAnsi" w:hAnsiTheme="majorHAnsi" w:cstheme="majorHAnsi"/>
        </w:rPr>
        <w:t>; Panel B, the pharmacodynamics of ESBL-producing Enterobacteriaceae versus wild-type.</w:t>
      </w:r>
      <w:r w:rsidR="000A3B15">
        <w:rPr>
          <w:rFonts w:asciiTheme="majorHAnsi" w:hAnsiTheme="majorHAnsi" w:cstheme="majorHAnsi"/>
        </w:rPr>
        <w:t xml:space="preserve">  Data from the strains co-model</w:t>
      </w:r>
      <w:r w:rsidR="002B4FF4">
        <w:rPr>
          <w:rFonts w:asciiTheme="majorHAnsi" w:hAnsiTheme="majorHAnsi" w:cstheme="majorHAnsi"/>
        </w:rPr>
        <w:t xml:space="preserve"> using </w:t>
      </w:r>
      <w:proofErr w:type="spellStart"/>
      <w:proofErr w:type="gramStart"/>
      <w:r w:rsidR="002B4FF4" w:rsidRPr="007B02E7">
        <w:rPr>
          <w:rFonts w:asciiTheme="majorHAnsi" w:hAnsiTheme="majorHAnsi" w:cstheme="majorHAnsi"/>
          <w:i/>
        </w:rPr>
        <w:t>f</w:t>
      </w:r>
      <w:r w:rsidR="002B4FF4">
        <w:rPr>
          <w:rFonts w:asciiTheme="majorHAnsi" w:hAnsiTheme="majorHAnsi" w:cstheme="majorHAnsi"/>
        </w:rPr>
        <w:t>AUC:MIC</w:t>
      </w:r>
      <w:proofErr w:type="spellEnd"/>
      <w:proofErr w:type="gramEnd"/>
      <w:r w:rsidR="002B4FF4">
        <w:rPr>
          <w:rFonts w:asciiTheme="majorHAnsi" w:hAnsiTheme="majorHAnsi" w:cstheme="majorHAnsi"/>
        </w:rPr>
        <w:t>*1/tau</w:t>
      </w:r>
      <w:r w:rsidR="000A3B15">
        <w:rPr>
          <w:rFonts w:asciiTheme="majorHAnsi" w:hAnsiTheme="majorHAnsi" w:cstheme="majorHAnsi"/>
        </w:rPr>
        <w:t xml:space="preserve">. </w:t>
      </w:r>
    </w:p>
    <w:p w14:paraId="75CA0673" w14:textId="55477C1D" w:rsidR="0088123A" w:rsidRDefault="0088123A">
      <w:pPr>
        <w:rPr>
          <w:rFonts w:asciiTheme="majorHAnsi" w:hAnsiTheme="majorHAnsi" w:cstheme="majorHAnsi"/>
        </w:rPr>
      </w:pPr>
      <w:r>
        <w:rPr>
          <w:rFonts w:asciiTheme="majorHAnsi" w:hAnsiTheme="majorHAnsi" w:cstheme="majorHAnsi"/>
        </w:rPr>
        <w:br w:type="page"/>
      </w:r>
    </w:p>
    <w:p w14:paraId="32713B27" w14:textId="6FD48194" w:rsidR="00633561" w:rsidRDefault="00633561">
      <w:pPr>
        <w:rPr>
          <w:rFonts w:asciiTheme="majorHAnsi" w:hAnsiTheme="majorHAnsi" w:cstheme="majorHAnsi"/>
        </w:rPr>
      </w:pPr>
    </w:p>
    <w:p w14:paraId="5CE0C9A5" w14:textId="57028DEE" w:rsidR="001E6890" w:rsidRPr="00CD575E" w:rsidRDefault="001E6890" w:rsidP="001E6890">
      <w:pPr>
        <w:rPr>
          <w:rFonts w:asciiTheme="majorHAnsi" w:hAnsiTheme="majorHAnsi" w:cstheme="majorHAnsi"/>
        </w:rPr>
      </w:pPr>
      <w:r>
        <w:rPr>
          <w:rFonts w:asciiTheme="majorHAnsi" w:hAnsiTheme="majorHAnsi" w:cstheme="majorHAnsi"/>
        </w:rPr>
        <w:t xml:space="preserve">Figure 6.  Histogram of the magnitude of </w:t>
      </w:r>
      <w:proofErr w:type="spellStart"/>
      <w:proofErr w:type="gramStart"/>
      <w:r w:rsidRPr="00F97AA1">
        <w:rPr>
          <w:rFonts w:asciiTheme="majorHAnsi" w:hAnsiTheme="majorHAnsi" w:cstheme="majorHAnsi"/>
          <w:i/>
        </w:rPr>
        <w:t>f</w:t>
      </w:r>
      <w:r>
        <w:rPr>
          <w:rFonts w:asciiTheme="majorHAnsi" w:hAnsiTheme="majorHAnsi" w:cstheme="majorHAnsi"/>
        </w:rPr>
        <w:t>AUC:MIC</w:t>
      </w:r>
      <w:proofErr w:type="spellEnd"/>
      <w:proofErr w:type="gramEnd"/>
      <w:r>
        <w:rPr>
          <w:rFonts w:asciiTheme="majorHAnsi" w:hAnsiTheme="majorHAnsi" w:cstheme="majorHAnsi"/>
        </w:rPr>
        <w:t xml:space="preserve">*1/tau value required to achieve stasis for tebipenem against strains of </w:t>
      </w:r>
      <w:r w:rsidRPr="00F97AA1">
        <w:rPr>
          <w:rFonts w:asciiTheme="majorHAnsi" w:hAnsiTheme="majorHAnsi" w:cstheme="majorHAnsi"/>
          <w:i/>
        </w:rPr>
        <w:t>E. coli</w:t>
      </w:r>
      <w:r>
        <w:rPr>
          <w:rFonts w:asciiTheme="majorHAnsi" w:hAnsiTheme="majorHAnsi" w:cstheme="majorHAnsi"/>
        </w:rPr>
        <w:t xml:space="preserve"> (n=6) and </w:t>
      </w:r>
      <w:r w:rsidRPr="00F97AA1">
        <w:rPr>
          <w:rFonts w:asciiTheme="majorHAnsi" w:hAnsiTheme="majorHAnsi" w:cstheme="majorHAnsi"/>
          <w:i/>
        </w:rPr>
        <w:t>K. pneumoniae</w:t>
      </w:r>
      <w:r>
        <w:rPr>
          <w:rFonts w:asciiTheme="majorHAnsi" w:hAnsiTheme="majorHAnsi" w:cstheme="majorHAnsi"/>
          <w:i/>
        </w:rPr>
        <w:t xml:space="preserve"> </w:t>
      </w:r>
      <w:r>
        <w:rPr>
          <w:rFonts w:asciiTheme="majorHAnsi" w:hAnsiTheme="majorHAnsi" w:cstheme="majorHAnsi"/>
        </w:rPr>
        <w:t>(n=5)</w:t>
      </w:r>
    </w:p>
    <w:p w14:paraId="36A49961" w14:textId="77777777" w:rsidR="001E6890" w:rsidRDefault="001E6890" w:rsidP="001E6890">
      <w:pPr>
        <w:rPr>
          <w:rFonts w:asciiTheme="majorHAnsi" w:hAnsiTheme="majorHAnsi" w:cstheme="majorHAnsi"/>
        </w:rPr>
      </w:pPr>
    </w:p>
    <w:p w14:paraId="639D014B" w14:textId="77777777" w:rsidR="001E6890" w:rsidRDefault="001E6890" w:rsidP="001E6890">
      <w:pPr>
        <w:rPr>
          <w:rFonts w:asciiTheme="majorHAnsi" w:hAnsiTheme="majorHAnsi" w:cstheme="majorHAnsi"/>
        </w:rPr>
      </w:pPr>
    </w:p>
    <w:p w14:paraId="19477908" w14:textId="77777777" w:rsidR="001E6890" w:rsidRDefault="001E6890" w:rsidP="001E6890">
      <w:pPr>
        <w:rPr>
          <w:rFonts w:asciiTheme="majorHAnsi" w:hAnsiTheme="majorHAnsi" w:cstheme="majorHAnsi"/>
        </w:rPr>
      </w:pPr>
      <w:r>
        <w:rPr>
          <w:rFonts w:asciiTheme="majorHAnsi" w:hAnsiTheme="majorHAnsi" w:cstheme="majorHAnsi"/>
          <w:noProof/>
          <w:lang w:val="en-US"/>
        </w:rPr>
        <w:drawing>
          <wp:inline distT="0" distB="0" distL="0" distR="0" wp14:anchorId="56967503" wp14:editId="6513D532">
            <wp:extent cx="4153559" cy="282031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pr994 pta_redo.tif"/>
                    <pic:cNvPicPr/>
                  </pic:nvPicPr>
                  <pic:blipFill>
                    <a:blip r:embed="rId13" cstate="screen">
                      <a:extLst>
                        <a:ext uri="{28A0092B-C50C-407E-A947-70E740481C1C}">
                          <a14:useLocalDpi xmlns:a14="http://schemas.microsoft.com/office/drawing/2010/main"/>
                        </a:ext>
                      </a:extLst>
                    </a:blip>
                    <a:stretch>
                      <a:fillRect/>
                    </a:stretch>
                  </pic:blipFill>
                  <pic:spPr>
                    <a:xfrm>
                      <a:off x="0" y="0"/>
                      <a:ext cx="4165201" cy="2828223"/>
                    </a:xfrm>
                    <a:prstGeom prst="rect">
                      <a:avLst/>
                    </a:prstGeom>
                  </pic:spPr>
                </pic:pic>
              </a:graphicData>
            </a:graphic>
          </wp:inline>
        </w:drawing>
      </w:r>
    </w:p>
    <w:p w14:paraId="65FAF920" w14:textId="77777777" w:rsidR="001E6890" w:rsidRDefault="001E6890" w:rsidP="001E6890">
      <w:pPr>
        <w:rPr>
          <w:rFonts w:asciiTheme="majorHAnsi" w:hAnsiTheme="majorHAnsi" w:cstheme="majorHAnsi"/>
        </w:rPr>
      </w:pPr>
    </w:p>
    <w:p w14:paraId="68343CEE" w14:textId="77777777" w:rsidR="001E6890" w:rsidRDefault="001E6890" w:rsidP="001E6890">
      <w:pPr>
        <w:rPr>
          <w:rFonts w:asciiTheme="majorHAnsi" w:hAnsiTheme="majorHAnsi" w:cstheme="majorHAnsi"/>
        </w:rPr>
      </w:pPr>
    </w:p>
    <w:p w14:paraId="37125D6A" w14:textId="77777777" w:rsidR="001E6890" w:rsidRDefault="001E6890" w:rsidP="001E6890">
      <w:pPr>
        <w:rPr>
          <w:rFonts w:asciiTheme="majorHAnsi" w:hAnsiTheme="majorHAnsi" w:cstheme="majorHAnsi"/>
        </w:rPr>
      </w:pPr>
      <w:r>
        <w:rPr>
          <w:rFonts w:asciiTheme="majorHAnsi" w:hAnsiTheme="majorHAnsi" w:cstheme="majorHAnsi"/>
        </w:rPr>
        <w:t xml:space="preserve">Note: the median </w:t>
      </w:r>
      <w:proofErr w:type="spellStart"/>
      <w:proofErr w:type="gramStart"/>
      <w:r w:rsidRPr="00B63AAD">
        <w:rPr>
          <w:rFonts w:asciiTheme="majorHAnsi" w:hAnsiTheme="majorHAnsi" w:cstheme="majorHAnsi"/>
          <w:i/>
        </w:rPr>
        <w:t>f</w:t>
      </w:r>
      <w:r>
        <w:rPr>
          <w:rFonts w:asciiTheme="majorHAnsi" w:hAnsiTheme="majorHAnsi" w:cstheme="majorHAnsi"/>
        </w:rPr>
        <w:t>AUC:MIC</w:t>
      </w:r>
      <w:proofErr w:type="spellEnd"/>
      <w:proofErr w:type="gramEnd"/>
      <w:r>
        <w:rPr>
          <w:rFonts w:asciiTheme="majorHAnsi" w:hAnsiTheme="majorHAnsi" w:cstheme="majorHAnsi"/>
        </w:rPr>
        <w:t>*1/tau value is 23.</w:t>
      </w:r>
    </w:p>
    <w:p w14:paraId="467BF889" w14:textId="77777777" w:rsidR="001E6890" w:rsidRDefault="001E6890">
      <w:pPr>
        <w:rPr>
          <w:rFonts w:asciiTheme="majorHAnsi" w:hAnsiTheme="majorHAnsi" w:cstheme="majorHAnsi"/>
        </w:rPr>
      </w:pPr>
    </w:p>
    <w:p w14:paraId="30D34840" w14:textId="0C8B6086" w:rsidR="00633561" w:rsidRDefault="00633561">
      <w:pPr>
        <w:rPr>
          <w:rFonts w:asciiTheme="majorHAnsi" w:hAnsiTheme="majorHAnsi" w:cstheme="majorHAnsi"/>
        </w:rPr>
      </w:pPr>
    </w:p>
    <w:p w14:paraId="5A02ACE0" w14:textId="69A9794A" w:rsidR="001E6890" w:rsidRDefault="001E6890">
      <w:pPr>
        <w:rPr>
          <w:rFonts w:asciiTheme="majorHAnsi" w:hAnsiTheme="majorHAnsi" w:cstheme="majorHAnsi"/>
        </w:rPr>
      </w:pPr>
    </w:p>
    <w:p w14:paraId="259EFDA0" w14:textId="3655DC6E" w:rsidR="001E6890" w:rsidRDefault="001E6890">
      <w:pPr>
        <w:rPr>
          <w:rFonts w:asciiTheme="majorHAnsi" w:hAnsiTheme="majorHAnsi" w:cstheme="majorHAnsi"/>
        </w:rPr>
      </w:pPr>
    </w:p>
    <w:p w14:paraId="16F638A9" w14:textId="2B89F33F" w:rsidR="001E6890" w:rsidRDefault="001E6890">
      <w:pPr>
        <w:rPr>
          <w:rFonts w:asciiTheme="majorHAnsi" w:hAnsiTheme="majorHAnsi" w:cstheme="majorHAnsi"/>
        </w:rPr>
      </w:pPr>
    </w:p>
    <w:p w14:paraId="6645825D" w14:textId="6F50E261" w:rsidR="001E6890" w:rsidRDefault="001E6890">
      <w:pPr>
        <w:rPr>
          <w:rFonts w:asciiTheme="majorHAnsi" w:hAnsiTheme="majorHAnsi" w:cstheme="majorHAnsi"/>
        </w:rPr>
      </w:pPr>
    </w:p>
    <w:p w14:paraId="0D0983C0" w14:textId="2A24B332" w:rsidR="001E6890" w:rsidRDefault="001E6890">
      <w:pPr>
        <w:rPr>
          <w:rFonts w:asciiTheme="majorHAnsi" w:hAnsiTheme="majorHAnsi" w:cstheme="majorHAnsi"/>
        </w:rPr>
      </w:pPr>
    </w:p>
    <w:p w14:paraId="5CFB4D05" w14:textId="7FA6EB62" w:rsidR="001E6890" w:rsidRDefault="001E6890">
      <w:pPr>
        <w:rPr>
          <w:rFonts w:asciiTheme="majorHAnsi" w:hAnsiTheme="majorHAnsi" w:cstheme="majorHAnsi"/>
        </w:rPr>
      </w:pPr>
    </w:p>
    <w:p w14:paraId="41A0FA6C" w14:textId="5E53B288" w:rsidR="001E6890" w:rsidRDefault="001E6890">
      <w:pPr>
        <w:rPr>
          <w:rFonts w:asciiTheme="majorHAnsi" w:hAnsiTheme="majorHAnsi" w:cstheme="majorHAnsi"/>
        </w:rPr>
      </w:pPr>
    </w:p>
    <w:p w14:paraId="4BF4F342" w14:textId="39F353FC" w:rsidR="001E6890" w:rsidRDefault="001E6890">
      <w:pPr>
        <w:rPr>
          <w:rFonts w:asciiTheme="majorHAnsi" w:hAnsiTheme="majorHAnsi" w:cstheme="majorHAnsi"/>
        </w:rPr>
      </w:pPr>
    </w:p>
    <w:p w14:paraId="46E9B806" w14:textId="246338F8" w:rsidR="001E6890" w:rsidRDefault="001E6890">
      <w:pPr>
        <w:rPr>
          <w:rFonts w:asciiTheme="majorHAnsi" w:hAnsiTheme="majorHAnsi" w:cstheme="majorHAnsi"/>
        </w:rPr>
      </w:pPr>
    </w:p>
    <w:p w14:paraId="0D8D3652" w14:textId="59EECC1F" w:rsidR="001E6890" w:rsidRDefault="001E6890">
      <w:pPr>
        <w:rPr>
          <w:rFonts w:asciiTheme="majorHAnsi" w:hAnsiTheme="majorHAnsi" w:cstheme="majorHAnsi"/>
        </w:rPr>
      </w:pPr>
    </w:p>
    <w:p w14:paraId="3919B554" w14:textId="09731D55" w:rsidR="001E6890" w:rsidRDefault="001E6890">
      <w:pPr>
        <w:rPr>
          <w:rFonts w:asciiTheme="majorHAnsi" w:hAnsiTheme="majorHAnsi" w:cstheme="majorHAnsi"/>
        </w:rPr>
      </w:pPr>
    </w:p>
    <w:p w14:paraId="203903D9" w14:textId="38003927" w:rsidR="001E6890" w:rsidRDefault="001E6890">
      <w:pPr>
        <w:rPr>
          <w:rFonts w:asciiTheme="majorHAnsi" w:hAnsiTheme="majorHAnsi" w:cstheme="majorHAnsi"/>
        </w:rPr>
      </w:pPr>
    </w:p>
    <w:p w14:paraId="7B9D67C1" w14:textId="3F1466EC" w:rsidR="001E6890" w:rsidRDefault="001E6890">
      <w:pPr>
        <w:rPr>
          <w:rFonts w:asciiTheme="majorHAnsi" w:hAnsiTheme="majorHAnsi" w:cstheme="majorHAnsi"/>
        </w:rPr>
      </w:pPr>
    </w:p>
    <w:p w14:paraId="0CBD38FD" w14:textId="417B69D0" w:rsidR="001E6890" w:rsidRDefault="001E6890">
      <w:pPr>
        <w:rPr>
          <w:rFonts w:asciiTheme="majorHAnsi" w:hAnsiTheme="majorHAnsi" w:cstheme="majorHAnsi"/>
        </w:rPr>
      </w:pPr>
    </w:p>
    <w:p w14:paraId="369729A7" w14:textId="0F753D4D" w:rsidR="001E6890" w:rsidRDefault="001E6890">
      <w:pPr>
        <w:rPr>
          <w:rFonts w:asciiTheme="majorHAnsi" w:hAnsiTheme="majorHAnsi" w:cstheme="majorHAnsi"/>
        </w:rPr>
      </w:pPr>
    </w:p>
    <w:p w14:paraId="1FBD5AC3" w14:textId="0DC97C11" w:rsidR="001E6890" w:rsidRDefault="001E6890">
      <w:pPr>
        <w:rPr>
          <w:rFonts w:asciiTheme="majorHAnsi" w:hAnsiTheme="majorHAnsi" w:cstheme="majorHAnsi"/>
        </w:rPr>
      </w:pPr>
    </w:p>
    <w:p w14:paraId="05A96162" w14:textId="44FF6D7A" w:rsidR="001E6890" w:rsidRDefault="001E6890">
      <w:pPr>
        <w:rPr>
          <w:rFonts w:asciiTheme="majorHAnsi" w:hAnsiTheme="majorHAnsi" w:cstheme="majorHAnsi"/>
        </w:rPr>
      </w:pPr>
    </w:p>
    <w:p w14:paraId="1617C859" w14:textId="23F2557F" w:rsidR="001E6890" w:rsidRDefault="001E6890">
      <w:pPr>
        <w:rPr>
          <w:rFonts w:asciiTheme="majorHAnsi" w:hAnsiTheme="majorHAnsi" w:cstheme="majorHAnsi"/>
        </w:rPr>
      </w:pPr>
    </w:p>
    <w:p w14:paraId="22C6BA70" w14:textId="48F0431E" w:rsidR="001E6890" w:rsidRDefault="001E6890">
      <w:pPr>
        <w:rPr>
          <w:rFonts w:asciiTheme="majorHAnsi" w:hAnsiTheme="majorHAnsi" w:cstheme="majorHAnsi"/>
        </w:rPr>
      </w:pPr>
    </w:p>
    <w:p w14:paraId="444BA10D" w14:textId="2DA73964" w:rsidR="001E6890" w:rsidRDefault="001E6890">
      <w:pPr>
        <w:rPr>
          <w:rFonts w:asciiTheme="majorHAnsi" w:hAnsiTheme="majorHAnsi" w:cstheme="majorHAnsi"/>
        </w:rPr>
      </w:pPr>
    </w:p>
    <w:p w14:paraId="0351834E" w14:textId="60C6EB25" w:rsidR="001E6890" w:rsidRDefault="001E6890">
      <w:pPr>
        <w:rPr>
          <w:rFonts w:asciiTheme="majorHAnsi" w:hAnsiTheme="majorHAnsi" w:cstheme="majorHAnsi"/>
        </w:rPr>
      </w:pPr>
    </w:p>
    <w:p w14:paraId="4A37CD6C" w14:textId="38CD6E3F" w:rsidR="001E6890" w:rsidRDefault="001E6890">
      <w:pPr>
        <w:rPr>
          <w:rFonts w:asciiTheme="majorHAnsi" w:hAnsiTheme="majorHAnsi" w:cstheme="majorHAnsi"/>
        </w:rPr>
      </w:pPr>
    </w:p>
    <w:p w14:paraId="3C0B461F" w14:textId="23FB85AF" w:rsidR="001E6890" w:rsidRDefault="001E6890">
      <w:pPr>
        <w:rPr>
          <w:rFonts w:asciiTheme="majorHAnsi" w:hAnsiTheme="majorHAnsi" w:cstheme="majorHAnsi"/>
        </w:rPr>
      </w:pPr>
    </w:p>
    <w:p w14:paraId="543FA513" w14:textId="2176FE3C" w:rsidR="001E6890" w:rsidRDefault="001E6890" w:rsidP="001E6890">
      <w:pPr>
        <w:rPr>
          <w:rFonts w:asciiTheme="majorHAnsi" w:hAnsiTheme="majorHAnsi" w:cstheme="majorHAnsi"/>
        </w:rPr>
      </w:pPr>
      <w:r>
        <w:rPr>
          <w:rFonts w:asciiTheme="majorHAnsi" w:hAnsiTheme="majorHAnsi" w:cstheme="majorHAnsi"/>
        </w:rPr>
        <w:t xml:space="preserve">Figure 7. Pharmacodynamics of ertapenem against </w:t>
      </w:r>
      <w:r w:rsidRPr="00AC4D64">
        <w:rPr>
          <w:rFonts w:asciiTheme="majorHAnsi" w:hAnsiTheme="majorHAnsi" w:cstheme="majorHAnsi"/>
          <w:i/>
        </w:rPr>
        <w:t>E. coli</w:t>
      </w:r>
    </w:p>
    <w:p w14:paraId="034444DF" w14:textId="40D97406" w:rsidR="001E6890" w:rsidRDefault="001E6890">
      <w:pPr>
        <w:rPr>
          <w:rFonts w:asciiTheme="majorHAnsi" w:hAnsiTheme="majorHAnsi" w:cstheme="majorHAnsi"/>
        </w:rPr>
      </w:pPr>
    </w:p>
    <w:p w14:paraId="7144DD1F" w14:textId="77777777" w:rsidR="001E6890" w:rsidRDefault="001E6890">
      <w:pPr>
        <w:rPr>
          <w:rFonts w:asciiTheme="majorHAnsi" w:hAnsiTheme="majorHAnsi" w:cstheme="majorHAnsi"/>
        </w:rPr>
      </w:pPr>
    </w:p>
    <w:p w14:paraId="3688EF93" w14:textId="3D5E21A7" w:rsidR="0088123A" w:rsidRDefault="0088123A">
      <w:pPr>
        <w:rPr>
          <w:rFonts w:asciiTheme="majorHAnsi" w:hAnsiTheme="majorHAnsi" w:cstheme="majorHAnsi"/>
        </w:rPr>
      </w:pPr>
      <w:r>
        <w:rPr>
          <w:rFonts w:asciiTheme="majorHAnsi" w:hAnsiTheme="majorHAnsi" w:cstheme="majorHAnsi"/>
          <w:noProof/>
          <w:lang w:val="en-US"/>
        </w:rPr>
        <w:drawing>
          <wp:inline distT="0" distB="0" distL="0" distR="0" wp14:anchorId="5F3DD530" wp14:editId="041699BA">
            <wp:extent cx="4012050" cy="5613568"/>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5.tif"/>
                    <pic:cNvPicPr/>
                  </pic:nvPicPr>
                  <pic:blipFill>
                    <a:blip r:embed="rId14" cstate="screen">
                      <a:extLst>
                        <a:ext uri="{28A0092B-C50C-407E-A947-70E740481C1C}">
                          <a14:useLocalDpi xmlns:a14="http://schemas.microsoft.com/office/drawing/2010/main"/>
                        </a:ext>
                      </a:extLst>
                    </a:blip>
                    <a:stretch>
                      <a:fillRect/>
                    </a:stretch>
                  </pic:blipFill>
                  <pic:spPr>
                    <a:xfrm>
                      <a:off x="0" y="0"/>
                      <a:ext cx="4031540" cy="5640837"/>
                    </a:xfrm>
                    <a:prstGeom prst="rect">
                      <a:avLst/>
                    </a:prstGeom>
                  </pic:spPr>
                </pic:pic>
              </a:graphicData>
            </a:graphic>
          </wp:inline>
        </w:drawing>
      </w:r>
    </w:p>
    <w:p w14:paraId="6DFAC85D" w14:textId="77777777" w:rsidR="00B73F5F" w:rsidRDefault="00B73F5F">
      <w:pPr>
        <w:rPr>
          <w:rFonts w:asciiTheme="majorHAnsi" w:hAnsiTheme="majorHAnsi" w:cstheme="majorHAnsi"/>
        </w:rPr>
      </w:pPr>
    </w:p>
    <w:p w14:paraId="59E5F3C6" w14:textId="1229F077" w:rsidR="0088123A" w:rsidRDefault="00633561">
      <w:pPr>
        <w:rPr>
          <w:rFonts w:asciiTheme="majorHAnsi" w:hAnsiTheme="majorHAnsi" w:cstheme="majorHAnsi"/>
        </w:rPr>
      </w:pPr>
      <w:r>
        <w:rPr>
          <w:rFonts w:asciiTheme="majorHAnsi" w:hAnsiTheme="majorHAnsi" w:cstheme="majorHAnsi"/>
        </w:rPr>
        <w:t xml:space="preserve">Data are mean </w:t>
      </w:r>
      <w:r>
        <w:rPr>
          <w:rFonts w:asciiTheme="majorHAnsi" w:hAnsiTheme="majorHAnsi" w:cstheme="majorHAnsi"/>
        </w:rPr>
        <w:sym w:font="Symbol" w:char="F0B1"/>
      </w:r>
      <w:r>
        <w:rPr>
          <w:rFonts w:asciiTheme="majorHAnsi" w:hAnsiTheme="majorHAnsi" w:cstheme="majorHAnsi"/>
        </w:rPr>
        <w:t xml:space="preserve"> standard deviation of n=3 mice. Panel A shows the pharmacodynamics using </w:t>
      </w:r>
      <w:proofErr w:type="spellStart"/>
      <w:r>
        <w:rPr>
          <w:rFonts w:asciiTheme="majorHAnsi" w:hAnsiTheme="majorHAnsi" w:cstheme="majorHAnsi"/>
        </w:rPr>
        <w:t>fT</w:t>
      </w:r>
      <w:proofErr w:type="spellEnd"/>
      <w:r>
        <w:rPr>
          <w:rFonts w:asciiTheme="majorHAnsi" w:hAnsiTheme="majorHAnsi" w:cstheme="majorHAnsi"/>
        </w:rPr>
        <w:t xml:space="preserve">&gt;MIC, which is the traditional measure of drug exposure for the carbapenems.  Stasis is achieved with a </w:t>
      </w:r>
      <w:proofErr w:type="spellStart"/>
      <w:r w:rsidRPr="00AC4D64">
        <w:rPr>
          <w:rFonts w:asciiTheme="majorHAnsi" w:hAnsiTheme="majorHAnsi" w:cstheme="majorHAnsi"/>
          <w:i/>
        </w:rPr>
        <w:t>f</w:t>
      </w:r>
      <w:r>
        <w:rPr>
          <w:rFonts w:asciiTheme="majorHAnsi" w:hAnsiTheme="majorHAnsi" w:cstheme="majorHAnsi"/>
        </w:rPr>
        <w:t>T</w:t>
      </w:r>
      <w:proofErr w:type="spellEnd"/>
      <w:r>
        <w:rPr>
          <w:rFonts w:asciiTheme="majorHAnsi" w:hAnsiTheme="majorHAnsi" w:cstheme="majorHAnsi"/>
        </w:rPr>
        <w:t xml:space="preserve">&gt;MIC of 0.60.  Panel B shows the same data, but using </w:t>
      </w:r>
      <w:proofErr w:type="spellStart"/>
      <w:proofErr w:type="gramStart"/>
      <w:r w:rsidRPr="00AC4D64">
        <w:rPr>
          <w:rFonts w:asciiTheme="majorHAnsi" w:hAnsiTheme="majorHAnsi" w:cstheme="majorHAnsi"/>
          <w:i/>
        </w:rPr>
        <w:t>f</w:t>
      </w:r>
      <w:r>
        <w:rPr>
          <w:rFonts w:asciiTheme="majorHAnsi" w:hAnsiTheme="majorHAnsi" w:cstheme="majorHAnsi"/>
        </w:rPr>
        <w:t>AUC:MIC</w:t>
      </w:r>
      <w:proofErr w:type="spellEnd"/>
      <w:proofErr w:type="gramEnd"/>
      <w:r>
        <w:rPr>
          <w:rFonts w:asciiTheme="majorHAnsi" w:hAnsiTheme="majorHAnsi" w:cstheme="majorHAnsi"/>
        </w:rPr>
        <w:t>*1/tau as the pharmacodynamic index.  Stasis is achieved with a value of 46.</w:t>
      </w:r>
    </w:p>
    <w:p w14:paraId="26670728" w14:textId="717803F4" w:rsidR="0088123A" w:rsidRDefault="0088123A">
      <w:pPr>
        <w:rPr>
          <w:rFonts w:asciiTheme="majorHAnsi" w:hAnsiTheme="majorHAnsi" w:cstheme="majorHAnsi"/>
        </w:rPr>
      </w:pPr>
    </w:p>
    <w:p w14:paraId="224CB82E" w14:textId="35C48036" w:rsidR="0088123A" w:rsidRDefault="0088123A">
      <w:pPr>
        <w:rPr>
          <w:rFonts w:asciiTheme="majorHAnsi" w:hAnsiTheme="majorHAnsi" w:cstheme="majorHAnsi"/>
        </w:rPr>
      </w:pPr>
      <w:r>
        <w:rPr>
          <w:rFonts w:asciiTheme="majorHAnsi" w:hAnsiTheme="majorHAnsi" w:cstheme="majorHAnsi"/>
        </w:rPr>
        <w:br w:type="page"/>
      </w:r>
    </w:p>
    <w:p w14:paraId="3E6D5049" w14:textId="77777777" w:rsidR="00DA5D56" w:rsidRDefault="00DA5D56">
      <w:pPr>
        <w:rPr>
          <w:rFonts w:asciiTheme="majorHAnsi" w:hAnsiTheme="majorHAnsi" w:cstheme="majorHAnsi"/>
        </w:rPr>
      </w:pPr>
    </w:p>
    <w:p w14:paraId="4E77773A" w14:textId="1795CFCB" w:rsidR="0088123A" w:rsidRDefault="00357828">
      <w:pPr>
        <w:rPr>
          <w:rFonts w:asciiTheme="majorHAnsi" w:hAnsiTheme="majorHAnsi" w:cstheme="majorHAnsi"/>
        </w:rPr>
      </w:pPr>
      <w:r>
        <w:rPr>
          <w:rFonts w:asciiTheme="majorHAnsi" w:hAnsiTheme="majorHAnsi" w:cstheme="majorHAnsi"/>
        </w:rPr>
        <w:t xml:space="preserve">Figure </w:t>
      </w:r>
      <w:r w:rsidR="001E6890">
        <w:rPr>
          <w:rFonts w:asciiTheme="majorHAnsi" w:hAnsiTheme="majorHAnsi" w:cstheme="majorHAnsi"/>
        </w:rPr>
        <w:t>8</w:t>
      </w:r>
      <w:r w:rsidR="00E766A3">
        <w:rPr>
          <w:rFonts w:asciiTheme="majorHAnsi" w:hAnsiTheme="majorHAnsi" w:cstheme="majorHAnsi"/>
        </w:rPr>
        <w:t>.</w:t>
      </w:r>
      <w:r>
        <w:rPr>
          <w:rFonts w:asciiTheme="majorHAnsi" w:hAnsiTheme="majorHAnsi" w:cstheme="majorHAnsi"/>
        </w:rPr>
        <w:t xml:space="preserve"> Hollow Fibre Infection Model</w:t>
      </w:r>
    </w:p>
    <w:p w14:paraId="61AC9481" w14:textId="18BF6887" w:rsidR="0088123A" w:rsidRDefault="0088123A">
      <w:pPr>
        <w:rPr>
          <w:rFonts w:asciiTheme="majorHAnsi" w:hAnsiTheme="majorHAnsi" w:cstheme="majorHAnsi"/>
        </w:rPr>
      </w:pPr>
    </w:p>
    <w:p w14:paraId="0219CFB3" w14:textId="73308B81" w:rsidR="0088123A" w:rsidRDefault="0088123A">
      <w:pPr>
        <w:rPr>
          <w:rFonts w:asciiTheme="majorHAnsi" w:hAnsiTheme="majorHAnsi" w:cstheme="majorHAnsi"/>
        </w:rPr>
      </w:pPr>
      <w:r>
        <w:rPr>
          <w:rFonts w:asciiTheme="majorHAnsi" w:hAnsiTheme="majorHAnsi" w:cstheme="majorHAnsi"/>
          <w:noProof/>
          <w:lang w:val="en-US"/>
        </w:rPr>
        <w:drawing>
          <wp:inline distT="0" distB="0" distL="0" distR="0" wp14:anchorId="2864CD40" wp14:editId="1E42FC35">
            <wp:extent cx="5727700" cy="60413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6.tif"/>
                    <pic:cNvPicPr/>
                  </pic:nvPicPr>
                  <pic:blipFill>
                    <a:blip r:embed="rId15" cstate="screen">
                      <a:extLst>
                        <a:ext uri="{28A0092B-C50C-407E-A947-70E740481C1C}">
                          <a14:useLocalDpi xmlns:a14="http://schemas.microsoft.com/office/drawing/2010/main"/>
                        </a:ext>
                      </a:extLst>
                    </a:blip>
                    <a:stretch>
                      <a:fillRect/>
                    </a:stretch>
                  </pic:blipFill>
                  <pic:spPr>
                    <a:xfrm>
                      <a:off x="0" y="0"/>
                      <a:ext cx="5727700" cy="6041390"/>
                    </a:xfrm>
                    <a:prstGeom prst="rect">
                      <a:avLst/>
                    </a:prstGeom>
                  </pic:spPr>
                </pic:pic>
              </a:graphicData>
            </a:graphic>
          </wp:inline>
        </w:drawing>
      </w:r>
    </w:p>
    <w:p w14:paraId="4E9F47E6" w14:textId="77777777" w:rsidR="00DA5D56" w:rsidRDefault="00DA5D56">
      <w:pPr>
        <w:rPr>
          <w:rFonts w:asciiTheme="majorHAnsi" w:hAnsiTheme="majorHAnsi" w:cstheme="majorHAnsi"/>
        </w:rPr>
      </w:pPr>
    </w:p>
    <w:p w14:paraId="01C49739" w14:textId="0A0CD0CE" w:rsidR="0088123A" w:rsidRDefault="00B439E0">
      <w:pPr>
        <w:rPr>
          <w:rFonts w:asciiTheme="majorHAnsi" w:hAnsiTheme="majorHAnsi" w:cstheme="majorHAnsi"/>
        </w:rPr>
      </w:pPr>
      <w:r>
        <w:rPr>
          <w:rFonts w:asciiTheme="majorHAnsi" w:hAnsiTheme="majorHAnsi" w:cstheme="majorHAnsi"/>
        </w:rPr>
        <w:t xml:space="preserve">Note:  The challenge strain </w:t>
      </w:r>
      <w:r w:rsidR="00DA5D56">
        <w:rPr>
          <w:rFonts w:asciiTheme="majorHAnsi" w:hAnsiTheme="majorHAnsi" w:cstheme="majorHAnsi"/>
        </w:rPr>
        <w:t xml:space="preserve">(SPT 719) </w:t>
      </w:r>
      <w:r>
        <w:rPr>
          <w:rFonts w:asciiTheme="majorHAnsi" w:hAnsiTheme="majorHAnsi" w:cstheme="majorHAnsi"/>
        </w:rPr>
        <w:t>in this experiment is an ESBL</w:t>
      </w:r>
      <w:r w:rsidR="00DA5D56">
        <w:rPr>
          <w:rFonts w:asciiTheme="majorHAnsi" w:hAnsiTheme="majorHAnsi" w:cstheme="majorHAnsi"/>
        </w:rPr>
        <w:t>-</w:t>
      </w:r>
      <w:r>
        <w:rPr>
          <w:rFonts w:asciiTheme="majorHAnsi" w:hAnsiTheme="majorHAnsi" w:cstheme="majorHAnsi"/>
        </w:rPr>
        <w:t xml:space="preserve">producing </w:t>
      </w:r>
      <w:r w:rsidRPr="0047121E">
        <w:rPr>
          <w:rFonts w:asciiTheme="majorHAnsi" w:hAnsiTheme="majorHAnsi" w:cstheme="majorHAnsi"/>
          <w:i/>
        </w:rPr>
        <w:t>E. coli</w:t>
      </w:r>
      <w:r>
        <w:rPr>
          <w:rFonts w:asciiTheme="majorHAnsi" w:hAnsiTheme="majorHAnsi" w:cstheme="majorHAnsi"/>
        </w:rPr>
        <w:t xml:space="preserve"> (</w:t>
      </w:r>
      <w:r w:rsidR="00DA5D56">
        <w:rPr>
          <w:rFonts w:asciiTheme="majorHAnsi" w:hAnsiTheme="majorHAnsi" w:cstheme="majorHAnsi"/>
        </w:rPr>
        <w:t>tebipenem</w:t>
      </w:r>
      <w:r>
        <w:rPr>
          <w:rFonts w:asciiTheme="majorHAnsi" w:hAnsiTheme="majorHAnsi" w:cstheme="majorHAnsi"/>
        </w:rPr>
        <w:t xml:space="preserve"> MIC 0.03 mg/L).  Each panel represents the data from an individual </w:t>
      </w:r>
      <w:proofErr w:type="spellStart"/>
      <w:r>
        <w:rPr>
          <w:rFonts w:asciiTheme="majorHAnsi" w:hAnsiTheme="majorHAnsi" w:cstheme="majorHAnsi"/>
        </w:rPr>
        <w:t>fiber</w:t>
      </w:r>
      <w:proofErr w:type="spellEnd"/>
      <w:r>
        <w:rPr>
          <w:rFonts w:asciiTheme="majorHAnsi" w:hAnsiTheme="majorHAnsi" w:cstheme="majorHAnsi"/>
        </w:rPr>
        <w:t xml:space="preserve"> the yields data that represents the total bacterial population (open red triangles), a resistant </w:t>
      </w:r>
      <w:r w:rsidR="00DA5D56">
        <w:rPr>
          <w:rFonts w:asciiTheme="majorHAnsi" w:hAnsiTheme="majorHAnsi" w:cstheme="majorHAnsi"/>
        </w:rPr>
        <w:t>subpopulation</w:t>
      </w:r>
      <w:r>
        <w:rPr>
          <w:rFonts w:asciiTheme="majorHAnsi" w:hAnsiTheme="majorHAnsi" w:cstheme="majorHAnsi"/>
        </w:rPr>
        <w:t xml:space="preserve"> (open blue circles) and the pharmacokinetic profile of </w:t>
      </w:r>
      <w:r w:rsidR="00DA5D56">
        <w:rPr>
          <w:rFonts w:asciiTheme="majorHAnsi" w:hAnsiTheme="majorHAnsi" w:cstheme="majorHAnsi"/>
        </w:rPr>
        <w:t>tebipenem</w:t>
      </w:r>
      <w:r>
        <w:rPr>
          <w:rFonts w:asciiTheme="majorHAnsi" w:hAnsiTheme="majorHAnsi" w:cstheme="majorHAnsi"/>
        </w:rPr>
        <w:t xml:space="preserve"> (open </w:t>
      </w:r>
      <w:r w:rsidR="00DA5D56">
        <w:rPr>
          <w:rFonts w:asciiTheme="majorHAnsi" w:hAnsiTheme="majorHAnsi" w:cstheme="majorHAnsi"/>
        </w:rPr>
        <w:t>b</w:t>
      </w:r>
      <w:r>
        <w:rPr>
          <w:rFonts w:asciiTheme="majorHAnsi" w:hAnsiTheme="majorHAnsi" w:cstheme="majorHAnsi"/>
        </w:rPr>
        <w:t xml:space="preserve">lack squares).  The outputs from the mathematical model are shown using the same </w:t>
      </w:r>
      <w:proofErr w:type="spellStart"/>
      <w:r>
        <w:rPr>
          <w:rFonts w:asciiTheme="majorHAnsi" w:hAnsiTheme="majorHAnsi" w:cstheme="majorHAnsi"/>
        </w:rPr>
        <w:t>colors</w:t>
      </w:r>
      <w:proofErr w:type="spellEnd"/>
      <w:r>
        <w:rPr>
          <w:rFonts w:asciiTheme="majorHAnsi" w:hAnsiTheme="majorHAnsi" w:cstheme="majorHAnsi"/>
        </w:rPr>
        <w:t xml:space="preserve">.  The Bayesian posterior estimates for each </w:t>
      </w:r>
      <w:proofErr w:type="spellStart"/>
      <w:r>
        <w:rPr>
          <w:rFonts w:asciiTheme="majorHAnsi" w:hAnsiTheme="majorHAnsi" w:cstheme="majorHAnsi"/>
        </w:rPr>
        <w:t>fiber</w:t>
      </w:r>
      <w:proofErr w:type="spellEnd"/>
      <w:r>
        <w:rPr>
          <w:rFonts w:asciiTheme="majorHAnsi" w:hAnsiTheme="majorHAnsi" w:cstheme="majorHAnsi"/>
        </w:rPr>
        <w:t xml:space="preserve"> are shown.  The </w:t>
      </w:r>
      <w:proofErr w:type="spellStart"/>
      <w:proofErr w:type="gramStart"/>
      <w:r w:rsidRPr="0047121E">
        <w:rPr>
          <w:rFonts w:asciiTheme="majorHAnsi" w:hAnsiTheme="majorHAnsi" w:cstheme="majorHAnsi"/>
          <w:i/>
        </w:rPr>
        <w:t>f</w:t>
      </w:r>
      <w:r>
        <w:rPr>
          <w:rFonts w:asciiTheme="majorHAnsi" w:hAnsiTheme="majorHAnsi" w:cstheme="majorHAnsi"/>
        </w:rPr>
        <w:t>AUC:MIC</w:t>
      </w:r>
      <w:proofErr w:type="spellEnd"/>
      <w:proofErr w:type="gramEnd"/>
      <w:r>
        <w:rPr>
          <w:rFonts w:asciiTheme="majorHAnsi" w:hAnsiTheme="majorHAnsi" w:cstheme="majorHAnsi"/>
        </w:rPr>
        <w:t xml:space="preserve">*1/tau </w:t>
      </w:r>
      <w:r w:rsidR="00737C82">
        <w:rPr>
          <w:rFonts w:asciiTheme="majorHAnsi" w:hAnsiTheme="majorHAnsi" w:cstheme="majorHAnsi"/>
        </w:rPr>
        <w:t xml:space="preserve">index values </w:t>
      </w:r>
      <w:r>
        <w:rPr>
          <w:rFonts w:asciiTheme="majorHAnsi" w:hAnsiTheme="majorHAnsi" w:cstheme="majorHAnsi"/>
        </w:rPr>
        <w:t xml:space="preserve">associated with the q24h, q12h, q8h and q6h schedules are </w:t>
      </w:r>
      <w:r w:rsidR="00E46D97">
        <w:rPr>
          <w:rFonts w:asciiTheme="majorHAnsi" w:hAnsiTheme="majorHAnsi" w:cstheme="majorHAnsi"/>
        </w:rPr>
        <w:t xml:space="preserve">17.3, 34.58, 51.87 and 69.15, respectively.  Logarithmic killing is observed with a </w:t>
      </w:r>
      <w:proofErr w:type="spellStart"/>
      <w:proofErr w:type="gramStart"/>
      <w:r w:rsidR="00E46D97" w:rsidRPr="00054CC9">
        <w:rPr>
          <w:rFonts w:asciiTheme="majorHAnsi" w:hAnsiTheme="majorHAnsi" w:cstheme="majorHAnsi"/>
          <w:i/>
        </w:rPr>
        <w:t>f</w:t>
      </w:r>
      <w:r w:rsidR="00E46D97">
        <w:rPr>
          <w:rFonts w:asciiTheme="majorHAnsi" w:hAnsiTheme="majorHAnsi" w:cstheme="majorHAnsi"/>
        </w:rPr>
        <w:t>AUC:MIC</w:t>
      </w:r>
      <w:proofErr w:type="spellEnd"/>
      <w:proofErr w:type="gramEnd"/>
      <w:r w:rsidR="00E46D97">
        <w:rPr>
          <w:rFonts w:asciiTheme="majorHAnsi" w:hAnsiTheme="majorHAnsi" w:cstheme="majorHAnsi"/>
        </w:rPr>
        <w:t>*1/tau value of 34.58-51.87</w:t>
      </w:r>
      <w:r w:rsidR="00AC30B4">
        <w:rPr>
          <w:rFonts w:asciiTheme="majorHAnsi" w:hAnsiTheme="majorHAnsi" w:cstheme="majorHAnsi"/>
        </w:rPr>
        <w:t>, and suppression of resistance with a value of 69.15.</w:t>
      </w:r>
    </w:p>
    <w:p w14:paraId="1CB0F781" w14:textId="5F3DD2E9" w:rsidR="006132C2" w:rsidRPr="00150239" w:rsidRDefault="006132C2" w:rsidP="00010925">
      <w:pPr>
        <w:rPr>
          <w:rFonts w:asciiTheme="majorHAnsi" w:hAnsiTheme="majorHAnsi" w:cstheme="majorHAnsi"/>
        </w:rPr>
      </w:pPr>
    </w:p>
    <w:sectPr w:rsidR="006132C2" w:rsidRPr="00150239" w:rsidSect="008C4BE5">
      <w:footerReference w:type="even" r:id="rId16"/>
      <w:footerReference w:type="default" r:id="rId17"/>
      <w:pgSz w:w="11900" w:h="16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DC3519" w14:textId="77777777" w:rsidR="00796CA0" w:rsidRDefault="00796CA0" w:rsidP="009A2255">
      <w:r>
        <w:separator/>
      </w:r>
    </w:p>
  </w:endnote>
  <w:endnote w:type="continuationSeparator" w:id="0">
    <w:p w14:paraId="71F25DD0" w14:textId="77777777" w:rsidR="00796CA0" w:rsidRDefault="00796CA0" w:rsidP="009A22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1952137"/>
      <w:docPartObj>
        <w:docPartGallery w:val="Page Numbers (Bottom of Page)"/>
        <w:docPartUnique/>
      </w:docPartObj>
    </w:sdtPr>
    <w:sdtEndPr>
      <w:rPr>
        <w:rStyle w:val="PageNumber"/>
      </w:rPr>
    </w:sdtEndPr>
    <w:sdtContent>
      <w:p w14:paraId="4AC98DB4" w14:textId="77777777" w:rsidR="000A3B15" w:rsidRDefault="000A3B15" w:rsidP="005A695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14E13B9" w14:textId="77777777" w:rsidR="000A3B15" w:rsidRDefault="000A3B15" w:rsidP="009A225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07979117"/>
      <w:docPartObj>
        <w:docPartGallery w:val="Page Numbers (Bottom of Page)"/>
        <w:docPartUnique/>
      </w:docPartObj>
    </w:sdtPr>
    <w:sdtEndPr>
      <w:rPr>
        <w:rStyle w:val="PageNumber"/>
      </w:rPr>
    </w:sdtEndPr>
    <w:sdtContent>
      <w:p w14:paraId="05AA1345" w14:textId="0E702FFC" w:rsidR="000A3B15" w:rsidRDefault="000A3B15" w:rsidP="005A695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sdtContent>
  </w:sdt>
  <w:p w14:paraId="68B1E507" w14:textId="77777777" w:rsidR="000A3B15" w:rsidRDefault="000A3B15" w:rsidP="009A225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642CAA" w14:textId="77777777" w:rsidR="00796CA0" w:rsidRDefault="00796CA0" w:rsidP="009A2255">
      <w:r>
        <w:separator/>
      </w:r>
    </w:p>
  </w:footnote>
  <w:footnote w:type="continuationSeparator" w:id="0">
    <w:p w14:paraId="457AF92B" w14:textId="77777777" w:rsidR="00796CA0" w:rsidRDefault="00796CA0" w:rsidP="009A225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9F20B5"/>
    <w:multiLevelType w:val="hybridMultilevel"/>
    <w:tmpl w:val="4AC608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5A5333F"/>
    <w:multiLevelType w:val="hybridMultilevel"/>
    <w:tmpl w:val="5DC234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7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2255"/>
    <w:rsid w:val="00000B45"/>
    <w:rsid w:val="00000CA0"/>
    <w:rsid w:val="0000133A"/>
    <w:rsid w:val="00002E9B"/>
    <w:rsid w:val="00005FE4"/>
    <w:rsid w:val="00006655"/>
    <w:rsid w:val="000107AD"/>
    <w:rsid w:val="00010925"/>
    <w:rsid w:val="00012470"/>
    <w:rsid w:val="00012BCD"/>
    <w:rsid w:val="00013F9F"/>
    <w:rsid w:val="000156A5"/>
    <w:rsid w:val="0002210B"/>
    <w:rsid w:val="0002210C"/>
    <w:rsid w:val="000221AC"/>
    <w:rsid w:val="00023F63"/>
    <w:rsid w:val="0002587E"/>
    <w:rsid w:val="00027CE7"/>
    <w:rsid w:val="00030A08"/>
    <w:rsid w:val="000333E9"/>
    <w:rsid w:val="000367A7"/>
    <w:rsid w:val="00036F8D"/>
    <w:rsid w:val="00041694"/>
    <w:rsid w:val="00043E88"/>
    <w:rsid w:val="0004456B"/>
    <w:rsid w:val="00044AD7"/>
    <w:rsid w:val="000458F1"/>
    <w:rsid w:val="000468CD"/>
    <w:rsid w:val="00046D97"/>
    <w:rsid w:val="0005080B"/>
    <w:rsid w:val="00053912"/>
    <w:rsid w:val="000552EF"/>
    <w:rsid w:val="00055CC2"/>
    <w:rsid w:val="00063F69"/>
    <w:rsid w:val="0006505B"/>
    <w:rsid w:val="000730E3"/>
    <w:rsid w:val="00073550"/>
    <w:rsid w:val="00076EF5"/>
    <w:rsid w:val="00077170"/>
    <w:rsid w:val="000818F1"/>
    <w:rsid w:val="000855D7"/>
    <w:rsid w:val="000862DB"/>
    <w:rsid w:val="00086663"/>
    <w:rsid w:val="000901AF"/>
    <w:rsid w:val="000904FB"/>
    <w:rsid w:val="000928D2"/>
    <w:rsid w:val="00093E93"/>
    <w:rsid w:val="00094D93"/>
    <w:rsid w:val="0009640E"/>
    <w:rsid w:val="000A012D"/>
    <w:rsid w:val="000A319D"/>
    <w:rsid w:val="000A3B15"/>
    <w:rsid w:val="000B0438"/>
    <w:rsid w:val="000B0442"/>
    <w:rsid w:val="000B3F5E"/>
    <w:rsid w:val="000B5A02"/>
    <w:rsid w:val="000C202B"/>
    <w:rsid w:val="000C34DD"/>
    <w:rsid w:val="000D0447"/>
    <w:rsid w:val="000D1605"/>
    <w:rsid w:val="000D2C0D"/>
    <w:rsid w:val="000D3DE9"/>
    <w:rsid w:val="000E00E3"/>
    <w:rsid w:val="000E2CFD"/>
    <w:rsid w:val="000E4C6B"/>
    <w:rsid w:val="000E76A5"/>
    <w:rsid w:val="000E78A1"/>
    <w:rsid w:val="000F01BB"/>
    <w:rsid w:val="000F1AA5"/>
    <w:rsid w:val="000F20FF"/>
    <w:rsid w:val="000F354D"/>
    <w:rsid w:val="000F4873"/>
    <w:rsid w:val="000F5890"/>
    <w:rsid w:val="000F6699"/>
    <w:rsid w:val="001028F4"/>
    <w:rsid w:val="00103D76"/>
    <w:rsid w:val="00104C6F"/>
    <w:rsid w:val="0010624A"/>
    <w:rsid w:val="00112440"/>
    <w:rsid w:val="00117479"/>
    <w:rsid w:val="001177A2"/>
    <w:rsid w:val="00120E4B"/>
    <w:rsid w:val="00123B60"/>
    <w:rsid w:val="001257C5"/>
    <w:rsid w:val="00125B25"/>
    <w:rsid w:val="0012745E"/>
    <w:rsid w:val="00127FDF"/>
    <w:rsid w:val="00134708"/>
    <w:rsid w:val="00135B51"/>
    <w:rsid w:val="0014170A"/>
    <w:rsid w:val="00145C73"/>
    <w:rsid w:val="001463A8"/>
    <w:rsid w:val="00150239"/>
    <w:rsid w:val="00151447"/>
    <w:rsid w:val="00151B7D"/>
    <w:rsid w:val="00151FA5"/>
    <w:rsid w:val="001574AD"/>
    <w:rsid w:val="001608F6"/>
    <w:rsid w:val="00161295"/>
    <w:rsid w:val="00161C36"/>
    <w:rsid w:val="001636AB"/>
    <w:rsid w:val="00163CA4"/>
    <w:rsid w:val="001651D6"/>
    <w:rsid w:val="00167E04"/>
    <w:rsid w:val="0017096C"/>
    <w:rsid w:val="00171190"/>
    <w:rsid w:val="001713A0"/>
    <w:rsid w:val="001730AC"/>
    <w:rsid w:val="00174CE4"/>
    <w:rsid w:val="001757B2"/>
    <w:rsid w:val="00182653"/>
    <w:rsid w:val="00183244"/>
    <w:rsid w:val="0018446D"/>
    <w:rsid w:val="00193331"/>
    <w:rsid w:val="00195A61"/>
    <w:rsid w:val="00196490"/>
    <w:rsid w:val="00197697"/>
    <w:rsid w:val="001A0B0D"/>
    <w:rsid w:val="001A1F19"/>
    <w:rsid w:val="001A26E7"/>
    <w:rsid w:val="001A4116"/>
    <w:rsid w:val="001B12F1"/>
    <w:rsid w:val="001B3C1D"/>
    <w:rsid w:val="001B49C1"/>
    <w:rsid w:val="001B7158"/>
    <w:rsid w:val="001C0B0F"/>
    <w:rsid w:val="001C42DD"/>
    <w:rsid w:val="001C4B2B"/>
    <w:rsid w:val="001C541E"/>
    <w:rsid w:val="001C681C"/>
    <w:rsid w:val="001C6E90"/>
    <w:rsid w:val="001D3D51"/>
    <w:rsid w:val="001D3DF8"/>
    <w:rsid w:val="001D7A21"/>
    <w:rsid w:val="001E1D8D"/>
    <w:rsid w:val="001E46B1"/>
    <w:rsid w:val="001E6890"/>
    <w:rsid w:val="001E7F65"/>
    <w:rsid w:val="001F18A7"/>
    <w:rsid w:val="001F2BDD"/>
    <w:rsid w:val="001F6D82"/>
    <w:rsid w:val="001F78CC"/>
    <w:rsid w:val="001F7979"/>
    <w:rsid w:val="00201140"/>
    <w:rsid w:val="00205E27"/>
    <w:rsid w:val="00206157"/>
    <w:rsid w:val="00213830"/>
    <w:rsid w:val="002140B1"/>
    <w:rsid w:val="00216138"/>
    <w:rsid w:val="00217610"/>
    <w:rsid w:val="00217AD6"/>
    <w:rsid w:val="00217E6F"/>
    <w:rsid w:val="00221400"/>
    <w:rsid w:val="002274B4"/>
    <w:rsid w:val="00227B1A"/>
    <w:rsid w:val="00232B8F"/>
    <w:rsid w:val="00233343"/>
    <w:rsid w:val="00236DD4"/>
    <w:rsid w:val="002426E2"/>
    <w:rsid w:val="00245BBE"/>
    <w:rsid w:val="0025030A"/>
    <w:rsid w:val="00252A6C"/>
    <w:rsid w:val="002539FC"/>
    <w:rsid w:val="0025481E"/>
    <w:rsid w:val="00257697"/>
    <w:rsid w:val="002609C1"/>
    <w:rsid w:val="00260C0F"/>
    <w:rsid w:val="002637F9"/>
    <w:rsid w:val="00264B71"/>
    <w:rsid w:val="00265335"/>
    <w:rsid w:val="002668D2"/>
    <w:rsid w:val="002745DD"/>
    <w:rsid w:val="00275C7E"/>
    <w:rsid w:val="00276932"/>
    <w:rsid w:val="00276F38"/>
    <w:rsid w:val="0028343D"/>
    <w:rsid w:val="00285AD7"/>
    <w:rsid w:val="002875CE"/>
    <w:rsid w:val="00290EB7"/>
    <w:rsid w:val="00293EA8"/>
    <w:rsid w:val="00297C78"/>
    <w:rsid w:val="002A2596"/>
    <w:rsid w:val="002A2D77"/>
    <w:rsid w:val="002A38FE"/>
    <w:rsid w:val="002A3F54"/>
    <w:rsid w:val="002B0491"/>
    <w:rsid w:val="002B1E62"/>
    <w:rsid w:val="002B4F10"/>
    <w:rsid w:val="002B4FF4"/>
    <w:rsid w:val="002B7869"/>
    <w:rsid w:val="002C0345"/>
    <w:rsid w:val="002C1F6C"/>
    <w:rsid w:val="002C2E90"/>
    <w:rsid w:val="002C7437"/>
    <w:rsid w:val="002D03D7"/>
    <w:rsid w:val="002D0741"/>
    <w:rsid w:val="002D0AB0"/>
    <w:rsid w:val="002D339E"/>
    <w:rsid w:val="002D5FA0"/>
    <w:rsid w:val="002D78AB"/>
    <w:rsid w:val="002E75EB"/>
    <w:rsid w:val="002F150C"/>
    <w:rsid w:val="002F2389"/>
    <w:rsid w:val="002F2FBD"/>
    <w:rsid w:val="002F4D7C"/>
    <w:rsid w:val="002F6DC7"/>
    <w:rsid w:val="00302A8F"/>
    <w:rsid w:val="00302B50"/>
    <w:rsid w:val="00310513"/>
    <w:rsid w:val="003107D2"/>
    <w:rsid w:val="00311618"/>
    <w:rsid w:val="00311908"/>
    <w:rsid w:val="00317807"/>
    <w:rsid w:val="00320345"/>
    <w:rsid w:val="003227C6"/>
    <w:rsid w:val="00322FF9"/>
    <w:rsid w:val="003237B1"/>
    <w:rsid w:val="00323D37"/>
    <w:rsid w:val="00323E6F"/>
    <w:rsid w:val="003276FC"/>
    <w:rsid w:val="003279B2"/>
    <w:rsid w:val="003307AB"/>
    <w:rsid w:val="00332006"/>
    <w:rsid w:val="003333AF"/>
    <w:rsid w:val="00333C22"/>
    <w:rsid w:val="00334B6A"/>
    <w:rsid w:val="00337149"/>
    <w:rsid w:val="00342E10"/>
    <w:rsid w:val="003457E4"/>
    <w:rsid w:val="00350DF2"/>
    <w:rsid w:val="00351DD5"/>
    <w:rsid w:val="00352907"/>
    <w:rsid w:val="00357828"/>
    <w:rsid w:val="00360237"/>
    <w:rsid w:val="003621DF"/>
    <w:rsid w:val="00365267"/>
    <w:rsid w:val="00365FDA"/>
    <w:rsid w:val="00370047"/>
    <w:rsid w:val="00371BBB"/>
    <w:rsid w:val="003723EB"/>
    <w:rsid w:val="00377256"/>
    <w:rsid w:val="00377DE1"/>
    <w:rsid w:val="00377E30"/>
    <w:rsid w:val="00384B4C"/>
    <w:rsid w:val="00393485"/>
    <w:rsid w:val="00393512"/>
    <w:rsid w:val="00394D35"/>
    <w:rsid w:val="00395230"/>
    <w:rsid w:val="003954ED"/>
    <w:rsid w:val="00396D24"/>
    <w:rsid w:val="003978E7"/>
    <w:rsid w:val="00397CC4"/>
    <w:rsid w:val="003A0746"/>
    <w:rsid w:val="003A4CE3"/>
    <w:rsid w:val="003A743E"/>
    <w:rsid w:val="003C1632"/>
    <w:rsid w:val="003C2F40"/>
    <w:rsid w:val="003C3258"/>
    <w:rsid w:val="003C63D3"/>
    <w:rsid w:val="003D011D"/>
    <w:rsid w:val="003D152B"/>
    <w:rsid w:val="003D4E4C"/>
    <w:rsid w:val="003D73FA"/>
    <w:rsid w:val="003E0AB7"/>
    <w:rsid w:val="003E0D11"/>
    <w:rsid w:val="003E4B2F"/>
    <w:rsid w:val="003E696E"/>
    <w:rsid w:val="003F3156"/>
    <w:rsid w:val="003F60AD"/>
    <w:rsid w:val="00406DA1"/>
    <w:rsid w:val="0040799F"/>
    <w:rsid w:val="00413D78"/>
    <w:rsid w:val="00414259"/>
    <w:rsid w:val="0041612A"/>
    <w:rsid w:val="00417F76"/>
    <w:rsid w:val="004219F5"/>
    <w:rsid w:val="00423597"/>
    <w:rsid w:val="004256A1"/>
    <w:rsid w:val="00426F68"/>
    <w:rsid w:val="00432DA3"/>
    <w:rsid w:val="00432F41"/>
    <w:rsid w:val="00437270"/>
    <w:rsid w:val="00437443"/>
    <w:rsid w:val="004379D5"/>
    <w:rsid w:val="00437EC7"/>
    <w:rsid w:val="004437E2"/>
    <w:rsid w:val="0044455D"/>
    <w:rsid w:val="00444F82"/>
    <w:rsid w:val="0044587F"/>
    <w:rsid w:val="004613A7"/>
    <w:rsid w:val="0046170B"/>
    <w:rsid w:val="00461B42"/>
    <w:rsid w:val="00464D36"/>
    <w:rsid w:val="00467F7B"/>
    <w:rsid w:val="0047121E"/>
    <w:rsid w:val="00473989"/>
    <w:rsid w:val="004748D4"/>
    <w:rsid w:val="00480516"/>
    <w:rsid w:val="00482223"/>
    <w:rsid w:val="00482D33"/>
    <w:rsid w:val="004830CB"/>
    <w:rsid w:val="00483256"/>
    <w:rsid w:val="00483AF5"/>
    <w:rsid w:val="004864AF"/>
    <w:rsid w:val="00486804"/>
    <w:rsid w:val="00490E43"/>
    <w:rsid w:val="00492505"/>
    <w:rsid w:val="00495C36"/>
    <w:rsid w:val="00495C8D"/>
    <w:rsid w:val="004962AA"/>
    <w:rsid w:val="00497DFC"/>
    <w:rsid w:val="004A1E67"/>
    <w:rsid w:val="004A2331"/>
    <w:rsid w:val="004A4D9A"/>
    <w:rsid w:val="004B1BF8"/>
    <w:rsid w:val="004C2EDA"/>
    <w:rsid w:val="004C4359"/>
    <w:rsid w:val="004D00CF"/>
    <w:rsid w:val="004D051C"/>
    <w:rsid w:val="004D1489"/>
    <w:rsid w:val="004D2FEE"/>
    <w:rsid w:val="004D79DD"/>
    <w:rsid w:val="004E0029"/>
    <w:rsid w:val="004E3DD5"/>
    <w:rsid w:val="004E6E0E"/>
    <w:rsid w:val="004E70CB"/>
    <w:rsid w:val="004F3031"/>
    <w:rsid w:val="004F69C4"/>
    <w:rsid w:val="005023C5"/>
    <w:rsid w:val="005041BA"/>
    <w:rsid w:val="0050717B"/>
    <w:rsid w:val="00517035"/>
    <w:rsid w:val="00520AE5"/>
    <w:rsid w:val="0052182C"/>
    <w:rsid w:val="005220F2"/>
    <w:rsid w:val="00523FAA"/>
    <w:rsid w:val="00527384"/>
    <w:rsid w:val="00527F88"/>
    <w:rsid w:val="00532A80"/>
    <w:rsid w:val="00533433"/>
    <w:rsid w:val="005361BA"/>
    <w:rsid w:val="0054020A"/>
    <w:rsid w:val="0054030F"/>
    <w:rsid w:val="0054073B"/>
    <w:rsid w:val="00540B34"/>
    <w:rsid w:val="005421C0"/>
    <w:rsid w:val="00545319"/>
    <w:rsid w:val="00546782"/>
    <w:rsid w:val="005467E9"/>
    <w:rsid w:val="0055045F"/>
    <w:rsid w:val="005518CC"/>
    <w:rsid w:val="00552229"/>
    <w:rsid w:val="005538BE"/>
    <w:rsid w:val="005571C6"/>
    <w:rsid w:val="00562D33"/>
    <w:rsid w:val="00565351"/>
    <w:rsid w:val="005726A4"/>
    <w:rsid w:val="00575B88"/>
    <w:rsid w:val="005760C1"/>
    <w:rsid w:val="00576678"/>
    <w:rsid w:val="00583484"/>
    <w:rsid w:val="0058436E"/>
    <w:rsid w:val="00584A27"/>
    <w:rsid w:val="00585FA7"/>
    <w:rsid w:val="005867BE"/>
    <w:rsid w:val="005867EF"/>
    <w:rsid w:val="00590526"/>
    <w:rsid w:val="005A49E8"/>
    <w:rsid w:val="005A4F5A"/>
    <w:rsid w:val="005A695F"/>
    <w:rsid w:val="005A6E2E"/>
    <w:rsid w:val="005A750D"/>
    <w:rsid w:val="005B4524"/>
    <w:rsid w:val="005C02AF"/>
    <w:rsid w:val="005C033B"/>
    <w:rsid w:val="005C0EEA"/>
    <w:rsid w:val="005C16DB"/>
    <w:rsid w:val="005C1C3A"/>
    <w:rsid w:val="005C57C9"/>
    <w:rsid w:val="005D6537"/>
    <w:rsid w:val="005D68C7"/>
    <w:rsid w:val="005E055F"/>
    <w:rsid w:val="005E4CC3"/>
    <w:rsid w:val="005E58D6"/>
    <w:rsid w:val="005E7849"/>
    <w:rsid w:val="005F5AE2"/>
    <w:rsid w:val="00600C10"/>
    <w:rsid w:val="00603081"/>
    <w:rsid w:val="006058FD"/>
    <w:rsid w:val="006068E2"/>
    <w:rsid w:val="00607ADE"/>
    <w:rsid w:val="00610F81"/>
    <w:rsid w:val="00611B9F"/>
    <w:rsid w:val="006128BC"/>
    <w:rsid w:val="00612E2C"/>
    <w:rsid w:val="006132C2"/>
    <w:rsid w:val="00614E1E"/>
    <w:rsid w:val="00621A38"/>
    <w:rsid w:val="00624098"/>
    <w:rsid w:val="00624E4D"/>
    <w:rsid w:val="006269BE"/>
    <w:rsid w:val="00627989"/>
    <w:rsid w:val="00631EB4"/>
    <w:rsid w:val="006324EE"/>
    <w:rsid w:val="00633561"/>
    <w:rsid w:val="00635E2D"/>
    <w:rsid w:val="00635FDD"/>
    <w:rsid w:val="00636970"/>
    <w:rsid w:val="00640D58"/>
    <w:rsid w:val="0064103B"/>
    <w:rsid w:val="00642BE8"/>
    <w:rsid w:val="0065195D"/>
    <w:rsid w:val="00653E2D"/>
    <w:rsid w:val="00656052"/>
    <w:rsid w:val="006563C5"/>
    <w:rsid w:val="0066363C"/>
    <w:rsid w:val="006645E9"/>
    <w:rsid w:val="00664689"/>
    <w:rsid w:val="00671210"/>
    <w:rsid w:val="00675B28"/>
    <w:rsid w:val="006801F9"/>
    <w:rsid w:val="00682296"/>
    <w:rsid w:val="00684DF1"/>
    <w:rsid w:val="006856DF"/>
    <w:rsid w:val="006857C7"/>
    <w:rsid w:val="00690012"/>
    <w:rsid w:val="00694487"/>
    <w:rsid w:val="006964E0"/>
    <w:rsid w:val="006966B5"/>
    <w:rsid w:val="0069705F"/>
    <w:rsid w:val="006A33AD"/>
    <w:rsid w:val="006A3A5C"/>
    <w:rsid w:val="006B1538"/>
    <w:rsid w:val="006B1D31"/>
    <w:rsid w:val="006B3F61"/>
    <w:rsid w:val="006B4A50"/>
    <w:rsid w:val="006B7F75"/>
    <w:rsid w:val="006C21CE"/>
    <w:rsid w:val="006C54B4"/>
    <w:rsid w:val="006C6F21"/>
    <w:rsid w:val="006C7CB8"/>
    <w:rsid w:val="006D6D4A"/>
    <w:rsid w:val="006E0F67"/>
    <w:rsid w:val="006E3B27"/>
    <w:rsid w:val="006F25B6"/>
    <w:rsid w:val="006F7050"/>
    <w:rsid w:val="006F7FED"/>
    <w:rsid w:val="00707CD0"/>
    <w:rsid w:val="00707E40"/>
    <w:rsid w:val="00711AFF"/>
    <w:rsid w:val="00714480"/>
    <w:rsid w:val="00714BBB"/>
    <w:rsid w:val="007154AD"/>
    <w:rsid w:val="0071579A"/>
    <w:rsid w:val="00715FDE"/>
    <w:rsid w:val="00716B97"/>
    <w:rsid w:val="007171B3"/>
    <w:rsid w:val="00720489"/>
    <w:rsid w:val="0072175D"/>
    <w:rsid w:val="007230DA"/>
    <w:rsid w:val="00723F34"/>
    <w:rsid w:val="00730043"/>
    <w:rsid w:val="0073098A"/>
    <w:rsid w:val="007313FD"/>
    <w:rsid w:val="007318C6"/>
    <w:rsid w:val="007334D1"/>
    <w:rsid w:val="007361AA"/>
    <w:rsid w:val="00737C82"/>
    <w:rsid w:val="00743F4B"/>
    <w:rsid w:val="0074756E"/>
    <w:rsid w:val="00753AA5"/>
    <w:rsid w:val="00753F7A"/>
    <w:rsid w:val="00754F81"/>
    <w:rsid w:val="00755D18"/>
    <w:rsid w:val="00757C15"/>
    <w:rsid w:val="007601F9"/>
    <w:rsid w:val="00766BA3"/>
    <w:rsid w:val="00770144"/>
    <w:rsid w:val="007706F2"/>
    <w:rsid w:val="00771988"/>
    <w:rsid w:val="00772D82"/>
    <w:rsid w:val="007753E7"/>
    <w:rsid w:val="007817EE"/>
    <w:rsid w:val="007826DC"/>
    <w:rsid w:val="00783700"/>
    <w:rsid w:val="00783C2A"/>
    <w:rsid w:val="00785697"/>
    <w:rsid w:val="00785F80"/>
    <w:rsid w:val="00791959"/>
    <w:rsid w:val="00791CC5"/>
    <w:rsid w:val="00792E4D"/>
    <w:rsid w:val="00793747"/>
    <w:rsid w:val="00795BCA"/>
    <w:rsid w:val="00796CA0"/>
    <w:rsid w:val="00796D79"/>
    <w:rsid w:val="007A2342"/>
    <w:rsid w:val="007A7C57"/>
    <w:rsid w:val="007B02E7"/>
    <w:rsid w:val="007B0409"/>
    <w:rsid w:val="007B1DEF"/>
    <w:rsid w:val="007B2259"/>
    <w:rsid w:val="007B3F7D"/>
    <w:rsid w:val="007B478B"/>
    <w:rsid w:val="007B5401"/>
    <w:rsid w:val="007B580B"/>
    <w:rsid w:val="007B72AC"/>
    <w:rsid w:val="007C3DC9"/>
    <w:rsid w:val="007C48B4"/>
    <w:rsid w:val="007C5224"/>
    <w:rsid w:val="007C667D"/>
    <w:rsid w:val="007C7827"/>
    <w:rsid w:val="007D0DC1"/>
    <w:rsid w:val="007D1353"/>
    <w:rsid w:val="007D24DF"/>
    <w:rsid w:val="007D305B"/>
    <w:rsid w:val="007D3FCB"/>
    <w:rsid w:val="007D54C5"/>
    <w:rsid w:val="007D5DA0"/>
    <w:rsid w:val="007E3790"/>
    <w:rsid w:val="007E6E90"/>
    <w:rsid w:val="007E70EC"/>
    <w:rsid w:val="007E7CC8"/>
    <w:rsid w:val="007F0354"/>
    <w:rsid w:val="007F0F32"/>
    <w:rsid w:val="007F3DC1"/>
    <w:rsid w:val="0080039F"/>
    <w:rsid w:val="008022F5"/>
    <w:rsid w:val="008033C3"/>
    <w:rsid w:val="00805D11"/>
    <w:rsid w:val="008064FC"/>
    <w:rsid w:val="00806FF1"/>
    <w:rsid w:val="00811460"/>
    <w:rsid w:val="0081537C"/>
    <w:rsid w:val="008204DA"/>
    <w:rsid w:val="008262E5"/>
    <w:rsid w:val="008269DC"/>
    <w:rsid w:val="00835EFC"/>
    <w:rsid w:val="00841ED9"/>
    <w:rsid w:val="0084401F"/>
    <w:rsid w:val="00845336"/>
    <w:rsid w:val="00847F44"/>
    <w:rsid w:val="008538AB"/>
    <w:rsid w:val="00857172"/>
    <w:rsid w:val="0085733F"/>
    <w:rsid w:val="0086046D"/>
    <w:rsid w:val="008613CA"/>
    <w:rsid w:val="00862173"/>
    <w:rsid w:val="008624D2"/>
    <w:rsid w:val="00862AB6"/>
    <w:rsid w:val="00864717"/>
    <w:rsid w:val="00864DA9"/>
    <w:rsid w:val="00872BAB"/>
    <w:rsid w:val="008737CC"/>
    <w:rsid w:val="008756C8"/>
    <w:rsid w:val="0087634F"/>
    <w:rsid w:val="0088123A"/>
    <w:rsid w:val="008906D6"/>
    <w:rsid w:val="00892105"/>
    <w:rsid w:val="008962E6"/>
    <w:rsid w:val="00897ABC"/>
    <w:rsid w:val="008A0796"/>
    <w:rsid w:val="008A1F24"/>
    <w:rsid w:val="008A3983"/>
    <w:rsid w:val="008A62BE"/>
    <w:rsid w:val="008A6EFC"/>
    <w:rsid w:val="008B07B1"/>
    <w:rsid w:val="008B0A3A"/>
    <w:rsid w:val="008B3704"/>
    <w:rsid w:val="008B54A6"/>
    <w:rsid w:val="008B7A58"/>
    <w:rsid w:val="008C0ABC"/>
    <w:rsid w:val="008C1923"/>
    <w:rsid w:val="008C4BE5"/>
    <w:rsid w:val="008D0CE8"/>
    <w:rsid w:val="008D0E41"/>
    <w:rsid w:val="008D47FF"/>
    <w:rsid w:val="008D6530"/>
    <w:rsid w:val="008E1769"/>
    <w:rsid w:val="008E2CBE"/>
    <w:rsid w:val="008E3301"/>
    <w:rsid w:val="008E3A4C"/>
    <w:rsid w:val="008E42A0"/>
    <w:rsid w:val="008E44F1"/>
    <w:rsid w:val="008F13EB"/>
    <w:rsid w:val="008F3827"/>
    <w:rsid w:val="008F39F8"/>
    <w:rsid w:val="008F463C"/>
    <w:rsid w:val="008F530F"/>
    <w:rsid w:val="008F60EF"/>
    <w:rsid w:val="008F6C88"/>
    <w:rsid w:val="008F7839"/>
    <w:rsid w:val="0090030A"/>
    <w:rsid w:val="00900864"/>
    <w:rsid w:val="00903672"/>
    <w:rsid w:val="009049F5"/>
    <w:rsid w:val="00905B1F"/>
    <w:rsid w:val="00905B74"/>
    <w:rsid w:val="00905B90"/>
    <w:rsid w:val="00905D84"/>
    <w:rsid w:val="00906C1A"/>
    <w:rsid w:val="00907F7A"/>
    <w:rsid w:val="00911906"/>
    <w:rsid w:val="00911B43"/>
    <w:rsid w:val="00913EDA"/>
    <w:rsid w:val="0091436E"/>
    <w:rsid w:val="00915FE1"/>
    <w:rsid w:val="00920921"/>
    <w:rsid w:val="00921715"/>
    <w:rsid w:val="00921729"/>
    <w:rsid w:val="0092204C"/>
    <w:rsid w:val="00922196"/>
    <w:rsid w:val="0092235F"/>
    <w:rsid w:val="00922F9F"/>
    <w:rsid w:val="00925DBD"/>
    <w:rsid w:val="00927145"/>
    <w:rsid w:val="00934D74"/>
    <w:rsid w:val="009365E1"/>
    <w:rsid w:val="00937E78"/>
    <w:rsid w:val="0094117E"/>
    <w:rsid w:val="009435DE"/>
    <w:rsid w:val="009438E4"/>
    <w:rsid w:val="00944619"/>
    <w:rsid w:val="009471DA"/>
    <w:rsid w:val="00947E63"/>
    <w:rsid w:val="00951398"/>
    <w:rsid w:val="00951AAA"/>
    <w:rsid w:val="00954944"/>
    <w:rsid w:val="00957F47"/>
    <w:rsid w:val="00964382"/>
    <w:rsid w:val="00967330"/>
    <w:rsid w:val="009717C2"/>
    <w:rsid w:val="00972E76"/>
    <w:rsid w:val="00981C2C"/>
    <w:rsid w:val="00981E3B"/>
    <w:rsid w:val="00991143"/>
    <w:rsid w:val="00992331"/>
    <w:rsid w:val="00992B58"/>
    <w:rsid w:val="00993E50"/>
    <w:rsid w:val="009968B5"/>
    <w:rsid w:val="009A0AE7"/>
    <w:rsid w:val="009A2255"/>
    <w:rsid w:val="009A44B2"/>
    <w:rsid w:val="009A56ED"/>
    <w:rsid w:val="009A678F"/>
    <w:rsid w:val="009A70E5"/>
    <w:rsid w:val="009A7C88"/>
    <w:rsid w:val="009A7D70"/>
    <w:rsid w:val="009B0117"/>
    <w:rsid w:val="009B06AA"/>
    <w:rsid w:val="009B088E"/>
    <w:rsid w:val="009B2DD3"/>
    <w:rsid w:val="009B4BCC"/>
    <w:rsid w:val="009B4D20"/>
    <w:rsid w:val="009B634E"/>
    <w:rsid w:val="009B7574"/>
    <w:rsid w:val="009C1614"/>
    <w:rsid w:val="009C7E1D"/>
    <w:rsid w:val="009D0315"/>
    <w:rsid w:val="009E32DE"/>
    <w:rsid w:val="009E7575"/>
    <w:rsid w:val="009F2CA4"/>
    <w:rsid w:val="009F4FFF"/>
    <w:rsid w:val="00A00BD3"/>
    <w:rsid w:val="00A0213D"/>
    <w:rsid w:val="00A021A3"/>
    <w:rsid w:val="00A02B95"/>
    <w:rsid w:val="00A03BDD"/>
    <w:rsid w:val="00A04353"/>
    <w:rsid w:val="00A05B33"/>
    <w:rsid w:val="00A05B95"/>
    <w:rsid w:val="00A108C5"/>
    <w:rsid w:val="00A10DE7"/>
    <w:rsid w:val="00A12688"/>
    <w:rsid w:val="00A12BA9"/>
    <w:rsid w:val="00A15A38"/>
    <w:rsid w:val="00A16864"/>
    <w:rsid w:val="00A17BE8"/>
    <w:rsid w:val="00A20503"/>
    <w:rsid w:val="00A208AB"/>
    <w:rsid w:val="00A225EC"/>
    <w:rsid w:val="00A25EDD"/>
    <w:rsid w:val="00A26053"/>
    <w:rsid w:val="00A27AB2"/>
    <w:rsid w:val="00A37EA8"/>
    <w:rsid w:val="00A40467"/>
    <w:rsid w:val="00A43E9A"/>
    <w:rsid w:val="00A5125E"/>
    <w:rsid w:val="00A51430"/>
    <w:rsid w:val="00A516BB"/>
    <w:rsid w:val="00A5185B"/>
    <w:rsid w:val="00A518CB"/>
    <w:rsid w:val="00A52571"/>
    <w:rsid w:val="00A573C4"/>
    <w:rsid w:val="00A6191E"/>
    <w:rsid w:val="00A6222C"/>
    <w:rsid w:val="00A63394"/>
    <w:rsid w:val="00A63CDE"/>
    <w:rsid w:val="00A701C1"/>
    <w:rsid w:val="00A70467"/>
    <w:rsid w:val="00A724AE"/>
    <w:rsid w:val="00A72C73"/>
    <w:rsid w:val="00A73955"/>
    <w:rsid w:val="00A76C0E"/>
    <w:rsid w:val="00A8111B"/>
    <w:rsid w:val="00A8164E"/>
    <w:rsid w:val="00A83E83"/>
    <w:rsid w:val="00A83ED9"/>
    <w:rsid w:val="00A84889"/>
    <w:rsid w:val="00A85A03"/>
    <w:rsid w:val="00A86C0D"/>
    <w:rsid w:val="00A9167C"/>
    <w:rsid w:val="00A916B6"/>
    <w:rsid w:val="00A91AB9"/>
    <w:rsid w:val="00A96418"/>
    <w:rsid w:val="00AA0AD5"/>
    <w:rsid w:val="00AA0B4C"/>
    <w:rsid w:val="00AA0E38"/>
    <w:rsid w:val="00AA457A"/>
    <w:rsid w:val="00AA759C"/>
    <w:rsid w:val="00AA773A"/>
    <w:rsid w:val="00AB1BF0"/>
    <w:rsid w:val="00AB2E46"/>
    <w:rsid w:val="00AB67E3"/>
    <w:rsid w:val="00AB70E7"/>
    <w:rsid w:val="00AB74ED"/>
    <w:rsid w:val="00AC2B16"/>
    <w:rsid w:val="00AC30B4"/>
    <w:rsid w:val="00AC3975"/>
    <w:rsid w:val="00AC3AFA"/>
    <w:rsid w:val="00AC4D64"/>
    <w:rsid w:val="00AC4FE0"/>
    <w:rsid w:val="00AD0076"/>
    <w:rsid w:val="00AD47B0"/>
    <w:rsid w:val="00AE184A"/>
    <w:rsid w:val="00AE199A"/>
    <w:rsid w:val="00AE53F2"/>
    <w:rsid w:val="00AE5853"/>
    <w:rsid w:val="00AF4239"/>
    <w:rsid w:val="00AF441A"/>
    <w:rsid w:val="00B01A69"/>
    <w:rsid w:val="00B03558"/>
    <w:rsid w:val="00B06B8C"/>
    <w:rsid w:val="00B116CB"/>
    <w:rsid w:val="00B1272A"/>
    <w:rsid w:val="00B14229"/>
    <w:rsid w:val="00B15C45"/>
    <w:rsid w:val="00B15D72"/>
    <w:rsid w:val="00B15F7D"/>
    <w:rsid w:val="00B17B4F"/>
    <w:rsid w:val="00B204A7"/>
    <w:rsid w:val="00B20BA5"/>
    <w:rsid w:val="00B219A3"/>
    <w:rsid w:val="00B26148"/>
    <w:rsid w:val="00B266C4"/>
    <w:rsid w:val="00B36399"/>
    <w:rsid w:val="00B40F52"/>
    <w:rsid w:val="00B421D1"/>
    <w:rsid w:val="00B438E5"/>
    <w:rsid w:val="00B439E0"/>
    <w:rsid w:val="00B43F4C"/>
    <w:rsid w:val="00B44D3B"/>
    <w:rsid w:val="00B459E7"/>
    <w:rsid w:val="00B541DB"/>
    <w:rsid w:val="00B54A6A"/>
    <w:rsid w:val="00B54C28"/>
    <w:rsid w:val="00B61B94"/>
    <w:rsid w:val="00B62188"/>
    <w:rsid w:val="00B63961"/>
    <w:rsid w:val="00B63AAD"/>
    <w:rsid w:val="00B72C83"/>
    <w:rsid w:val="00B7325A"/>
    <w:rsid w:val="00B73F5F"/>
    <w:rsid w:val="00B764C0"/>
    <w:rsid w:val="00B77CAD"/>
    <w:rsid w:val="00B83C64"/>
    <w:rsid w:val="00B8449B"/>
    <w:rsid w:val="00B87247"/>
    <w:rsid w:val="00B87D7D"/>
    <w:rsid w:val="00B90EBC"/>
    <w:rsid w:val="00B91890"/>
    <w:rsid w:val="00B93A31"/>
    <w:rsid w:val="00B9471A"/>
    <w:rsid w:val="00B9514F"/>
    <w:rsid w:val="00BA0189"/>
    <w:rsid w:val="00BA06AC"/>
    <w:rsid w:val="00BA0889"/>
    <w:rsid w:val="00BB2B75"/>
    <w:rsid w:val="00BB7B18"/>
    <w:rsid w:val="00BC3279"/>
    <w:rsid w:val="00BC380E"/>
    <w:rsid w:val="00BC4B37"/>
    <w:rsid w:val="00BC5B3A"/>
    <w:rsid w:val="00BC656E"/>
    <w:rsid w:val="00BC674B"/>
    <w:rsid w:val="00BC6E03"/>
    <w:rsid w:val="00BD620F"/>
    <w:rsid w:val="00BE43A7"/>
    <w:rsid w:val="00BF1B27"/>
    <w:rsid w:val="00BF23B8"/>
    <w:rsid w:val="00BF4B13"/>
    <w:rsid w:val="00C007CC"/>
    <w:rsid w:val="00C01589"/>
    <w:rsid w:val="00C05944"/>
    <w:rsid w:val="00C059B5"/>
    <w:rsid w:val="00C10081"/>
    <w:rsid w:val="00C10881"/>
    <w:rsid w:val="00C10EFC"/>
    <w:rsid w:val="00C129EB"/>
    <w:rsid w:val="00C14191"/>
    <w:rsid w:val="00C14549"/>
    <w:rsid w:val="00C1659E"/>
    <w:rsid w:val="00C16DC4"/>
    <w:rsid w:val="00C2122D"/>
    <w:rsid w:val="00C2277A"/>
    <w:rsid w:val="00C23110"/>
    <w:rsid w:val="00C26104"/>
    <w:rsid w:val="00C2624C"/>
    <w:rsid w:val="00C26428"/>
    <w:rsid w:val="00C268CB"/>
    <w:rsid w:val="00C30F20"/>
    <w:rsid w:val="00C33093"/>
    <w:rsid w:val="00C33A68"/>
    <w:rsid w:val="00C342B3"/>
    <w:rsid w:val="00C451E7"/>
    <w:rsid w:val="00C46C77"/>
    <w:rsid w:val="00C50E66"/>
    <w:rsid w:val="00C517A6"/>
    <w:rsid w:val="00C51AF8"/>
    <w:rsid w:val="00C522A6"/>
    <w:rsid w:val="00C52C7F"/>
    <w:rsid w:val="00C55C15"/>
    <w:rsid w:val="00C5666F"/>
    <w:rsid w:val="00C576AC"/>
    <w:rsid w:val="00C604A4"/>
    <w:rsid w:val="00C61C16"/>
    <w:rsid w:val="00C652EB"/>
    <w:rsid w:val="00C65CFA"/>
    <w:rsid w:val="00C65DF3"/>
    <w:rsid w:val="00C66AFF"/>
    <w:rsid w:val="00C677E1"/>
    <w:rsid w:val="00C712BE"/>
    <w:rsid w:val="00C72D3B"/>
    <w:rsid w:val="00C74012"/>
    <w:rsid w:val="00C867EE"/>
    <w:rsid w:val="00C90887"/>
    <w:rsid w:val="00C90B66"/>
    <w:rsid w:val="00C912C1"/>
    <w:rsid w:val="00C92309"/>
    <w:rsid w:val="00C934DC"/>
    <w:rsid w:val="00C94B86"/>
    <w:rsid w:val="00C95E02"/>
    <w:rsid w:val="00C9758E"/>
    <w:rsid w:val="00CA034D"/>
    <w:rsid w:val="00CA17F3"/>
    <w:rsid w:val="00CA2753"/>
    <w:rsid w:val="00CA6518"/>
    <w:rsid w:val="00CB1873"/>
    <w:rsid w:val="00CB49DB"/>
    <w:rsid w:val="00CB74C4"/>
    <w:rsid w:val="00CC1AFC"/>
    <w:rsid w:val="00CC1BB1"/>
    <w:rsid w:val="00CC4CA2"/>
    <w:rsid w:val="00CD08E5"/>
    <w:rsid w:val="00CD2EC5"/>
    <w:rsid w:val="00CD3B94"/>
    <w:rsid w:val="00CD5428"/>
    <w:rsid w:val="00CD575E"/>
    <w:rsid w:val="00CD5D7E"/>
    <w:rsid w:val="00CE5BBD"/>
    <w:rsid w:val="00CF19A2"/>
    <w:rsid w:val="00CF53DD"/>
    <w:rsid w:val="00D01110"/>
    <w:rsid w:val="00D01D6D"/>
    <w:rsid w:val="00D12567"/>
    <w:rsid w:val="00D12ACD"/>
    <w:rsid w:val="00D142AA"/>
    <w:rsid w:val="00D17E61"/>
    <w:rsid w:val="00D2145C"/>
    <w:rsid w:val="00D22482"/>
    <w:rsid w:val="00D23865"/>
    <w:rsid w:val="00D23982"/>
    <w:rsid w:val="00D26758"/>
    <w:rsid w:val="00D27919"/>
    <w:rsid w:val="00D3250D"/>
    <w:rsid w:val="00D32514"/>
    <w:rsid w:val="00D32AE8"/>
    <w:rsid w:val="00D33C1D"/>
    <w:rsid w:val="00D33D61"/>
    <w:rsid w:val="00D33ECA"/>
    <w:rsid w:val="00D345CC"/>
    <w:rsid w:val="00D36FD2"/>
    <w:rsid w:val="00D37BDE"/>
    <w:rsid w:val="00D42863"/>
    <w:rsid w:val="00D43CAB"/>
    <w:rsid w:val="00D46755"/>
    <w:rsid w:val="00D473EB"/>
    <w:rsid w:val="00D4767C"/>
    <w:rsid w:val="00D47B99"/>
    <w:rsid w:val="00D50061"/>
    <w:rsid w:val="00D50E2E"/>
    <w:rsid w:val="00D517C5"/>
    <w:rsid w:val="00D51C48"/>
    <w:rsid w:val="00D558BD"/>
    <w:rsid w:val="00D55BC3"/>
    <w:rsid w:val="00D56C23"/>
    <w:rsid w:val="00D57B52"/>
    <w:rsid w:val="00D62ACF"/>
    <w:rsid w:val="00D64699"/>
    <w:rsid w:val="00D703E2"/>
    <w:rsid w:val="00D7255F"/>
    <w:rsid w:val="00D7492C"/>
    <w:rsid w:val="00D76336"/>
    <w:rsid w:val="00D8070D"/>
    <w:rsid w:val="00D846F2"/>
    <w:rsid w:val="00D85A8C"/>
    <w:rsid w:val="00D90666"/>
    <w:rsid w:val="00D90B54"/>
    <w:rsid w:val="00D93BC4"/>
    <w:rsid w:val="00D96F55"/>
    <w:rsid w:val="00DA3250"/>
    <w:rsid w:val="00DA3702"/>
    <w:rsid w:val="00DA4CF9"/>
    <w:rsid w:val="00DA55D1"/>
    <w:rsid w:val="00DA5BBF"/>
    <w:rsid w:val="00DA5D56"/>
    <w:rsid w:val="00DA70BE"/>
    <w:rsid w:val="00DA765E"/>
    <w:rsid w:val="00DA7E6F"/>
    <w:rsid w:val="00DC15C4"/>
    <w:rsid w:val="00DC4A84"/>
    <w:rsid w:val="00DC654F"/>
    <w:rsid w:val="00DC6595"/>
    <w:rsid w:val="00DD0C6C"/>
    <w:rsid w:val="00DD2C55"/>
    <w:rsid w:val="00DD39FC"/>
    <w:rsid w:val="00DD3D4A"/>
    <w:rsid w:val="00DD5939"/>
    <w:rsid w:val="00DE1D96"/>
    <w:rsid w:val="00DF0294"/>
    <w:rsid w:val="00DF0983"/>
    <w:rsid w:val="00DF50DD"/>
    <w:rsid w:val="00DF709D"/>
    <w:rsid w:val="00DF7219"/>
    <w:rsid w:val="00E010D1"/>
    <w:rsid w:val="00E0413B"/>
    <w:rsid w:val="00E07842"/>
    <w:rsid w:val="00E14AC5"/>
    <w:rsid w:val="00E157EA"/>
    <w:rsid w:val="00E20035"/>
    <w:rsid w:val="00E2175C"/>
    <w:rsid w:val="00E21CAB"/>
    <w:rsid w:val="00E257FF"/>
    <w:rsid w:val="00E26392"/>
    <w:rsid w:val="00E2793E"/>
    <w:rsid w:val="00E27F57"/>
    <w:rsid w:val="00E337C6"/>
    <w:rsid w:val="00E3553F"/>
    <w:rsid w:val="00E428FF"/>
    <w:rsid w:val="00E44CD1"/>
    <w:rsid w:val="00E46965"/>
    <w:rsid w:val="00E46D97"/>
    <w:rsid w:val="00E56DE5"/>
    <w:rsid w:val="00E60E60"/>
    <w:rsid w:val="00E61E82"/>
    <w:rsid w:val="00E62F78"/>
    <w:rsid w:val="00E6390C"/>
    <w:rsid w:val="00E64B75"/>
    <w:rsid w:val="00E65440"/>
    <w:rsid w:val="00E6569F"/>
    <w:rsid w:val="00E66892"/>
    <w:rsid w:val="00E6777A"/>
    <w:rsid w:val="00E70101"/>
    <w:rsid w:val="00E70D35"/>
    <w:rsid w:val="00E736D2"/>
    <w:rsid w:val="00E73A97"/>
    <w:rsid w:val="00E7519F"/>
    <w:rsid w:val="00E766A3"/>
    <w:rsid w:val="00E8015B"/>
    <w:rsid w:val="00E8045F"/>
    <w:rsid w:val="00E819F3"/>
    <w:rsid w:val="00E81B98"/>
    <w:rsid w:val="00E82D68"/>
    <w:rsid w:val="00E8660C"/>
    <w:rsid w:val="00E86D26"/>
    <w:rsid w:val="00E96E28"/>
    <w:rsid w:val="00E97F29"/>
    <w:rsid w:val="00EA1BD7"/>
    <w:rsid w:val="00EA5B33"/>
    <w:rsid w:val="00EB044F"/>
    <w:rsid w:val="00EB04D2"/>
    <w:rsid w:val="00EB1B80"/>
    <w:rsid w:val="00EB1E98"/>
    <w:rsid w:val="00EB5AD1"/>
    <w:rsid w:val="00EB60AC"/>
    <w:rsid w:val="00EC0541"/>
    <w:rsid w:val="00EC407F"/>
    <w:rsid w:val="00EC737C"/>
    <w:rsid w:val="00ED05C3"/>
    <w:rsid w:val="00ED0755"/>
    <w:rsid w:val="00ED12C6"/>
    <w:rsid w:val="00ED15C0"/>
    <w:rsid w:val="00ED1618"/>
    <w:rsid w:val="00ED7519"/>
    <w:rsid w:val="00EE4491"/>
    <w:rsid w:val="00EE5A8A"/>
    <w:rsid w:val="00EE6A74"/>
    <w:rsid w:val="00EF0EBE"/>
    <w:rsid w:val="00EF7798"/>
    <w:rsid w:val="00EF7B90"/>
    <w:rsid w:val="00F03FB7"/>
    <w:rsid w:val="00F068BE"/>
    <w:rsid w:val="00F1012C"/>
    <w:rsid w:val="00F10449"/>
    <w:rsid w:val="00F1077D"/>
    <w:rsid w:val="00F11117"/>
    <w:rsid w:val="00F1286B"/>
    <w:rsid w:val="00F13B8F"/>
    <w:rsid w:val="00F175A1"/>
    <w:rsid w:val="00F2084B"/>
    <w:rsid w:val="00F21072"/>
    <w:rsid w:val="00F2397A"/>
    <w:rsid w:val="00F24EC5"/>
    <w:rsid w:val="00F25EFB"/>
    <w:rsid w:val="00F26505"/>
    <w:rsid w:val="00F26CBB"/>
    <w:rsid w:val="00F313DE"/>
    <w:rsid w:val="00F31E1C"/>
    <w:rsid w:val="00F372AD"/>
    <w:rsid w:val="00F4326F"/>
    <w:rsid w:val="00F43EB6"/>
    <w:rsid w:val="00F44385"/>
    <w:rsid w:val="00F4488A"/>
    <w:rsid w:val="00F46238"/>
    <w:rsid w:val="00F513B2"/>
    <w:rsid w:val="00F53046"/>
    <w:rsid w:val="00F54373"/>
    <w:rsid w:val="00F54E76"/>
    <w:rsid w:val="00F639BA"/>
    <w:rsid w:val="00F6427C"/>
    <w:rsid w:val="00F65D96"/>
    <w:rsid w:val="00F72A72"/>
    <w:rsid w:val="00F7421D"/>
    <w:rsid w:val="00F75DA3"/>
    <w:rsid w:val="00F7613B"/>
    <w:rsid w:val="00F76C66"/>
    <w:rsid w:val="00F86EC5"/>
    <w:rsid w:val="00F901D7"/>
    <w:rsid w:val="00F9072C"/>
    <w:rsid w:val="00F91F5A"/>
    <w:rsid w:val="00F92DFD"/>
    <w:rsid w:val="00F9574C"/>
    <w:rsid w:val="00F964F4"/>
    <w:rsid w:val="00F97AA1"/>
    <w:rsid w:val="00FA23C7"/>
    <w:rsid w:val="00FA372B"/>
    <w:rsid w:val="00FA5604"/>
    <w:rsid w:val="00FB1AAA"/>
    <w:rsid w:val="00FB1C11"/>
    <w:rsid w:val="00FB2955"/>
    <w:rsid w:val="00FB6BC9"/>
    <w:rsid w:val="00FC3545"/>
    <w:rsid w:val="00FC3AEB"/>
    <w:rsid w:val="00FC49E6"/>
    <w:rsid w:val="00FD07E5"/>
    <w:rsid w:val="00FD588E"/>
    <w:rsid w:val="00FE0077"/>
    <w:rsid w:val="00FE0172"/>
    <w:rsid w:val="00FE71F2"/>
    <w:rsid w:val="00FE7B57"/>
    <w:rsid w:val="00FF0B1A"/>
    <w:rsid w:val="00FF553E"/>
    <w:rsid w:val="00FF59DC"/>
    <w:rsid w:val="00FF7117"/>
    <w:rsid w:val="00FF7C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BCEF8E"/>
  <w14:defaultImageDpi w14:val="32767"/>
  <w15:chartTrackingRefBased/>
  <w15:docId w15:val="{9F59E81A-63AE-D24C-A931-4DE9C52B7C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4B13"/>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A2255"/>
    <w:pPr>
      <w:tabs>
        <w:tab w:val="center" w:pos="4513"/>
        <w:tab w:val="right" w:pos="9026"/>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9A2255"/>
  </w:style>
  <w:style w:type="character" w:styleId="PageNumber">
    <w:name w:val="page number"/>
    <w:basedOn w:val="DefaultParagraphFont"/>
    <w:uiPriority w:val="99"/>
    <w:semiHidden/>
    <w:unhideWhenUsed/>
    <w:rsid w:val="009A2255"/>
  </w:style>
  <w:style w:type="character" w:styleId="LineNumber">
    <w:name w:val="line number"/>
    <w:basedOn w:val="DefaultParagraphFont"/>
    <w:uiPriority w:val="99"/>
    <w:semiHidden/>
    <w:unhideWhenUsed/>
    <w:rsid w:val="009A2255"/>
  </w:style>
  <w:style w:type="paragraph" w:styleId="ListParagraph">
    <w:name w:val="List Paragraph"/>
    <w:basedOn w:val="Normal"/>
    <w:uiPriority w:val="34"/>
    <w:qFormat/>
    <w:rsid w:val="00770144"/>
    <w:pPr>
      <w:ind w:left="720"/>
      <w:contextualSpacing/>
    </w:pPr>
    <w:rPr>
      <w:rFonts w:asciiTheme="minorHAnsi" w:eastAsiaTheme="minorHAnsi" w:hAnsiTheme="minorHAnsi" w:cstheme="minorBidi"/>
    </w:rPr>
  </w:style>
  <w:style w:type="character" w:styleId="Strong">
    <w:name w:val="Strong"/>
    <w:basedOn w:val="DefaultParagraphFont"/>
    <w:uiPriority w:val="22"/>
    <w:qFormat/>
    <w:rsid w:val="00C33A68"/>
    <w:rPr>
      <w:b/>
      <w:bCs/>
    </w:rPr>
  </w:style>
  <w:style w:type="table" w:styleId="TableGrid">
    <w:name w:val="Table Grid"/>
    <w:basedOn w:val="TableNormal"/>
    <w:uiPriority w:val="59"/>
    <w:rsid w:val="00785697"/>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rsid w:val="00785697"/>
    <w:rPr>
      <w:rFonts w:ascii="Cambria" w:eastAsiaTheme="minorEastAsia" w:hAnsi="Cambria" w:cstheme="minorBidi"/>
      <w:lang w:val="en-US"/>
    </w:rPr>
  </w:style>
  <w:style w:type="paragraph" w:styleId="BalloonText">
    <w:name w:val="Balloon Text"/>
    <w:basedOn w:val="Normal"/>
    <w:link w:val="BalloonTextChar"/>
    <w:uiPriority w:val="99"/>
    <w:semiHidden/>
    <w:unhideWhenUsed/>
    <w:rsid w:val="00785697"/>
    <w:rPr>
      <w:rFonts w:eastAsiaTheme="minorHAnsi"/>
      <w:sz w:val="18"/>
      <w:szCs w:val="18"/>
    </w:rPr>
  </w:style>
  <w:style w:type="character" w:customStyle="1" w:styleId="BalloonTextChar">
    <w:name w:val="Balloon Text Char"/>
    <w:basedOn w:val="DefaultParagraphFont"/>
    <w:link w:val="BalloonText"/>
    <w:uiPriority w:val="99"/>
    <w:semiHidden/>
    <w:rsid w:val="00785697"/>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F26CBB"/>
    <w:rPr>
      <w:sz w:val="18"/>
      <w:szCs w:val="18"/>
    </w:rPr>
  </w:style>
  <w:style w:type="paragraph" w:styleId="CommentText">
    <w:name w:val="annotation text"/>
    <w:basedOn w:val="Normal"/>
    <w:link w:val="CommentTextChar"/>
    <w:uiPriority w:val="99"/>
    <w:unhideWhenUsed/>
    <w:rsid w:val="00F26CBB"/>
    <w:rPr>
      <w:rFonts w:asciiTheme="minorHAnsi" w:eastAsiaTheme="minorEastAsia" w:hAnsiTheme="minorHAnsi" w:cstheme="minorBidi"/>
    </w:rPr>
  </w:style>
  <w:style w:type="character" w:customStyle="1" w:styleId="CommentTextChar">
    <w:name w:val="Comment Text Char"/>
    <w:basedOn w:val="DefaultParagraphFont"/>
    <w:link w:val="CommentText"/>
    <w:uiPriority w:val="99"/>
    <w:rsid w:val="00F26CBB"/>
    <w:rPr>
      <w:rFonts w:eastAsiaTheme="minorEastAsia"/>
    </w:rPr>
  </w:style>
  <w:style w:type="paragraph" w:styleId="CommentSubject">
    <w:name w:val="annotation subject"/>
    <w:basedOn w:val="CommentText"/>
    <w:next w:val="CommentText"/>
    <w:link w:val="CommentSubjectChar"/>
    <w:uiPriority w:val="99"/>
    <w:semiHidden/>
    <w:unhideWhenUsed/>
    <w:rsid w:val="00792E4D"/>
    <w:rPr>
      <w:rFonts w:eastAsiaTheme="minorHAnsi"/>
      <w:b/>
      <w:bCs/>
      <w:sz w:val="20"/>
      <w:szCs w:val="20"/>
    </w:rPr>
  </w:style>
  <w:style w:type="character" w:customStyle="1" w:styleId="CommentSubjectChar">
    <w:name w:val="Comment Subject Char"/>
    <w:basedOn w:val="CommentTextChar"/>
    <w:link w:val="CommentSubject"/>
    <w:uiPriority w:val="99"/>
    <w:semiHidden/>
    <w:rsid w:val="00792E4D"/>
    <w:rPr>
      <w:rFonts w:eastAsiaTheme="minorEastAsia"/>
      <w:b/>
      <w:bCs/>
      <w:sz w:val="20"/>
      <w:szCs w:val="20"/>
    </w:rPr>
  </w:style>
  <w:style w:type="character" w:styleId="PlaceholderText">
    <w:name w:val="Placeholder Text"/>
    <w:basedOn w:val="DefaultParagraphFont"/>
    <w:uiPriority w:val="99"/>
    <w:semiHidden/>
    <w:rsid w:val="00F9072C"/>
    <w:rPr>
      <w:color w:val="808080"/>
    </w:rPr>
  </w:style>
  <w:style w:type="paragraph" w:styleId="Revision">
    <w:name w:val="Revision"/>
    <w:hidden/>
    <w:uiPriority w:val="99"/>
    <w:semiHidden/>
    <w:rsid w:val="00A03BDD"/>
    <w:rPr>
      <w:rFonts w:ascii="Times New Roman" w:eastAsia="Times New Roman" w:hAnsi="Times New Roman" w:cs="Times New Roman"/>
    </w:rPr>
  </w:style>
  <w:style w:type="paragraph" w:styleId="Header">
    <w:name w:val="header"/>
    <w:basedOn w:val="Normal"/>
    <w:link w:val="HeaderChar"/>
    <w:uiPriority w:val="99"/>
    <w:unhideWhenUsed/>
    <w:rsid w:val="006964E0"/>
    <w:pPr>
      <w:tabs>
        <w:tab w:val="center" w:pos="4680"/>
        <w:tab w:val="right" w:pos="9360"/>
      </w:tabs>
    </w:pPr>
  </w:style>
  <w:style w:type="character" w:customStyle="1" w:styleId="HeaderChar">
    <w:name w:val="Header Char"/>
    <w:basedOn w:val="DefaultParagraphFont"/>
    <w:link w:val="Header"/>
    <w:uiPriority w:val="99"/>
    <w:rsid w:val="006964E0"/>
    <w:rPr>
      <w:rFonts w:ascii="Times New Roman" w:eastAsia="Times New Roman" w:hAnsi="Times New Roman" w:cs="Times New Roman"/>
    </w:rPr>
  </w:style>
  <w:style w:type="paragraph" w:customStyle="1" w:styleId="C-BodyText">
    <w:name w:val="C-Body Text"/>
    <w:link w:val="C-BodyTextChar"/>
    <w:rsid w:val="00A43E9A"/>
    <w:pPr>
      <w:spacing w:before="120" w:after="120" w:line="280" w:lineRule="atLeast"/>
    </w:pPr>
    <w:rPr>
      <w:rFonts w:ascii="Times New Roman" w:eastAsia="Times New Roman" w:hAnsi="Times New Roman" w:cs="Times New Roman"/>
      <w:szCs w:val="20"/>
      <w:lang w:val="en-US"/>
    </w:rPr>
  </w:style>
  <w:style w:type="character" w:customStyle="1" w:styleId="C-BodyTextChar">
    <w:name w:val="C-Body Text Char"/>
    <w:link w:val="C-BodyText"/>
    <w:rsid w:val="00A43E9A"/>
    <w:rPr>
      <w:rFonts w:ascii="Times New Roman" w:eastAsia="Times New Roman" w:hAnsi="Times New Roman" w:cs="Times New Roman"/>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8570332">
      <w:bodyDiv w:val="1"/>
      <w:marLeft w:val="0"/>
      <w:marRight w:val="0"/>
      <w:marTop w:val="0"/>
      <w:marBottom w:val="0"/>
      <w:divBdr>
        <w:top w:val="none" w:sz="0" w:space="0" w:color="auto"/>
        <w:left w:val="none" w:sz="0" w:space="0" w:color="auto"/>
        <w:bottom w:val="none" w:sz="0" w:space="0" w:color="auto"/>
        <w:right w:val="none" w:sz="0" w:space="0" w:color="auto"/>
      </w:divBdr>
    </w:div>
    <w:div w:id="405880484">
      <w:bodyDiv w:val="1"/>
      <w:marLeft w:val="0"/>
      <w:marRight w:val="0"/>
      <w:marTop w:val="0"/>
      <w:marBottom w:val="0"/>
      <w:divBdr>
        <w:top w:val="none" w:sz="0" w:space="0" w:color="auto"/>
        <w:left w:val="none" w:sz="0" w:space="0" w:color="auto"/>
        <w:bottom w:val="none" w:sz="0" w:space="0" w:color="auto"/>
        <w:right w:val="none" w:sz="0" w:space="0" w:color="auto"/>
      </w:divBdr>
    </w:div>
    <w:div w:id="479083283">
      <w:bodyDiv w:val="1"/>
      <w:marLeft w:val="0"/>
      <w:marRight w:val="0"/>
      <w:marTop w:val="0"/>
      <w:marBottom w:val="0"/>
      <w:divBdr>
        <w:top w:val="none" w:sz="0" w:space="0" w:color="auto"/>
        <w:left w:val="none" w:sz="0" w:space="0" w:color="auto"/>
        <w:bottom w:val="none" w:sz="0" w:space="0" w:color="auto"/>
        <w:right w:val="none" w:sz="0" w:space="0" w:color="auto"/>
      </w:divBdr>
    </w:div>
    <w:div w:id="876964486">
      <w:bodyDiv w:val="1"/>
      <w:marLeft w:val="0"/>
      <w:marRight w:val="0"/>
      <w:marTop w:val="0"/>
      <w:marBottom w:val="0"/>
      <w:divBdr>
        <w:top w:val="none" w:sz="0" w:space="0" w:color="auto"/>
        <w:left w:val="none" w:sz="0" w:space="0" w:color="auto"/>
        <w:bottom w:val="none" w:sz="0" w:space="0" w:color="auto"/>
        <w:right w:val="none" w:sz="0" w:space="0" w:color="auto"/>
      </w:divBdr>
    </w:div>
    <w:div w:id="1148936338">
      <w:bodyDiv w:val="1"/>
      <w:marLeft w:val="0"/>
      <w:marRight w:val="0"/>
      <w:marTop w:val="0"/>
      <w:marBottom w:val="0"/>
      <w:divBdr>
        <w:top w:val="none" w:sz="0" w:space="0" w:color="auto"/>
        <w:left w:val="none" w:sz="0" w:space="0" w:color="auto"/>
        <w:bottom w:val="none" w:sz="0" w:space="0" w:color="auto"/>
        <w:right w:val="none" w:sz="0" w:space="0" w:color="auto"/>
      </w:divBdr>
    </w:div>
    <w:div w:id="1438256170">
      <w:bodyDiv w:val="1"/>
      <w:marLeft w:val="0"/>
      <w:marRight w:val="0"/>
      <w:marTop w:val="0"/>
      <w:marBottom w:val="0"/>
      <w:divBdr>
        <w:top w:val="none" w:sz="0" w:space="0" w:color="auto"/>
        <w:left w:val="none" w:sz="0" w:space="0" w:color="auto"/>
        <w:bottom w:val="none" w:sz="0" w:space="0" w:color="auto"/>
        <w:right w:val="none" w:sz="0" w:space="0" w:color="auto"/>
      </w:divBdr>
    </w:div>
    <w:div w:id="1595018308">
      <w:bodyDiv w:val="1"/>
      <w:marLeft w:val="0"/>
      <w:marRight w:val="0"/>
      <w:marTop w:val="0"/>
      <w:marBottom w:val="0"/>
      <w:divBdr>
        <w:top w:val="none" w:sz="0" w:space="0" w:color="auto"/>
        <w:left w:val="none" w:sz="0" w:space="0" w:color="auto"/>
        <w:bottom w:val="none" w:sz="0" w:space="0" w:color="auto"/>
        <w:right w:val="none" w:sz="0" w:space="0" w:color="auto"/>
      </w:divBdr>
    </w:div>
    <w:div w:id="1993018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F57445-B13F-AF4D-B84B-2AA1EBBC8B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18025</Words>
  <Characters>102744</Characters>
  <Application>Microsoft Office Word</Application>
  <DocSecurity>0</DocSecurity>
  <Lines>856</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Hope, William</dc:creator>
  <cp:keywords/>
  <dc:description/>
  <cp:lastModifiedBy>Hope, William</cp:lastModifiedBy>
  <cp:revision>2</cp:revision>
  <dcterms:created xsi:type="dcterms:W3CDTF">2019-05-14T10:40:00Z</dcterms:created>
  <dcterms:modified xsi:type="dcterms:W3CDTF">2019-05-14T10:40:00Z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119875e6-7452-32db-8cec-984c0e477120</vt:lpwstr>
  </property>
  <property fmtid="{D5CDD505-2E9C-101B-9397-08002B2CF9AE}" pid="4" name="Mendeley Citation Style_1">
    <vt:lpwstr>http://www.zotero.org/styles/antimicrobial-agents-and-chemotherapy</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vt:lpwstr>
  </property>
  <property fmtid="{D5CDD505-2E9C-101B-9397-08002B2CF9AE}" pid="9" name="Mendeley Recent Style Id 2_1">
    <vt:lpwstr>http://www.zotero.org/styles/antimicrobial-agents-and-chemotherapy</vt:lpwstr>
  </property>
  <property fmtid="{D5CDD505-2E9C-101B-9397-08002B2CF9AE}" pid="10" name="Mendeley Recent Style Name 2_1">
    <vt:lpwstr>Antimicrobial Agents and Chemotherapy</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16th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http://www.zotero.org/styles/clinical-pharmacology-and-therapeutics</vt:lpwstr>
  </property>
  <property fmtid="{D5CDD505-2E9C-101B-9397-08002B2CF9AE}" pid="16" name="Mendeley Recent Style Name 5_1">
    <vt:lpwstr>Clinical Pharmacology &amp; Therapeutics</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