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324A" w14:textId="70F4641F" w:rsidR="005E3523" w:rsidRPr="005D28F5" w:rsidRDefault="00941494" w:rsidP="005D28F5">
      <w:pPr>
        <w:pStyle w:val="Heading1"/>
        <w:jc w:val="center"/>
        <w:rPr>
          <w:b/>
          <w:sz w:val="36"/>
          <w:szCs w:val="36"/>
        </w:rPr>
      </w:pPr>
      <w:bookmarkStart w:id="0" w:name="_GoBack"/>
      <w:bookmarkEnd w:id="0"/>
      <w:r w:rsidRPr="005D28F5">
        <w:rPr>
          <w:b/>
          <w:sz w:val="36"/>
          <w:szCs w:val="36"/>
        </w:rPr>
        <w:t>N</w:t>
      </w:r>
      <w:r w:rsidR="005E3523" w:rsidRPr="005D28F5">
        <w:rPr>
          <w:b/>
          <w:sz w:val="36"/>
          <w:szCs w:val="36"/>
        </w:rPr>
        <w:t>on-performing loans</w:t>
      </w:r>
      <w:r w:rsidRPr="005D28F5">
        <w:rPr>
          <w:b/>
          <w:sz w:val="36"/>
          <w:szCs w:val="36"/>
        </w:rPr>
        <w:t xml:space="preserve"> and sovereign credit ratings</w:t>
      </w:r>
    </w:p>
    <w:p w14:paraId="77867E11" w14:textId="77777777" w:rsidR="00F86F96" w:rsidRPr="0076192F" w:rsidRDefault="00F86F96" w:rsidP="005E3523">
      <w:pPr>
        <w:pStyle w:val="ListParagraph"/>
        <w:spacing w:line="240" w:lineRule="auto"/>
        <w:jc w:val="center"/>
        <w:rPr>
          <w:rFonts w:ascii="Cambria Math" w:hAnsi="Cambria Math"/>
          <w:sz w:val="28"/>
        </w:rPr>
      </w:pPr>
    </w:p>
    <w:tbl>
      <w:tblPr>
        <w:tblW w:w="9100" w:type="dxa"/>
        <w:tblLayout w:type="fixed"/>
        <w:tblLook w:val="04A0" w:firstRow="1" w:lastRow="0" w:firstColumn="1" w:lastColumn="0" w:noHBand="0" w:noVBand="1"/>
      </w:tblPr>
      <w:tblGrid>
        <w:gridCol w:w="2951"/>
        <w:gridCol w:w="3242"/>
        <w:gridCol w:w="2907"/>
      </w:tblGrid>
      <w:tr w:rsidR="00FC0491" w:rsidRPr="00FC0491" w14:paraId="4E8E9D79" w14:textId="77777777" w:rsidTr="00725161">
        <w:trPr>
          <w:trHeight w:val="1676"/>
        </w:trPr>
        <w:tc>
          <w:tcPr>
            <w:tcW w:w="2951" w:type="dxa"/>
            <w:hideMark/>
          </w:tcPr>
          <w:p w14:paraId="486407D3"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Periklis Boumparis</w:t>
            </w:r>
          </w:p>
          <w:p w14:paraId="408D0909"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University of Liverpool,</w:t>
            </w:r>
          </w:p>
          <w:p w14:paraId="7DA080DF"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United Kingdom</w:t>
            </w:r>
          </w:p>
          <w:p w14:paraId="117CECB7" w14:textId="77777777" w:rsidR="00FC0491" w:rsidRPr="003807B5" w:rsidRDefault="003B7DDC" w:rsidP="00FC0491">
            <w:pPr>
              <w:spacing w:after="0" w:line="240" w:lineRule="auto"/>
              <w:jc w:val="center"/>
              <w:rPr>
                <w:rFonts w:ascii="Cambria Math" w:hAnsi="Cambria Math" w:cs="Times New Roman"/>
                <w:sz w:val="20"/>
                <w:szCs w:val="20"/>
              </w:rPr>
            </w:pPr>
            <w:hyperlink r:id="rId8" w:history="1">
              <w:r w:rsidR="00FC0491" w:rsidRPr="003807B5">
                <w:rPr>
                  <w:rFonts w:ascii="Cambria Math" w:hAnsi="Cambria Math" w:cs="Times New Roman"/>
                  <w:color w:val="0563C1" w:themeColor="hyperlink"/>
                  <w:sz w:val="20"/>
                  <w:szCs w:val="20"/>
                  <w:u w:val="single"/>
                </w:rPr>
                <w:t>P.Boumparis@liverpool.ac.uk</w:t>
              </w:r>
            </w:hyperlink>
          </w:p>
        </w:tc>
        <w:tc>
          <w:tcPr>
            <w:tcW w:w="3242" w:type="dxa"/>
            <w:hideMark/>
          </w:tcPr>
          <w:p w14:paraId="0091EC25"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Costas Milas</w:t>
            </w:r>
            <w:r w:rsidRPr="003807B5">
              <w:rPr>
                <w:rFonts w:ascii="Cambria Math" w:hAnsi="Cambria Math" w:cs="Times New Roman"/>
                <w:sz w:val="20"/>
                <w:szCs w:val="20"/>
                <w:vertAlign w:val="superscript"/>
              </w:rPr>
              <w:t>*</w:t>
            </w:r>
          </w:p>
          <w:p w14:paraId="791CFBBD"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University of Liverpool,</w:t>
            </w:r>
          </w:p>
          <w:p w14:paraId="67F2799F"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United Kingdom</w:t>
            </w:r>
          </w:p>
          <w:p w14:paraId="5C30A6CC" w14:textId="77777777" w:rsidR="00FC0491" w:rsidRPr="003807B5" w:rsidRDefault="00FC0491" w:rsidP="00FC0491">
            <w:pPr>
              <w:spacing w:after="0" w:line="240" w:lineRule="auto"/>
              <w:jc w:val="center"/>
              <w:rPr>
                <w:rFonts w:ascii="Cambria Math" w:hAnsi="Cambria Math" w:cs="Times New Roman"/>
                <w:sz w:val="20"/>
                <w:szCs w:val="20"/>
              </w:rPr>
            </w:pPr>
            <w:r w:rsidRPr="003807B5">
              <w:rPr>
                <w:rFonts w:ascii="Cambria Math" w:hAnsi="Cambria Math" w:cs="Times New Roman"/>
                <w:sz w:val="20"/>
                <w:szCs w:val="20"/>
              </w:rPr>
              <w:t>and</w:t>
            </w:r>
          </w:p>
          <w:p w14:paraId="517BB860" w14:textId="77777777" w:rsidR="00FC0491" w:rsidRPr="003807B5" w:rsidRDefault="00FC0491" w:rsidP="00FC0491">
            <w:pPr>
              <w:spacing w:after="0" w:line="240" w:lineRule="auto"/>
              <w:jc w:val="center"/>
              <w:rPr>
                <w:rFonts w:ascii="Cambria Math" w:hAnsi="Cambria Math" w:cs="Times New Roman"/>
                <w:spacing w:val="-3"/>
                <w:sz w:val="20"/>
                <w:szCs w:val="20"/>
              </w:rPr>
            </w:pPr>
            <w:r w:rsidRPr="003807B5">
              <w:rPr>
                <w:rFonts w:ascii="Cambria Math" w:hAnsi="Cambria Math" w:cs="Times New Roman"/>
                <w:spacing w:val="-3"/>
                <w:sz w:val="20"/>
                <w:szCs w:val="20"/>
              </w:rPr>
              <w:t>Rimini Centre for Economic Analysis, Rimini, Italy</w:t>
            </w:r>
          </w:p>
          <w:p w14:paraId="125D13AB" w14:textId="77777777" w:rsidR="00FC0491" w:rsidRPr="003807B5" w:rsidRDefault="003B7DDC" w:rsidP="00FC0491">
            <w:pPr>
              <w:spacing w:after="0" w:line="240" w:lineRule="auto"/>
              <w:jc w:val="center"/>
              <w:rPr>
                <w:rFonts w:ascii="Cambria Math" w:hAnsi="Cambria Math" w:cs="Times New Roman"/>
                <w:sz w:val="20"/>
                <w:szCs w:val="20"/>
              </w:rPr>
            </w:pPr>
            <w:hyperlink r:id="rId9" w:history="1">
              <w:r w:rsidR="00FC0491" w:rsidRPr="003807B5">
                <w:rPr>
                  <w:rFonts w:ascii="Cambria Math" w:hAnsi="Cambria Math" w:cs="Times New Roman"/>
                  <w:color w:val="0563C1" w:themeColor="hyperlink"/>
                  <w:sz w:val="20"/>
                  <w:szCs w:val="20"/>
                  <w:u w:val="single"/>
                </w:rPr>
                <w:t>costas.milas@liverpool.ac.uk</w:t>
              </w:r>
            </w:hyperlink>
          </w:p>
        </w:tc>
        <w:tc>
          <w:tcPr>
            <w:tcW w:w="2907" w:type="dxa"/>
            <w:hideMark/>
          </w:tcPr>
          <w:p w14:paraId="17C843F7" w14:textId="77777777" w:rsidR="00FC0491" w:rsidRPr="003807B5" w:rsidRDefault="00FC0491" w:rsidP="00FC0491">
            <w:pPr>
              <w:spacing w:after="0" w:line="240" w:lineRule="auto"/>
              <w:ind w:right="-188"/>
              <w:jc w:val="center"/>
              <w:rPr>
                <w:rFonts w:ascii="Cambria Math" w:hAnsi="Cambria Math" w:cs="Times New Roman"/>
                <w:sz w:val="20"/>
                <w:szCs w:val="20"/>
              </w:rPr>
            </w:pPr>
            <w:r w:rsidRPr="003807B5">
              <w:rPr>
                <w:rFonts w:ascii="Cambria Math" w:hAnsi="Cambria Math" w:cs="Times New Roman"/>
                <w:sz w:val="20"/>
                <w:szCs w:val="20"/>
              </w:rPr>
              <w:t>Theodore Panagiotidis</w:t>
            </w:r>
          </w:p>
          <w:p w14:paraId="78E42116" w14:textId="77777777" w:rsidR="00FC0491" w:rsidRPr="003807B5" w:rsidRDefault="00FC0491" w:rsidP="00FC0491">
            <w:pPr>
              <w:tabs>
                <w:tab w:val="left" w:pos="-720"/>
              </w:tabs>
              <w:suppressAutoHyphens/>
              <w:spacing w:after="0" w:line="240" w:lineRule="auto"/>
              <w:ind w:right="-188"/>
              <w:jc w:val="center"/>
              <w:rPr>
                <w:rFonts w:ascii="Cambria Math" w:hAnsi="Cambria Math" w:cs="Times New Roman"/>
                <w:spacing w:val="-3"/>
                <w:sz w:val="20"/>
                <w:szCs w:val="20"/>
              </w:rPr>
            </w:pPr>
            <w:r w:rsidRPr="003807B5">
              <w:rPr>
                <w:rFonts w:ascii="Cambria Math" w:hAnsi="Cambria Math" w:cs="Times New Roman"/>
                <w:spacing w:val="-3"/>
                <w:sz w:val="20"/>
                <w:szCs w:val="20"/>
              </w:rPr>
              <w:t>Department of Economics,</w:t>
            </w:r>
          </w:p>
          <w:p w14:paraId="62D63855" w14:textId="77777777" w:rsidR="00FC0491" w:rsidRPr="003807B5" w:rsidRDefault="00FC0491" w:rsidP="00FC0491">
            <w:pPr>
              <w:tabs>
                <w:tab w:val="left" w:pos="-720"/>
              </w:tabs>
              <w:suppressAutoHyphens/>
              <w:spacing w:after="0" w:line="240" w:lineRule="auto"/>
              <w:ind w:right="-188"/>
              <w:jc w:val="center"/>
              <w:rPr>
                <w:rFonts w:ascii="Cambria Math" w:hAnsi="Cambria Math" w:cs="Times New Roman"/>
                <w:spacing w:val="-3"/>
                <w:sz w:val="20"/>
                <w:szCs w:val="20"/>
              </w:rPr>
            </w:pPr>
            <w:r w:rsidRPr="003807B5">
              <w:rPr>
                <w:rFonts w:ascii="Cambria Math" w:hAnsi="Cambria Math" w:cs="Times New Roman"/>
                <w:spacing w:val="-3"/>
                <w:sz w:val="20"/>
                <w:szCs w:val="20"/>
              </w:rPr>
              <w:t>University of Macedonia, Greece</w:t>
            </w:r>
          </w:p>
          <w:p w14:paraId="4F3C1215" w14:textId="77777777" w:rsidR="00FC0491" w:rsidRPr="003807B5" w:rsidRDefault="003B7DDC" w:rsidP="00FC0491">
            <w:pPr>
              <w:spacing w:after="0" w:line="240" w:lineRule="auto"/>
              <w:ind w:right="-188"/>
              <w:jc w:val="center"/>
              <w:rPr>
                <w:rFonts w:ascii="Cambria Math" w:hAnsi="Cambria Math" w:cs="Times New Roman"/>
                <w:sz w:val="20"/>
                <w:szCs w:val="20"/>
              </w:rPr>
            </w:pPr>
            <w:hyperlink r:id="rId10" w:history="1">
              <w:r w:rsidR="00FC0491" w:rsidRPr="003807B5">
                <w:rPr>
                  <w:rFonts w:ascii="Cambria Math" w:hAnsi="Cambria Math" w:cs="Times New Roman"/>
                  <w:color w:val="0563C1" w:themeColor="hyperlink"/>
                  <w:spacing w:val="-3"/>
                  <w:sz w:val="20"/>
                  <w:szCs w:val="20"/>
                  <w:u w:val="single"/>
                </w:rPr>
                <w:t>tpanag@uom.gr</w:t>
              </w:r>
            </w:hyperlink>
          </w:p>
        </w:tc>
      </w:tr>
    </w:tbl>
    <w:p w14:paraId="2FFFE96C" w14:textId="7E1E767A" w:rsidR="00000787" w:rsidRPr="0076192F" w:rsidRDefault="00000787" w:rsidP="003A31F1">
      <w:pPr>
        <w:spacing w:line="240" w:lineRule="auto"/>
        <w:jc w:val="both"/>
        <w:rPr>
          <w:rFonts w:ascii="Cambria Math" w:hAnsi="Cambria Math"/>
        </w:rPr>
      </w:pPr>
    </w:p>
    <w:p w14:paraId="18B33F1D" w14:textId="0EA5F3A6" w:rsidR="005E3523" w:rsidRPr="003D1D85" w:rsidRDefault="00953408" w:rsidP="005E3523">
      <w:pPr>
        <w:spacing w:line="240" w:lineRule="auto"/>
        <w:jc w:val="both"/>
        <w:rPr>
          <w:rFonts w:ascii="Cambria Math" w:hAnsi="Cambria Math"/>
          <w:sz w:val="24"/>
          <w:szCs w:val="24"/>
        </w:rPr>
      </w:pPr>
      <w:r w:rsidRPr="003D1D85">
        <w:rPr>
          <w:rFonts w:ascii="Cambria Math" w:hAnsi="Cambria Math"/>
          <w:sz w:val="24"/>
          <w:szCs w:val="24"/>
        </w:rPr>
        <w:t xml:space="preserve">This paper examines the joint behaviour of sovereign ratings and </w:t>
      </w:r>
      <w:r w:rsidR="005A13D3">
        <w:rPr>
          <w:rFonts w:ascii="Cambria Math" w:hAnsi="Cambria Math"/>
          <w:sz w:val="24"/>
          <w:szCs w:val="24"/>
        </w:rPr>
        <w:t>their</w:t>
      </w:r>
      <w:r w:rsidRPr="003D1D85">
        <w:rPr>
          <w:rFonts w:ascii="Cambria Math" w:hAnsi="Cambria Math"/>
          <w:sz w:val="24"/>
          <w:szCs w:val="24"/>
        </w:rPr>
        <w:t xml:space="preserve"> macroeconomic/financial determinants </w:t>
      </w:r>
      <w:r w:rsidR="00D5327B">
        <w:rPr>
          <w:rFonts w:ascii="Cambria Math" w:hAnsi="Cambria Math"/>
          <w:sz w:val="24"/>
          <w:szCs w:val="24"/>
        </w:rPr>
        <w:t>(</w:t>
      </w:r>
      <w:r w:rsidR="005C1738">
        <w:rPr>
          <w:rFonts w:ascii="Cambria Math" w:hAnsi="Cambria Math"/>
          <w:sz w:val="24"/>
          <w:szCs w:val="24"/>
        </w:rPr>
        <w:t xml:space="preserve">namely </w:t>
      </w:r>
      <w:r w:rsidR="00D5327B" w:rsidRPr="00D5327B">
        <w:rPr>
          <w:rFonts w:ascii="Cambria Math" w:hAnsi="Cambria Math"/>
          <w:sz w:val="24"/>
          <w:szCs w:val="24"/>
        </w:rPr>
        <w:t>uncertainty, GDP growth, government debt-to-GDP ratio, investment-to-GDP ratio and the fiscal balance-to-GDP ratio</w:t>
      </w:r>
      <w:r w:rsidR="00D5327B">
        <w:rPr>
          <w:rFonts w:ascii="Cambria Math" w:hAnsi="Cambria Math"/>
          <w:sz w:val="24"/>
          <w:szCs w:val="24"/>
        </w:rPr>
        <w:t xml:space="preserve">) </w:t>
      </w:r>
      <w:r w:rsidRPr="003D1D85">
        <w:rPr>
          <w:rFonts w:ascii="Cambria Math" w:hAnsi="Cambria Math"/>
          <w:sz w:val="24"/>
          <w:szCs w:val="24"/>
        </w:rPr>
        <w:t>in a multivariate Panel Vector Autoregressive (PVAR) framework. We reveal</w:t>
      </w:r>
      <w:r w:rsidR="00566373" w:rsidRPr="003D1D85">
        <w:rPr>
          <w:rFonts w:ascii="Cambria Math" w:hAnsi="Cambria Math"/>
          <w:sz w:val="24"/>
          <w:szCs w:val="24"/>
        </w:rPr>
        <w:t xml:space="preserve"> another channel of interconnection between sovereign and banking credit risk by identifying </w:t>
      </w:r>
      <w:r w:rsidR="005E3523" w:rsidRPr="003D1D85">
        <w:rPr>
          <w:rFonts w:ascii="Cambria Math" w:hAnsi="Cambria Math"/>
          <w:sz w:val="24"/>
          <w:szCs w:val="24"/>
        </w:rPr>
        <w:t>a two-way relationship between non-performing loans (NPLs) and sovereign ratings</w:t>
      </w:r>
      <w:r w:rsidR="00F15480" w:rsidRPr="003D1D85">
        <w:rPr>
          <w:rFonts w:ascii="Cambria Math" w:hAnsi="Cambria Math"/>
          <w:sz w:val="24"/>
          <w:szCs w:val="24"/>
        </w:rPr>
        <w:t>.</w:t>
      </w:r>
      <w:r w:rsidR="00F15480" w:rsidRPr="003D1D85">
        <w:t xml:space="preserve"> </w:t>
      </w:r>
      <w:r w:rsidR="00F15480" w:rsidRPr="003D1D85">
        <w:rPr>
          <w:rFonts w:ascii="Cambria Math" w:hAnsi="Cambria Math"/>
          <w:sz w:val="24"/>
          <w:szCs w:val="24"/>
        </w:rPr>
        <w:t>Generalized impulse response functions (GIRFs) provide evidence of significant effects from NPLs on sovereign rating d</w:t>
      </w:r>
      <w:r w:rsidR="00D5327B">
        <w:rPr>
          <w:rFonts w:ascii="Cambria Math" w:hAnsi="Cambria Math"/>
          <w:sz w:val="24"/>
          <w:szCs w:val="24"/>
        </w:rPr>
        <w:t>ecisions</w:t>
      </w:r>
      <w:r w:rsidR="00F15480" w:rsidRPr="003D1D85">
        <w:rPr>
          <w:rFonts w:ascii="Cambria Math" w:hAnsi="Cambria Math"/>
          <w:sz w:val="24"/>
          <w:szCs w:val="24"/>
        </w:rPr>
        <w:t xml:space="preserve"> over and above the effects of the remaining economic/financial variables</w:t>
      </w:r>
      <w:r w:rsidR="00D80AAE">
        <w:rPr>
          <w:rFonts w:ascii="Cambria Math" w:hAnsi="Cambria Math"/>
          <w:sz w:val="24"/>
          <w:szCs w:val="24"/>
        </w:rPr>
        <w:t>.</w:t>
      </w:r>
      <w:r w:rsidR="00F15480" w:rsidRPr="003D1D85">
        <w:rPr>
          <w:rFonts w:ascii="Cambria Math" w:hAnsi="Cambria Math"/>
          <w:sz w:val="24"/>
          <w:szCs w:val="24"/>
        </w:rPr>
        <w:t xml:space="preserve"> </w:t>
      </w:r>
      <w:r w:rsidR="00D80AAE">
        <w:rPr>
          <w:rFonts w:ascii="Cambria Math" w:hAnsi="Cambria Math"/>
          <w:sz w:val="24"/>
          <w:szCs w:val="24"/>
        </w:rPr>
        <w:t>At the same time, s</w:t>
      </w:r>
      <w:r w:rsidR="00F15480" w:rsidRPr="003D1D85">
        <w:rPr>
          <w:rFonts w:ascii="Cambria Math" w:hAnsi="Cambria Math"/>
          <w:sz w:val="24"/>
          <w:szCs w:val="24"/>
        </w:rPr>
        <w:t xml:space="preserve">overeign rating </w:t>
      </w:r>
      <w:r w:rsidR="00D5327B">
        <w:rPr>
          <w:rFonts w:ascii="Cambria Math" w:hAnsi="Cambria Math"/>
          <w:sz w:val="24"/>
          <w:szCs w:val="24"/>
        </w:rPr>
        <w:t xml:space="preserve">decisions </w:t>
      </w:r>
      <w:r w:rsidR="00F15480" w:rsidRPr="003D1D85">
        <w:rPr>
          <w:rFonts w:ascii="Cambria Math" w:hAnsi="Cambria Math"/>
          <w:sz w:val="24"/>
          <w:szCs w:val="24"/>
        </w:rPr>
        <w:t xml:space="preserve">impact on NPLs and all other variables. </w:t>
      </w:r>
    </w:p>
    <w:p w14:paraId="6A1267B3" w14:textId="77777777" w:rsidR="00EE7E21" w:rsidRDefault="00EE7E21" w:rsidP="00EE7E21">
      <w:pPr>
        <w:spacing w:line="240" w:lineRule="auto"/>
        <w:rPr>
          <w:rFonts w:ascii="Cambria Math" w:hAnsi="Cambria Math"/>
        </w:rPr>
      </w:pPr>
    </w:p>
    <w:p w14:paraId="16D94C14" w14:textId="6FF788B1" w:rsidR="00EE7E21" w:rsidRDefault="00115C77" w:rsidP="003A31F1">
      <w:pPr>
        <w:spacing w:line="240" w:lineRule="auto"/>
        <w:rPr>
          <w:rFonts w:ascii="Cambria Math" w:hAnsi="Cambria Math"/>
          <w:sz w:val="24"/>
          <w:szCs w:val="24"/>
        </w:rPr>
      </w:pPr>
      <w:r w:rsidRPr="00115C77">
        <w:rPr>
          <w:rFonts w:ascii="Cambria Math" w:hAnsi="Cambria Math"/>
          <w:sz w:val="24"/>
          <w:szCs w:val="24"/>
        </w:rPr>
        <w:t>JEL classification: G24</w:t>
      </w:r>
      <w:r w:rsidR="000825ED">
        <w:rPr>
          <w:rFonts w:ascii="Cambria Math" w:hAnsi="Cambria Math"/>
          <w:sz w:val="24"/>
          <w:szCs w:val="24"/>
        </w:rPr>
        <w:t>;</w:t>
      </w:r>
      <w:r w:rsidRPr="00115C77">
        <w:rPr>
          <w:rFonts w:ascii="Cambria Math" w:hAnsi="Cambria Math"/>
          <w:sz w:val="24"/>
          <w:szCs w:val="24"/>
        </w:rPr>
        <w:t xml:space="preserve"> E44</w:t>
      </w:r>
      <w:r w:rsidR="000825ED">
        <w:rPr>
          <w:rFonts w:ascii="Cambria Math" w:hAnsi="Cambria Math"/>
          <w:sz w:val="24"/>
          <w:szCs w:val="24"/>
        </w:rPr>
        <w:t>;</w:t>
      </w:r>
      <w:r w:rsidRPr="00115C77">
        <w:rPr>
          <w:rFonts w:ascii="Cambria Math" w:hAnsi="Cambria Math"/>
          <w:sz w:val="24"/>
          <w:szCs w:val="24"/>
        </w:rPr>
        <w:t xml:space="preserve"> C33</w:t>
      </w:r>
    </w:p>
    <w:p w14:paraId="54A48721" w14:textId="3717F6C5" w:rsidR="000825ED" w:rsidRPr="00EE7E21" w:rsidRDefault="000825ED" w:rsidP="000825ED">
      <w:pPr>
        <w:spacing w:line="240" w:lineRule="auto"/>
        <w:rPr>
          <w:rFonts w:ascii="Cambria Math" w:hAnsi="Cambria Math"/>
          <w:sz w:val="24"/>
          <w:szCs w:val="24"/>
        </w:rPr>
      </w:pPr>
      <w:r w:rsidRPr="00EE7E21">
        <w:rPr>
          <w:rFonts w:ascii="Cambria Math" w:hAnsi="Cambria Math"/>
          <w:sz w:val="24"/>
          <w:szCs w:val="24"/>
        </w:rPr>
        <w:t>Keywords: Sovereign credit ratings</w:t>
      </w:r>
      <w:r>
        <w:rPr>
          <w:rFonts w:ascii="Cambria Math" w:hAnsi="Cambria Math"/>
          <w:sz w:val="24"/>
          <w:szCs w:val="24"/>
        </w:rPr>
        <w:t>;</w:t>
      </w:r>
      <w:r w:rsidRPr="00EE7E21">
        <w:rPr>
          <w:rFonts w:ascii="Cambria Math" w:hAnsi="Cambria Math"/>
          <w:sz w:val="24"/>
          <w:szCs w:val="24"/>
        </w:rPr>
        <w:t xml:space="preserve"> Non-performing loans</w:t>
      </w:r>
      <w:r>
        <w:rPr>
          <w:rFonts w:ascii="Cambria Math" w:hAnsi="Cambria Math"/>
          <w:sz w:val="24"/>
          <w:szCs w:val="24"/>
        </w:rPr>
        <w:t>;</w:t>
      </w:r>
      <w:r w:rsidRPr="00EE7E21">
        <w:rPr>
          <w:rFonts w:ascii="Cambria Math" w:hAnsi="Cambria Math"/>
          <w:sz w:val="24"/>
          <w:szCs w:val="24"/>
        </w:rPr>
        <w:t xml:space="preserve"> Panel VAR</w:t>
      </w:r>
    </w:p>
    <w:p w14:paraId="43413972" w14:textId="77777777" w:rsidR="00725161" w:rsidRPr="00725161" w:rsidRDefault="00725161" w:rsidP="00725161">
      <w:pPr>
        <w:spacing w:line="240" w:lineRule="auto"/>
        <w:rPr>
          <w:rFonts w:ascii="Cambria Math" w:hAnsi="Cambria Math"/>
          <w:sz w:val="24"/>
          <w:szCs w:val="24"/>
        </w:rPr>
      </w:pPr>
      <w:r w:rsidRPr="00725161">
        <w:rPr>
          <w:rFonts w:ascii="Cambria Math" w:hAnsi="Cambria Math"/>
          <w:sz w:val="24"/>
          <w:szCs w:val="24"/>
        </w:rPr>
        <w:t xml:space="preserve">*Address for correspondence: Professor Costas Milas, Management School, University of Liverpool, Chatham Street, L69 7ZH, Liverpool, United Kingdom.  </w:t>
      </w:r>
    </w:p>
    <w:p w14:paraId="3845A501" w14:textId="77777777" w:rsidR="00725161" w:rsidRPr="00725161" w:rsidRDefault="00725161" w:rsidP="00725161">
      <w:pPr>
        <w:spacing w:line="240" w:lineRule="auto"/>
        <w:rPr>
          <w:rFonts w:ascii="Cambria Math" w:hAnsi="Cambria Math"/>
          <w:sz w:val="24"/>
          <w:szCs w:val="24"/>
        </w:rPr>
      </w:pPr>
      <w:r w:rsidRPr="00725161">
        <w:rPr>
          <w:rFonts w:ascii="Cambria Math" w:hAnsi="Cambria Math"/>
          <w:sz w:val="24"/>
          <w:szCs w:val="24"/>
        </w:rPr>
        <w:t xml:space="preserve">Phone number: +441517953135. Email: </w:t>
      </w:r>
      <w:hyperlink r:id="rId11" w:history="1">
        <w:r w:rsidRPr="00725161">
          <w:rPr>
            <w:rFonts w:ascii="Cambria Math" w:hAnsi="Cambria Math"/>
            <w:color w:val="0563C1" w:themeColor="hyperlink"/>
            <w:sz w:val="24"/>
            <w:szCs w:val="24"/>
            <w:u w:val="single"/>
          </w:rPr>
          <w:t>costas.milas@liverpool.ac.uk</w:t>
        </w:r>
      </w:hyperlink>
    </w:p>
    <w:p w14:paraId="62D7E1FD" w14:textId="77777777" w:rsidR="00725161" w:rsidRPr="00725161" w:rsidRDefault="00725161" w:rsidP="00725161">
      <w:pPr>
        <w:spacing w:line="240" w:lineRule="auto"/>
        <w:jc w:val="both"/>
        <w:rPr>
          <w:rFonts w:ascii="Cambria Math" w:hAnsi="Cambria Math" w:cs="Times New Roman"/>
          <w:sz w:val="24"/>
          <w:szCs w:val="24"/>
        </w:rPr>
      </w:pPr>
    </w:p>
    <w:p w14:paraId="0F05A3D2" w14:textId="1ED03BD7" w:rsidR="00725161" w:rsidRPr="00725161" w:rsidRDefault="00725161" w:rsidP="00725161">
      <w:pPr>
        <w:spacing w:line="240" w:lineRule="auto"/>
        <w:jc w:val="both"/>
        <w:rPr>
          <w:rFonts w:ascii="Cambria Math" w:hAnsi="Cambria Math" w:cs="Times New Roman"/>
          <w:sz w:val="24"/>
          <w:szCs w:val="24"/>
        </w:rPr>
      </w:pPr>
      <w:r w:rsidRPr="00725161">
        <w:rPr>
          <w:rFonts w:ascii="Cambria Math" w:hAnsi="Cambria Math" w:cs="Times New Roman"/>
          <w:sz w:val="24"/>
          <w:szCs w:val="24"/>
        </w:rPr>
        <w:t xml:space="preserve">We thank Michael Sigmund (Oesterreichische Nationalbank) and Robert Ferstl (University of Regensburg) for discussing how to best apply their panelvar package in R (available from: </w:t>
      </w:r>
      <w:hyperlink r:id="rId12" w:history="1">
        <w:r w:rsidRPr="00725161">
          <w:rPr>
            <w:rFonts w:ascii="Cambria Math" w:hAnsi="Cambria Math" w:cs="Times New Roman"/>
            <w:color w:val="0563C1" w:themeColor="hyperlink"/>
            <w:sz w:val="24"/>
            <w:szCs w:val="24"/>
            <w:u w:val="single"/>
          </w:rPr>
          <w:t>https://cran.r-project.org/web/packages/panelvar/index.html</w:t>
        </w:r>
      </w:hyperlink>
      <w:r w:rsidRPr="00725161">
        <w:rPr>
          <w:rFonts w:ascii="Cambria Math" w:hAnsi="Cambria Math" w:cs="Times New Roman"/>
          <w:sz w:val="24"/>
          <w:szCs w:val="24"/>
        </w:rPr>
        <w:t>). We thank Jane Binner (University of Birmingham), Steven Davis (Chicago Booth School of Business), Michael Ellington (University of Liverpool), Chris Florackis (University of Liverpool), Alexandre Jeanneret (HEC Montréal), Alex Kostakis (</w:t>
      </w:r>
      <w:r w:rsidR="00F5177C" w:rsidRPr="00725161">
        <w:rPr>
          <w:rFonts w:ascii="Cambria Math" w:hAnsi="Cambria Math" w:cs="Times New Roman"/>
          <w:sz w:val="24"/>
          <w:szCs w:val="24"/>
        </w:rPr>
        <w:t>University of Liverpool</w:t>
      </w:r>
      <w:r w:rsidRPr="00725161">
        <w:rPr>
          <w:rFonts w:ascii="Cambria Math" w:hAnsi="Cambria Math" w:cs="Times New Roman"/>
          <w:sz w:val="24"/>
          <w:szCs w:val="24"/>
        </w:rPr>
        <w:t>), Michael O’Grady (Central Bank of Ireland) Themis Pavlidis (Lancaster University), Lucio Sarno (CASS Business School), George Skiadopoulos (Queen Mary University of London), Michalis Stamatogiannis (University of Liverpool) and Kostas Vasilopoulos (Lancaster University) for useful comments. Any remaining errors are our own.</w:t>
      </w:r>
    </w:p>
    <w:p w14:paraId="390F3E81" w14:textId="77777777" w:rsidR="00115C77" w:rsidRDefault="00115C77" w:rsidP="003A31F1">
      <w:pPr>
        <w:spacing w:line="240" w:lineRule="auto"/>
        <w:rPr>
          <w:rFonts w:ascii="Cambria Math" w:hAnsi="Cambria Math"/>
          <w:sz w:val="24"/>
          <w:szCs w:val="24"/>
        </w:rPr>
      </w:pPr>
    </w:p>
    <w:p w14:paraId="5EA0D329" w14:textId="5A5D9C46" w:rsidR="003A31F1" w:rsidRDefault="003A31F1" w:rsidP="003A31F1">
      <w:pPr>
        <w:spacing w:line="240" w:lineRule="auto"/>
        <w:jc w:val="both"/>
        <w:rPr>
          <w:rFonts w:ascii="Cambria Math" w:hAnsi="Cambria Math" w:cs="Times New Roman"/>
          <w:sz w:val="24"/>
          <w:szCs w:val="24"/>
        </w:rPr>
      </w:pPr>
    </w:p>
    <w:p w14:paraId="416BCC3A" w14:textId="77777777" w:rsidR="003A31F1" w:rsidRDefault="003A31F1" w:rsidP="005E3523">
      <w:pPr>
        <w:spacing w:line="240" w:lineRule="auto"/>
        <w:rPr>
          <w:rFonts w:ascii="Cambria Math" w:hAnsi="Cambria Math"/>
        </w:rPr>
      </w:pPr>
    </w:p>
    <w:p w14:paraId="481EE603" w14:textId="646AD7EE" w:rsidR="005E3523" w:rsidRDefault="005E3523">
      <w:pPr>
        <w:rPr>
          <w:rFonts w:ascii="Cambria Math" w:hAnsi="Cambria Math"/>
          <w:b/>
          <w:sz w:val="24"/>
        </w:rPr>
      </w:pPr>
      <w:r>
        <w:rPr>
          <w:rFonts w:ascii="Cambria Math" w:hAnsi="Cambria Math"/>
          <w:b/>
          <w:sz w:val="24"/>
        </w:rPr>
        <w:br w:type="page"/>
      </w:r>
    </w:p>
    <w:p w14:paraId="70C3CC23" w14:textId="2894390C" w:rsidR="000545C5" w:rsidRPr="000545C5" w:rsidRDefault="000545C5" w:rsidP="00BA6C59">
      <w:pPr>
        <w:spacing w:line="240" w:lineRule="auto"/>
        <w:ind w:left="2880"/>
        <w:jc w:val="both"/>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45C5">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00B0649F" w:rsidRPr="00B0649F">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could almost say that we live again in a two-superpower world. There is the U.S. and there is Moody's. The U.S. can destroy a country by </w:t>
      </w:r>
      <w:proofErr w:type="spellStart"/>
      <w:r w:rsidR="00B0649F" w:rsidRPr="00B0649F">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leveling</w:t>
      </w:r>
      <w:proofErr w:type="spellEnd"/>
      <w:r w:rsidR="00B0649F" w:rsidRPr="00B0649F">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with bombs; Moody's can destroy a country by downgrading its bonds</w:t>
      </w:r>
      <w:r w:rsidRPr="000545C5">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E7565">
        <w:rPr>
          <w:rFonts w:ascii="Cambria Math" w:hAnsi="Cambria Math"/>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Thomas L. Friedman 22/2/1995 New York Times</w:t>
      </w:r>
    </w:p>
    <w:p w14:paraId="03F70B37" w14:textId="1780D247" w:rsidR="000545C5" w:rsidRPr="00CE7565" w:rsidRDefault="003B7DDC" w:rsidP="000545C5">
      <w:pPr>
        <w:ind w:left="2880"/>
        <w:jc w:val="both"/>
        <w:rPr>
          <w:rFonts w:ascii="Cambria Math" w:hAnsi="Cambria Math"/>
          <w:b/>
          <w:sz w:val="24"/>
        </w:rPr>
      </w:pPr>
      <w:hyperlink r:id="rId13" w:history="1">
        <w:r w:rsidR="00CE7565" w:rsidRPr="00CE7565">
          <w:rPr>
            <w:rFonts w:ascii="Cambria Math" w:hAnsi="Cambria Math"/>
            <w:color w:val="0000FF"/>
            <w:u w:val="single"/>
          </w:rPr>
          <w:t>https://www.nytimes.com/1995/02/22/opinion/foreign-affairs-don-t-mess-with-moody-s.html</w:t>
        </w:r>
      </w:hyperlink>
    </w:p>
    <w:p w14:paraId="71083497" w14:textId="77777777" w:rsidR="000545C5" w:rsidRDefault="000545C5" w:rsidP="000545C5">
      <w:pPr>
        <w:jc w:val="both"/>
        <w:rPr>
          <w:rFonts w:ascii="Cambria Math" w:hAnsi="Cambria Math"/>
          <w:b/>
          <w:sz w:val="24"/>
        </w:rPr>
      </w:pPr>
    </w:p>
    <w:p w14:paraId="40A8664A" w14:textId="34064CF9" w:rsidR="00F447BD" w:rsidRPr="0076192F" w:rsidRDefault="00483DE0" w:rsidP="002572EB">
      <w:pPr>
        <w:rPr>
          <w:rFonts w:ascii="Cambria Math" w:hAnsi="Cambria Math"/>
          <w:b/>
          <w:sz w:val="24"/>
        </w:rPr>
      </w:pPr>
      <w:r w:rsidRPr="0076192F">
        <w:rPr>
          <w:rFonts w:ascii="Cambria Math" w:hAnsi="Cambria Math"/>
          <w:b/>
          <w:sz w:val="24"/>
        </w:rPr>
        <w:t xml:space="preserve">1. </w:t>
      </w:r>
      <w:r w:rsidR="00F447BD" w:rsidRPr="0076192F">
        <w:rPr>
          <w:rFonts w:ascii="Cambria Math" w:hAnsi="Cambria Math"/>
          <w:b/>
          <w:sz w:val="24"/>
        </w:rPr>
        <w:t>Introduction</w:t>
      </w:r>
    </w:p>
    <w:p w14:paraId="63624D6A" w14:textId="77777777" w:rsidR="00122274" w:rsidRPr="00122274" w:rsidRDefault="00122274" w:rsidP="00122274">
      <w:pPr>
        <w:jc w:val="both"/>
        <w:rPr>
          <w:rFonts w:ascii="Cambria Math" w:hAnsi="Cambria Math"/>
          <w:sz w:val="24"/>
          <w:szCs w:val="24"/>
        </w:rPr>
      </w:pPr>
      <w:r w:rsidRPr="00122274">
        <w:rPr>
          <w:rFonts w:ascii="Cambria Math" w:hAnsi="Cambria Math"/>
          <w:sz w:val="24"/>
          <w:szCs w:val="24"/>
        </w:rPr>
        <w:t xml:space="preserve">In its January 2019 World Economic Outlook, the International Monetary Fund (IMF) noted that while global growth of 3.7% in 2018 remained close to post-crisis highs, global expansion will somewhat weaken to 3.5% in 2019. </w:t>
      </w:r>
      <w:r w:rsidRPr="00122274">
        <w:rPr>
          <w:rStyle w:val="FootnoteReference"/>
          <w:rFonts w:ascii="Cambria Math" w:hAnsi="Cambria Math"/>
          <w:sz w:val="24"/>
          <w:szCs w:val="24"/>
        </w:rPr>
        <w:footnoteReference w:id="1"/>
      </w:r>
      <w:r w:rsidRPr="00122274">
        <w:rPr>
          <w:rFonts w:ascii="Cambria Math" w:hAnsi="Cambria Math"/>
          <w:sz w:val="24"/>
          <w:szCs w:val="24"/>
        </w:rPr>
        <w:t xml:space="preserve"> In fact, policymakers around the world have little room for complacency about future economic growth; for instance, (former) IMF Economic Counsellor and Director of Research Maurice Obstfeld (2018) noted that “as important as they have been to the recovery, easy financial conditions and fiscal support have also left a legacy of debt – government, and in some cases, corporate and household – in advanced and emerging economies alike.” </w:t>
      </w:r>
      <w:r w:rsidRPr="00122274">
        <w:rPr>
          <w:rStyle w:val="FootnoteReference"/>
          <w:rFonts w:ascii="Cambria Math" w:hAnsi="Cambria Math"/>
          <w:sz w:val="24"/>
          <w:szCs w:val="24"/>
        </w:rPr>
        <w:footnoteReference w:id="2"/>
      </w:r>
      <w:r w:rsidRPr="00122274">
        <w:rPr>
          <w:rFonts w:ascii="Cambria Math" w:hAnsi="Cambria Math"/>
          <w:sz w:val="24"/>
          <w:szCs w:val="24"/>
        </w:rPr>
        <w:t xml:space="preserve"> </w:t>
      </w:r>
    </w:p>
    <w:p w14:paraId="6011511F" w14:textId="1F28DB7F" w:rsidR="003F7D4F" w:rsidRPr="0076192F" w:rsidRDefault="00A000B4" w:rsidP="00A000B4">
      <w:pPr>
        <w:jc w:val="both"/>
        <w:rPr>
          <w:rFonts w:ascii="Cambria Math" w:hAnsi="Cambria Math"/>
          <w:sz w:val="24"/>
          <w:szCs w:val="24"/>
        </w:rPr>
      </w:pPr>
      <w:r w:rsidRPr="0076192F">
        <w:rPr>
          <w:rFonts w:ascii="Cambria Math" w:hAnsi="Cambria Math"/>
          <w:sz w:val="24"/>
          <w:szCs w:val="24"/>
        </w:rPr>
        <w:t xml:space="preserve">The </w:t>
      </w:r>
      <w:r w:rsidR="00F92696" w:rsidRPr="0076192F">
        <w:rPr>
          <w:rFonts w:ascii="Cambria Math" w:hAnsi="Cambria Math"/>
          <w:sz w:val="24"/>
          <w:szCs w:val="24"/>
        </w:rPr>
        <w:t xml:space="preserve">ongoing </w:t>
      </w:r>
      <w:r w:rsidRPr="0076192F">
        <w:rPr>
          <w:rFonts w:ascii="Cambria Math" w:hAnsi="Cambria Math"/>
          <w:sz w:val="24"/>
          <w:szCs w:val="24"/>
        </w:rPr>
        <w:t xml:space="preserve">debt </w:t>
      </w:r>
      <w:r w:rsidR="00E4160A" w:rsidRPr="0076192F">
        <w:rPr>
          <w:rFonts w:ascii="Cambria Math" w:hAnsi="Cambria Math"/>
          <w:sz w:val="24"/>
          <w:szCs w:val="24"/>
        </w:rPr>
        <w:t>hangover</w:t>
      </w:r>
      <w:r w:rsidRPr="0076192F">
        <w:rPr>
          <w:rFonts w:ascii="Cambria Math" w:hAnsi="Cambria Math"/>
          <w:sz w:val="24"/>
          <w:szCs w:val="24"/>
        </w:rPr>
        <w:t xml:space="preserve"> </w:t>
      </w:r>
      <w:r w:rsidR="00E4160A" w:rsidRPr="0076192F">
        <w:rPr>
          <w:rFonts w:ascii="Cambria Math" w:hAnsi="Cambria Math"/>
          <w:sz w:val="24"/>
          <w:szCs w:val="24"/>
        </w:rPr>
        <w:t xml:space="preserve">brings again into focus </w:t>
      </w:r>
      <w:r w:rsidRPr="0076192F">
        <w:rPr>
          <w:rFonts w:ascii="Cambria Math" w:hAnsi="Cambria Math"/>
          <w:sz w:val="24"/>
          <w:szCs w:val="24"/>
        </w:rPr>
        <w:t xml:space="preserve">the issue of </w:t>
      </w:r>
      <w:r w:rsidR="006B56F2" w:rsidRPr="0076192F">
        <w:rPr>
          <w:rFonts w:ascii="Cambria Math" w:hAnsi="Cambria Math"/>
          <w:sz w:val="24"/>
          <w:szCs w:val="24"/>
        </w:rPr>
        <w:t>a</w:t>
      </w:r>
      <w:r w:rsidR="00084F1F" w:rsidRPr="0076192F">
        <w:rPr>
          <w:rFonts w:ascii="Cambria Math" w:hAnsi="Cambria Math"/>
          <w:sz w:val="24"/>
          <w:szCs w:val="24"/>
        </w:rPr>
        <w:t xml:space="preserve">ssessing </w:t>
      </w:r>
      <w:r w:rsidR="006C3C4E" w:rsidRPr="0076192F">
        <w:rPr>
          <w:rFonts w:ascii="Cambria Math" w:hAnsi="Cambria Math"/>
          <w:sz w:val="24"/>
          <w:szCs w:val="24"/>
        </w:rPr>
        <w:t>the pro</w:t>
      </w:r>
      <w:r w:rsidR="00084F1F" w:rsidRPr="0076192F">
        <w:rPr>
          <w:rFonts w:ascii="Cambria Math" w:hAnsi="Cambria Math"/>
          <w:sz w:val="24"/>
          <w:szCs w:val="24"/>
        </w:rPr>
        <w:t>ba</w:t>
      </w:r>
      <w:r w:rsidR="006C3C4E" w:rsidRPr="0076192F">
        <w:rPr>
          <w:rFonts w:ascii="Cambria Math" w:hAnsi="Cambria Math"/>
          <w:sz w:val="24"/>
          <w:szCs w:val="24"/>
        </w:rPr>
        <w:t>bility of a (</w:t>
      </w:r>
      <w:r w:rsidR="00140377" w:rsidRPr="0076192F">
        <w:rPr>
          <w:rFonts w:ascii="Cambria Math" w:hAnsi="Cambria Math"/>
          <w:sz w:val="24"/>
          <w:szCs w:val="24"/>
        </w:rPr>
        <w:t>sovereign</w:t>
      </w:r>
      <w:r w:rsidR="006C3C4E" w:rsidRPr="0076192F">
        <w:rPr>
          <w:rFonts w:ascii="Cambria Math" w:hAnsi="Cambria Math"/>
          <w:sz w:val="24"/>
          <w:szCs w:val="24"/>
        </w:rPr>
        <w:t>)</w:t>
      </w:r>
      <w:r w:rsidR="00140377" w:rsidRPr="0076192F">
        <w:rPr>
          <w:rFonts w:ascii="Cambria Math" w:hAnsi="Cambria Math"/>
          <w:sz w:val="24"/>
          <w:szCs w:val="24"/>
        </w:rPr>
        <w:t xml:space="preserve"> default</w:t>
      </w:r>
      <w:r w:rsidRPr="0076192F">
        <w:rPr>
          <w:rFonts w:ascii="Cambria Math" w:hAnsi="Cambria Math"/>
          <w:sz w:val="24"/>
          <w:szCs w:val="24"/>
        </w:rPr>
        <w:t>.</w:t>
      </w:r>
      <w:r w:rsidR="00140377" w:rsidRPr="0076192F">
        <w:rPr>
          <w:rFonts w:ascii="Cambria Math" w:hAnsi="Cambria Math"/>
          <w:sz w:val="24"/>
          <w:szCs w:val="24"/>
        </w:rPr>
        <w:t xml:space="preserve"> </w:t>
      </w:r>
      <w:r w:rsidRPr="0076192F">
        <w:rPr>
          <w:rFonts w:ascii="Cambria Math" w:hAnsi="Cambria Math"/>
          <w:sz w:val="24"/>
          <w:szCs w:val="24"/>
        </w:rPr>
        <w:t xml:space="preserve">This </w:t>
      </w:r>
      <w:r w:rsidR="006C3C4E" w:rsidRPr="0076192F">
        <w:rPr>
          <w:rFonts w:ascii="Cambria Math" w:hAnsi="Cambria Math"/>
          <w:sz w:val="24"/>
          <w:szCs w:val="24"/>
        </w:rPr>
        <w:t xml:space="preserve">remains an </w:t>
      </w:r>
      <w:r w:rsidR="00084F1F" w:rsidRPr="0076192F">
        <w:rPr>
          <w:rFonts w:ascii="Cambria Math" w:hAnsi="Cambria Math"/>
          <w:sz w:val="24"/>
          <w:szCs w:val="24"/>
        </w:rPr>
        <w:t>important and unresolved issue n</w:t>
      </w:r>
      <w:r w:rsidR="006C3C4E" w:rsidRPr="0076192F">
        <w:rPr>
          <w:rFonts w:ascii="Cambria Math" w:hAnsi="Cambria Math"/>
          <w:sz w:val="24"/>
          <w:szCs w:val="24"/>
        </w:rPr>
        <w:t xml:space="preserve">ot least because </w:t>
      </w:r>
      <w:r w:rsidR="008A4D93" w:rsidRPr="0076192F">
        <w:rPr>
          <w:rFonts w:ascii="Cambria Math" w:hAnsi="Cambria Math"/>
          <w:sz w:val="24"/>
          <w:szCs w:val="24"/>
        </w:rPr>
        <w:t xml:space="preserve">of </w:t>
      </w:r>
      <w:r w:rsidR="006C3C4E" w:rsidRPr="0076192F">
        <w:rPr>
          <w:rFonts w:ascii="Cambria Math" w:hAnsi="Cambria Math"/>
          <w:sz w:val="24"/>
          <w:szCs w:val="24"/>
        </w:rPr>
        <w:t>the difficulty of providing</w:t>
      </w:r>
      <w:r w:rsidR="00140377" w:rsidRPr="0076192F">
        <w:rPr>
          <w:rFonts w:ascii="Cambria Math" w:hAnsi="Cambria Math"/>
          <w:sz w:val="24"/>
          <w:szCs w:val="24"/>
        </w:rPr>
        <w:t xml:space="preserve"> </w:t>
      </w:r>
      <w:r w:rsidR="006C3C4E" w:rsidRPr="0076192F">
        <w:rPr>
          <w:rFonts w:ascii="Cambria Math" w:hAnsi="Cambria Math"/>
          <w:sz w:val="24"/>
          <w:szCs w:val="24"/>
        </w:rPr>
        <w:t xml:space="preserve">an </w:t>
      </w:r>
      <w:r w:rsidR="00140377" w:rsidRPr="0076192F">
        <w:rPr>
          <w:rFonts w:ascii="Cambria Math" w:hAnsi="Cambria Math"/>
          <w:sz w:val="24"/>
          <w:szCs w:val="24"/>
        </w:rPr>
        <w:t xml:space="preserve">accurate estimate </w:t>
      </w:r>
      <w:r w:rsidR="00084F1F" w:rsidRPr="0076192F">
        <w:rPr>
          <w:rFonts w:ascii="Cambria Math" w:hAnsi="Cambria Math"/>
          <w:sz w:val="24"/>
          <w:szCs w:val="24"/>
        </w:rPr>
        <w:t xml:space="preserve">of </w:t>
      </w:r>
      <w:r w:rsidR="00F078D6" w:rsidRPr="0076192F">
        <w:rPr>
          <w:rFonts w:ascii="Cambria Math" w:hAnsi="Cambria Math"/>
          <w:sz w:val="24"/>
          <w:szCs w:val="24"/>
        </w:rPr>
        <w:t xml:space="preserve">such </w:t>
      </w:r>
      <w:r w:rsidR="00084F1F" w:rsidRPr="0076192F">
        <w:rPr>
          <w:rFonts w:ascii="Cambria Math" w:hAnsi="Cambria Math"/>
          <w:sz w:val="24"/>
          <w:szCs w:val="24"/>
        </w:rPr>
        <w:t xml:space="preserve">probability </w:t>
      </w:r>
      <w:r w:rsidR="00992F95">
        <w:rPr>
          <w:rFonts w:ascii="Cambria Math" w:hAnsi="Cambria Math"/>
          <w:sz w:val="24"/>
          <w:szCs w:val="24"/>
        </w:rPr>
        <w:t>that can</w:t>
      </w:r>
      <w:r w:rsidR="008A4D93" w:rsidRPr="0076192F">
        <w:rPr>
          <w:rFonts w:ascii="Cambria Math" w:hAnsi="Cambria Math"/>
          <w:sz w:val="24"/>
          <w:szCs w:val="24"/>
        </w:rPr>
        <w:t xml:space="preserve"> </w:t>
      </w:r>
      <w:r w:rsidR="006A179C" w:rsidRPr="0076192F">
        <w:rPr>
          <w:rFonts w:ascii="Cambria Math" w:hAnsi="Cambria Math"/>
          <w:sz w:val="24"/>
          <w:szCs w:val="24"/>
        </w:rPr>
        <w:t>create information asymmetry between governments, banks, corporat</w:t>
      </w:r>
      <w:r w:rsidR="00E4160A" w:rsidRPr="0076192F">
        <w:rPr>
          <w:rFonts w:ascii="Cambria Math" w:hAnsi="Cambria Math"/>
          <w:sz w:val="24"/>
          <w:szCs w:val="24"/>
        </w:rPr>
        <w:t>ions</w:t>
      </w:r>
      <w:r w:rsidR="006A179C" w:rsidRPr="0076192F">
        <w:rPr>
          <w:rFonts w:ascii="Cambria Math" w:hAnsi="Cambria Math"/>
          <w:sz w:val="24"/>
          <w:szCs w:val="24"/>
        </w:rPr>
        <w:t xml:space="preserve"> and investors.</w:t>
      </w:r>
      <w:r w:rsidR="001D381E" w:rsidRPr="0076192F">
        <w:rPr>
          <w:rFonts w:ascii="Cambria Math" w:hAnsi="Cambria Math"/>
          <w:sz w:val="24"/>
          <w:szCs w:val="24"/>
        </w:rPr>
        <w:t xml:space="preserve"> </w:t>
      </w:r>
      <w:r w:rsidR="00084F1F" w:rsidRPr="0076192F">
        <w:rPr>
          <w:rFonts w:ascii="Cambria Math" w:hAnsi="Cambria Math"/>
          <w:sz w:val="24"/>
          <w:szCs w:val="24"/>
        </w:rPr>
        <w:t>T</w:t>
      </w:r>
      <w:r w:rsidR="006C3C4E" w:rsidRPr="0076192F">
        <w:rPr>
          <w:rFonts w:ascii="Cambria Math" w:hAnsi="Cambria Math"/>
          <w:sz w:val="24"/>
          <w:szCs w:val="24"/>
        </w:rPr>
        <w:t xml:space="preserve">his </w:t>
      </w:r>
      <w:r w:rsidR="006A179C" w:rsidRPr="0076192F">
        <w:rPr>
          <w:rFonts w:ascii="Cambria Math" w:hAnsi="Cambria Math"/>
          <w:sz w:val="24"/>
          <w:szCs w:val="24"/>
        </w:rPr>
        <w:t xml:space="preserve">information gap </w:t>
      </w:r>
      <w:r w:rsidR="006C3C4E" w:rsidRPr="0076192F">
        <w:rPr>
          <w:rFonts w:ascii="Cambria Math" w:hAnsi="Cambria Math"/>
          <w:sz w:val="24"/>
          <w:szCs w:val="24"/>
        </w:rPr>
        <w:t xml:space="preserve">has </w:t>
      </w:r>
      <w:r w:rsidR="00084F1F" w:rsidRPr="0076192F">
        <w:rPr>
          <w:rFonts w:ascii="Cambria Math" w:hAnsi="Cambria Math"/>
          <w:sz w:val="24"/>
          <w:szCs w:val="24"/>
        </w:rPr>
        <w:t xml:space="preserve">been </w:t>
      </w:r>
      <w:r w:rsidR="00D1522D" w:rsidRPr="0076192F">
        <w:rPr>
          <w:rFonts w:ascii="Cambria Math" w:hAnsi="Cambria Math"/>
          <w:sz w:val="24"/>
          <w:szCs w:val="24"/>
        </w:rPr>
        <w:t xml:space="preserve">traditionally </w:t>
      </w:r>
      <w:r w:rsidR="006C3C4E" w:rsidRPr="0076192F">
        <w:rPr>
          <w:rFonts w:ascii="Cambria Math" w:hAnsi="Cambria Math"/>
          <w:sz w:val="24"/>
          <w:szCs w:val="24"/>
        </w:rPr>
        <w:t xml:space="preserve">filled by Credit Rating </w:t>
      </w:r>
      <w:r w:rsidR="004E04F4" w:rsidRPr="0076192F">
        <w:rPr>
          <w:rFonts w:ascii="Cambria Math" w:hAnsi="Cambria Math"/>
          <w:sz w:val="24"/>
          <w:szCs w:val="24"/>
        </w:rPr>
        <w:t>Agencies</w:t>
      </w:r>
      <w:r w:rsidR="006C3C4E" w:rsidRPr="0076192F">
        <w:rPr>
          <w:rFonts w:ascii="Cambria Math" w:hAnsi="Cambria Math"/>
          <w:sz w:val="24"/>
          <w:szCs w:val="24"/>
        </w:rPr>
        <w:t xml:space="preserve"> </w:t>
      </w:r>
      <w:r w:rsidR="004E04F4" w:rsidRPr="0076192F">
        <w:rPr>
          <w:rFonts w:ascii="Cambria Math" w:hAnsi="Cambria Math"/>
          <w:sz w:val="24"/>
          <w:szCs w:val="24"/>
        </w:rPr>
        <w:t>(hereafter CRAs) that</w:t>
      </w:r>
      <w:r w:rsidR="006C3C4E" w:rsidRPr="0076192F">
        <w:rPr>
          <w:rFonts w:ascii="Cambria Math" w:hAnsi="Cambria Math"/>
          <w:sz w:val="24"/>
          <w:szCs w:val="24"/>
        </w:rPr>
        <w:t xml:space="preserve"> </w:t>
      </w:r>
      <w:r w:rsidR="00D1522D" w:rsidRPr="0076192F">
        <w:rPr>
          <w:rFonts w:ascii="Cambria Math" w:hAnsi="Cambria Math"/>
          <w:sz w:val="24"/>
          <w:szCs w:val="24"/>
        </w:rPr>
        <w:t xml:space="preserve">publish sovereign credit ratings </w:t>
      </w:r>
      <w:r w:rsidR="004E04F4" w:rsidRPr="0076192F">
        <w:rPr>
          <w:rFonts w:ascii="Cambria Math" w:hAnsi="Cambria Math"/>
          <w:sz w:val="24"/>
          <w:szCs w:val="24"/>
        </w:rPr>
        <w:t xml:space="preserve">as </w:t>
      </w:r>
      <w:r w:rsidR="006A179C" w:rsidRPr="0076192F">
        <w:rPr>
          <w:rFonts w:ascii="Cambria Math" w:hAnsi="Cambria Math"/>
          <w:sz w:val="24"/>
          <w:szCs w:val="24"/>
        </w:rPr>
        <w:t xml:space="preserve">measures </w:t>
      </w:r>
      <w:r w:rsidR="006C3C4E" w:rsidRPr="0076192F">
        <w:rPr>
          <w:rFonts w:ascii="Cambria Math" w:hAnsi="Cambria Math"/>
          <w:sz w:val="24"/>
          <w:szCs w:val="24"/>
        </w:rPr>
        <w:t>of</w:t>
      </w:r>
      <w:r w:rsidR="006A179C" w:rsidRPr="0076192F">
        <w:rPr>
          <w:rFonts w:ascii="Cambria Math" w:hAnsi="Cambria Math"/>
          <w:sz w:val="24"/>
          <w:szCs w:val="24"/>
        </w:rPr>
        <w:t xml:space="preserve"> the probability</w:t>
      </w:r>
      <w:r w:rsidR="00084F1F" w:rsidRPr="0076192F">
        <w:rPr>
          <w:rFonts w:ascii="Cambria Math" w:hAnsi="Cambria Math"/>
          <w:sz w:val="24"/>
          <w:szCs w:val="24"/>
        </w:rPr>
        <w:t xml:space="preserve"> that a country will repay its debt </w:t>
      </w:r>
      <w:r w:rsidR="00B80BCE">
        <w:rPr>
          <w:rFonts w:ascii="Cambria Math" w:hAnsi="Cambria Math"/>
          <w:sz w:val="24"/>
          <w:szCs w:val="24"/>
        </w:rPr>
        <w:t>i</w:t>
      </w:r>
      <w:r w:rsidR="00084F1F" w:rsidRPr="0076192F">
        <w:rPr>
          <w:rFonts w:ascii="Cambria Math" w:hAnsi="Cambria Math"/>
          <w:sz w:val="24"/>
          <w:szCs w:val="24"/>
        </w:rPr>
        <w:t>n full and on time</w:t>
      </w:r>
      <w:r w:rsidR="00D1522D" w:rsidRPr="0076192F">
        <w:rPr>
          <w:rFonts w:ascii="Cambria Math" w:hAnsi="Cambria Math"/>
          <w:sz w:val="24"/>
          <w:szCs w:val="24"/>
        </w:rPr>
        <w:t>.</w:t>
      </w:r>
      <w:bookmarkStart w:id="1" w:name="_Hlk514748810"/>
      <w:r w:rsidR="00073F32" w:rsidRPr="0076192F">
        <w:rPr>
          <w:rStyle w:val="FootnoteReference"/>
          <w:rFonts w:ascii="Cambria Math" w:hAnsi="Cambria Math"/>
          <w:sz w:val="24"/>
          <w:szCs w:val="24"/>
        </w:rPr>
        <w:t xml:space="preserve"> </w:t>
      </w:r>
      <w:bookmarkEnd w:id="1"/>
      <w:r w:rsidR="003F7D4F" w:rsidRPr="0076192F">
        <w:rPr>
          <w:rFonts w:ascii="Cambria Math" w:hAnsi="Cambria Math"/>
          <w:sz w:val="24"/>
          <w:szCs w:val="24"/>
        </w:rPr>
        <w:t xml:space="preserve">Therefore, </w:t>
      </w:r>
      <w:r w:rsidR="0095531F" w:rsidRPr="0076192F">
        <w:rPr>
          <w:rFonts w:ascii="Cambria Math" w:hAnsi="Cambria Math"/>
          <w:sz w:val="24"/>
          <w:szCs w:val="24"/>
        </w:rPr>
        <w:t xml:space="preserve">sovereign </w:t>
      </w:r>
      <w:r w:rsidR="003F7D4F" w:rsidRPr="0076192F">
        <w:rPr>
          <w:rFonts w:ascii="Cambria Math" w:hAnsi="Cambria Math"/>
          <w:sz w:val="24"/>
          <w:szCs w:val="24"/>
        </w:rPr>
        <w:t xml:space="preserve">ratings </w:t>
      </w:r>
      <w:r w:rsidR="00550C82" w:rsidRPr="0076192F">
        <w:rPr>
          <w:rFonts w:ascii="Cambria Math" w:hAnsi="Cambria Math"/>
          <w:sz w:val="24"/>
          <w:szCs w:val="24"/>
        </w:rPr>
        <w:t xml:space="preserve">influence </w:t>
      </w:r>
      <w:r w:rsidR="003F7D4F" w:rsidRPr="0076192F">
        <w:rPr>
          <w:rFonts w:ascii="Cambria Math" w:hAnsi="Cambria Math"/>
          <w:sz w:val="24"/>
          <w:szCs w:val="24"/>
        </w:rPr>
        <w:t>to a large extent borrowing costs in international markets both for a sovereign state and the financial institutions operating in that sovereign state (see</w:t>
      </w:r>
      <w:r w:rsidR="007A4E74" w:rsidRPr="0076192F">
        <w:rPr>
          <w:rFonts w:ascii="Cambria Math" w:hAnsi="Cambria Math"/>
          <w:sz w:val="24"/>
          <w:szCs w:val="24"/>
        </w:rPr>
        <w:t xml:space="preserve"> e.g.</w:t>
      </w:r>
      <w:r w:rsidR="003F7D4F" w:rsidRPr="0076192F">
        <w:rPr>
          <w:rFonts w:ascii="Cambria Math" w:hAnsi="Cambria Math"/>
          <w:sz w:val="24"/>
          <w:szCs w:val="24"/>
        </w:rPr>
        <w:t xml:space="preserve"> Drago and Gallo, 2017</w:t>
      </w:r>
      <w:r w:rsidR="000D3F1D" w:rsidRPr="0076192F">
        <w:rPr>
          <w:rFonts w:ascii="Cambria Math" w:hAnsi="Cambria Math"/>
          <w:sz w:val="24"/>
          <w:szCs w:val="24"/>
        </w:rPr>
        <w:t>a</w:t>
      </w:r>
      <w:r w:rsidR="003F7D4F" w:rsidRPr="0076192F">
        <w:rPr>
          <w:rFonts w:ascii="Cambria Math" w:hAnsi="Cambria Math"/>
          <w:sz w:val="24"/>
          <w:szCs w:val="24"/>
        </w:rPr>
        <w:t>) which</w:t>
      </w:r>
      <w:r w:rsidR="007F63DF" w:rsidRPr="0076192F">
        <w:rPr>
          <w:rFonts w:ascii="Cambria Math" w:hAnsi="Cambria Math"/>
          <w:sz w:val="24"/>
          <w:szCs w:val="24"/>
        </w:rPr>
        <w:t>,</w:t>
      </w:r>
      <w:r w:rsidR="003F7D4F" w:rsidRPr="0076192F">
        <w:rPr>
          <w:rFonts w:ascii="Cambria Math" w:hAnsi="Cambria Math"/>
          <w:sz w:val="24"/>
          <w:szCs w:val="24"/>
        </w:rPr>
        <w:t xml:space="preserve"> </w:t>
      </w:r>
      <w:r w:rsidR="007F63DF" w:rsidRPr="0076192F">
        <w:rPr>
          <w:rFonts w:ascii="Cambria Math" w:hAnsi="Cambria Math"/>
          <w:sz w:val="24"/>
          <w:szCs w:val="24"/>
        </w:rPr>
        <w:t xml:space="preserve">in turn, affects the lending supply of banks (Drago and Gallo, 2017b) as well as </w:t>
      </w:r>
      <w:r w:rsidR="003F7D4F" w:rsidRPr="0076192F">
        <w:rPr>
          <w:rFonts w:ascii="Cambria Math" w:hAnsi="Cambria Math"/>
          <w:sz w:val="24"/>
          <w:szCs w:val="24"/>
        </w:rPr>
        <w:t xml:space="preserve">investment </w:t>
      </w:r>
      <w:r w:rsidR="007F63DF" w:rsidRPr="0076192F">
        <w:rPr>
          <w:rFonts w:ascii="Cambria Math" w:hAnsi="Cambria Math"/>
          <w:sz w:val="24"/>
          <w:szCs w:val="24"/>
        </w:rPr>
        <w:t xml:space="preserve">decisions </w:t>
      </w:r>
      <w:r w:rsidR="003F7D4F" w:rsidRPr="0076192F">
        <w:rPr>
          <w:rFonts w:ascii="Cambria Math" w:hAnsi="Cambria Math"/>
          <w:sz w:val="24"/>
          <w:szCs w:val="24"/>
        </w:rPr>
        <w:t xml:space="preserve">and </w:t>
      </w:r>
      <w:r w:rsidR="007F63DF" w:rsidRPr="0076192F">
        <w:rPr>
          <w:rFonts w:ascii="Cambria Math" w:hAnsi="Cambria Math"/>
          <w:sz w:val="24"/>
          <w:szCs w:val="24"/>
        </w:rPr>
        <w:t xml:space="preserve">ultimately </w:t>
      </w:r>
      <w:r w:rsidR="003F7D4F" w:rsidRPr="0076192F">
        <w:rPr>
          <w:rFonts w:ascii="Cambria Math" w:hAnsi="Cambria Math"/>
          <w:sz w:val="24"/>
          <w:szCs w:val="24"/>
        </w:rPr>
        <w:t>economic growth (see e.g. Chen et al., 2016).</w:t>
      </w:r>
      <w:r w:rsidR="00503188" w:rsidRPr="0076192F">
        <w:rPr>
          <w:rFonts w:ascii="Cambria Math" w:hAnsi="Cambria Math"/>
          <w:sz w:val="24"/>
          <w:szCs w:val="24"/>
        </w:rPr>
        <w:t xml:space="preserve"> </w:t>
      </w:r>
    </w:p>
    <w:p w14:paraId="484D72E4" w14:textId="4EA37B1A" w:rsidR="008D2261" w:rsidRPr="0076192F" w:rsidRDefault="007919ED" w:rsidP="008D2261">
      <w:pPr>
        <w:jc w:val="both"/>
        <w:rPr>
          <w:rFonts w:ascii="Cambria Math" w:hAnsi="Cambria Math"/>
          <w:sz w:val="24"/>
          <w:szCs w:val="24"/>
        </w:rPr>
      </w:pPr>
      <w:r w:rsidRPr="0076192F">
        <w:rPr>
          <w:rFonts w:ascii="Cambria Math" w:hAnsi="Cambria Math"/>
          <w:sz w:val="24"/>
          <w:szCs w:val="24"/>
        </w:rPr>
        <w:lastRenderedPageBreak/>
        <w:t xml:space="preserve">With so much </w:t>
      </w:r>
      <w:r w:rsidR="00E4160A" w:rsidRPr="0076192F">
        <w:rPr>
          <w:rFonts w:ascii="Cambria Math" w:hAnsi="Cambria Math"/>
          <w:sz w:val="24"/>
          <w:szCs w:val="24"/>
        </w:rPr>
        <w:t xml:space="preserve">at stake </w:t>
      </w:r>
      <w:r w:rsidRPr="0076192F">
        <w:rPr>
          <w:rFonts w:ascii="Cambria Math" w:hAnsi="Cambria Math"/>
          <w:sz w:val="24"/>
          <w:szCs w:val="24"/>
        </w:rPr>
        <w:t xml:space="preserve">in terms of future financial </w:t>
      </w:r>
      <w:r w:rsidR="00E4160A" w:rsidRPr="0076192F">
        <w:rPr>
          <w:rFonts w:ascii="Cambria Math" w:hAnsi="Cambria Math"/>
          <w:sz w:val="24"/>
          <w:szCs w:val="24"/>
        </w:rPr>
        <w:t>repayments</w:t>
      </w:r>
      <w:r w:rsidRPr="0076192F">
        <w:rPr>
          <w:rFonts w:ascii="Cambria Math" w:hAnsi="Cambria Math"/>
          <w:sz w:val="24"/>
          <w:szCs w:val="24"/>
        </w:rPr>
        <w:t xml:space="preserve"> and investment planning</w:t>
      </w:r>
      <w:r w:rsidR="00595897" w:rsidRPr="0076192F">
        <w:rPr>
          <w:rFonts w:ascii="Cambria Math" w:hAnsi="Cambria Math"/>
          <w:sz w:val="24"/>
          <w:szCs w:val="24"/>
        </w:rPr>
        <w:t>,</w:t>
      </w:r>
      <w:r w:rsidRPr="0076192F">
        <w:rPr>
          <w:rFonts w:ascii="Cambria Math" w:hAnsi="Cambria Math"/>
          <w:sz w:val="24"/>
          <w:szCs w:val="24"/>
        </w:rPr>
        <w:t xml:space="preserve"> it is </w:t>
      </w:r>
      <w:r w:rsidR="005C74BB" w:rsidRPr="0076192F">
        <w:rPr>
          <w:rFonts w:ascii="Cambria Math" w:hAnsi="Cambria Math"/>
          <w:sz w:val="24"/>
          <w:szCs w:val="24"/>
        </w:rPr>
        <w:t xml:space="preserve">not surprising that the </w:t>
      </w:r>
      <w:r w:rsidR="008A4D93" w:rsidRPr="0076192F">
        <w:rPr>
          <w:rFonts w:ascii="Cambria Math" w:hAnsi="Cambria Math"/>
          <w:sz w:val="24"/>
          <w:szCs w:val="24"/>
        </w:rPr>
        <w:t>way</w:t>
      </w:r>
      <w:r w:rsidRPr="0076192F">
        <w:rPr>
          <w:rFonts w:ascii="Cambria Math" w:hAnsi="Cambria Math"/>
          <w:sz w:val="24"/>
          <w:szCs w:val="24"/>
        </w:rPr>
        <w:t xml:space="preserve"> </w:t>
      </w:r>
      <w:r w:rsidR="00E54579" w:rsidRPr="0076192F">
        <w:rPr>
          <w:rFonts w:ascii="Cambria Math" w:hAnsi="Cambria Math"/>
          <w:sz w:val="24"/>
          <w:szCs w:val="24"/>
        </w:rPr>
        <w:t>CRAs</w:t>
      </w:r>
      <w:r w:rsidR="005C74BB" w:rsidRPr="0076192F">
        <w:rPr>
          <w:rFonts w:ascii="Cambria Math" w:hAnsi="Cambria Math"/>
          <w:sz w:val="24"/>
          <w:szCs w:val="24"/>
        </w:rPr>
        <w:t xml:space="preserve"> assess credit scores has received increasing attention. </w:t>
      </w:r>
      <w:r w:rsidR="000F01D9" w:rsidRPr="0076192F">
        <w:rPr>
          <w:rFonts w:ascii="Cambria Math" w:hAnsi="Cambria Math"/>
          <w:sz w:val="24"/>
          <w:szCs w:val="24"/>
        </w:rPr>
        <w:t>Criticism has focus</w:t>
      </w:r>
      <w:r w:rsidR="005C74BB" w:rsidRPr="0076192F">
        <w:rPr>
          <w:rFonts w:ascii="Cambria Math" w:hAnsi="Cambria Math"/>
          <w:sz w:val="24"/>
          <w:szCs w:val="24"/>
        </w:rPr>
        <w:t>s</w:t>
      </w:r>
      <w:r w:rsidR="000F01D9" w:rsidRPr="0076192F">
        <w:rPr>
          <w:rFonts w:ascii="Cambria Math" w:hAnsi="Cambria Math"/>
          <w:sz w:val="24"/>
          <w:szCs w:val="24"/>
        </w:rPr>
        <w:t xml:space="preserve">ed on the inability </w:t>
      </w:r>
      <w:r w:rsidR="005C74BB" w:rsidRPr="0076192F">
        <w:rPr>
          <w:rFonts w:ascii="Cambria Math" w:hAnsi="Cambria Math"/>
          <w:sz w:val="24"/>
          <w:szCs w:val="24"/>
        </w:rPr>
        <w:t xml:space="preserve">of CRAs </w:t>
      </w:r>
      <w:r w:rsidR="000F01D9" w:rsidRPr="0076192F">
        <w:rPr>
          <w:rFonts w:ascii="Cambria Math" w:hAnsi="Cambria Math"/>
          <w:sz w:val="24"/>
          <w:szCs w:val="24"/>
        </w:rPr>
        <w:t xml:space="preserve">to predict corporate defaults </w:t>
      </w:r>
      <w:r w:rsidR="005C74BB" w:rsidRPr="0076192F">
        <w:rPr>
          <w:rFonts w:ascii="Cambria Math" w:hAnsi="Cambria Math"/>
          <w:sz w:val="24"/>
          <w:szCs w:val="24"/>
        </w:rPr>
        <w:t xml:space="preserve">that </w:t>
      </w:r>
      <w:r w:rsidR="000F01D9" w:rsidRPr="0076192F">
        <w:rPr>
          <w:rFonts w:ascii="Cambria Math" w:hAnsi="Cambria Math"/>
          <w:sz w:val="24"/>
          <w:szCs w:val="24"/>
        </w:rPr>
        <w:t xml:space="preserve">took place </w:t>
      </w:r>
      <w:r w:rsidR="00E54579" w:rsidRPr="0076192F">
        <w:rPr>
          <w:rFonts w:ascii="Cambria Math" w:hAnsi="Cambria Math"/>
          <w:sz w:val="24"/>
          <w:szCs w:val="24"/>
        </w:rPr>
        <w:t xml:space="preserve">in </w:t>
      </w:r>
      <w:r w:rsidR="00F92696" w:rsidRPr="0076192F">
        <w:rPr>
          <w:rFonts w:ascii="Cambria Math" w:hAnsi="Cambria Math"/>
          <w:sz w:val="24"/>
          <w:szCs w:val="24"/>
        </w:rPr>
        <w:t xml:space="preserve">the </w:t>
      </w:r>
      <w:r w:rsidR="00E54579" w:rsidRPr="0076192F">
        <w:rPr>
          <w:rFonts w:ascii="Cambria Math" w:hAnsi="Cambria Math"/>
          <w:sz w:val="24"/>
          <w:szCs w:val="24"/>
        </w:rPr>
        <w:t xml:space="preserve">US during 2007-2008 </w:t>
      </w:r>
      <w:r w:rsidR="00193342" w:rsidRPr="0076192F">
        <w:rPr>
          <w:rFonts w:ascii="Cambria Math" w:hAnsi="Cambria Math"/>
          <w:sz w:val="24"/>
          <w:szCs w:val="24"/>
        </w:rPr>
        <w:t>(</w:t>
      </w:r>
      <w:r w:rsidR="000A3962" w:rsidRPr="0076192F">
        <w:rPr>
          <w:rFonts w:ascii="Cambria Math" w:hAnsi="Cambria Math"/>
          <w:sz w:val="24"/>
          <w:szCs w:val="24"/>
        </w:rPr>
        <w:t>see e.g. Baghai et al., 2014)</w:t>
      </w:r>
      <w:r w:rsidR="00F15480">
        <w:rPr>
          <w:rFonts w:ascii="Cambria Math" w:hAnsi="Cambria Math"/>
          <w:sz w:val="24"/>
          <w:szCs w:val="24"/>
        </w:rPr>
        <w:t xml:space="preserve">, </w:t>
      </w:r>
      <w:r w:rsidR="00E54579" w:rsidRPr="0076192F">
        <w:rPr>
          <w:rFonts w:ascii="Cambria Math" w:hAnsi="Cambria Math"/>
          <w:sz w:val="24"/>
          <w:szCs w:val="24"/>
        </w:rPr>
        <w:t>the</w:t>
      </w:r>
      <w:r w:rsidR="00374F1F" w:rsidRPr="0076192F">
        <w:rPr>
          <w:rFonts w:ascii="Cambria Math" w:hAnsi="Cambria Math"/>
          <w:sz w:val="24"/>
          <w:szCs w:val="24"/>
        </w:rPr>
        <w:t>ir</w:t>
      </w:r>
      <w:r w:rsidR="00E54579" w:rsidRPr="0076192F">
        <w:rPr>
          <w:rFonts w:ascii="Cambria Math" w:hAnsi="Cambria Math"/>
          <w:sz w:val="24"/>
          <w:szCs w:val="24"/>
        </w:rPr>
        <w:t xml:space="preserve"> </w:t>
      </w:r>
      <w:r w:rsidR="00374F1F" w:rsidRPr="0076192F">
        <w:rPr>
          <w:rFonts w:ascii="Cambria Math" w:hAnsi="Cambria Math"/>
          <w:sz w:val="24"/>
          <w:szCs w:val="24"/>
        </w:rPr>
        <w:t xml:space="preserve">potential </w:t>
      </w:r>
      <w:r w:rsidR="00F92696" w:rsidRPr="0076192F">
        <w:rPr>
          <w:rFonts w:ascii="Cambria Math" w:hAnsi="Cambria Math"/>
          <w:sz w:val="24"/>
          <w:szCs w:val="24"/>
        </w:rPr>
        <w:t>role</w:t>
      </w:r>
      <w:r w:rsidR="00374F1F" w:rsidRPr="0076192F">
        <w:rPr>
          <w:rFonts w:ascii="Cambria Math" w:hAnsi="Cambria Math"/>
          <w:sz w:val="24"/>
          <w:szCs w:val="24"/>
        </w:rPr>
        <w:t xml:space="preserve"> </w:t>
      </w:r>
      <w:r w:rsidR="00F92696" w:rsidRPr="0076192F">
        <w:rPr>
          <w:rFonts w:ascii="Cambria Math" w:hAnsi="Cambria Math"/>
          <w:sz w:val="24"/>
          <w:szCs w:val="24"/>
        </w:rPr>
        <w:t>in</w:t>
      </w:r>
      <w:r w:rsidR="00374F1F" w:rsidRPr="0076192F">
        <w:rPr>
          <w:rFonts w:ascii="Cambria Math" w:hAnsi="Cambria Math"/>
          <w:sz w:val="24"/>
          <w:szCs w:val="24"/>
        </w:rPr>
        <w:t xml:space="preserve"> the </w:t>
      </w:r>
      <w:r w:rsidR="00E54579" w:rsidRPr="0076192F">
        <w:rPr>
          <w:rFonts w:ascii="Cambria Math" w:hAnsi="Cambria Math"/>
          <w:sz w:val="24"/>
          <w:szCs w:val="24"/>
        </w:rPr>
        <w:t xml:space="preserve">acceleration of </w:t>
      </w:r>
      <w:r w:rsidR="00374F1F" w:rsidRPr="0076192F">
        <w:rPr>
          <w:rFonts w:ascii="Cambria Math" w:hAnsi="Cambria Math"/>
          <w:sz w:val="24"/>
          <w:szCs w:val="24"/>
        </w:rPr>
        <w:t xml:space="preserve">the </w:t>
      </w:r>
      <w:r w:rsidR="00E54579" w:rsidRPr="0076192F">
        <w:rPr>
          <w:rFonts w:ascii="Cambria Math" w:hAnsi="Cambria Math"/>
          <w:sz w:val="24"/>
          <w:szCs w:val="24"/>
        </w:rPr>
        <w:t>sovereign debt crisis by massively downgrading Eurozone periphery bonds</w:t>
      </w:r>
      <w:r w:rsidR="005C74BB" w:rsidRPr="0076192F">
        <w:rPr>
          <w:rFonts w:ascii="Cambria Math" w:hAnsi="Cambria Math"/>
          <w:sz w:val="24"/>
          <w:szCs w:val="24"/>
        </w:rPr>
        <w:t xml:space="preserve"> (</w:t>
      </w:r>
      <w:r w:rsidR="00193342" w:rsidRPr="0076192F">
        <w:rPr>
          <w:rFonts w:ascii="Cambria Math" w:hAnsi="Cambria Math"/>
          <w:sz w:val="24"/>
          <w:szCs w:val="24"/>
        </w:rPr>
        <w:t xml:space="preserve">see e.g. </w:t>
      </w:r>
      <w:r w:rsidR="005C74BB" w:rsidRPr="0076192F">
        <w:rPr>
          <w:rFonts w:ascii="Cambria Math" w:hAnsi="Cambria Math"/>
          <w:sz w:val="24"/>
          <w:szCs w:val="24"/>
        </w:rPr>
        <w:t>Boum</w:t>
      </w:r>
      <w:r w:rsidRPr="0076192F">
        <w:rPr>
          <w:rFonts w:ascii="Cambria Math" w:hAnsi="Cambria Math"/>
          <w:sz w:val="24"/>
          <w:szCs w:val="24"/>
        </w:rPr>
        <w:t>p</w:t>
      </w:r>
      <w:r w:rsidR="005C74BB" w:rsidRPr="0076192F">
        <w:rPr>
          <w:rFonts w:ascii="Cambria Math" w:hAnsi="Cambria Math"/>
          <w:sz w:val="24"/>
          <w:szCs w:val="24"/>
        </w:rPr>
        <w:t>aris et al</w:t>
      </w:r>
      <w:r w:rsidR="008A4D93" w:rsidRPr="0076192F">
        <w:rPr>
          <w:rFonts w:ascii="Cambria Math" w:hAnsi="Cambria Math"/>
          <w:sz w:val="24"/>
          <w:szCs w:val="24"/>
        </w:rPr>
        <w:t>.</w:t>
      </w:r>
      <w:r w:rsidR="005C74BB" w:rsidRPr="0076192F">
        <w:rPr>
          <w:rFonts w:ascii="Cambria Math" w:hAnsi="Cambria Math"/>
          <w:sz w:val="24"/>
          <w:szCs w:val="24"/>
        </w:rPr>
        <w:t>, 2017)</w:t>
      </w:r>
      <w:r w:rsidR="00F15480">
        <w:rPr>
          <w:rFonts w:ascii="Cambria Math" w:hAnsi="Cambria Math"/>
          <w:sz w:val="24"/>
          <w:szCs w:val="24"/>
        </w:rPr>
        <w:t xml:space="preserve"> and on the effect of subjectivity in their assessment methods (see </w:t>
      </w:r>
      <w:r w:rsidR="00F15480" w:rsidRPr="00F15480">
        <w:rPr>
          <w:rFonts w:ascii="Cambria Math" w:hAnsi="Cambria Math"/>
          <w:sz w:val="24"/>
          <w:szCs w:val="24"/>
        </w:rPr>
        <w:t>De Moor</w:t>
      </w:r>
      <w:r w:rsidR="00F15480">
        <w:rPr>
          <w:rFonts w:ascii="Cambria Math" w:hAnsi="Cambria Math"/>
          <w:sz w:val="24"/>
          <w:szCs w:val="24"/>
        </w:rPr>
        <w:t xml:space="preserve"> et al.,</w:t>
      </w:r>
      <w:r w:rsidR="00A738CF" w:rsidRPr="00A738CF">
        <w:rPr>
          <w:rFonts w:ascii="Cambria Math" w:hAnsi="Cambria Math"/>
          <w:sz w:val="24"/>
          <w:szCs w:val="24"/>
        </w:rPr>
        <w:t xml:space="preserve"> </w:t>
      </w:r>
      <w:r w:rsidR="00F15480">
        <w:rPr>
          <w:rFonts w:ascii="Cambria Math" w:hAnsi="Cambria Math"/>
          <w:sz w:val="24"/>
          <w:szCs w:val="24"/>
        </w:rPr>
        <w:t xml:space="preserve">2018). </w:t>
      </w:r>
      <w:r w:rsidR="0067671D">
        <w:rPr>
          <w:rStyle w:val="FootnoteReference"/>
          <w:rFonts w:ascii="Cambria Math" w:hAnsi="Cambria Math"/>
          <w:sz w:val="24"/>
          <w:szCs w:val="24"/>
        </w:rPr>
        <w:footnoteReference w:id="3"/>
      </w:r>
      <w:r w:rsidR="009C6F22" w:rsidRPr="0076192F">
        <w:rPr>
          <w:rFonts w:ascii="Cambria Math" w:hAnsi="Cambria Math"/>
          <w:sz w:val="24"/>
          <w:szCs w:val="24"/>
        </w:rPr>
        <w:t xml:space="preserve"> </w:t>
      </w:r>
      <w:r w:rsidR="008D2261" w:rsidRPr="0076192F">
        <w:rPr>
          <w:rFonts w:ascii="Cambria Math" w:hAnsi="Cambria Math"/>
          <w:sz w:val="24"/>
          <w:szCs w:val="24"/>
        </w:rPr>
        <w:t>Decisions by CRAs have indeed been questioned by policymakers</w:t>
      </w:r>
      <w:r w:rsidR="00A4716F" w:rsidRPr="0076192F">
        <w:rPr>
          <w:rFonts w:ascii="Cambria Math" w:hAnsi="Cambria Math"/>
          <w:sz w:val="24"/>
          <w:szCs w:val="24"/>
        </w:rPr>
        <w:t>.</w:t>
      </w:r>
      <w:r w:rsidR="008D2261" w:rsidRPr="0076192F">
        <w:rPr>
          <w:rFonts w:ascii="Cambria Math" w:hAnsi="Cambria Math"/>
          <w:sz w:val="24"/>
          <w:szCs w:val="24"/>
        </w:rPr>
        <w:t xml:space="preserve"> </w:t>
      </w:r>
      <w:r w:rsidR="006F014E" w:rsidRPr="0076192F">
        <w:rPr>
          <w:rFonts w:ascii="Cambria Math" w:hAnsi="Cambria Math"/>
          <w:sz w:val="24"/>
          <w:szCs w:val="24"/>
        </w:rPr>
        <w:t>In 2012, f</w:t>
      </w:r>
      <w:r w:rsidR="008D2261" w:rsidRPr="0076192F">
        <w:rPr>
          <w:rFonts w:ascii="Cambria Math" w:hAnsi="Cambria Math"/>
          <w:sz w:val="24"/>
          <w:szCs w:val="24"/>
        </w:rPr>
        <w:t xml:space="preserve">or instance, both European Central Bank (ECB) President Mario Draghi and </w:t>
      </w:r>
      <w:r w:rsidR="004F59E2" w:rsidRPr="0076192F">
        <w:rPr>
          <w:rFonts w:ascii="Cambria Math" w:hAnsi="Cambria Math"/>
          <w:sz w:val="24"/>
          <w:szCs w:val="24"/>
        </w:rPr>
        <w:t xml:space="preserve">(at the time) </w:t>
      </w:r>
      <w:r w:rsidR="008D2261" w:rsidRPr="0076192F">
        <w:rPr>
          <w:rFonts w:ascii="Cambria Math" w:hAnsi="Cambria Math"/>
          <w:sz w:val="24"/>
          <w:szCs w:val="24"/>
        </w:rPr>
        <w:t xml:space="preserve">Bank of England Governor Mervyn King urged investors to pay less attention to CRAs and to make up their own minds about </w:t>
      </w:r>
      <w:r w:rsidR="004408E1" w:rsidRPr="0076192F">
        <w:rPr>
          <w:rFonts w:ascii="Cambria Math" w:hAnsi="Cambria Math"/>
          <w:sz w:val="24"/>
          <w:szCs w:val="24"/>
        </w:rPr>
        <w:t>how much</w:t>
      </w:r>
      <w:r w:rsidR="008D2261" w:rsidRPr="0076192F">
        <w:rPr>
          <w:rFonts w:ascii="Cambria Math" w:hAnsi="Cambria Math"/>
          <w:sz w:val="24"/>
          <w:szCs w:val="24"/>
        </w:rPr>
        <w:t xml:space="preserve"> </w:t>
      </w:r>
      <w:r w:rsidR="004408E1" w:rsidRPr="0076192F">
        <w:rPr>
          <w:rFonts w:ascii="Cambria Math" w:hAnsi="Cambria Math"/>
          <w:sz w:val="24"/>
          <w:szCs w:val="24"/>
        </w:rPr>
        <w:t xml:space="preserve">the region’s </w:t>
      </w:r>
      <w:r w:rsidR="008D2261" w:rsidRPr="0076192F">
        <w:rPr>
          <w:rFonts w:ascii="Cambria Math" w:hAnsi="Cambria Math"/>
          <w:sz w:val="24"/>
          <w:szCs w:val="24"/>
        </w:rPr>
        <w:t>debt is worth.</w:t>
      </w:r>
      <w:r w:rsidR="008D2261" w:rsidRPr="0076192F">
        <w:rPr>
          <w:rStyle w:val="FootnoteReference"/>
          <w:rFonts w:ascii="Cambria Math" w:hAnsi="Cambria Math"/>
          <w:sz w:val="24"/>
          <w:szCs w:val="24"/>
        </w:rPr>
        <w:footnoteReference w:id="4"/>
      </w:r>
      <w:r w:rsidR="004D72E4" w:rsidRPr="0076192F">
        <w:rPr>
          <w:rFonts w:ascii="Cambria Math" w:hAnsi="Cambria Math"/>
          <w:sz w:val="24"/>
          <w:szCs w:val="24"/>
        </w:rPr>
        <w:t xml:space="preserve"> </w:t>
      </w:r>
    </w:p>
    <w:p w14:paraId="2C7FFA8D" w14:textId="1B0ED3F7" w:rsidR="00177F40" w:rsidRPr="0076192F" w:rsidRDefault="00186D5C" w:rsidP="00177F40">
      <w:pPr>
        <w:jc w:val="both"/>
        <w:rPr>
          <w:rFonts w:ascii="Cambria Math" w:hAnsi="Cambria Math"/>
          <w:sz w:val="24"/>
          <w:szCs w:val="24"/>
        </w:rPr>
      </w:pPr>
      <w:r w:rsidRPr="0076192F">
        <w:rPr>
          <w:rFonts w:ascii="Cambria Math" w:hAnsi="Cambria Math"/>
          <w:sz w:val="24"/>
          <w:szCs w:val="24"/>
        </w:rPr>
        <w:t>T</w:t>
      </w:r>
      <w:r w:rsidR="00C17961" w:rsidRPr="0076192F">
        <w:rPr>
          <w:rFonts w:ascii="Cambria Math" w:hAnsi="Cambria Math"/>
          <w:sz w:val="24"/>
          <w:szCs w:val="24"/>
        </w:rPr>
        <w:t xml:space="preserve">his </w:t>
      </w:r>
      <w:r w:rsidRPr="0076192F">
        <w:rPr>
          <w:rFonts w:ascii="Cambria Math" w:hAnsi="Cambria Math"/>
          <w:sz w:val="24"/>
          <w:szCs w:val="24"/>
        </w:rPr>
        <w:t xml:space="preserve">paper </w:t>
      </w:r>
      <w:r w:rsidR="00C54F36" w:rsidRPr="0076192F">
        <w:rPr>
          <w:rFonts w:ascii="Cambria Math" w:hAnsi="Cambria Math"/>
          <w:sz w:val="24"/>
          <w:szCs w:val="24"/>
        </w:rPr>
        <w:t xml:space="preserve">takes the issues raised above to the data by </w:t>
      </w:r>
      <w:r w:rsidR="00053BBC" w:rsidRPr="0076192F">
        <w:rPr>
          <w:rFonts w:ascii="Cambria Math" w:hAnsi="Cambria Math"/>
          <w:sz w:val="24"/>
          <w:szCs w:val="24"/>
        </w:rPr>
        <w:t>modelling</w:t>
      </w:r>
      <w:r w:rsidRPr="0076192F">
        <w:rPr>
          <w:rFonts w:ascii="Cambria Math" w:hAnsi="Cambria Math"/>
          <w:sz w:val="24"/>
          <w:szCs w:val="24"/>
        </w:rPr>
        <w:t xml:space="preserve"> </w:t>
      </w:r>
      <w:r w:rsidR="00053BBC" w:rsidRPr="0076192F">
        <w:rPr>
          <w:rFonts w:ascii="Cambria Math" w:hAnsi="Cambria Math"/>
          <w:sz w:val="24"/>
          <w:szCs w:val="24"/>
        </w:rPr>
        <w:t xml:space="preserve">the behavior of </w:t>
      </w:r>
      <w:r w:rsidRPr="0076192F">
        <w:rPr>
          <w:rFonts w:ascii="Cambria Math" w:hAnsi="Cambria Math"/>
          <w:sz w:val="24"/>
          <w:szCs w:val="24"/>
        </w:rPr>
        <w:t>sovereign ratings in the case of the three main CRAs, namely Moody’s Investor Services, Standard &amp; Poor’s (S&amp;P’s) and Fitch Ratings</w:t>
      </w:r>
      <w:r w:rsidR="00177F40" w:rsidRPr="0076192F">
        <w:rPr>
          <w:rFonts w:ascii="Cambria Math" w:hAnsi="Cambria Math"/>
          <w:sz w:val="24"/>
          <w:szCs w:val="24"/>
        </w:rPr>
        <w:t>.</w:t>
      </w:r>
      <w:r w:rsidRPr="0076192F">
        <w:rPr>
          <w:rStyle w:val="FootnoteReference"/>
          <w:rFonts w:ascii="Cambria Math" w:hAnsi="Cambria Math"/>
          <w:sz w:val="24"/>
          <w:szCs w:val="24"/>
        </w:rPr>
        <w:footnoteReference w:id="5"/>
      </w:r>
      <w:r w:rsidRPr="0076192F">
        <w:rPr>
          <w:rFonts w:ascii="Cambria Math" w:hAnsi="Cambria Math"/>
          <w:sz w:val="24"/>
          <w:szCs w:val="24"/>
        </w:rPr>
        <w:t xml:space="preserve"> </w:t>
      </w:r>
      <w:r w:rsidR="00C17961" w:rsidRPr="0076192F">
        <w:rPr>
          <w:rFonts w:ascii="Cambria Math" w:hAnsi="Cambria Math"/>
          <w:sz w:val="24"/>
          <w:szCs w:val="24"/>
        </w:rPr>
        <w:t>We</w:t>
      </w:r>
      <w:r w:rsidR="00A232DF" w:rsidRPr="0076192F">
        <w:rPr>
          <w:rFonts w:ascii="Cambria Math" w:hAnsi="Cambria Math"/>
          <w:sz w:val="24"/>
          <w:szCs w:val="24"/>
        </w:rPr>
        <w:t xml:space="preserve"> </w:t>
      </w:r>
      <w:r w:rsidR="00D01BDB" w:rsidRPr="0076192F">
        <w:rPr>
          <w:rFonts w:ascii="Cambria Math" w:hAnsi="Cambria Math"/>
          <w:sz w:val="24"/>
          <w:szCs w:val="24"/>
        </w:rPr>
        <w:t xml:space="preserve">extend </w:t>
      </w:r>
      <w:r w:rsidR="00A232DF" w:rsidRPr="0076192F">
        <w:rPr>
          <w:rFonts w:ascii="Cambria Math" w:hAnsi="Cambria Math"/>
          <w:sz w:val="24"/>
          <w:szCs w:val="24"/>
        </w:rPr>
        <w:t>recent</w:t>
      </w:r>
      <w:r w:rsidR="00177F40" w:rsidRPr="0076192F">
        <w:rPr>
          <w:rFonts w:ascii="Cambria Math" w:hAnsi="Cambria Math"/>
          <w:sz w:val="24"/>
          <w:szCs w:val="24"/>
        </w:rPr>
        <w:t xml:space="preserve"> literature (</w:t>
      </w:r>
      <w:r w:rsidR="00B80FB9" w:rsidRPr="0076192F">
        <w:rPr>
          <w:rFonts w:ascii="Cambria Math" w:hAnsi="Cambria Math"/>
          <w:sz w:val="24"/>
          <w:szCs w:val="24"/>
        </w:rPr>
        <w:t xml:space="preserve">see e.g. Reusens and Croux, 2017; Boumparis et al. 2017; and references therein) </w:t>
      </w:r>
      <w:r w:rsidR="002E478E" w:rsidRPr="0076192F">
        <w:rPr>
          <w:rFonts w:ascii="Cambria Math" w:hAnsi="Cambria Math"/>
          <w:sz w:val="24"/>
          <w:szCs w:val="24"/>
        </w:rPr>
        <w:t>by</w:t>
      </w:r>
      <w:r w:rsidR="00A175D9" w:rsidRPr="0076192F">
        <w:rPr>
          <w:rFonts w:ascii="Cambria Math" w:hAnsi="Cambria Math"/>
          <w:sz w:val="24"/>
          <w:szCs w:val="24"/>
        </w:rPr>
        <w:t xml:space="preserve"> </w:t>
      </w:r>
      <w:r w:rsidR="00551C58" w:rsidRPr="0076192F">
        <w:rPr>
          <w:rFonts w:ascii="Cambria Math" w:hAnsi="Cambria Math"/>
          <w:sz w:val="24"/>
          <w:szCs w:val="24"/>
        </w:rPr>
        <w:t>identifying</w:t>
      </w:r>
      <w:r w:rsidR="002E478E" w:rsidRPr="0076192F">
        <w:rPr>
          <w:rFonts w:ascii="Cambria Math" w:hAnsi="Cambria Math"/>
          <w:sz w:val="24"/>
          <w:szCs w:val="24"/>
        </w:rPr>
        <w:t xml:space="preserve"> </w:t>
      </w:r>
      <w:r w:rsidR="00AB52E6" w:rsidRPr="0076192F">
        <w:rPr>
          <w:rFonts w:ascii="Cambria Math" w:hAnsi="Cambria Math"/>
          <w:sz w:val="24"/>
          <w:szCs w:val="24"/>
        </w:rPr>
        <w:t>a</w:t>
      </w:r>
      <w:r w:rsidR="00510974" w:rsidRPr="0076192F">
        <w:rPr>
          <w:rFonts w:ascii="Cambria Math" w:hAnsi="Cambria Math"/>
          <w:sz w:val="24"/>
          <w:szCs w:val="24"/>
        </w:rPr>
        <w:t xml:space="preserve"> feedback loop between sovereign credit ratings and </w:t>
      </w:r>
      <w:r w:rsidR="00037BDE">
        <w:rPr>
          <w:rFonts w:ascii="Cambria Math" w:hAnsi="Cambria Math"/>
          <w:sz w:val="24"/>
          <w:szCs w:val="24"/>
        </w:rPr>
        <w:t>non-performing loans (</w:t>
      </w:r>
      <w:r w:rsidR="00510974" w:rsidRPr="0076192F">
        <w:rPr>
          <w:rFonts w:ascii="Cambria Math" w:hAnsi="Cambria Math"/>
          <w:sz w:val="24"/>
          <w:szCs w:val="24"/>
        </w:rPr>
        <w:t>NPLs</w:t>
      </w:r>
      <w:r w:rsidR="00037BDE">
        <w:rPr>
          <w:rFonts w:ascii="Cambria Math" w:hAnsi="Cambria Math"/>
          <w:sz w:val="24"/>
          <w:szCs w:val="24"/>
        </w:rPr>
        <w:t>)</w:t>
      </w:r>
      <w:r w:rsidR="00510974" w:rsidRPr="0076192F">
        <w:rPr>
          <w:rFonts w:ascii="Cambria Math" w:hAnsi="Cambria Math"/>
          <w:sz w:val="24"/>
          <w:szCs w:val="24"/>
        </w:rPr>
        <w:t xml:space="preserve"> </w:t>
      </w:r>
      <w:r w:rsidR="00FD389B">
        <w:rPr>
          <w:rFonts w:ascii="Cambria Math" w:hAnsi="Cambria Math"/>
          <w:sz w:val="24"/>
          <w:szCs w:val="24"/>
        </w:rPr>
        <w:t>as a measure of bank</w:t>
      </w:r>
      <w:r w:rsidR="00694EB7">
        <w:rPr>
          <w:rFonts w:ascii="Cambria Math" w:hAnsi="Cambria Math"/>
          <w:sz w:val="24"/>
          <w:szCs w:val="24"/>
        </w:rPr>
        <w:t>ing</w:t>
      </w:r>
      <w:r w:rsidR="00FD389B">
        <w:rPr>
          <w:rFonts w:ascii="Cambria Math" w:hAnsi="Cambria Math"/>
          <w:sz w:val="24"/>
          <w:szCs w:val="24"/>
        </w:rPr>
        <w:t xml:space="preserve"> risk </w:t>
      </w:r>
      <w:r w:rsidR="00C24212" w:rsidRPr="0076192F">
        <w:rPr>
          <w:rFonts w:ascii="Cambria Math" w:hAnsi="Cambria Math"/>
          <w:sz w:val="24"/>
          <w:szCs w:val="24"/>
        </w:rPr>
        <w:t xml:space="preserve">over and above </w:t>
      </w:r>
      <w:r w:rsidR="007E72D3" w:rsidRPr="0076192F">
        <w:rPr>
          <w:rFonts w:ascii="Cambria Math" w:hAnsi="Cambria Math"/>
          <w:sz w:val="24"/>
          <w:szCs w:val="24"/>
        </w:rPr>
        <w:t xml:space="preserve">the impact of </w:t>
      </w:r>
      <w:r w:rsidR="00C24212" w:rsidRPr="0076192F">
        <w:rPr>
          <w:rFonts w:ascii="Cambria Math" w:hAnsi="Cambria Math"/>
          <w:sz w:val="24"/>
          <w:szCs w:val="24"/>
        </w:rPr>
        <w:t>macroeconomic and financial determinants</w:t>
      </w:r>
      <w:r w:rsidR="00725161">
        <w:rPr>
          <w:rFonts w:ascii="Cambria Math" w:hAnsi="Cambria Math"/>
          <w:sz w:val="24"/>
          <w:szCs w:val="24"/>
        </w:rPr>
        <w:t xml:space="preserve">, namely </w:t>
      </w:r>
      <w:r w:rsidR="002947A6" w:rsidRPr="0076192F">
        <w:rPr>
          <w:rFonts w:ascii="Cambria Math" w:hAnsi="Cambria Math"/>
          <w:sz w:val="24"/>
          <w:szCs w:val="24"/>
        </w:rPr>
        <w:t xml:space="preserve">uncertainty, </w:t>
      </w:r>
      <w:r w:rsidR="002947A6" w:rsidRPr="0076192F">
        <w:rPr>
          <w:rFonts w:ascii="Cambria Math" w:hAnsi="Cambria Math" w:cs="Times New Roman"/>
          <w:sz w:val="24"/>
          <w:szCs w:val="24"/>
        </w:rPr>
        <w:t>GDP growth, government debt-to-GDP ratio, investment-to-GDP ratio and the fiscal balance-to-GDP ratio</w:t>
      </w:r>
      <w:r w:rsidR="00A175D9" w:rsidRPr="00FC5298">
        <w:rPr>
          <w:rFonts w:ascii="Cambria Math" w:hAnsi="Cambria Math"/>
          <w:sz w:val="24"/>
          <w:szCs w:val="24"/>
        </w:rPr>
        <w:t xml:space="preserve">. </w:t>
      </w:r>
      <w:r w:rsidR="002E478E" w:rsidRPr="00FC5298">
        <w:rPr>
          <w:rFonts w:ascii="Cambria Math" w:hAnsi="Cambria Math"/>
          <w:sz w:val="24"/>
          <w:szCs w:val="24"/>
        </w:rPr>
        <w:t xml:space="preserve">This is done </w:t>
      </w:r>
      <w:r w:rsidR="00AA73C8" w:rsidRPr="0076192F">
        <w:rPr>
          <w:rFonts w:ascii="Cambria Math" w:hAnsi="Cambria Math"/>
          <w:sz w:val="24"/>
          <w:szCs w:val="24"/>
        </w:rPr>
        <w:t>within</w:t>
      </w:r>
      <w:r w:rsidR="002E478E" w:rsidRPr="0076192F">
        <w:rPr>
          <w:rFonts w:ascii="Cambria Math" w:hAnsi="Cambria Math"/>
          <w:sz w:val="24"/>
          <w:szCs w:val="24"/>
        </w:rPr>
        <w:t xml:space="preserve"> </w:t>
      </w:r>
      <w:r w:rsidR="002947A6" w:rsidRPr="0076192F">
        <w:rPr>
          <w:rFonts w:ascii="Cambria Math" w:hAnsi="Cambria Math"/>
          <w:sz w:val="24"/>
          <w:szCs w:val="24"/>
        </w:rPr>
        <w:t xml:space="preserve">a Panel Vector AutoRegressive (PVAR) model </w:t>
      </w:r>
      <w:r w:rsidR="002E478E" w:rsidRPr="0076192F">
        <w:rPr>
          <w:rFonts w:ascii="Cambria Math" w:hAnsi="Cambria Math"/>
          <w:sz w:val="24"/>
          <w:szCs w:val="24"/>
        </w:rPr>
        <w:t xml:space="preserve">which </w:t>
      </w:r>
      <w:r w:rsidR="00177F40" w:rsidRPr="0076192F">
        <w:rPr>
          <w:rFonts w:ascii="Cambria Math" w:hAnsi="Cambria Math"/>
          <w:sz w:val="24"/>
          <w:szCs w:val="24"/>
        </w:rPr>
        <w:t xml:space="preserve">allows us to </w:t>
      </w:r>
      <w:r w:rsidR="00E604D6" w:rsidRPr="0076192F">
        <w:rPr>
          <w:rFonts w:ascii="Cambria Math" w:hAnsi="Cambria Math"/>
          <w:sz w:val="24"/>
          <w:szCs w:val="24"/>
        </w:rPr>
        <w:t xml:space="preserve">tackle </w:t>
      </w:r>
      <w:r w:rsidR="00177F40" w:rsidRPr="0076192F">
        <w:rPr>
          <w:rFonts w:ascii="Cambria Math" w:hAnsi="Cambria Math"/>
          <w:sz w:val="24"/>
          <w:szCs w:val="24"/>
        </w:rPr>
        <w:t>endogeneity issues that arise since sovereign ratings respond to but also cause country</w:t>
      </w:r>
      <w:r w:rsidR="00A232DF" w:rsidRPr="0076192F">
        <w:rPr>
          <w:rFonts w:ascii="Cambria Math" w:hAnsi="Cambria Math"/>
          <w:sz w:val="24"/>
          <w:szCs w:val="24"/>
        </w:rPr>
        <w:t>-</w:t>
      </w:r>
      <w:r w:rsidR="00177F40" w:rsidRPr="0076192F">
        <w:rPr>
          <w:rFonts w:ascii="Cambria Math" w:hAnsi="Cambria Math"/>
          <w:sz w:val="24"/>
          <w:szCs w:val="24"/>
        </w:rPr>
        <w:t xml:space="preserve">specific </w:t>
      </w:r>
      <w:r w:rsidR="00104400" w:rsidRPr="0076192F">
        <w:rPr>
          <w:rFonts w:ascii="Cambria Math" w:hAnsi="Cambria Math"/>
          <w:sz w:val="24"/>
          <w:szCs w:val="24"/>
        </w:rPr>
        <w:t xml:space="preserve">macroeconomic and financial </w:t>
      </w:r>
      <w:r w:rsidR="00177F40" w:rsidRPr="0076192F">
        <w:rPr>
          <w:rFonts w:ascii="Cambria Math" w:hAnsi="Cambria Math"/>
          <w:sz w:val="24"/>
          <w:szCs w:val="24"/>
        </w:rPr>
        <w:t xml:space="preserve">developments. </w:t>
      </w:r>
    </w:p>
    <w:p w14:paraId="6C3F5EBC" w14:textId="6153B813" w:rsidR="00F447BD" w:rsidRPr="0076192F" w:rsidRDefault="002C4B8E" w:rsidP="00177F40">
      <w:pPr>
        <w:jc w:val="both"/>
        <w:rPr>
          <w:rFonts w:ascii="Cambria Math" w:hAnsi="Cambria Math"/>
          <w:sz w:val="24"/>
          <w:szCs w:val="24"/>
        </w:rPr>
      </w:pPr>
      <w:r w:rsidRPr="0076192F">
        <w:rPr>
          <w:rFonts w:ascii="Cambria Math" w:hAnsi="Cambria Math"/>
          <w:sz w:val="24"/>
          <w:szCs w:val="24"/>
        </w:rPr>
        <w:lastRenderedPageBreak/>
        <w:t>Th</w:t>
      </w:r>
      <w:r w:rsidR="00A232DF" w:rsidRPr="0076192F">
        <w:rPr>
          <w:rFonts w:ascii="Cambria Math" w:hAnsi="Cambria Math"/>
          <w:sz w:val="24"/>
          <w:szCs w:val="24"/>
        </w:rPr>
        <w:t>ere are good reasons to suggest</w:t>
      </w:r>
      <w:r w:rsidR="00825461" w:rsidRPr="0076192F">
        <w:rPr>
          <w:rFonts w:ascii="Cambria Math" w:hAnsi="Cambria Math"/>
          <w:sz w:val="24"/>
          <w:szCs w:val="24"/>
        </w:rPr>
        <w:t xml:space="preserve"> </w:t>
      </w:r>
      <w:r w:rsidR="00A232DF" w:rsidRPr="0076192F">
        <w:rPr>
          <w:rFonts w:ascii="Cambria Math" w:hAnsi="Cambria Math"/>
          <w:sz w:val="24"/>
          <w:szCs w:val="24"/>
        </w:rPr>
        <w:t>a</w:t>
      </w:r>
      <w:r w:rsidR="004C5209" w:rsidRPr="0076192F">
        <w:rPr>
          <w:rFonts w:ascii="Cambria Math" w:hAnsi="Cambria Math"/>
          <w:sz w:val="24"/>
          <w:szCs w:val="24"/>
        </w:rPr>
        <w:t xml:space="preserve"> </w:t>
      </w:r>
      <w:r w:rsidR="00825461" w:rsidRPr="0076192F">
        <w:rPr>
          <w:rFonts w:ascii="Cambria Math" w:hAnsi="Cambria Math"/>
          <w:sz w:val="24"/>
          <w:szCs w:val="24"/>
        </w:rPr>
        <w:t xml:space="preserve">strong </w:t>
      </w:r>
      <w:r w:rsidR="004C5209" w:rsidRPr="0076192F">
        <w:rPr>
          <w:rFonts w:ascii="Cambria Math" w:hAnsi="Cambria Math"/>
          <w:sz w:val="24"/>
          <w:szCs w:val="24"/>
        </w:rPr>
        <w:t xml:space="preserve">connection between sovereign and bank credit risk. </w:t>
      </w:r>
      <w:r w:rsidR="00DD7699" w:rsidRPr="0076192F">
        <w:rPr>
          <w:rFonts w:ascii="Cambria Math" w:hAnsi="Cambria Math"/>
          <w:sz w:val="24"/>
          <w:szCs w:val="24"/>
        </w:rPr>
        <w:t xml:space="preserve">In </w:t>
      </w:r>
      <w:r w:rsidR="004C5209" w:rsidRPr="0076192F">
        <w:rPr>
          <w:rFonts w:ascii="Cambria Math" w:hAnsi="Cambria Math"/>
          <w:sz w:val="24"/>
          <w:szCs w:val="24"/>
        </w:rPr>
        <w:t>Acharya et al.</w:t>
      </w:r>
      <w:r w:rsidR="007A6A92" w:rsidRPr="0076192F">
        <w:rPr>
          <w:rFonts w:ascii="Cambria Math" w:hAnsi="Cambria Math"/>
          <w:sz w:val="24"/>
          <w:szCs w:val="24"/>
        </w:rPr>
        <w:t xml:space="preserve"> </w:t>
      </w:r>
      <w:r w:rsidR="004C5209" w:rsidRPr="0076192F">
        <w:rPr>
          <w:rFonts w:ascii="Cambria Math" w:hAnsi="Cambria Math"/>
          <w:sz w:val="24"/>
          <w:szCs w:val="24"/>
        </w:rPr>
        <w:t>(2014)</w:t>
      </w:r>
      <w:r w:rsidR="00DD7699" w:rsidRPr="0076192F">
        <w:rPr>
          <w:rFonts w:ascii="Cambria Math" w:hAnsi="Cambria Math"/>
          <w:sz w:val="24"/>
          <w:szCs w:val="24"/>
        </w:rPr>
        <w:t>,</w:t>
      </w:r>
      <w:r w:rsidR="007A6A92" w:rsidRPr="0076192F">
        <w:rPr>
          <w:rFonts w:ascii="Cambria Math" w:hAnsi="Cambria Math"/>
          <w:sz w:val="24"/>
          <w:szCs w:val="24"/>
        </w:rPr>
        <w:t xml:space="preserve"> </w:t>
      </w:r>
      <w:r w:rsidR="00177F40" w:rsidRPr="0076192F">
        <w:rPr>
          <w:rFonts w:ascii="Cambria Math" w:hAnsi="Cambria Math"/>
          <w:sz w:val="24"/>
          <w:szCs w:val="24"/>
        </w:rPr>
        <w:t xml:space="preserve">for instance, </w:t>
      </w:r>
      <w:r w:rsidR="00825461" w:rsidRPr="0076192F">
        <w:rPr>
          <w:rFonts w:ascii="Cambria Math" w:hAnsi="Cambria Math"/>
          <w:sz w:val="24"/>
          <w:szCs w:val="24"/>
        </w:rPr>
        <w:t>a</w:t>
      </w:r>
      <w:r w:rsidR="004C5209" w:rsidRPr="0076192F">
        <w:rPr>
          <w:rFonts w:ascii="Cambria Math" w:hAnsi="Cambria Math"/>
          <w:sz w:val="24"/>
          <w:szCs w:val="24"/>
        </w:rPr>
        <w:t xml:space="preserve"> distressed financial sector induces government bailouts, whose cost increases sovereign credit risk. Increased sovereign credit risk</w:t>
      </w:r>
      <w:r w:rsidR="00053E51">
        <w:rPr>
          <w:rFonts w:ascii="Cambria Math" w:hAnsi="Cambria Math"/>
          <w:sz w:val="24"/>
          <w:szCs w:val="24"/>
        </w:rPr>
        <w:t>, in turn,</w:t>
      </w:r>
      <w:r w:rsidR="004C5209" w:rsidRPr="0076192F">
        <w:rPr>
          <w:rFonts w:ascii="Cambria Math" w:hAnsi="Cambria Math"/>
          <w:sz w:val="24"/>
          <w:szCs w:val="24"/>
        </w:rPr>
        <w:t xml:space="preserve"> weakens the financial sector by eroding the value of its government guarantees and bond holdings. </w:t>
      </w:r>
      <w:r w:rsidR="00A13413" w:rsidRPr="0076192F">
        <w:rPr>
          <w:rFonts w:ascii="Cambria Math" w:hAnsi="Cambria Math"/>
          <w:sz w:val="24"/>
          <w:szCs w:val="24"/>
        </w:rPr>
        <w:t xml:space="preserve">Adelino and Ferreira (2016) show </w:t>
      </w:r>
      <w:r w:rsidR="00FE31EC" w:rsidRPr="0076192F">
        <w:rPr>
          <w:rFonts w:ascii="Cambria Math" w:hAnsi="Cambria Math"/>
          <w:sz w:val="24"/>
          <w:szCs w:val="24"/>
        </w:rPr>
        <w:t xml:space="preserve">that </w:t>
      </w:r>
      <w:r w:rsidR="007014B3" w:rsidRPr="0076192F">
        <w:rPr>
          <w:rFonts w:ascii="Cambria Math" w:hAnsi="Cambria Math"/>
          <w:sz w:val="24"/>
          <w:szCs w:val="24"/>
        </w:rPr>
        <w:t xml:space="preserve">the rating </w:t>
      </w:r>
      <w:r w:rsidR="008A7590" w:rsidRPr="0076192F">
        <w:rPr>
          <w:rFonts w:ascii="Cambria Math" w:hAnsi="Cambria Math"/>
          <w:sz w:val="24"/>
          <w:szCs w:val="24"/>
        </w:rPr>
        <w:t xml:space="preserve">score </w:t>
      </w:r>
      <w:r w:rsidR="007014B3" w:rsidRPr="0076192F">
        <w:rPr>
          <w:rFonts w:ascii="Cambria Math" w:hAnsi="Cambria Math"/>
          <w:sz w:val="24"/>
          <w:szCs w:val="24"/>
        </w:rPr>
        <w:t xml:space="preserve">of </w:t>
      </w:r>
      <w:r w:rsidR="00FE31EC" w:rsidRPr="0076192F">
        <w:rPr>
          <w:rFonts w:ascii="Cambria Math" w:hAnsi="Cambria Math"/>
          <w:sz w:val="24"/>
          <w:szCs w:val="24"/>
        </w:rPr>
        <w:t xml:space="preserve">banks with </w:t>
      </w:r>
      <w:r w:rsidR="007014B3" w:rsidRPr="0076192F">
        <w:rPr>
          <w:rFonts w:ascii="Cambria Math" w:hAnsi="Cambria Math"/>
          <w:sz w:val="24"/>
          <w:szCs w:val="24"/>
        </w:rPr>
        <w:t xml:space="preserve">a profile </w:t>
      </w:r>
      <w:r w:rsidR="00FE31EC" w:rsidRPr="0076192F">
        <w:rPr>
          <w:rFonts w:ascii="Cambria Math" w:hAnsi="Cambria Math"/>
          <w:sz w:val="24"/>
          <w:szCs w:val="24"/>
        </w:rPr>
        <w:t>equal to</w:t>
      </w:r>
      <w:r w:rsidR="00A13413" w:rsidRPr="0076192F">
        <w:rPr>
          <w:rFonts w:ascii="Cambria Math" w:hAnsi="Cambria Math"/>
          <w:sz w:val="24"/>
          <w:szCs w:val="24"/>
        </w:rPr>
        <w:t xml:space="preserve"> or higher than</w:t>
      </w:r>
      <w:r w:rsidR="00FE31EC" w:rsidRPr="0076192F">
        <w:rPr>
          <w:rFonts w:ascii="Cambria Math" w:hAnsi="Cambria Math"/>
          <w:sz w:val="24"/>
          <w:szCs w:val="24"/>
        </w:rPr>
        <w:t xml:space="preserve"> th</w:t>
      </w:r>
      <w:r w:rsidR="007014B3" w:rsidRPr="0076192F">
        <w:rPr>
          <w:rFonts w:ascii="Cambria Math" w:hAnsi="Cambria Math"/>
          <w:sz w:val="24"/>
          <w:szCs w:val="24"/>
        </w:rPr>
        <w:t>at</w:t>
      </w:r>
      <w:r w:rsidR="00FE31EC" w:rsidRPr="0076192F">
        <w:rPr>
          <w:rFonts w:ascii="Cambria Math" w:hAnsi="Cambria Math"/>
          <w:sz w:val="24"/>
          <w:szCs w:val="24"/>
        </w:rPr>
        <w:t xml:space="preserve"> </w:t>
      </w:r>
      <w:r w:rsidR="007014B3" w:rsidRPr="0076192F">
        <w:rPr>
          <w:rFonts w:ascii="Cambria Math" w:hAnsi="Cambria Math"/>
          <w:sz w:val="24"/>
          <w:szCs w:val="24"/>
        </w:rPr>
        <w:t xml:space="preserve">of their </w:t>
      </w:r>
      <w:r w:rsidR="00FE31EC" w:rsidRPr="0076192F">
        <w:rPr>
          <w:rFonts w:ascii="Cambria Math" w:hAnsi="Cambria Math"/>
          <w:sz w:val="24"/>
          <w:szCs w:val="24"/>
        </w:rPr>
        <w:t xml:space="preserve">sovereign state </w:t>
      </w:r>
      <w:r w:rsidR="007014B3" w:rsidRPr="0076192F">
        <w:rPr>
          <w:rFonts w:ascii="Cambria Math" w:hAnsi="Cambria Math"/>
          <w:sz w:val="24"/>
          <w:szCs w:val="24"/>
        </w:rPr>
        <w:t>is</w:t>
      </w:r>
      <w:r w:rsidR="00A13413" w:rsidRPr="0076192F">
        <w:rPr>
          <w:rFonts w:ascii="Cambria Math" w:hAnsi="Cambria Math"/>
          <w:sz w:val="24"/>
          <w:szCs w:val="24"/>
        </w:rPr>
        <w:t xml:space="preserve"> </w:t>
      </w:r>
      <w:r w:rsidR="007014B3" w:rsidRPr="0076192F">
        <w:rPr>
          <w:rFonts w:ascii="Cambria Math" w:hAnsi="Cambria Math"/>
          <w:sz w:val="24"/>
          <w:szCs w:val="24"/>
        </w:rPr>
        <w:t>affected more</w:t>
      </w:r>
      <w:r w:rsidR="00A13413" w:rsidRPr="0076192F">
        <w:rPr>
          <w:rFonts w:ascii="Cambria Math" w:hAnsi="Cambria Math"/>
          <w:sz w:val="24"/>
          <w:szCs w:val="24"/>
        </w:rPr>
        <w:t xml:space="preserve"> </w:t>
      </w:r>
      <w:r w:rsidR="007014B3" w:rsidRPr="0076192F">
        <w:rPr>
          <w:rFonts w:ascii="Cambria Math" w:hAnsi="Cambria Math"/>
          <w:sz w:val="24"/>
          <w:szCs w:val="24"/>
        </w:rPr>
        <w:t xml:space="preserve">by </w:t>
      </w:r>
      <w:r w:rsidR="00A13413" w:rsidRPr="0076192F">
        <w:rPr>
          <w:rFonts w:ascii="Cambria Math" w:hAnsi="Cambria Math"/>
          <w:sz w:val="24"/>
          <w:szCs w:val="24"/>
        </w:rPr>
        <w:t>sovereign downgrades</w:t>
      </w:r>
      <w:r w:rsidR="007014B3" w:rsidRPr="0076192F">
        <w:rPr>
          <w:rFonts w:ascii="Cambria Math" w:hAnsi="Cambria Math"/>
          <w:sz w:val="24"/>
          <w:szCs w:val="24"/>
        </w:rPr>
        <w:t xml:space="preserve"> compared to banks </w:t>
      </w:r>
      <w:r w:rsidR="00554BA7" w:rsidRPr="0076192F">
        <w:rPr>
          <w:rFonts w:ascii="Cambria Math" w:hAnsi="Cambria Math"/>
          <w:sz w:val="24"/>
          <w:szCs w:val="24"/>
        </w:rPr>
        <w:t>with</w:t>
      </w:r>
      <w:r w:rsidR="007014B3" w:rsidRPr="0076192F">
        <w:rPr>
          <w:rFonts w:ascii="Cambria Math" w:hAnsi="Cambria Math"/>
          <w:sz w:val="24"/>
          <w:szCs w:val="24"/>
        </w:rPr>
        <w:t xml:space="preserve"> a lower rating profile than their sovereign state</w:t>
      </w:r>
      <w:r w:rsidR="00A13413" w:rsidRPr="0076192F">
        <w:rPr>
          <w:rFonts w:ascii="Cambria Math" w:hAnsi="Cambria Math"/>
          <w:sz w:val="24"/>
          <w:szCs w:val="24"/>
        </w:rPr>
        <w:t>.</w:t>
      </w:r>
      <w:r w:rsidR="007014B3" w:rsidRPr="0076192F">
        <w:rPr>
          <w:rFonts w:ascii="Cambria Math" w:hAnsi="Cambria Math"/>
          <w:sz w:val="24"/>
          <w:szCs w:val="24"/>
        </w:rPr>
        <w:t xml:space="preserve"> </w:t>
      </w:r>
      <w:r w:rsidR="000037C5" w:rsidRPr="0076192F">
        <w:rPr>
          <w:rFonts w:ascii="Cambria Math" w:hAnsi="Cambria Math"/>
          <w:sz w:val="24"/>
          <w:szCs w:val="24"/>
        </w:rPr>
        <w:t>Mäkinen et al. (2018) link sovereign risk to bailouts in the banking sector</w:t>
      </w:r>
      <w:r w:rsidR="002947A6" w:rsidRPr="0076192F">
        <w:rPr>
          <w:rFonts w:ascii="Cambria Math" w:hAnsi="Cambria Math"/>
          <w:sz w:val="24"/>
          <w:szCs w:val="24"/>
        </w:rPr>
        <w:t xml:space="preserve"> and </w:t>
      </w:r>
      <w:r w:rsidR="009E3A21" w:rsidRPr="0076192F">
        <w:rPr>
          <w:rFonts w:ascii="Cambria Math" w:hAnsi="Cambria Math"/>
          <w:sz w:val="24"/>
          <w:szCs w:val="24"/>
        </w:rPr>
        <w:t>note</w:t>
      </w:r>
      <w:r w:rsidR="000037C5" w:rsidRPr="0076192F">
        <w:rPr>
          <w:rFonts w:ascii="Cambria Math" w:hAnsi="Cambria Math"/>
          <w:sz w:val="24"/>
          <w:szCs w:val="24"/>
        </w:rPr>
        <w:t xml:space="preserve"> that rising policy uncertainty weakens the ability of governments to provide bailouts</w:t>
      </w:r>
      <w:r w:rsidR="00AB52E6" w:rsidRPr="0076192F">
        <w:rPr>
          <w:rFonts w:ascii="Cambria Math" w:hAnsi="Cambria Math"/>
          <w:sz w:val="24"/>
          <w:szCs w:val="24"/>
        </w:rPr>
        <w:t>.</w:t>
      </w:r>
      <w:r w:rsidR="000037C5" w:rsidRPr="0076192F">
        <w:rPr>
          <w:rFonts w:ascii="Cambria Math" w:hAnsi="Cambria Math"/>
          <w:sz w:val="24"/>
          <w:szCs w:val="24"/>
        </w:rPr>
        <w:t xml:space="preserve"> Gennaioli et al. (2014) focus on the dire consequences of sovereign default on aggregate financial activity in the defaulting country; the impact is stronger in countries where domestic banks hold more public debt. </w:t>
      </w:r>
      <w:r w:rsidR="00814F81" w:rsidRPr="00814F81">
        <w:rPr>
          <w:rFonts w:ascii="Cambria Math" w:hAnsi="Cambria Math"/>
          <w:sz w:val="24"/>
          <w:szCs w:val="24"/>
        </w:rPr>
        <w:t>Altavilla</w:t>
      </w:r>
      <w:r w:rsidR="00814F81">
        <w:rPr>
          <w:rFonts w:ascii="Cambria Math" w:hAnsi="Cambria Math"/>
          <w:sz w:val="24"/>
          <w:szCs w:val="24"/>
        </w:rPr>
        <w:t xml:space="preserve"> et al.</w:t>
      </w:r>
      <w:r w:rsidR="00814F81" w:rsidRPr="00814F81">
        <w:rPr>
          <w:rFonts w:ascii="Cambria Math" w:hAnsi="Cambria Math"/>
          <w:sz w:val="24"/>
          <w:szCs w:val="24"/>
        </w:rPr>
        <w:t xml:space="preserve"> (2017)</w:t>
      </w:r>
      <w:r w:rsidR="00814F81">
        <w:rPr>
          <w:rFonts w:ascii="Cambria Math" w:hAnsi="Cambria Math"/>
          <w:sz w:val="24"/>
          <w:szCs w:val="24"/>
        </w:rPr>
        <w:t xml:space="preserve"> flag the </w:t>
      </w:r>
      <w:r w:rsidR="00AB5D10">
        <w:rPr>
          <w:rFonts w:ascii="Cambria Math" w:hAnsi="Cambria Math"/>
          <w:sz w:val="24"/>
          <w:szCs w:val="24"/>
        </w:rPr>
        <w:t>amplification</w:t>
      </w:r>
      <w:r w:rsidR="00814F81">
        <w:rPr>
          <w:rFonts w:ascii="Cambria Math" w:hAnsi="Cambria Math"/>
          <w:sz w:val="24"/>
          <w:szCs w:val="24"/>
        </w:rPr>
        <w:t xml:space="preserve"> </w:t>
      </w:r>
      <w:r w:rsidR="00AB5D10">
        <w:rPr>
          <w:rFonts w:ascii="Cambria Math" w:hAnsi="Cambria Math"/>
          <w:sz w:val="24"/>
          <w:szCs w:val="24"/>
        </w:rPr>
        <w:t xml:space="preserve">effect </w:t>
      </w:r>
      <w:r w:rsidR="00814F81">
        <w:rPr>
          <w:rFonts w:ascii="Cambria Math" w:hAnsi="Cambria Math"/>
          <w:sz w:val="24"/>
          <w:szCs w:val="24"/>
        </w:rPr>
        <w:t xml:space="preserve">of sovereign </w:t>
      </w:r>
      <w:r w:rsidR="00AB5D10">
        <w:rPr>
          <w:rFonts w:ascii="Cambria Math" w:hAnsi="Cambria Math"/>
          <w:sz w:val="24"/>
          <w:szCs w:val="24"/>
        </w:rPr>
        <w:t>stress</w:t>
      </w:r>
      <w:r w:rsidR="00814F81">
        <w:rPr>
          <w:rFonts w:ascii="Cambria Math" w:hAnsi="Cambria Math"/>
          <w:sz w:val="24"/>
          <w:szCs w:val="24"/>
        </w:rPr>
        <w:t xml:space="preserve"> </w:t>
      </w:r>
      <w:r w:rsidR="00AB5D10">
        <w:rPr>
          <w:rFonts w:ascii="Cambria Math" w:hAnsi="Cambria Math"/>
          <w:sz w:val="24"/>
          <w:szCs w:val="24"/>
        </w:rPr>
        <w:t>on bank lending</w:t>
      </w:r>
      <w:r w:rsidR="00814F81">
        <w:rPr>
          <w:rFonts w:ascii="Cambria Math" w:hAnsi="Cambria Math"/>
          <w:sz w:val="24"/>
          <w:szCs w:val="24"/>
        </w:rPr>
        <w:t xml:space="preserve"> </w:t>
      </w:r>
      <w:r w:rsidR="00AB5D10">
        <w:rPr>
          <w:rFonts w:ascii="Cambria Math" w:hAnsi="Cambria Math"/>
          <w:sz w:val="24"/>
          <w:szCs w:val="24"/>
        </w:rPr>
        <w:t xml:space="preserve">to domestic firms for </w:t>
      </w:r>
      <w:r w:rsidR="00814F81">
        <w:rPr>
          <w:rFonts w:ascii="Cambria Math" w:hAnsi="Cambria Math"/>
          <w:sz w:val="24"/>
          <w:szCs w:val="24"/>
        </w:rPr>
        <w:t xml:space="preserve">a sample of euro-area banks. </w:t>
      </w:r>
      <w:r w:rsidR="000037C5" w:rsidRPr="0076192F">
        <w:rPr>
          <w:rFonts w:ascii="Cambria Math" w:hAnsi="Cambria Math"/>
          <w:sz w:val="24"/>
          <w:szCs w:val="24"/>
        </w:rPr>
        <w:t>All th</w:t>
      </w:r>
      <w:r w:rsidR="00AA73C8" w:rsidRPr="0076192F">
        <w:rPr>
          <w:rFonts w:ascii="Cambria Math" w:hAnsi="Cambria Math"/>
          <w:sz w:val="24"/>
          <w:szCs w:val="24"/>
        </w:rPr>
        <w:t>e</w:t>
      </w:r>
      <w:r w:rsidR="00053E51">
        <w:rPr>
          <w:rFonts w:ascii="Cambria Math" w:hAnsi="Cambria Math"/>
          <w:sz w:val="24"/>
          <w:szCs w:val="24"/>
        </w:rPr>
        <w:t xml:space="preserve"> above</w:t>
      </w:r>
      <w:r w:rsidR="000037C5" w:rsidRPr="0076192F">
        <w:rPr>
          <w:rFonts w:ascii="Cambria Math" w:hAnsi="Cambria Math"/>
          <w:sz w:val="24"/>
          <w:szCs w:val="24"/>
        </w:rPr>
        <w:t xml:space="preserve"> point to a strong feedback loop between sovereign and banking risk</w:t>
      </w:r>
      <w:r w:rsidR="009E3A21" w:rsidRPr="0076192F">
        <w:rPr>
          <w:rFonts w:ascii="Cambria Math" w:hAnsi="Cambria Math"/>
          <w:sz w:val="24"/>
          <w:szCs w:val="24"/>
        </w:rPr>
        <w:t>.</w:t>
      </w:r>
    </w:p>
    <w:p w14:paraId="1CECED8D" w14:textId="75AE43A3" w:rsidR="00471179" w:rsidRPr="00E50C3F" w:rsidRDefault="009E3A21" w:rsidP="00177F40">
      <w:pPr>
        <w:jc w:val="both"/>
        <w:rPr>
          <w:rFonts w:ascii="Cambria Math" w:hAnsi="Cambria Math"/>
          <w:sz w:val="24"/>
          <w:szCs w:val="24"/>
        </w:rPr>
      </w:pPr>
      <w:r w:rsidRPr="0076192F">
        <w:rPr>
          <w:rFonts w:ascii="Cambria Math" w:hAnsi="Cambria Math"/>
          <w:sz w:val="24"/>
          <w:szCs w:val="24"/>
        </w:rPr>
        <w:t>It</w:t>
      </w:r>
      <w:r w:rsidR="00053E51">
        <w:rPr>
          <w:rFonts w:ascii="Cambria Math" w:hAnsi="Cambria Math"/>
          <w:sz w:val="24"/>
          <w:szCs w:val="24"/>
        </w:rPr>
        <w:t>, therefore,</w:t>
      </w:r>
      <w:r w:rsidRPr="0076192F">
        <w:rPr>
          <w:rFonts w:ascii="Cambria Math" w:hAnsi="Cambria Math"/>
          <w:sz w:val="24"/>
          <w:szCs w:val="24"/>
        </w:rPr>
        <w:t xml:space="preserve"> comes as no surprise</w:t>
      </w:r>
      <w:r w:rsidR="00C112C9" w:rsidRPr="0076192F">
        <w:rPr>
          <w:rFonts w:ascii="Cambria Math" w:hAnsi="Cambria Math"/>
          <w:sz w:val="24"/>
          <w:szCs w:val="24"/>
        </w:rPr>
        <w:t xml:space="preserve"> </w:t>
      </w:r>
      <w:r w:rsidRPr="0076192F">
        <w:rPr>
          <w:rFonts w:ascii="Cambria Math" w:hAnsi="Cambria Math"/>
          <w:sz w:val="24"/>
          <w:szCs w:val="24"/>
        </w:rPr>
        <w:t xml:space="preserve">that </w:t>
      </w:r>
      <w:r w:rsidR="00C112C9" w:rsidRPr="0076192F">
        <w:rPr>
          <w:rFonts w:ascii="Cambria Math" w:hAnsi="Cambria Math"/>
          <w:sz w:val="24"/>
          <w:szCs w:val="24"/>
        </w:rPr>
        <w:t xml:space="preserve">banking risk has recently appeared on the radar of CRAs. For instance, S&amp;P’s recent update of its assessment methodology (S&amp;P’s Global Ratings, 2017) refers to contingent liabilities and their potential impact on sovereign ratings. </w:t>
      </w:r>
      <w:r w:rsidR="00E604D6" w:rsidRPr="0076192F">
        <w:rPr>
          <w:rFonts w:ascii="Cambria Math" w:hAnsi="Cambria Math"/>
          <w:sz w:val="24"/>
          <w:szCs w:val="24"/>
        </w:rPr>
        <w:t>A</w:t>
      </w:r>
      <w:r w:rsidR="002C4B8E" w:rsidRPr="0076192F">
        <w:rPr>
          <w:rFonts w:ascii="Cambria Math" w:hAnsi="Cambria Math"/>
          <w:sz w:val="24"/>
          <w:szCs w:val="24"/>
        </w:rPr>
        <w:t xml:space="preserve">mong these liabilities </w:t>
      </w:r>
      <w:r w:rsidR="003743CD" w:rsidRPr="0076192F">
        <w:rPr>
          <w:rFonts w:ascii="Cambria Math" w:hAnsi="Cambria Math"/>
          <w:sz w:val="24"/>
          <w:szCs w:val="24"/>
        </w:rPr>
        <w:t>that have the potential to become government debt, or more broadly affect a government's fiscal profile</w:t>
      </w:r>
      <w:r w:rsidR="00BA62F9" w:rsidRPr="0076192F">
        <w:rPr>
          <w:rFonts w:ascii="Cambria Math" w:hAnsi="Cambria Math"/>
          <w:sz w:val="24"/>
          <w:szCs w:val="24"/>
        </w:rPr>
        <w:t xml:space="preserve">, </w:t>
      </w:r>
      <w:r w:rsidR="006D4B54" w:rsidRPr="0076192F">
        <w:rPr>
          <w:rFonts w:ascii="Cambria Math" w:hAnsi="Cambria Math"/>
          <w:sz w:val="24"/>
          <w:szCs w:val="24"/>
        </w:rPr>
        <w:t>bank NPLs</w:t>
      </w:r>
      <w:r w:rsidR="00C112C9" w:rsidRPr="0076192F">
        <w:rPr>
          <w:rStyle w:val="FootnoteReference"/>
          <w:rFonts w:ascii="Cambria Math" w:hAnsi="Cambria Math"/>
          <w:sz w:val="24"/>
          <w:szCs w:val="24"/>
        </w:rPr>
        <w:footnoteReference w:id="6"/>
      </w:r>
      <w:r w:rsidR="00080445" w:rsidRPr="0076192F">
        <w:rPr>
          <w:rFonts w:ascii="Cambria Math" w:hAnsi="Cambria Math"/>
          <w:sz w:val="24"/>
          <w:szCs w:val="24"/>
        </w:rPr>
        <w:t xml:space="preserve"> </w:t>
      </w:r>
      <w:r w:rsidR="00E604D6" w:rsidRPr="0076192F">
        <w:rPr>
          <w:rFonts w:ascii="Cambria Math" w:hAnsi="Cambria Math"/>
          <w:sz w:val="24"/>
          <w:szCs w:val="24"/>
        </w:rPr>
        <w:t xml:space="preserve">have </w:t>
      </w:r>
      <w:r w:rsidR="00C50B7F" w:rsidRPr="0076192F">
        <w:rPr>
          <w:rFonts w:ascii="Cambria Math" w:hAnsi="Cambria Math"/>
          <w:sz w:val="24"/>
          <w:szCs w:val="24"/>
        </w:rPr>
        <w:t xml:space="preserve">increased rapidly after 2008 not least in the Euro area adding to </w:t>
      </w:r>
      <w:r w:rsidR="00080445" w:rsidRPr="0076192F">
        <w:rPr>
          <w:rFonts w:ascii="Cambria Math" w:hAnsi="Cambria Math"/>
          <w:sz w:val="24"/>
          <w:szCs w:val="24"/>
        </w:rPr>
        <w:t>regulatory concerns</w:t>
      </w:r>
      <w:r w:rsidR="00C50B7F" w:rsidRPr="0076192F">
        <w:rPr>
          <w:rFonts w:ascii="Cambria Math" w:hAnsi="Cambria Math"/>
          <w:sz w:val="24"/>
          <w:szCs w:val="24"/>
        </w:rPr>
        <w:t>.</w:t>
      </w:r>
      <w:r w:rsidR="00104400" w:rsidRPr="0076192F">
        <w:rPr>
          <w:rStyle w:val="FootnoteReference"/>
          <w:rFonts w:ascii="Cambria Math" w:hAnsi="Cambria Math"/>
          <w:sz w:val="24"/>
          <w:szCs w:val="24"/>
        </w:rPr>
        <w:t xml:space="preserve"> </w:t>
      </w:r>
      <w:r w:rsidR="00104400" w:rsidRPr="0076192F">
        <w:rPr>
          <w:rStyle w:val="FootnoteReference"/>
          <w:rFonts w:ascii="Cambria Math" w:hAnsi="Cambria Math"/>
          <w:sz w:val="24"/>
          <w:szCs w:val="24"/>
        </w:rPr>
        <w:footnoteReference w:id="7"/>
      </w:r>
      <w:r w:rsidR="00080445" w:rsidRPr="0076192F">
        <w:rPr>
          <w:rFonts w:ascii="Cambria Math" w:hAnsi="Cambria Math"/>
          <w:sz w:val="24"/>
          <w:szCs w:val="24"/>
        </w:rPr>
        <w:t xml:space="preserve"> </w:t>
      </w:r>
      <w:r w:rsidR="00BB0A81" w:rsidRPr="0076192F">
        <w:rPr>
          <w:rFonts w:ascii="Cambria Math" w:hAnsi="Cambria Math"/>
          <w:sz w:val="24"/>
          <w:szCs w:val="24"/>
        </w:rPr>
        <w:t xml:space="preserve">In 2016, </w:t>
      </w:r>
      <w:r w:rsidR="00536F76" w:rsidRPr="0076192F">
        <w:rPr>
          <w:rFonts w:ascii="Cambria Math" w:hAnsi="Cambria Math"/>
          <w:sz w:val="24"/>
          <w:szCs w:val="24"/>
        </w:rPr>
        <w:t xml:space="preserve">for instance, </w:t>
      </w:r>
      <w:r w:rsidR="00BB0A81" w:rsidRPr="0076192F">
        <w:rPr>
          <w:rFonts w:ascii="Cambria Math" w:hAnsi="Cambria Math"/>
          <w:sz w:val="24"/>
          <w:szCs w:val="24"/>
        </w:rPr>
        <w:t>t</w:t>
      </w:r>
      <w:r w:rsidR="00B70E88" w:rsidRPr="0076192F">
        <w:rPr>
          <w:rFonts w:ascii="Cambria Math" w:hAnsi="Cambria Math"/>
          <w:sz w:val="24"/>
          <w:szCs w:val="24"/>
        </w:rPr>
        <w:t xml:space="preserve">he European Banking Authority (EBA) </w:t>
      </w:r>
      <w:r w:rsidR="00037E38" w:rsidRPr="0076192F">
        <w:rPr>
          <w:rFonts w:ascii="Cambria Math" w:hAnsi="Cambria Math"/>
          <w:sz w:val="24"/>
          <w:szCs w:val="24"/>
        </w:rPr>
        <w:t xml:space="preserve">flagged </w:t>
      </w:r>
      <w:r w:rsidR="00080445" w:rsidRPr="0076192F">
        <w:rPr>
          <w:rFonts w:ascii="Cambria Math" w:hAnsi="Cambria Math"/>
          <w:sz w:val="24"/>
          <w:szCs w:val="24"/>
        </w:rPr>
        <w:t>high NPL</w:t>
      </w:r>
      <w:r w:rsidR="00037E38" w:rsidRPr="0076192F">
        <w:rPr>
          <w:rFonts w:ascii="Cambria Math" w:hAnsi="Cambria Math"/>
          <w:sz w:val="24"/>
          <w:szCs w:val="24"/>
        </w:rPr>
        <w:t>s</w:t>
      </w:r>
      <w:r w:rsidR="00080445" w:rsidRPr="0076192F">
        <w:rPr>
          <w:rFonts w:ascii="Cambria Math" w:hAnsi="Cambria Math"/>
          <w:sz w:val="24"/>
          <w:szCs w:val="24"/>
        </w:rPr>
        <w:t xml:space="preserve"> as one of the main risks for EU banks</w:t>
      </w:r>
      <w:r w:rsidR="0025261C" w:rsidRPr="0076192F">
        <w:rPr>
          <w:rFonts w:ascii="Cambria Math" w:hAnsi="Cambria Math"/>
          <w:sz w:val="24"/>
          <w:szCs w:val="24"/>
        </w:rPr>
        <w:t xml:space="preserve">, </w:t>
      </w:r>
      <w:r w:rsidR="00EB082A" w:rsidRPr="0076192F">
        <w:rPr>
          <w:rFonts w:ascii="Cambria Math" w:hAnsi="Cambria Math"/>
          <w:sz w:val="24"/>
          <w:szCs w:val="24"/>
        </w:rPr>
        <w:t>whereas</w:t>
      </w:r>
      <w:r w:rsidR="00BB0A81" w:rsidRPr="0076192F">
        <w:rPr>
          <w:rStyle w:val="FootnoteReference"/>
          <w:rFonts w:ascii="Cambria Math" w:hAnsi="Cambria Math"/>
          <w:sz w:val="24"/>
          <w:szCs w:val="24"/>
        </w:rPr>
        <w:t xml:space="preserve"> </w:t>
      </w:r>
      <w:r w:rsidR="00080445" w:rsidRPr="0076192F">
        <w:rPr>
          <w:rFonts w:ascii="Cambria Math" w:hAnsi="Cambria Math"/>
          <w:sz w:val="24"/>
          <w:szCs w:val="24"/>
        </w:rPr>
        <w:t xml:space="preserve"> </w:t>
      </w:r>
      <w:r w:rsidR="00EB082A" w:rsidRPr="0076192F">
        <w:rPr>
          <w:rFonts w:ascii="Cambria Math" w:hAnsi="Cambria Math"/>
          <w:sz w:val="24"/>
          <w:szCs w:val="24"/>
        </w:rPr>
        <w:t>i</w:t>
      </w:r>
      <w:r w:rsidR="00C13D87" w:rsidRPr="0076192F">
        <w:rPr>
          <w:rFonts w:ascii="Cambria Math" w:hAnsi="Cambria Math"/>
          <w:sz w:val="24"/>
          <w:szCs w:val="24"/>
        </w:rPr>
        <w:t>n 2017</w:t>
      </w:r>
      <w:r w:rsidR="00080445" w:rsidRPr="0076192F">
        <w:rPr>
          <w:rFonts w:ascii="Cambria Math" w:hAnsi="Cambria Math"/>
          <w:sz w:val="24"/>
          <w:szCs w:val="24"/>
        </w:rPr>
        <w:t xml:space="preserve">, the ECB </w:t>
      </w:r>
      <w:r w:rsidR="00BB0A81" w:rsidRPr="0076192F">
        <w:rPr>
          <w:rFonts w:ascii="Cambria Math" w:hAnsi="Cambria Math"/>
          <w:sz w:val="24"/>
          <w:szCs w:val="24"/>
        </w:rPr>
        <w:t>stressed</w:t>
      </w:r>
      <w:r w:rsidR="00080445" w:rsidRPr="0076192F">
        <w:rPr>
          <w:rFonts w:ascii="Cambria Math" w:hAnsi="Cambria Math"/>
          <w:sz w:val="24"/>
          <w:szCs w:val="24"/>
        </w:rPr>
        <w:t xml:space="preserve"> that high NPLs have a negative impact on bank lending to the economy as a result of profitability and capital constraints and </w:t>
      </w:r>
      <w:r w:rsidR="0025261C" w:rsidRPr="0076192F">
        <w:rPr>
          <w:rFonts w:ascii="Cambria Math" w:hAnsi="Cambria Math"/>
          <w:sz w:val="24"/>
          <w:szCs w:val="24"/>
        </w:rPr>
        <w:t>also</w:t>
      </w:r>
      <w:r w:rsidR="00080445" w:rsidRPr="0076192F">
        <w:rPr>
          <w:rFonts w:ascii="Cambria Math" w:hAnsi="Cambria Math"/>
          <w:sz w:val="24"/>
          <w:szCs w:val="24"/>
        </w:rPr>
        <w:t xml:space="preserve"> </w:t>
      </w:r>
      <w:r w:rsidR="00655E6A" w:rsidRPr="0076192F">
        <w:rPr>
          <w:rFonts w:ascii="Cambria Math" w:hAnsi="Cambria Math"/>
          <w:sz w:val="24"/>
          <w:szCs w:val="24"/>
        </w:rPr>
        <w:t xml:space="preserve">flagged </w:t>
      </w:r>
      <w:r w:rsidR="00080445" w:rsidRPr="0076192F">
        <w:rPr>
          <w:rFonts w:ascii="Cambria Math" w:hAnsi="Cambria Math"/>
          <w:sz w:val="24"/>
          <w:szCs w:val="24"/>
        </w:rPr>
        <w:t xml:space="preserve">the benefits of a reduction of NPLs to the economy from </w:t>
      </w:r>
      <w:r w:rsidR="002A745C" w:rsidRPr="0076192F">
        <w:rPr>
          <w:rFonts w:ascii="Cambria Math" w:hAnsi="Cambria Math"/>
          <w:sz w:val="24"/>
          <w:szCs w:val="24"/>
        </w:rPr>
        <w:t xml:space="preserve">both </w:t>
      </w:r>
      <w:r w:rsidR="00B71026" w:rsidRPr="0076192F">
        <w:rPr>
          <w:rFonts w:ascii="Cambria Math" w:hAnsi="Cambria Math"/>
          <w:sz w:val="24"/>
          <w:szCs w:val="24"/>
        </w:rPr>
        <w:t>a micro</w:t>
      </w:r>
      <w:r w:rsidR="00080445" w:rsidRPr="0076192F">
        <w:rPr>
          <w:rFonts w:ascii="Cambria Math" w:hAnsi="Cambria Math"/>
          <w:sz w:val="24"/>
          <w:szCs w:val="24"/>
        </w:rPr>
        <w:t xml:space="preserve">prudential and </w:t>
      </w:r>
      <w:r w:rsidR="00B71026" w:rsidRPr="0076192F">
        <w:rPr>
          <w:rFonts w:ascii="Cambria Math" w:hAnsi="Cambria Math"/>
          <w:sz w:val="24"/>
          <w:szCs w:val="24"/>
        </w:rPr>
        <w:t xml:space="preserve">a </w:t>
      </w:r>
      <w:r w:rsidR="00080445" w:rsidRPr="0076192F">
        <w:rPr>
          <w:rFonts w:ascii="Cambria Math" w:hAnsi="Cambria Math"/>
          <w:sz w:val="24"/>
          <w:szCs w:val="24"/>
        </w:rPr>
        <w:t>macroprudential perspective.</w:t>
      </w:r>
      <w:r w:rsidR="0025261C" w:rsidRPr="0076192F">
        <w:rPr>
          <w:rStyle w:val="FootnoteReference"/>
          <w:rFonts w:ascii="Cambria Math" w:hAnsi="Cambria Math"/>
          <w:sz w:val="24"/>
          <w:szCs w:val="24"/>
        </w:rPr>
        <w:t xml:space="preserve"> </w:t>
      </w:r>
      <w:r w:rsidR="0025261C" w:rsidRPr="0076192F">
        <w:rPr>
          <w:rStyle w:val="FootnoteReference"/>
          <w:rFonts w:ascii="Cambria Math" w:hAnsi="Cambria Math"/>
          <w:sz w:val="24"/>
          <w:szCs w:val="24"/>
        </w:rPr>
        <w:footnoteReference w:id="8"/>
      </w:r>
      <w:r w:rsidR="00213909">
        <w:rPr>
          <w:rFonts w:ascii="Cambria Math" w:hAnsi="Cambria Math"/>
          <w:sz w:val="24"/>
          <w:szCs w:val="24"/>
        </w:rPr>
        <w:t xml:space="preserve"> Thus</w:t>
      </w:r>
      <w:r w:rsidR="00F71F73">
        <w:rPr>
          <w:rFonts w:ascii="Cambria Math" w:hAnsi="Cambria Math"/>
          <w:sz w:val="24"/>
          <w:szCs w:val="24"/>
        </w:rPr>
        <w:t>,</w:t>
      </w:r>
      <w:r w:rsidR="00213909">
        <w:rPr>
          <w:rFonts w:ascii="Cambria Math" w:hAnsi="Cambria Math"/>
          <w:sz w:val="24"/>
          <w:szCs w:val="24"/>
        </w:rPr>
        <w:t xml:space="preserve"> it is not surprising that</w:t>
      </w:r>
      <w:r w:rsidR="00477560">
        <w:rPr>
          <w:rFonts w:ascii="Cambria Math" w:hAnsi="Cambria Math"/>
          <w:sz w:val="24"/>
          <w:szCs w:val="24"/>
        </w:rPr>
        <w:t xml:space="preserve"> CRAs consider changes in NPLs </w:t>
      </w:r>
      <w:r w:rsidR="00213909">
        <w:rPr>
          <w:rFonts w:ascii="Cambria Math" w:hAnsi="Cambria Math"/>
          <w:sz w:val="24"/>
          <w:szCs w:val="24"/>
        </w:rPr>
        <w:t>as an important driver of rating changes. For example</w:t>
      </w:r>
      <w:r w:rsidR="00053E51">
        <w:rPr>
          <w:rFonts w:ascii="Cambria Math" w:hAnsi="Cambria Math"/>
          <w:sz w:val="24"/>
          <w:szCs w:val="24"/>
        </w:rPr>
        <w:t>,</w:t>
      </w:r>
      <w:r w:rsidR="00213909">
        <w:rPr>
          <w:rFonts w:ascii="Cambria Math" w:hAnsi="Cambria Math"/>
          <w:sz w:val="24"/>
          <w:szCs w:val="24"/>
        </w:rPr>
        <w:t xml:space="preserve"> S&amp;P’s latest report on Greece </w:t>
      </w:r>
      <w:r w:rsidR="00E50C3F">
        <w:rPr>
          <w:rFonts w:ascii="Cambria Math" w:hAnsi="Cambria Math"/>
          <w:sz w:val="24"/>
          <w:szCs w:val="24"/>
        </w:rPr>
        <w:lastRenderedPageBreak/>
        <w:t>notes</w:t>
      </w:r>
      <w:r w:rsidR="00213909">
        <w:rPr>
          <w:rFonts w:ascii="Cambria Math" w:hAnsi="Cambria Math"/>
          <w:sz w:val="24"/>
          <w:szCs w:val="24"/>
        </w:rPr>
        <w:t xml:space="preserve"> </w:t>
      </w:r>
      <w:r w:rsidR="00213909" w:rsidRPr="00E50C3F">
        <w:rPr>
          <w:rFonts w:ascii="Cambria Math" w:hAnsi="Cambria Math"/>
          <w:sz w:val="24"/>
          <w:szCs w:val="24"/>
        </w:rPr>
        <w:t>“Another potential trigger for an upgrade would be a marked reduction in nonperforming assets in Greece's impaired banking system”.</w:t>
      </w:r>
      <w:r w:rsidR="00213909" w:rsidRPr="00E50C3F">
        <w:rPr>
          <w:rStyle w:val="FootnoteReference"/>
          <w:rFonts w:ascii="Cambria Math" w:hAnsi="Cambria Math"/>
          <w:sz w:val="24"/>
          <w:szCs w:val="24"/>
        </w:rPr>
        <w:footnoteReference w:id="9"/>
      </w:r>
    </w:p>
    <w:p w14:paraId="14A99C98" w14:textId="1A319779" w:rsidR="00725F86" w:rsidRPr="0076192F" w:rsidRDefault="005A16D0" w:rsidP="00471179">
      <w:pPr>
        <w:jc w:val="both"/>
        <w:rPr>
          <w:rFonts w:ascii="Cambria Math" w:hAnsi="Cambria Math"/>
          <w:sz w:val="24"/>
          <w:szCs w:val="24"/>
        </w:rPr>
      </w:pPr>
      <w:r>
        <w:rPr>
          <w:rFonts w:ascii="Cambria Math" w:hAnsi="Cambria Math"/>
          <w:sz w:val="24"/>
          <w:szCs w:val="24"/>
        </w:rPr>
        <w:t xml:space="preserve">In recent work, </w:t>
      </w:r>
      <w:r w:rsidR="001D442D" w:rsidRPr="001D442D">
        <w:rPr>
          <w:rFonts w:ascii="Cambria Math" w:hAnsi="Cambria Math"/>
          <w:sz w:val="24"/>
          <w:szCs w:val="24"/>
        </w:rPr>
        <w:t>Brůha and Kočenda (2018)</w:t>
      </w:r>
      <w:r w:rsidR="001D442D">
        <w:rPr>
          <w:rFonts w:ascii="Cambria Math" w:hAnsi="Cambria Math"/>
          <w:sz w:val="24"/>
          <w:szCs w:val="24"/>
        </w:rPr>
        <w:t xml:space="preserve"> </w:t>
      </w:r>
      <w:r>
        <w:rPr>
          <w:rFonts w:ascii="Cambria Math" w:hAnsi="Cambria Math"/>
          <w:sz w:val="24"/>
          <w:szCs w:val="24"/>
        </w:rPr>
        <w:t xml:space="preserve">examine the link between banking sector quality and sovereign risk </w:t>
      </w:r>
      <w:r w:rsidR="001D442D">
        <w:rPr>
          <w:rFonts w:ascii="Cambria Math" w:hAnsi="Cambria Math"/>
          <w:sz w:val="24"/>
          <w:szCs w:val="24"/>
        </w:rPr>
        <w:t>to show that rising NPLs</w:t>
      </w:r>
      <w:r w:rsidR="001D442D" w:rsidRPr="001D442D">
        <w:rPr>
          <w:rFonts w:ascii="Cambria Math" w:hAnsi="Cambria Math"/>
          <w:sz w:val="24"/>
          <w:szCs w:val="24"/>
        </w:rPr>
        <w:t xml:space="preserve"> is the single most influential sector-specific variable that is associated with increased sovereign risk</w:t>
      </w:r>
      <w:r w:rsidRPr="005A16D0">
        <w:rPr>
          <w:rFonts w:ascii="Cambria Math" w:hAnsi="Cambria Math"/>
          <w:sz w:val="24"/>
          <w:szCs w:val="24"/>
        </w:rPr>
        <w:t xml:space="preserve"> </w:t>
      </w:r>
      <w:r>
        <w:rPr>
          <w:rFonts w:ascii="Cambria Math" w:hAnsi="Cambria Math"/>
          <w:sz w:val="24"/>
          <w:szCs w:val="24"/>
        </w:rPr>
        <w:t xml:space="preserve">in the </w:t>
      </w:r>
      <w:r w:rsidRPr="001D442D">
        <w:rPr>
          <w:rFonts w:ascii="Cambria Math" w:hAnsi="Cambria Math"/>
          <w:sz w:val="24"/>
          <w:szCs w:val="24"/>
        </w:rPr>
        <w:t>European Union</w:t>
      </w:r>
      <w:r w:rsidR="001D442D" w:rsidRPr="001D442D">
        <w:rPr>
          <w:rFonts w:ascii="Cambria Math" w:hAnsi="Cambria Math"/>
          <w:sz w:val="24"/>
          <w:szCs w:val="24"/>
        </w:rPr>
        <w:t>.</w:t>
      </w:r>
      <w:r w:rsidR="001D442D">
        <w:rPr>
          <w:rFonts w:ascii="Cambria Math" w:hAnsi="Cambria Math"/>
          <w:sz w:val="24"/>
          <w:szCs w:val="24"/>
        </w:rPr>
        <w:t xml:space="preserve"> In addition, </w:t>
      </w:r>
      <w:r w:rsidR="00BF15F9">
        <w:rPr>
          <w:rFonts w:ascii="Cambria Math" w:hAnsi="Cambria Math"/>
          <w:sz w:val="24"/>
          <w:szCs w:val="24"/>
        </w:rPr>
        <w:t>r</w:t>
      </w:r>
      <w:r w:rsidR="001A2A42" w:rsidRPr="00E50C3F">
        <w:rPr>
          <w:rFonts w:ascii="Cambria Math" w:hAnsi="Cambria Math"/>
          <w:sz w:val="24"/>
          <w:szCs w:val="24"/>
        </w:rPr>
        <w:t xml:space="preserve">ising </w:t>
      </w:r>
      <w:r w:rsidR="006D4B54" w:rsidRPr="0076192F">
        <w:rPr>
          <w:rFonts w:ascii="Cambria Math" w:hAnsi="Cambria Math"/>
          <w:sz w:val="24"/>
          <w:szCs w:val="24"/>
        </w:rPr>
        <w:t xml:space="preserve">NPLs </w:t>
      </w:r>
      <w:r w:rsidR="001A2A42" w:rsidRPr="0076192F">
        <w:rPr>
          <w:rFonts w:ascii="Cambria Math" w:hAnsi="Cambria Math"/>
          <w:sz w:val="24"/>
          <w:szCs w:val="24"/>
        </w:rPr>
        <w:t xml:space="preserve">have often been considered the consequence of weak economic growth but, at the same time, feedback themselves in a negative manner to the </w:t>
      </w:r>
      <w:r w:rsidR="006755F4" w:rsidRPr="0076192F">
        <w:rPr>
          <w:rFonts w:ascii="Cambria Math" w:hAnsi="Cambria Math"/>
          <w:sz w:val="24"/>
          <w:szCs w:val="24"/>
        </w:rPr>
        <w:t>bank</w:t>
      </w:r>
      <w:r w:rsidR="001A2A42" w:rsidRPr="0076192F">
        <w:rPr>
          <w:rFonts w:ascii="Cambria Math" w:hAnsi="Cambria Math"/>
          <w:sz w:val="24"/>
          <w:szCs w:val="24"/>
        </w:rPr>
        <w:t>ing</w:t>
      </w:r>
      <w:r w:rsidR="006755F4" w:rsidRPr="0076192F">
        <w:rPr>
          <w:rFonts w:ascii="Cambria Math" w:hAnsi="Cambria Math"/>
          <w:sz w:val="24"/>
          <w:szCs w:val="24"/>
        </w:rPr>
        <w:t xml:space="preserve"> </w:t>
      </w:r>
      <w:r w:rsidR="001A2A42" w:rsidRPr="0076192F">
        <w:rPr>
          <w:rFonts w:ascii="Cambria Math" w:hAnsi="Cambria Math"/>
          <w:sz w:val="24"/>
          <w:szCs w:val="24"/>
        </w:rPr>
        <w:t xml:space="preserve">sector </w:t>
      </w:r>
      <w:r w:rsidR="00907E36" w:rsidRPr="0076192F">
        <w:rPr>
          <w:rFonts w:ascii="Cambria Math" w:hAnsi="Cambria Math"/>
          <w:sz w:val="24"/>
          <w:szCs w:val="24"/>
        </w:rPr>
        <w:t>and</w:t>
      </w:r>
      <w:r w:rsidR="006755F4" w:rsidRPr="0076192F">
        <w:rPr>
          <w:rFonts w:ascii="Cambria Math" w:hAnsi="Cambria Math"/>
          <w:sz w:val="24"/>
          <w:szCs w:val="24"/>
        </w:rPr>
        <w:t xml:space="preserve"> the wider economy. </w:t>
      </w:r>
      <w:r w:rsidR="001A2A42" w:rsidRPr="0076192F">
        <w:rPr>
          <w:rFonts w:ascii="Cambria Math" w:hAnsi="Cambria Math"/>
          <w:sz w:val="24"/>
          <w:szCs w:val="24"/>
        </w:rPr>
        <w:t>Indeed,</w:t>
      </w:r>
      <w:r w:rsidR="006755F4" w:rsidRPr="0076192F">
        <w:rPr>
          <w:rFonts w:ascii="Cambria Math" w:hAnsi="Cambria Math"/>
          <w:sz w:val="24"/>
          <w:szCs w:val="24"/>
        </w:rPr>
        <w:t xml:space="preserve"> NPLs </w:t>
      </w:r>
      <w:r w:rsidR="002469CB" w:rsidRPr="0076192F">
        <w:rPr>
          <w:rFonts w:ascii="Cambria Math" w:hAnsi="Cambria Math"/>
          <w:sz w:val="24"/>
          <w:szCs w:val="24"/>
        </w:rPr>
        <w:t xml:space="preserve">have been shown to be </w:t>
      </w:r>
      <w:r w:rsidR="009D25EA" w:rsidRPr="0076192F">
        <w:rPr>
          <w:rFonts w:ascii="Cambria Math" w:hAnsi="Cambria Math"/>
          <w:sz w:val="24"/>
          <w:szCs w:val="24"/>
        </w:rPr>
        <w:t>a significant predictor of bank failure</w:t>
      </w:r>
      <w:r w:rsidR="006755F4" w:rsidRPr="0076192F">
        <w:rPr>
          <w:rFonts w:ascii="Cambria Math" w:hAnsi="Cambria Math"/>
          <w:sz w:val="24"/>
          <w:szCs w:val="24"/>
        </w:rPr>
        <w:t>s.</w:t>
      </w:r>
      <w:r w:rsidR="009D25EA" w:rsidRPr="0076192F">
        <w:rPr>
          <w:rFonts w:ascii="Cambria Math" w:hAnsi="Cambria Math"/>
          <w:sz w:val="24"/>
          <w:szCs w:val="24"/>
        </w:rPr>
        <w:t xml:space="preserve"> </w:t>
      </w:r>
      <w:r w:rsidR="006755F4" w:rsidRPr="0076192F">
        <w:rPr>
          <w:rFonts w:ascii="Cambria Math" w:hAnsi="Cambria Math"/>
          <w:sz w:val="24"/>
          <w:szCs w:val="24"/>
        </w:rPr>
        <w:t>B</w:t>
      </w:r>
      <w:r w:rsidR="009D25EA" w:rsidRPr="0076192F">
        <w:rPr>
          <w:rFonts w:ascii="Cambria Math" w:hAnsi="Cambria Math"/>
          <w:sz w:val="24"/>
          <w:szCs w:val="24"/>
        </w:rPr>
        <w:t xml:space="preserve">ut even in the case where banks avoid failure, </w:t>
      </w:r>
      <w:r w:rsidR="001F4373" w:rsidRPr="0076192F">
        <w:rPr>
          <w:rFonts w:ascii="Cambria Math" w:hAnsi="Cambria Math"/>
          <w:sz w:val="24"/>
          <w:szCs w:val="24"/>
        </w:rPr>
        <w:t xml:space="preserve">rising </w:t>
      </w:r>
      <w:r w:rsidR="009D25EA" w:rsidRPr="0076192F">
        <w:rPr>
          <w:rFonts w:ascii="Cambria Math" w:hAnsi="Cambria Math"/>
          <w:sz w:val="24"/>
          <w:szCs w:val="24"/>
        </w:rPr>
        <w:t xml:space="preserve">NPLs have a negative impact on the cost structure and efficiency of banks as well as their willingness to lend (see e.g. </w:t>
      </w:r>
      <w:bookmarkStart w:id="2" w:name="_Hlk531696279"/>
      <w:r w:rsidR="009D25EA" w:rsidRPr="0076192F">
        <w:rPr>
          <w:rFonts w:ascii="Cambria Math" w:hAnsi="Cambria Math"/>
          <w:sz w:val="24"/>
          <w:szCs w:val="24"/>
        </w:rPr>
        <w:t>Balgova et al., 2016)</w:t>
      </w:r>
      <w:bookmarkEnd w:id="2"/>
      <w:r w:rsidR="006755F4" w:rsidRPr="0076192F">
        <w:rPr>
          <w:rFonts w:ascii="Cambria Math" w:hAnsi="Cambria Math"/>
          <w:sz w:val="24"/>
          <w:szCs w:val="24"/>
        </w:rPr>
        <w:t xml:space="preserve"> and, as a result, </w:t>
      </w:r>
      <w:r w:rsidR="008A7518" w:rsidRPr="0076192F">
        <w:rPr>
          <w:rFonts w:ascii="Cambria Math" w:hAnsi="Cambria Math"/>
          <w:sz w:val="24"/>
          <w:szCs w:val="24"/>
        </w:rPr>
        <w:t>undermine</w:t>
      </w:r>
      <w:r w:rsidR="006755F4" w:rsidRPr="0076192F">
        <w:rPr>
          <w:rFonts w:ascii="Cambria Math" w:hAnsi="Cambria Math"/>
          <w:sz w:val="24"/>
          <w:szCs w:val="24"/>
        </w:rPr>
        <w:t xml:space="preserve"> </w:t>
      </w:r>
      <w:r w:rsidR="00306388" w:rsidRPr="0076192F">
        <w:rPr>
          <w:rFonts w:ascii="Cambria Math" w:hAnsi="Cambria Math"/>
          <w:sz w:val="24"/>
          <w:szCs w:val="24"/>
        </w:rPr>
        <w:t xml:space="preserve">future </w:t>
      </w:r>
      <w:r w:rsidR="008A7518" w:rsidRPr="0076192F">
        <w:rPr>
          <w:rFonts w:ascii="Cambria Math" w:hAnsi="Cambria Math"/>
          <w:sz w:val="24"/>
          <w:szCs w:val="24"/>
        </w:rPr>
        <w:t xml:space="preserve">economic </w:t>
      </w:r>
      <w:r w:rsidR="006755F4" w:rsidRPr="0076192F">
        <w:rPr>
          <w:rFonts w:ascii="Cambria Math" w:hAnsi="Cambria Math"/>
          <w:sz w:val="24"/>
          <w:szCs w:val="24"/>
        </w:rPr>
        <w:t>growth.</w:t>
      </w:r>
      <w:r w:rsidR="001D442D">
        <w:rPr>
          <w:rFonts w:ascii="Cambria Math" w:hAnsi="Cambria Math"/>
          <w:sz w:val="24"/>
          <w:szCs w:val="24"/>
        </w:rPr>
        <w:t xml:space="preserve"> </w:t>
      </w:r>
    </w:p>
    <w:p w14:paraId="5E8A5CA9" w14:textId="77777777" w:rsidR="00992F95" w:rsidRDefault="00244309" w:rsidP="003B57A7">
      <w:pPr>
        <w:jc w:val="both"/>
        <w:rPr>
          <w:rFonts w:ascii="Cambria Math" w:hAnsi="Cambria Math"/>
          <w:sz w:val="24"/>
          <w:szCs w:val="24"/>
        </w:rPr>
      </w:pPr>
      <w:r w:rsidRPr="0076192F">
        <w:rPr>
          <w:rFonts w:ascii="Cambria Math" w:hAnsi="Cambria Math"/>
          <w:sz w:val="24"/>
          <w:szCs w:val="24"/>
        </w:rPr>
        <w:t xml:space="preserve">This </w:t>
      </w:r>
      <w:r w:rsidR="00725F86" w:rsidRPr="0076192F">
        <w:rPr>
          <w:rFonts w:ascii="Cambria Math" w:hAnsi="Cambria Math"/>
          <w:sz w:val="24"/>
          <w:szCs w:val="24"/>
        </w:rPr>
        <w:t xml:space="preserve">very </w:t>
      </w:r>
      <w:r w:rsidRPr="0076192F">
        <w:rPr>
          <w:rFonts w:ascii="Cambria Math" w:hAnsi="Cambria Math"/>
          <w:sz w:val="24"/>
          <w:szCs w:val="24"/>
        </w:rPr>
        <w:t xml:space="preserve">discussion </w:t>
      </w:r>
      <w:r w:rsidR="00C112C9" w:rsidRPr="0076192F">
        <w:rPr>
          <w:rFonts w:ascii="Cambria Math" w:hAnsi="Cambria Math"/>
          <w:sz w:val="24"/>
          <w:szCs w:val="24"/>
        </w:rPr>
        <w:t>indicates th</w:t>
      </w:r>
      <w:r w:rsidR="00F73BDB" w:rsidRPr="0076192F">
        <w:rPr>
          <w:rFonts w:ascii="Cambria Math" w:hAnsi="Cambria Math"/>
          <w:sz w:val="24"/>
          <w:szCs w:val="24"/>
        </w:rPr>
        <w:t>at</w:t>
      </w:r>
      <w:r w:rsidR="00C112C9" w:rsidRPr="0076192F">
        <w:rPr>
          <w:rFonts w:ascii="Cambria Math" w:hAnsi="Cambria Math"/>
          <w:sz w:val="24"/>
          <w:szCs w:val="24"/>
        </w:rPr>
        <w:t xml:space="preserve"> NPLs </w:t>
      </w:r>
      <w:r w:rsidR="00F73BDB" w:rsidRPr="0076192F">
        <w:rPr>
          <w:rFonts w:ascii="Cambria Math" w:hAnsi="Cambria Math"/>
          <w:sz w:val="24"/>
          <w:szCs w:val="24"/>
        </w:rPr>
        <w:t>are an appropriate</w:t>
      </w:r>
      <w:r w:rsidR="00C112C9" w:rsidRPr="0076192F">
        <w:rPr>
          <w:rFonts w:ascii="Cambria Math" w:hAnsi="Cambria Math"/>
          <w:sz w:val="24"/>
          <w:szCs w:val="24"/>
        </w:rPr>
        <w:t xml:space="preserve"> measure of banking risk and </w:t>
      </w:r>
      <w:r w:rsidRPr="0076192F">
        <w:rPr>
          <w:rFonts w:ascii="Cambria Math" w:hAnsi="Cambria Math"/>
          <w:sz w:val="24"/>
          <w:szCs w:val="24"/>
        </w:rPr>
        <w:t xml:space="preserve">opens </w:t>
      </w:r>
      <w:r w:rsidR="002622A1" w:rsidRPr="0076192F">
        <w:rPr>
          <w:rFonts w:ascii="Cambria Math" w:hAnsi="Cambria Math"/>
          <w:sz w:val="24"/>
          <w:szCs w:val="24"/>
        </w:rPr>
        <w:t xml:space="preserve">up </w:t>
      </w:r>
      <w:r w:rsidRPr="0076192F">
        <w:rPr>
          <w:rFonts w:ascii="Cambria Math" w:hAnsi="Cambria Math"/>
          <w:sz w:val="24"/>
          <w:szCs w:val="24"/>
        </w:rPr>
        <w:t xml:space="preserve">the possibility that developments in NPLs affect sovereign rating decisions over and above the impact of </w:t>
      </w:r>
      <w:r w:rsidR="00CB7E7F" w:rsidRPr="0076192F">
        <w:rPr>
          <w:rFonts w:ascii="Cambria Math" w:hAnsi="Cambria Math"/>
          <w:sz w:val="24"/>
          <w:szCs w:val="24"/>
        </w:rPr>
        <w:t xml:space="preserve">other </w:t>
      </w:r>
      <w:r w:rsidRPr="0076192F">
        <w:rPr>
          <w:rFonts w:ascii="Cambria Math" w:hAnsi="Cambria Math"/>
          <w:sz w:val="24"/>
          <w:szCs w:val="24"/>
        </w:rPr>
        <w:t xml:space="preserve">control variables. </w:t>
      </w:r>
      <w:r w:rsidR="004E71FF" w:rsidRPr="0076192F">
        <w:rPr>
          <w:rFonts w:ascii="Cambria Math" w:hAnsi="Cambria Math"/>
          <w:sz w:val="24"/>
          <w:szCs w:val="24"/>
        </w:rPr>
        <w:t xml:space="preserve">On the other </w:t>
      </w:r>
      <w:r w:rsidR="00A342AC" w:rsidRPr="0076192F">
        <w:rPr>
          <w:rFonts w:ascii="Cambria Math" w:hAnsi="Cambria Math"/>
          <w:sz w:val="24"/>
          <w:szCs w:val="24"/>
        </w:rPr>
        <w:t>hand</w:t>
      </w:r>
      <w:r w:rsidR="004E71FF" w:rsidRPr="0076192F">
        <w:rPr>
          <w:rFonts w:ascii="Cambria Math" w:hAnsi="Cambria Math"/>
          <w:sz w:val="24"/>
          <w:szCs w:val="24"/>
        </w:rPr>
        <w:t xml:space="preserve">, sovereign ratings impact negatively on NPLs through banking ratings and lending supply. This two-way feedback is examined within a panel VAR </w:t>
      </w:r>
      <w:r w:rsidR="00AA73C8" w:rsidRPr="0076192F">
        <w:rPr>
          <w:rFonts w:ascii="Cambria Math" w:hAnsi="Cambria Math"/>
          <w:sz w:val="24"/>
          <w:szCs w:val="24"/>
        </w:rPr>
        <w:t xml:space="preserve">of </w:t>
      </w:r>
      <w:r w:rsidR="004001C3" w:rsidRPr="0076192F">
        <w:rPr>
          <w:rFonts w:ascii="Cambria Math" w:hAnsi="Cambria Math"/>
          <w:sz w:val="24"/>
          <w:szCs w:val="24"/>
        </w:rPr>
        <w:t>72 countries over the 1998-2016 period</w:t>
      </w:r>
      <w:r w:rsidR="00AA73C8" w:rsidRPr="0076192F">
        <w:rPr>
          <w:rFonts w:ascii="Cambria Math" w:hAnsi="Cambria Math"/>
          <w:sz w:val="24"/>
          <w:szCs w:val="24"/>
        </w:rPr>
        <w:t>.</w:t>
      </w:r>
    </w:p>
    <w:p w14:paraId="1C0BD128" w14:textId="36F7E62A" w:rsidR="00407290" w:rsidRPr="0076192F" w:rsidRDefault="00AA73C8" w:rsidP="003B57A7">
      <w:pPr>
        <w:jc w:val="both"/>
        <w:rPr>
          <w:rFonts w:ascii="Cambria Math" w:hAnsi="Cambria Math" w:cs="Times New Roman"/>
          <w:sz w:val="24"/>
          <w:szCs w:val="24"/>
        </w:rPr>
      </w:pPr>
      <w:r w:rsidRPr="0076192F">
        <w:rPr>
          <w:rFonts w:ascii="Cambria Math" w:hAnsi="Cambria Math" w:cs="Times New Roman"/>
          <w:sz w:val="24"/>
          <w:szCs w:val="24"/>
        </w:rPr>
        <w:t xml:space="preserve">First, we </w:t>
      </w:r>
      <w:r w:rsidR="00E76A65" w:rsidRPr="0076192F">
        <w:rPr>
          <w:rFonts w:ascii="Cambria Math" w:hAnsi="Cambria Math" w:cs="Times New Roman"/>
          <w:sz w:val="24"/>
          <w:szCs w:val="24"/>
        </w:rPr>
        <w:t xml:space="preserve">identify a significant </w:t>
      </w:r>
      <w:r w:rsidR="0089163E" w:rsidRPr="0076192F">
        <w:rPr>
          <w:rFonts w:ascii="Cambria Math" w:hAnsi="Cambria Math" w:cs="Times New Roman"/>
          <w:sz w:val="24"/>
          <w:szCs w:val="24"/>
        </w:rPr>
        <w:t xml:space="preserve">negative </w:t>
      </w:r>
      <w:r w:rsidR="00D336C3" w:rsidRPr="0076192F">
        <w:rPr>
          <w:rFonts w:ascii="Cambria Math" w:hAnsi="Cambria Math" w:cs="Times New Roman"/>
          <w:sz w:val="24"/>
          <w:szCs w:val="24"/>
        </w:rPr>
        <w:t xml:space="preserve">effect </w:t>
      </w:r>
      <w:r w:rsidR="00E76A65" w:rsidRPr="0076192F">
        <w:rPr>
          <w:rFonts w:ascii="Cambria Math" w:hAnsi="Cambria Math" w:cs="Times New Roman"/>
          <w:sz w:val="24"/>
          <w:szCs w:val="24"/>
        </w:rPr>
        <w:t>of NPLs on sovereign credit ratings</w:t>
      </w:r>
      <w:r w:rsidR="00530F22" w:rsidRPr="0076192F">
        <w:rPr>
          <w:rFonts w:ascii="Cambria Math" w:hAnsi="Cambria Math" w:cs="Times New Roman"/>
          <w:sz w:val="24"/>
          <w:szCs w:val="24"/>
        </w:rPr>
        <w:t xml:space="preserve"> </w:t>
      </w:r>
      <w:r w:rsidR="009E3A21" w:rsidRPr="0076192F">
        <w:rPr>
          <w:rFonts w:ascii="Cambria Math" w:hAnsi="Cambria Math" w:cs="Times New Roman"/>
          <w:sz w:val="24"/>
          <w:szCs w:val="24"/>
        </w:rPr>
        <w:t>and vice versa</w:t>
      </w:r>
      <w:r w:rsidR="00E76A65" w:rsidRPr="0076192F">
        <w:rPr>
          <w:rFonts w:ascii="Cambria Math" w:hAnsi="Cambria Math" w:cs="Times New Roman"/>
          <w:sz w:val="24"/>
          <w:szCs w:val="24"/>
        </w:rPr>
        <w:t>.</w:t>
      </w:r>
      <w:r w:rsidR="004001C3" w:rsidRPr="0076192F">
        <w:rPr>
          <w:rFonts w:ascii="Cambria Math" w:hAnsi="Cambria Math" w:cs="Times New Roman"/>
          <w:sz w:val="24"/>
          <w:szCs w:val="24"/>
        </w:rPr>
        <w:t xml:space="preserve"> </w:t>
      </w:r>
      <w:r w:rsidR="003B57A7" w:rsidRPr="000F3AC1">
        <w:rPr>
          <w:rFonts w:ascii="Cambria Math" w:hAnsi="Cambria Math" w:cs="Times New Roman"/>
          <w:sz w:val="24"/>
          <w:szCs w:val="24"/>
        </w:rPr>
        <w:t>Second</w:t>
      </w:r>
      <w:r w:rsidR="00725161">
        <w:rPr>
          <w:rFonts w:ascii="Cambria Math" w:hAnsi="Cambria Math" w:cs="Times New Roman"/>
          <w:sz w:val="24"/>
          <w:szCs w:val="24"/>
        </w:rPr>
        <w:t xml:space="preserve">, </w:t>
      </w:r>
      <w:r w:rsidR="006B2F22" w:rsidRPr="000F3AC1">
        <w:rPr>
          <w:rFonts w:ascii="Cambria Math" w:hAnsi="Cambria Math" w:cs="Times New Roman"/>
          <w:sz w:val="24"/>
          <w:szCs w:val="24"/>
        </w:rPr>
        <w:t>uncertainty shocks</w:t>
      </w:r>
      <w:r w:rsidR="0097243F" w:rsidRPr="000F3AC1">
        <w:rPr>
          <w:rFonts w:ascii="Cambria Math" w:hAnsi="Cambria Math" w:cs="Times New Roman"/>
          <w:sz w:val="24"/>
          <w:szCs w:val="24"/>
        </w:rPr>
        <w:t xml:space="preserve"> </w:t>
      </w:r>
      <w:r w:rsidR="001F2359" w:rsidRPr="000F3AC1">
        <w:rPr>
          <w:rFonts w:ascii="Cambria Math" w:hAnsi="Cambria Math" w:cs="Times New Roman"/>
          <w:sz w:val="24"/>
          <w:szCs w:val="24"/>
        </w:rPr>
        <w:t xml:space="preserve">trigger a </w:t>
      </w:r>
      <w:r w:rsidR="00C02E0A" w:rsidRPr="000F3AC1">
        <w:rPr>
          <w:rFonts w:ascii="Cambria Math" w:hAnsi="Cambria Math" w:cs="Times New Roman"/>
          <w:sz w:val="24"/>
          <w:szCs w:val="24"/>
        </w:rPr>
        <w:t xml:space="preserve">negative </w:t>
      </w:r>
      <w:r w:rsidR="00142C47" w:rsidRPr="000F3AC1">
        <w:rPr>
          <w:rFonts w:ascii="Cambria Math" w:hAnsi="Cambria Math" w:cs="Times New Roman"/>
          <w:sz w:val="24"/>
          <w:szCs w:val="24"/>
        </w:rPr>
        <w:t xml:space="preserve">effect </w:t>
      </w:r>
      <w:r w:rsidR="001F2359" w:rsidRPr="000F3AC1">
        <w:rPr>
          <w:rFonts w:ascii="Cambria Math" w:hAnsi="Cambria Math" w:cs="Times New Roman"/>
          <w:sz w:val="24"/>
          <w:szCs w:val="24"/>
        </w:rPr>
        <w:t xml:space="preserve">on </w:t>
      </w:r>
      <w:r w:rsidR="0097243F" w:rsidRPr="000F3AC1">
        <w:rPr>
          <w:rFonts w:ascii="Cambria Math" w:hAnsi="Cambria Math" w:cs="Times New Roman"/>
          <w:sz w:val="24"/>
          <w:szCs w:val="24"/>
        </w:rPr>
        <w:t>sovereign rating decisions</w:t>
      </w:r>
      <w:r w:rsidR="0056711E" w:rsidRPr="000F3AC1">
        <w:rPr>
          <w:rFonts w:ascii="Cambria Math" w:hAnsi="Cambria Math" w:cs="Times New Roman"/>
          <w:sz w:val="24"/>
          <w:szCs w:val="24"/>
        </w:rPr>
        <w:t xml:space="preserve"> following the financial turmoil and the subsequent Eurozone crisis.</w:t>
      </w:r>
      <w:r w:rsidR="0056711E" w:rsidRPr="00F77F63">
        <w:rPr>
          <w:rFonts w:ascii="Cambria Math" w:hAnsi="Cambria Math" w:cs="Times New Roman"/>
          <w:sz w:val="24"/>
          <w:szCs w:val="24"/>
        </w:rPr>
        <w:t xml:space="preserve"> </w:t>
      </w:r>
      <w:r w:rsidR="0056711E" w:rsidRPr="0076192F">
        <w:rPr>
          <w:rFonts w:ascii="Cambria Math" w:hAnsi="Cambria Math" w:cs="Times New Roman"/>
          <w:sz w:val="24"/>
          <w:szCs w:val="24"/>
        </w:rPr>
        <w:t>In</w:t>
      </w:r>
      <w:r w:rsidR="0004120A" w:rsidRPr="0076192F">
        <w:rPr>
          <w:rFonts w:ascii="Cambria Math" w:hAnsi="Cambria Math" w:cs="Times New Roman"/>
          <w:sz w:val="24"/>
          <w:szCs w:val="24"/>
        </w:rPr>
        <w:t>deed</w:t>
      </w:r>
      <w:r w:rsidR="00725161">
        <w:rPr>
          <w:rFonts w:ascii="Cambria Math" w:hAnsi="Cambria Math" w:cs="Times New Roman"/>
          <w:sz w:val="24"/>
          <w:szCs w:val="24"/>
        </w:rPr>
        <w:t xml:space="preserve">, </w:t>
      </w:r>
      <w:r w:rsidR="0056711E" w:rsidRPr="0076192F">
        <w:rPr>
          <w:rFonts w:ascii="Cambria Math" w:hAnsi="Cambria Math" w:cs="Times New Roman"/>
          <w:sz w:val="24"/>
          <w:szCs w:val="24"/>
        </w:rPr>
        <w:t xml:space="preserve">uncertainty </w:t>
      </w:r>
      <w:r w:rsidR="00AB52E6" w:rsidRPr="0076192F">
        <w:rPr>
          <w:rFonts w:ascii="Cambria Math" w:hAnsi="Cambria Math" w:cs="Times New Roman"/>
          <w:sz w:val="24"/>
          <w:szCs w:val="24"/>
        </w:rPr>
        <w:t>is</w:t>
      </w:r>
      <w:r w:rsidR="0056711E" w:rsidRPr="0076192F">
        <w:rPr>
          <w:rFonts w:ascii="Cambria Math" w:hAnsi="Cambria Math" w:cs="Times New Roman"/>
          <w:sz w:val="24"/>
          <w:szCs w:val="24"/>
        </w:rPr>
        <w:t xml:space="preserve"> firmly </w:t>
      </w:r>
      <w:r w:rsidR="00AB52E6" w:rsidRPr="0076192F">
        <w:rPr>
          <w:rFonts w:ascii="Cambria Math" w:hAnsi="Cambria Math" w:cs="Times New Roman"/>
          <w:sz w:val="24"/>
          <w:szCs w:val="24"/>
        </w:rPr>
        <w:t xml:space="preserve">now </w:t>
      </w:r>
      <w:r w:rsidR="0056711E" w:rsidRPr="0076192F">
        <w:rPr>
          <w:rFonts w:ascii="Cambria Math" w:hAnsi="Cambria Math" w:cs="Times New Roman"/>
          <w:sz w:val="24"/>
          <w:szCs w:val="24"/>
        </w:rPr>
        <w:t>on the radar of CRAs</w:t>
      </w:r>
      <w:r w:rsidR="0004120A" w:rsidRPr="0076192F">
        <w:rPr>
          <w:rFonts w:ascii="Cambria Math" w:hAnsi="Cambria Math" w:cs="Times New Roman"/>
          <w:sz w:val="24"/>
          <w:szCs w:val="24"/>
        </w:rPr>
        <w:t>;</w:t>
      </w:r>
      <w:r w:rsidR="0056711E" w:rsidRPr="0076192F">
        <w:rPr>
          <w:rFonts w:ascii="Cambria Math" w:hAnsi="Cambria Math" w:cs="Times New Roman"/>
          <w:sz w:val="24"/>
          <w:szCs w:val="24"/>
        </w:rPr>
        <w:t xml:space="preserve"> </w:t>
      </w:r>
      <w:r w:rsidR="0004120A" w:rsidRPr="0076192F">
        <w:rPr>
          <w:rFonts w:ascii="Cambria Math" w:hAnsi="Cambria Math" w:cs="Times New Roman"/>
          <w:sz w:val="24"/>
          <w:szCs w:val="24"/>
        </w:rPr>
        <w:t>Moody’s, for instance, note</w:t>
      </w:r>
      <w:r w:rsidR="00AB52E6" w:rsidRPr="0076192F">
        <w:rPr>
          <w:rFonts w:ascii="Cambria Math" w:hAnsi="Cambria Math" w:cs="Times New Roman"/>
          <w:sz w:val="24"/>
          <w:szCs w:val="24"/>
        </w:rPr>
        <w:t>s</w:t>
      </w:r>
      <w:r w:rsidR="00725161">
        <w:rPr>
          <w:rFonts w:ascii="Cambria Math" w:hAnsi="Cambria Math" w:cs="Times New Roman"/>
          <w:sz w:val="24"/>
          <w:szCs w:val="24"/>
        </w:rPr>
        <w:t xml:space="preserve"> (in May 2018)</w:t>
      </w:r>
      <w:r w:rsidR="0004120A" w:rsidRPr="0076192F">
        <w:rPr>
          <w:rFonts w:ascii="Cambria Math" w:hAnsi="Cambria Math" w:cs="Times New Roman"/>
          <w:sz w:val="24"/>
          <w:szCs w:val="24"/>
        </w:rPr>
        <w:t xml:space="preserve"> uncertainty in Italy as a reason for a credit rating review.</w:t>
      </w:r>
      <w:r w:rsidR="0004120A" w:rsidRPr="0076192F">
        <w:rPr>
          <w:rStyle w:val="FootnoteReference"/>
          <w:rFonts w:ascii="Cambria Math" w:hAnsi="Cambria Math" w:cs="Times New Roman"/>
          <w:sz w:val="24"/>
          <w:szCs w:val="24"/>
        </w:rPr>
        <w:footnoteReference w:id="10"/>
      </w:r>
      <w:r w:rsidR="0004120A" w:rsidRPr="0076192F">
        <w:rPr>
          <w:rFonts w:ascii="Cambria Math" w:hAnsi="Cambria Math" w:cs="Times New Roman"/>
          <w:sz w:val="24"/>
          <w:szCs w:val="24"/>
        </w:rPr>
        <w:t xml:space="preserve"> </w:t>
      </w:r>
      <w:r w:rsidR="0097243F" w:rsidRPr="005C330F">
        <w:rPr>
          <w:rFonts w:ascii="Cambria Math" w:hAnsi="Cambria Math" w:cs="Times New Roman"/>
          <w:sz w:val="24"/>
          <w:szCs w:val="24"/>
        </w:rPr>
        <w:t xml:space="preserve">From a theoretical point of view, uncertainty shocks </w:t>
      </w:r>
      <w:r w:rsidR="00992F95">
        <w:rPr>
          <w:rFonts w:ascii="Cambria Math" w:hAnsi="Cambria Math" w:cs="Times New Roman"/>
          <w:sz w:val="24"/>
          <w:szCs w:val="24"/>
        </w:rPr>
        <w:t xml:space="preserve">could </w:t>
      </w:r>
      <w:r w:rsidR="0097243F" w:rsidRPr="005C330F">
        <w:rPr>
          <w:rFonts w:ascii="Cambria Math" w:hAnsi="Cambria Math" w:cs="Times New Roman"/>
          <w:sz w:val="24"/>
          <w:szCs w:val="24"/>
        </w:rPr>
        <w:t xml:space="preserve">undermine the expected proﬁtability of ﬁrms, which puts upward pressure on their perceived riskiness. In this context, investors demand higher interest rates to be compensated for the higher risk </w:t>
      </w:r>
      <w:r w:rsidR="001F2359" w:rsidRPr="005C330F">
        <w:rPr>
          <w:rFonts w:ascii="Cambria Math" w:hAnsi="Cambria Math" w:cs="Times New Roman"/>
          <w:sz w:val="24"/>
          <w:szCs w:val="24"/>
        </w:rPr>
        <w:t xml:space="preserve">and consequently </w:t>
      </w:r>
      <w:r w:rsidR="0097243F" w:rsidRPr="005C330F">
        <w:rPr>
          <w:rFonts w:ascii="Cambria Math" w:hAnsi="Cambria Math" w:cs="Times New Roman"/>
          <w:sz w:val="24"/>
          <w:szCs w:val="24"/>
        </w:rPr>
        <w:t>that issuance of additional debt becomes more</w:t>
      </w:r>
      <w:r w:rsidR="00013787" w:rsidRPr="005C330F">
        <w:rPr>
          <w:rFonts w:ascii="Cambria Math" w:hAnsi="Cambria Math" w:cs="Times New Roman"/>
          <w:sz w:val="24"/>
          <w:szCs w:val="24"/>
        </w:rPr>
        <w:t xml:space="preserve"> </w:t>
      </w:r>
      <w:r w:rsidR="0097243F" w:rsidRPr="005C330F">
        <w:rPr>
          <w:rFonts w:ascii="Cambria Math" w:hAnsi="Cambria Math" w:cs="Times New Roman"/>
          <w:sz w:val="24"/>
          <w:szCs w:val="24"/>
        </w:rPr>
        <w:t>costly and adversely aﬀects investment</w:t>
      </w:r>
      <w:r w:rsidR="001F2359" w:rsidRPr="005C330F">
        <w:rPr>
          <w:rFonts w:ascii="Cambria Math" w:hAnsi="Cambria Math" w:cs="Times New Roman"/>
          <w:sz w:val="24"/>
          <w:szCs w:val="24"/>
        </w:rPr>
        <w:t>s</w:t>
      </w:r>
      <w:r w:rsidR="0097243F" w:rsidRPr="005C330F">
        <w:rPr>
          <w:rFonts w:ascii="Cambria Math" w:hAnsi="Cambria Math" w:cs="Times New Roman"/>
          <w:sz w:val="24"/>
          <w:szCs w:val="24"/>
        </w:rPr>
        <w:t xml:space="preserve"> (s</w:t>
      </w:r>
      <w:r w:rsidR="00FC5298">
        <w:rPr>
          <w:rFonts w:ascii="Cambria Math" w:hAnsi="Cambria Math" w:cs="Times New Roman"/>
          <w:sz w:val="24"/>
          <w:szCs w:val="24"/>
        </w:rPr>
        <w:t xml:space="preserve">ee e.g. Gilchrist et al., 2014). </w:t>
      </w:r>
    </w:p>
    <w:p w14:paraId="53AE9D38" w14:textId="13CACB75" w:rsidR="00A12CAB" w:rsidRPr="0076192F" w:rsidRDefault="00894B04" w:rsidP="00A12CAB">
      <w:pPr>
        <w:jc w:val="both"/>
        <w:rPr>
          <w:rFonts w:ascii="Cambria Math" w:hAnsi="Cambria Math"/>
          <w:sz w:val="24"/>
          <w:szCs w:val="24"/>
        </w:rPr>
      </w:pPr>
      <w:r w:rsidRPr="0076192F">
        <w:rPr>
          <w:rFonts w:ascii="Cambria Math" w:hAnsi="Cambria Math" w:cs="Times New Roman"/>
          <w:sz w:val="24"/>
          <w:szCs w:val="24"/>
        </w:rPr>
        <w:t>O</w:t>
      </w:r>
      <w:r w:rsidR="005130DA" w:rsidRPr="0076192F">
        <w:rPr>
          <w:rFonts w:ascii="Cambria Math" w:hAnsi="Cambria Math" w:cs="Times New Roman"/>
          <w:sz w:val="24"/>
          <w:szCs w:val="24"/>
        </w:rPr>
        <w:t>ur results provide additional insight towards understanding how CRAs make sovereign credit rating decisions</w:t>
      </w:r>
      <w:r w:rsidR="0089163E" w:rsidRPr="0076192F">
        <w:rPr>
          <w:rFonts w:ascii="Cambria Math" w:hAnsi="Cambria Math" w:cs="Times New Roman"/>
          <w:sz w:val="24"/>
          <w:szCs w:val="24"/>
        </w:rPr>
        <w:t xml:space="preserve"> by flagging </w:t>
      </w:r>
      <w:r w:rsidR="003C14D9" w:rsidRPr="0076192F">
        <w:rPr>
          <w:rFonts w:ascii="Cambria Math" w:hAnsi="Cambria Math" w:cs="Times New Roman"/>
          <w:sz w:val="24"/>
          <w:szCs w:val="24"/>
        </w:rPr>
        <w:t>the importance of NPLs in driving these decisions</w:t>
      </w:r>
      <w:r w:rsidR="005130DA" w:rsidRPr="0076192F">
        <w:rPr>
          <w:rFonts w:ascii="Cambria Math" w:hAnsi="Cambria Math" w:cs="Times New Roman"/>
          <w:sz w:val="24"/>
          <w:szCs w:val="24"/>
        </w:rPr>
        <w:t xml:space="preserve">. </w:t>
      </w:r>
      <w:r w:rsidR="00E62A03" w:rsidRPr="0076192F">
        <w:rPr>
          <w:rFonts w:ascii="Cambria Math" w:hAnsi="Cambria Math" w:cs="Times New Roman"/>
          <w:sz w:val="24"/>
          <w:szCs w:val="24"/>
        </w:rPr>
        <w:t xml:space="preserve">With </w:t>
      </w:r>
      <w:r w:rsidR="00E62A03" w:rsidRPr="0076192F">
        <w:rPr>
          <w:rFonts w:ascii="Cambria Math" w:hAnsi="Cambria Math" w:cs="Times New Roman"/>
          <w:sz w:val="24"/>
          <w:szCs w:val="24"/>
        </w:rPr>
        <w:lastRenderedPageBreak/>
        <w:t xml:space="preserve">this in mind, our results should be </w:t>
      </w:r>
      <w:r w:rsidR="00A13D1A" w:rsidRPr="0076192F">
        <w:rPr>
          <w:rFonts w:ascii="Cambria Math" w:hAnsi="Cambria Math" w:cs="Times New Roman"/>
          <w:sz w:val="24"/>
          <w:szCs w:val="24"/>
        </w:rPr>
        <w:t>useful</w:t>
      </w:r>
      <w:r w:rsidR="00E62A03" w:rsidRPr="0076192F">
        <w:rPr>
          <w:rFonts w:ascii="Cambria Math" w:hAnsi="Cambria Math" w:cs="Times New Roman"/>
          <w:sz w:val="24"/>
          <w:szCs w:val="24"/>
        </w:rPr>
        <w:t xml:space="preserve"> </w:t>
      </w:r>
      <w:r w:rsidR="00A13D1A" w:rsidRPr="0076192F">
        <w:rPr>
          <w:rFonts w:ascii="Cambria Math" w:hAnsi="Cambria Math" w:cs="Times New Roman"/>
          <w:sz w:val="24"/>
          <w:szCs w:val="24"/>
        </w:rPr>
        <w:t>to</w:t>
      </w:r>
      <w:r w:rsidR="00E62A03" w:rsidRPr="0076192F">
        <w:rPr>
          <w:rFonts w:ascii="Cambria Math" w:hAnsi="Cambria Math" w:cs="Times New Roman"/>
          <w:sz w:val="24"/>
          <w:szCs w:val="24"/>
        </w:rPr>
        <w:t xml:space="preserve"> regulators like the European Securities and Markets </w:t>
      </w:r>
      <w:r w:rsidR="00843A40" w:rsidRPr="0076192F">
        <w:rPr>
          <w:rFonts w:ascii="Cambria Math" w:hAnsi="Cambria Math" w:cs="Times New Roman"/>
          <w:sz w:val="24"/>
          <w:szCs w:val="24"/>
        </w:rPr>
        <w:t>A</w:t>
      </w:r>
      <w:r w:rsidR="00E62A03" w:rsidRPr="0076192F">
        <w:rPr>
          <w:rFonts w:ascii="Cambria Math" w:hAnsi="Cambria Math" w:cs="Times New Roman"/>
          <w:sz w:val="24"/>
          <w:szCs w:val="24"/>
        </w:rPr>
        <w:t xml:space="preserve">uthority (ESMA) who monitor CRAs </w:t>
      </w:r>
      <w:r w:rsidR="00010571" w:rsidRPr="0076192F">
        <w:rPr>
          <w:rFonts w:ascii="Cambria Math" w:hAnsi="Cambria Math" w:cs="Times New Roman"/>
          <w:sz w:val="24"/>
          <w:szCs w:val="24"/>
        </w:rPr>
        <w:t xml:space="preserve">in order to understand their </w:t>
      </w:r>
      <w:r w:rsidR="00ED0A87" w:rsidRPr="0076192F">
        <w:rPr>
          <w:rFonts w:ascii="Cambria Math" w:hAnsi="Cambria Math" w:cs="Times New Roman"/>
          <w:sz w:val="24"/>
          <w:szCs w:val="24"/>
        </w:rPr>
        <w:t>rating</w:t>
      </w:r>
      <w:r w:rsidR="00010571" w:rsidRPr="0076192F">
        <w:rPr>
          <w:rFonts w:ascii="Cambria Math" w:hAnsi="Cambria Math" w:cs="Times New Roman"/>
          <w:sz w:val="24"/>
          <w:szCs w:val="24"/>
        </w:rPr>
        <w:t xml:space="preserve"> methodology and </w:t>
      </w:r>
      <w:r w:rsidR="00843A40" w:rsidRPr="0076192F">
        <w:rPr>
          <w:rFonts w:ascii="Cambria Math" w:hAnsi="Cambria Math"/>
          <w:sz w:val="24"/>
          <w:szCs w:val="24"/>
        </w:rPr>
        <w:t xml:space="preserve">assess the quality of their </w:t>
      </w:r>
      <w:r w:rsidR="00843A40" w:rsidRPr="00983054">
        <w:rPr>
          <w:rFonts w:ascii="Cambria Math" w:hAnsi="Cambria Math"/>
          <w:sz w:val="24"/>
          <w:szCs w:val="24"/>
        </w:rPr>
        <w:t>ratings</w:t>
      </w:r>
      <w:r w:rsidR="00983054">
        <w:rPr>
          <w:rFonts w:ascii="Cambria Math" w:hAnsi="Cambria Math"/>
          <w:sz w:val="24"/>
          <w:szCs w:val="24"/>
        </w:rPr>
        <w:t xml:space="preserve">. </w:t>
      </w:r>
      <w:r w:rsidR="00010571" w:rsidRPr="00983054">
        <w:rPr>
          <w:rFonts w:ascii="Cambria Math" w:hAnsi="Cambria Math"/>
          <w:sz w:val="24"/>
          <w:szCs w:val="24"/>
        </w:rPr>
        <w:t>O</w:t>
      </w:r>
      <w:r w:rsidR="00843A40" w:rsidRPr="00983054">
        <w:rPr>
          <w:rFonts w:ascii="Cambria Math" w:hAnsi="Cambria Math"/>
          <w:sz w:val="24"/>
          <w:szCs w:val="24"/>
        </w:rPr>
        <w:t>ur</w:t>
      </w:r>
      <w:r w:rsidR="00843A40" w:rsidRPr="0076192F">
        <w:rPr>
          <w:rFonts w:ascii="Cambria Math" w:hAnsi="Cambria Math"/>
          <w:sz w:val="24"/>
          <w:szCs w:val="24"/>
        </w:rPr>
        <w:t xml:space="preserve"> results should also be informative for investors who can rely on our findings to get additional clarity on how CRAs reach their sovereign assessment</w:t>
      </w:r>
      <w:r w:rsidR="00010571" w:rsidRPr="0076192F">
        <w:rPr>
          <w:rFonts w:ascii="Cambria Math" w:hAnsi="Cambria Math"/>
          <w:sz w:val="24"/>
          <w:szCs w:val="24"/>
        </w:rPr>
        <w:t xml:space="preserve"> decisions</w:t>
      </w:r>
      <w:r w:rsidR="00843A40" w:rsidRPr="0076192F">
        <w:rPr>
          <w:rFonts w:ascii="Cambria Math" w:hAnsi="Cambria Math"/>
          <w:sz w:val="24"/>
          <w:szCs w:val="24"/>
        </w:rPr>
        <w:t xml:space="preserve">. This will go some way towards restoring part of the investor confidence towards CRAs which </w:t>
      </w:r>
      <w:r w:rsidR="00010571" w:rsidRPr="0076192F">
        <w:rPr>
          <w:rFonts w:ascii="Cambria Math" w:hAnsi="Cambria Math"/>
          <w:sz w:val="24"/>
          <w:szCs w:val="24"/>
        </w:rPr>
        <w:t xml:space="preserve">was undermined following </w:t>
      </w:r>
      <w:r w:rsidR="00843A40" w:rsidRPr="0076192F">
        <w:rPr>
          <w:rFonts w:ascii="Cambria Math" w:hAnsi="Cambria Math"/>
          <w:sz w:val="24"/>
          <w:szCs w:val="24"/>
        </w:rPr>
        <w:t xml:space="preserve">the recent financial crisis and the heavy criticism CRAs received (and </w:t>
      </w:r>
      <w:r w:rsidR="00010571" w:rsidRPr="0076192F">
        <w:rPr>
          <w:rFonts w:ascii="Cambria Math" w:hAnsi="Cambria Math"/>
          <w:sz w:val="24"/>
          <w:szCs w:val="24"/>
        </w:rPr>
        <w:t xml:space="preserve">indeed </w:t>
      </w:r>
      <w:r w:rsidR="00843A40" w:rsidRPr="0076192F">
        <w:rPr>
          <w:rFonts w:ascii="Cambria Math" w:hAnsi="Cambria Math"/>
          <w:sz w:val="24"/>
          <w:szCs w:val="24"/>
        </w:rPr>
        <w:t>continue to receive) by policymakers during the Eurozone crisis</w:t>
      </w:r>
      <w:r w:rsidR="00010571" w:rsidRPr="0076192F">
        <w:rPr>
          <w:rFonts w:ascii="Cambria Math" w:hAnsi="Cambria Math"/>
          <w:sz w:val="24"/>
          <w:szCs w:val="24"/>
        </w:rPr>
        <w:t xml:space="preserve"> and beyond</w:t>
      </w:r>
      <w:r w:rsidR="00843A40" w:rsidRPr="0076192F">
        <w:rPr>
          <w:rFonts w:ascii="Cambria Math" w:hAnsi="Cambria Math"/>
          <w:sz w:val="24"/>
          <w:szCs w:val="24"/>
        </w:rPr>
        <w:t>.</w:t>
      </w:r>
      <w:r w:rsidR="00010571" w:rsidRPr="0076192F">
        <w:rPr>
          <w:rFonts w:ascii="Cambria Math" w:hAnsi="Cambria Math"/>
          <w:sz w:val="24"/>
          <w:szCs w:val="24"/>
        </w:rPr>
        <w:t xml:space="preserve"> </w:t>
      </w:r>
    </w:p>
    <w:p w14:paraId="007E4164" w14:textId="01B83EE2" w:rsidR="009F4089" w:rsidRPr="0076192F" w:rsidRDefault="00F447BD" w:rsidP="00F62982">
      <w:pPr>
        <w:tabs>
          <w:tab w:val="left" w:pos="567"/>
        </w:tabs>
        <w:jc w:val="both"/>
        <w:rPr>
          <w:rFonts w:ascii="Cambria Math" w:hAnsi="Cambria Math" w:cs="Times New Roman"/>
          <w:sz w:val="24"/>
          <w:szCs w:val="24"/>
        </w:rPr>
      </w:pPr>
      <w:r w:rsidRPr="0076192F">
        <w:rPr>
          <w:rFonts w:ascii="Cambria Math" w:hAnsi="Cambria Math" w:cs="Times New Roman"/>
          <w:sz w:val="24"/>
          <w:szCs w:val="24"/>
        </w:rPr>
        <w:t xml:space="preserve">The structure of the paper is as follows. Section 2 discusses </w:t>
      </w:r>
      <w:r w:rsidR="001A2A42" w:rsidRPr="0076192F">
        <w:rPr>
          <w:rFonts w:ascii="Cambria Math" w:hAnsi="Cambria Math" w:cs="Times New Roman"/>
          <w:sz w:val="24"/>
          <w:szCs w:val="24"/>
        </w:rPr>
        <w:t xml:space="preserve">our </w:t>
      </w:r>
      <w:r w:rsidRPr="0076192F">
        <w:rPr>
          <w:rFonts w:ascii="Cambria Math" w:hAnsi="Cambria Math" w:cs="Times New Roman"/>
          <w:sz w:val="24"/>
          <w:szCs w:val="24"/>
        </w:rPr>
        <w:t>data</w:t>
      </w:r>
      <w:r w:rsidR="001A2A42" w:rsidRPr="0076192F">
        <w:rPr>
          <w:rFonts w:ascii="Cambria Math" w:hAnsi="Cambria Math" w:cs="Times New Roman"/>
          <w:sz w:val="24"/>
          <w:szCs w:val="24"/>
        </w:rPr>
        <w:t>set</w:t>
      </w:r>
      <w:r w:rsidRPr="0076192F">
        <w:rPr>
          <w:rFonts w:ascii="Cambria Math" w:hAnsi="Cambria Math" w:cs="Times New Roman"/>
          <w:sz w:val="24"/>
          <w:szCs w:val="24"/>
        </w:rPr>
        <w:t xml:space="preserve">. Section 3 introduces the panel VAR model and Section 4 presents </w:t>
      </w:r>
      <w:r w:rsidR="00EE021B">
        <w:rPr>
          <w:rFonts w:ascii="Cambria Math" w:hAnsi="Cambria Math" w:cs="Times New Roman"/>
          <w:sz w:val="24"/>
          <w:szCs w:val="24"/>
        </w:rPr>
        <w:t xml:space="preserve">and discusses </w:t>
      </w:r>
      <w:r w:rsidRPr="0076192F">
        <w:rPr>
          <w:rFonts w:ascii="Cambria Math" w:hAnsi="Cambria Math" w:cs="Times New Roman"/>
          <w:sz w:val="24"/>
          <w:szCs w:val="24"/>
        </w:rPr>
        <w:t xml:space="preserve">the empirical estimates. Finally, Section </w:t>
      </w:r>
      <w:r w:rsidR="00BF07F6">
        <w:rPr>
          <w:rFonts w:ascii="Cambria Math" w:hAnsi="Cambria Math" w:cs="Times New Roman"/>
          <w:sz w:val="24"/>
          <w:szCs w:val="24"/>
        </w:rPr>
        <w:t>5</w:t>
      </w:r>
      <w:r w:rsidRPr="0076192F">
        <w:rPr>
          <w:rFonts w:ascii="Cambria Math" w:hAnsi="Cambria Math" w:cs="Times New Roman"/>
          <w:sz w:val="24"/>
          <w:szCs w:val="24"/>
        </w:rPr>
        <w:t xml:space="preserve"> offers some concluding remarks.</w:t>
      </w:r>
      <w:r w:rsidR="00CB7E7F" w:rsidRPr="0076192F">
        <w:rPr>
          <w:rFonts w:ascii="Cambria Math" w:hAnsi="Cambria Math" w:cs="Times New Roman"/>
          <w:sz w:val="24"/>
          <w:szCs w:val="24"/>
        </w:rPr>
        <w:t xml:space="preserve"> </w:t>
      </w:r>
    </w:p>
    <w:p w14:paraId="262519D8" w14:textId="3012C9FD" w:rsidR="00694EB7" w:rsidRDefault="00694EB7">
      <w:pPr>
        <w:rPr>
          <w:rFonts w:ascii="Cambria Math" w:hAnsi="Cambria Math" w:cs="Times New Roman"/>
          <w:b/>
          <w:sz w:val="24"/>
          <w:szCs w:val="24"/>
        </w:rPr>
      </w:pPr>
    </w:p>
    <w:p w14:paraId="1949239C" w14:textId="30B4E0E9" w:rsidR="003F362A" w:rsidRPr="0076192F" w:rsidRDefault="00483DE0" w:rsidP="007338B5">
      <w:pPr>
        <w:rPr>
          <w:rFonts w:ascii="Cambria Math" w:hAnsi="Cambria Math" w:cs="Times New Roman"/>
          <w:b/>
          <w:sz w:val="24"/>
          <w:szCs w:val="24"/>
        </w:rPr>
      </w:pPr>
      <w:r w:rsidRPr="0076192F">
        <w:rPr>
          <w:rFonts w:ascii="Cambria Math" w:hAnsi="Cambria Math" w:cs="Times New Roman"/>
          <w:b/>
          <w:sz w:val="24"/>
          <w:szCs w:val="24"/>
        </w:rPr>
        <w:t xml:space="preserve">2. </w:t>
      </w:r>
      <w:r w:rsidR="003F362A" w:rsidRPr="0076192F">
        <w:rPr>
          <w:rFonts w:ascii="Cambria Math" w:hAnsi="Cambria Math" w:cs="Times New Roman"/>
          <w:b/>
          <w:sz w:val="24"/>
          <w:szCs w:val="24"/>
        </w:rPr>
        <w:t>Data</w:t>
      </w:r>
      <w:r w:rsidR="001B56B4" w:rsidRPr="0076192F">
        <w:rPr>
          <w:rFonts w:ascii="Cambria Math" w:hAnsi="Cambria Math" w:cs="Times New Roman"/>
          <w:b/>
          <w:sz w:val="24"/>
          <w:szCs w:val="24"/>
        </w:rPr>
        <w:t xml:space="preserve"> description</w:t>
      </w:r>
    </w:p>
    <w:p w14:paraId="76BF0FC5" w14:textId="3DD19353" w:rsidR="00F447BD" w:rsidRPr="0076192F" w:rsidRDefault="00F447BD" w:rsidP="00F447BD">
      <w:pPr>
        <w:jc w:val="both"/>
        <w:rPr>
          <w:rFonts w:ascii="Cambria Math" w:hAnsi="Cambria Math"/>
          <w:sz w:val="24"/>
          <w:szCs w:val="24"/>
        </w:rPr>
      </w:pPr>
      <w:r w:rsidRPr="0076192F">
        <w:rPr>
          <w:rFonts w:ascii="Cambria Math" w:hAnsi="Cambria Math"/>
          <w:sz w:val="24"/>
          <w:szCs w:val="24"/>
        </w:rPr>
        <w:t xml:space="preserve">We use </w:t>
      </w:r>
      <w:r w:rsidR="000A1707" w:rsidRPr="0076192F">
        <w:rPr>
          <w:rFonts w:ascii="Cambria Math" w:hAnsi="Cambria Math"/>
          <w:i/>
          <w:sz w:val="24"/>
          <w:szCs w:val="24"/>
        </w:rPr>
        <w:t>T</w:t>
      </w:r>
      <w:r w:rsidR="007A3E70" w:rsidRPr="0076192F">
        <w:rPr>
          <w:rFonts w:ascii="Cambria Math" w:hAnsi="Cambria Math"/>
          <w:i/>
          <w:sz w:val="24"/>
          <w:szCs w:val="24"/>
        </w:rPr>
        <w:t xml:space="preserve"> </w:t>
      </w:r>
      <w:r w:rsidR="000A1707" w:rsidRPr="0076192F">
        <w:rPr>
          <w:rFonts w:ascii="Cambria Math" w:hAnsi="Cambria Math"/>
          <w:sz w:val="24"/>
          <w:szCs w:val="24"/>
        </w:rPr>
        <w:t>=</w:t>
      </w:r>
      <w:r w:rsidR="007A3E70" w:rsidRPr="0076192F">
        <w:rPr>
          <w:rFonts w:ascii="Cambria Math" w:hAnsi="Cambria Math"/>
          <w:sz w:val="24"/>
          <w:szCs w:val="24"/>
        </w:rPr>
        <w:t xml:space="preserve"> </w:t>
      </w:r>
      <w:r w:rsidR="000A1707" w:rsidRPr="0076192F">
        <w:rPr>
          <w:rFonts w:ascii="Cambria Math" w:hAnsi="Cambria Math"/>
          <w:sz w:val="24"/>
          <w:szCs w:val="24"/>
        </w:rPr>
        <w:t xml:space="preserve">19 </w:t>
      </w:r>
      <w:r w:rsidRPr="0076192F">
        <w:rPr>
          <w:rFonts w:ascii="Cambria Math" w:hAnsi="Cambria Math"/>
          <w:sz w:val="24"/>
          <w:szCs w:val="24"/>
        </w:rPr>
        <w:t xml:space="preserve">annual </w:t>
      </w:r>
      <w:r w:rsidR="00804D9F" w:rsidRPr="0076192F">
        <w:rPr>
          <w:rFonts w:ascii="Cambria Math" w:hAnsi="Cambria Math"/>
          <w:sz w:val="24"/>
          <w:szCs w:val="24"/>
        </w:rPr>
        <w:t>observations</w:t>
      </w:r>
      <w:r w:rsidRPr="0076192F">
        <w:rPr>
          <w:rFonts w:ascii="Cambria Math" w:hAnsi="Cambria Math"/>
          <w:sz w:val="24"/>
          <w:szCs w:val="24"/>
        </w:rPr>
        <w:t xml:space="preserve"> </w:t>
      </w:r>
      <w:r w:rsidR="00804D9F" w:rsidRPr="0076192F">
        <w:rPr>
          <w:rFonts w:ascii="Cambria Math" w:hAnsi="Cambria Math"/>
          <w:sz w:val="24"/>
          <w:szCs w:val="24"/>
        </w:rPr>
        <w:t xml:space="preserve">over the </w:t>
      </w:r>
      <w:r w:rsidRPr="0076192F">
        <w:rPr>
          <w:rFonts w:ascii="Cambria Math" w:hAnsi="Cambria Math"/>
          <w:sz w:val="24"/>
          <w:szCs w:val="24"/>
        </w:rPr>
        <w:t>1998</w:t>
      </w:r>
      <w:r w:rsidR="00804D9F" w:rsidRPr="0076192F">
        <w:rPr>
          <w:rFonts w:ascii="Cambria Math" w:hAnsi="Cambria Math"/>
          <w:sz w:val="24"/>
          <w:szCs w:val="24"/>
        </w:rPr>
        <w:t>-</w:t>
      </w:r>
      <w:r w:rsidRPr="0076192F">
        <w:rPr>
          <w:rFonts w:ascii="Cambria Math" w:hAnsi="Cambria Math"/>
          <w:sz w:val="24"/>
          <w:szCs w:val="24"/>
        </w:rPr>
        <w:t xml:space="preserve">2016 </w:t>
      </w:r>
      <w:r w:rsidR="00804D9F" w:rsidRPr="0076192F">
        <w:rPr>
          <w:rFonts w:ascii="Cambria Math" w:hAnsi="Cambria Math"/>
          <w:sz w:val="24"/>
          <w:szCs w:val="24"/>
        </w:rPr>
        <w:t xml:space="preserve">period for </w:t>
      </w:r>
      <w:r w:rsidR="00A862C3" w:rsidRPr="0076192F">
        <w:rPr>
          <w:rFonts w:ascii="Cambria Math" w:hAnsi="Cambria Math"/>
          <w:sz w:val="24"/>
          <w:szCs w:val="24"/>
        </w:rPr>
        <w:t xml:space="preserve">a panel of </w:t>
      </w:r>
      <w:r w:rsidR="007D6274" w:rsidRPr="0076192F">
        <w:rPr>
          <w:rFonts w:ascii="Cambria Math" w:hAnsi="Cambria Math"/>
          <w:i/>
          <w:sz w:val="24"/>
          <w:szCs w:val="24"/>
        </w:rPr>
        <w:t>N</w:t>
      </w:r>
      <w:r w:rsidR="007A3E70" w:rsidRPr="0076192F">
        <w:rPr>
          <w:rFonts w:ascii="Cambria Math" w:hAnsi="Cambria Math"/>
          <w:i/>
          <w:sz w:val="24"/>
          <w:szCs w:val="24"/>
        </w:rPr>
        <w:t xml:space="preserve"> </w:t>
      </w:r>
      <w:r w:rsidR="00804D9F" w:rsidRPr="0076192F">
        <w:rPr>
          <w:rFonts w:ascii="Cambria Math" w:hAnsi="Cambria Math"/>
          <w:sz w:val="24"/>
          <w:szCs w:val="24"/>
        </w:rPr>
        <w:t>=</w:t>
      </w:r>
      <w:r w:rsidR="007A3E70" w:rsidRPr="0076192F">
        <w:rPr>
          <w:rFonts w:ascii="Cambria Math" w:hAnsi="Cambria Math"/>
          <w:sz w:val="24"/>
          <w:szCs w:val="24"/>
        </w:rPr>
        <w:t xml:space="preserve"> </w:t>
      </w:r>
      <w:r w:rsidRPr="0076192F">
        <w:rPr>
          <w:rFonts w:ascii="Cambria Math" w:hAnsi="Cambria Math"/>
          <w:sz w:val="24"/>
          <w:szCs w:val="24"/>
        </w:rPr>
        <w:t>72 countries.</w:t>
      </w:r>
      <w:r w:rsidR="001B56B4" w:rsidRPr="0076192F">
        <w:rPr>
          <w:rStyle w:val="FootnoteReference"/>
          <w:rFonts w:ascii="Cambria Math" w:hAnsi="Cambria Math"/>
          <w:sz w:val="24"/>
          <w:szCs w:val="24"/>
        </w:rPr>
        <w:footnoteReference w:id="11"/>
      </w:r>
      <w:r w:rsidR="00317B35" w:rsidRPr="0076192F">
        <w:rPr>
          <w:rFonts w:ascii="Cambria Math" w:hAnsi="Cambria Math"/>
          <w:sz w:val="24"/>
          <w:szCs w:val="24"/>
        </w:rPr>
        <w:t xml:space="preserve"> </w:t>
      </w:r>
      <w:r w:rsidR="006C3847" w:rsidRPr="0076192F">
        <w:rPr>
          <w:rFonts w:ascii="Cambria Math" w:hAnsi="Cambria Math"/>
          <w:sz w:val="24"/>
          <w:szCs w:val="24"/>
        </w:rPr>
        <w:t>Our</w:t>
      </w:r>
      <w:r w:rsidRPr="0076192F">
        <w:rPr>
          <w:rFonts w:ascii="Cambria Math" w:hAnsi="Cambria Math"/>
          <w:sz w:val="24"/>
          <w:szCs w:val="24"/>
        </w:rPr>
        <w:t xml:space="preserve"> main variable of interest is the sovereign credit rating published by the three main international rating agencies, Moody’s, S&amp;P’s and Fitc</w:t>
      </w:r>
      <w:r w:rsidR="00814BC4" w:rsidRPr="0076192F">
        <w:rPr>
          <w:rFonts w:ascii="Cambria Math" w:hAnsi="Cambria Math"/>
          <w:sz w:val="24"/>
          <w:szCs w:val="24"/>
        </w:rPr>
        <w:t>h Ratings (attributed at the 31</w:t>
      </w:r>
      <w:r w:rsidR="00814BC4" w:rsidRPr="0076192F">
        <w:rPr>
          <w:rFonts w:ascii="Cambria Math" w:hAnsi="Cambria Math"/>
          <w:sz w:val="24"/>
          <w:szCs w:val="24"/>
          <w:vertAlign w:val="superscript"/>
        </w:rPr>
        <w:t>st</w:t>
      </w:r>
      <w:r w:rsidR="00814BC4" w:rsidRPr="0076192F">
        <w:rPr>
          <w:rFonts w:ascii="Cambria Math" w:hAnsi="Cambria Math"/>
          <w:sz w:val="24"/>
          <w:szCs w:val="24"/>
        </w:rPr>
        <w:t xml:space="preserve"> of December</w:t>
      </w:r>
      <w:r w:rsidRPr="0076192F">
        <w:rPr>
          <w:rFonts w:ascii="Cambria Math" w:hAnsi="Cambria Math"/>
          <w:sz w:val="24"/>
          <w:szCs w:val="24"/>
        </w:rPr>
        <w:t xml:space="preserve"> of each calendar year). </w:t>
      </w:r>
      <w:r w:rsidR="0031687E" w:rsidRPr="0076192F">
        <w:rPr>
          <w:rFonts w:ascii="Cambria Math" w:hAnsi="Cambria Math"/>
          <w:sz w:val="24"/>
          <w:szCs w:val="24"/>
        </w:rPr>
        <w:t>I</w:t>
      </w:r>
      <w:r w:rsidR="006C3847" w:rsidRPr="0076192F">
        <w:rPr>
          <w:rFonts w:ascii="Cambria Math" w:hAnsi="Cambria Math"/>
          <w:sz w:val="24"/>
          <w:szCs w:val="24"/>
        </w:rPr>
        <w:t>n our main model</w:t>
      </w:r>
      <w:r w:rsidR="0031687E" w:rsidRPr="0076192F">
        <w:rPr>
          <w:rFonts w:ascii="Cambria Math" w:hAnsi="Cambria Math"/>
          <w:sz w:val="24"/>
          <w:szCs w:val="24"/>
        </w:rPr>
        <w:t>,</w:t>
      </w:r>
      <w:r w:rsidR="006C3847" w:rsidRPr="0076192F">
        <w:rPr>
          <w:rFonts w:ascii="Cambria Math" w:hAnsi="Cambria Math"/>
          <w:sz w:val="24"/>
          <w:szCs w:val="24"/>
        </w:rPr>
        <w:t xml:space="preserve"> </w:t>
      </w:r>
      <w:r w:rsidR="0031687E" w:rsidRPr="0076192F">
        <w:rPr>
          <w:rFonts w:ascii="Cambria Math" w:hAnsi="Cambria Math"/>
          <w:sz w:val="24"/>
          <w:szCs w:val="24"/>
        </w:rPr>
        <w:t xml:space="preserve">we implement </w:t>
      </w:r>
      <w:r w:rsidR="006C3847" w:rsidRPr="0076192F">
        <w:rPr>
          <w:rFonts w:ascii="Cambria Math" w:hAnsi="Cambria Math"/>
          <w:sz w:val="24"/>
          <w:szCs w:val="24"/>
        </w:rPr>
        <w:t xml:space="preserve">a </w:t>
      </w:r>
      <w:r w:rsidRPr="0076192F">
        <w:rPr>
          <w:rFonts w:ascii="Cambria Math" w:hAnsi="Cambria Math"/>
          <w:sz w:val="24"/>
          <w:szCs w:val="24"/>
        </w:rPr>
        <w:t xml:space="preserve">linear transformation of credit ratings to numerical scale </w:t>
      </w:r>
      <w:r w:rsidR="006C3847" w:rsidRPr="0076192F">
        <w:rPr>
          <w:rFonts w:ascii="Cambria Math" w:hAnsi="Cambria Math"/>
          <w:sz w:val="24"/>
          <w:szCs w:val="24"/>
        </w:rPr>
        <w:t>(see also Boumparis et al., 2017 and reference</w:t>
      </w:r>
      <w:r w:rsidR="00992F95">
        <w:rPr>
          <w:rFonts w:ascii="Cambria Math" w:hAnsi="Cambria Math"/>
          <w:sz w:val="24"/>
          <w:szCs w:val="24"/>
        </w:rPr>
        <w:t>s</w:t>
      </w:r>
      <w:r w:rsidR="006C3847" w:rsidRPr="0076192F">
        <w:rPr>
          <w:rFonts w:ascii="Cambria Math" w:hAnsi="Cambria Math"/>
          <w:sz w:val="24"/>
          <w:szCs w:val="24"/>
        </w:rPr>
        <w:t xml:space="preserve"> therein), </w:t>
      </w:r>
      <w:r w:rsidRPr="0076192F">
        <w:rPr>
          <w:rFonts w:ascii="Cambria Math" w:hAnsi="Cambria Math"/>
          <w:sz w:val="24"/>
          <w:szCs w:val="24"/>
        </w:rPr>
        <w:t xml:space="preserve">starting from 21 for the highest quality with a stable outlook (AAA for Fitch and S&amp;P’s and Aaa for Moody’s) and ending to 1 for Default (D for Fitch and S&amp;P’s and C for Moody’s). We consider both changes in credit ratings and changes in credit outlooks. For our sovereign rating variable, the difference between two continuous outlooks is always equal to 1/3, so the difference between two continuous ratings with the same outlook is always equal to one. </w:t>
      </w:r>
      <w:r w:rsidR="006C3847" w:rsidRPr="0076192F">
        <w:rPr>
          <w:rFonts w:ascii="Cambria Math" w:hAnsi="Cambria Math"/>
          <w:sz w:val="24"/>
          <w:szCs w:val="24"/>
        </w:rPr>
        <w:t>T</w:t>
      </w:r>
      <w:r w:rsidRPr="0076192F">
        <w:rPr>
          <w:rFonts w:ascii="Cambria Math" w:hAnsi="Cambria Math"/>
          <w:sz w:val="24"/>
          <w:szCs w:val="24"/>
        </w:rPr>
        <w:t xml:space="preserve">able 1 </w:t>
      </w:r>
      <w:r w:rsidR="006C3847" w:rsidRPr="0076192F">
        <w:rPr>
          <w:rFonts w:ascii="Cambria Math" w:hAnsi="Cambria Math"/>
          <w:sz w:val="24"/>
          <w:szCs w:val="24"/>
        </w:rPr>
        <w:t xml:space="preserve">reports </w:t>
      </w:r>
      <w:r w:rsidRPr="0076192F">
        <w:rPr>
          <w:rFonts w:ascii="Cambria Math" w:hAnsi="Cambria Math"/>
          <w:sz w:val="24"/>
          <w:szCs w:val="24"/>
        </w:rPr>
        <w:t xml:space="preserve">the linear transformation of </w:t>
      </w:r>
      <w:r w:rsidRPr="0076192F">
        <w:rPr>
          <w:rFonts w:ascii="Cambria Math" w:hAnsi="Cambria Math"/>
          <w:sz w:val="24"/>
          <w:szCs w:val="24"/>
        </w:rPr>
        <w:lastRenderedPageBreak/>
        <w:t>credit ratings and provide</w:t>
      </w:r>
      <w:r w:rsidR="006C3847" w:rsidRPr="0076192F">
        <w:rPr>
          <w:rFonts w:ascii="Cambria Math" w:hAnsi="Cambria Math"/>
          <w:sz w:val="24"/>
          <w:szCs w:val="24"/>
        </w:rPr>
        <w:t>s</w:t>
      </w:r>
      <w:r w:rsidRPr="0076192F">
        <w:rPr>
          <w:rFonts w:ascii="Cambria Math" w:hAnsi="Cambria Math"/>
          <w:sz w:val="24"/>
          <w:szCs w:val="24"/>
        </w:rPr>
        <w:t xml:space="preserve"> details on the frequencies of the ratings per category</w:t>
      </w:r>
      <w:r w:rsidR="00814BC4" w:rsidRPr="0076192F">
        <w:rPr>
          <w:rFonts w:ascii="Cambria Math" w:hAnsi="Cambria Math"/>
          <w:sz w:val="24"/>
          <w:szCs w:val="24"/>
        </w:rPr>
        <w:t>. We also</w:t>
      </w:r>
      <w:r w:rsidRPr="0076192F">
        <w:rPr>
          <w:rFonts w:ascii="Cambria Math" w:hAnsi="Cambria Math"/>
          <w:sz w:val="24"/>
          <w:szCs w:val="24"/>
        </w:rPr>
        <w:t xml:space="preserve"> consider </w:t>
      </w:r>
      <w:r w:rsidR="00992F95">
        <w:rPr>
          <w:rFonts w:ascii="Cambria Math" w:hAnsi="Cambria Math"/>
          <w:sz w:val="24"/>
          <w:szCs w:val="24"/>
        </w:rPr>
        <w:t>the</w:t>
      </w:r>
      <w:r w:rsidRPr="0076192F">
        <w:rPr>
          <w:rFonts w:ascii="Cambria Math" w:hAnsi="Cambria Math"/>
          <w:sz w:val="24"/>
          <w:szCs w:val="24"/>
        </w:rPr>
        <w:t xml:space="preserve"> logistic transformation</w:t>
      </w:r>
      <w:r w:rsidR="00814BC4" w:rsidRPr="0076192F">
        <w:rPr>
          <w:rFonts w:ascii="Cambria Math" w:hAnsi="Cambria Math"/>
          <w:sz w:val="24"/>
          <w:szCs w:val="24"/>
        </w:rPr>
        <w:t xml:space="preserve"> </w:t>
      </w:r>
      <w:r w:rsidRPr="0076192F">
        <w:rPr>
          <w:rFonts w:ascii="Cambria Math" w:hAnsi="Cambria Math"/>
          <w:sz w:val="24"/>
          <w:szCs w:val="24"/>
        </w:rPr>
        <w:t xml:space="preserve">of ratings in the </w:t>
      </w:r>
      <w:r w:rsidR="00BC377B">
        <w:rPr>
          <w:rFonts w:ascii="Cambria Math" w:hAnsi="Cambria Math"/>
          <w:sz w:val="24"/>
          <w:szCs w:val="24"/>
        </w:rPr>
        <w:t>robustness s</w:t>
      </w:r>
      <w:r w:rsidR="00814BC4" w:rsidRPr="0076192F">
        <w:rPr>
          <w:rFonts w:ascii="Cambria Math" w:hAnsi="Cambria Math"/>
          <w:sz w:val="24"/>
          <w:szCs w:val="24"/>
        </w:rPr>
        <w:t>ection of the paper</w:t>
      </w:r>
      <w:r w:rsidRPr="0076192F">
        <w:rPr>
          <w:rFonts w:ascii="Cambria Math" w:hAnsi="Cambria Math"/>
          <w:sz w:val="24"/>
          <w:szCs w:val="24"/>
        </w:rPr>
        <w:t xml:space="preserve">. </w:t>
      </w:r>
    </w:p>
    <w:p w14:paraId="6507F316" w14:textId="7076A2F2" w:rsidR="00AC236A" w:rsidRPr="00FC5298" w:rsidRDefault="006154B7" w:rsidP="00E516AE">
      <w:pPr>
        <w:jc w:val="both"/>
        <w:rPr>
          <w:rFonts w:ascii="Cambria Math" w:hAnsi="Cambria Math"/>
          <w:sz w:val="24"/>
          <w:szCs w:val="24"/>
        </w:rPr>
      </w:pPr>
      <w:r w:rsidRPr="0076192F">
        <w:rPr>
          <w:rFonts w:ascii="Cambria Math" w:hAnsi="Cambria Math"/>
          <w:sz w:val="24"/>
          <w:szCs w:val="24"/>
        </w:rPr>
        <w:t xml:space="preserve">Our PVAR framework </w:t>
      </w:r>
      <w:r w:rsidR="006C3847" w:rsidRPr="0076192F">
        <w:rPr>
          <w:rFonts w:ascii="Cambria Math" w:hAnsi="Cambria Math"/>
          <w:sz w:val="24"/>
          <w:szCs w:val="24"/>
        </w:rPr>
        <w:t xml:space="preserve">(details of the theoretical model are given in the </w:t>
      </w:r>
      <w:r w:rsidR="00A862C3" w:rsidRPr="0076192F">
        <w:rPr>
          <w:rFonts w:ascii="Cambria Math" w:hAnsi="Cambria Math"/>
          <w:sz w:val="24"/>
          <w:szCs w:val="24"/>
        </w:rPr>
        <w:t>next</w:t>
      </w:r>
      <w:r w:rsidR="006C3847" w:rsidRPr="0076192F">
        <w:rPr>
          <w:rFonts w:ascii="Cambria Math" w:hAnsi="Cambria Math"/>
          <w:sz w:val="24"/>
          <w:szCs w:val="24"/>
        </w:rPr>
        <w:t xml:space="preserve"> </w:t>
      </w:r>
      <w:r w:rsidR="00BC377B">
        <w:rPr>
          <w:rFonts w:ascii="Cambria Math" w:hAnsi="Cambria Math"/>
          <w:sz w:val="24"/>
          <w:szCs w:val="24"/>
        </w:rPr>
        <w:t>s</w:t>
      </w:r>
      <w:r w:rsidR="006C3847" w:rsidRPr="0076192F">
        <w:rPr>
          <w:rFonts w:ascii="Cambria Math" w:hAnsi="Cambria Math"/>
          <w:sz w:val="24"/>
          <w:szCs w:val="24"/>
        </w:rPr>
        <w:t>e</w:t>
      </w:r>
      <w:r w:rsidR="00C12266" w:rsidRPr="0076192F">
        <w:rPr>
          <w:rFonts w:ascii="Cambria Math" w:hAnsi="Cambria Math"/>
          <w:sz w:val="24"/>
          <w:szCs w:val="24"/>
        </w:rPr>
        <w:t xml:space="preserve">ction of the paper) </w:t>
      </w:r>
      <w:r w:rsidRPr="0076192F">
        <w:rPr>
          <w:rFonts w:ascii="Cambria Math" w:hAnsi="Cambria Math"/>
          <w:sz w:val="24"/>
          <w:szCs w:val="24"/>
        </w:rPr>
        <w:t>allows us to</w:t>
      </w:r>
      <w:r w:rsidR="00364EB6" w:rsidRPr="0076192F">
        <w:rPr>
          <w:rFonts w:ascii="Cambria Math" w:hAnsi="Cambria Math"/>
          <w:sz w:val="24"/>
          <w:szCs w:val="24"/>
        </w:rPr>
        <w:t xml:space="preserve"> </w:t>
      </w:r>
      <w:r w:rsidR="003931B5" w:rsidRPr="0076192F">
        <w:rPr>
          <w:rFonts w:ascii="Cambria Math" w:hAnsi="Cambria Math"/>
          <w:sz w:val="24"/>
          <w:szCs w:val="24"/>
        </w:rPr>
        <w:t xml:space="preserve">examine jointly </w:t>
      </w:r>
      <w:r w:rsidRPr="0076192F">
        <w:rPr>
          <w:rFonts w:ascii="Cambria Math" w:hAnsi="Cambria Math"/>
          <w:sz w:val="24"/>
          <w:szCs w:val="24"/>
        </w:rPr>
        <w:t>sovereign ratings and a number of factors. In particular,</w:t>
      </w:r>
      <w:r w:rsidR="00047420" w:rsidRPr="0076192F">
        <w:rPr>
          <w:rFonts w:ascii="Cambria Math" w:hAnsi="Cambria Math"/>
          <w:sz w:val="24"/>
          <w:szCs w:val="24"/>
        </w:rPr>
        <w:t xml:space="preserve"> we implement a </w:t>
      </w:r>
      <w:r w:rsidRPr="0076192F">
        <w:rPr>
          <w:rFonts w:ascii="Cambria Math" w:hAnsi="Cambria Math"/>
          <w:sz w:val="24"/>
          <w:szCs w:val="24"/>
        </w:rPr>
        <w:t>PVAR</w:t>
      </w:r>
      <w:r w:rsidR="00047420" w:rsidRPr="0076192F">
        <w:rPr>
          <w:rFonts w:ascii="Cambria Math" w:hAnsi="Cambria Math"/>
          <w:sz w:val="24"/>
          <w:szCs w:val="24"/>
        </w:rPr>
        <w:t xml:space="preserve"> model </w:t>
      </w:r>
      <w:r w:rsidRPr="0076192F">
        <w:rPr>
          <w:rFonts w:ascii="Cambria Math" w:hAnsi="Cambria Math"/>
          <w:sz w:val="24"/>
          <w:szCs w:val="24"/>
        </w:rPr>
        <w:t>which includes</w:t>
      </w:r>
      <w:r w:rsidR="00725161">
        <w:rPr>
          <w:rFonts w:ascii="Cambria Math" w:hAnsi="Cambria Math"/>
          <w:sz w:val="24"/>
          <w:szCs w:val="24"/>
        </w:rPr>
        <w:t xml:space="preserve"> </w:t>
      </w:r>
      <w:r w:rsidR="00047420" w:rsidRPr="0076192F">
        <w:rPr>
          <w:rFonts w:ascii="Cambria Math" w:hAnsi="Cambria Math"/>
          <w:sz w:val="24"/>
          <w:szCs w:val="24"/>
        </w:rPr>
        <w:t xml:space="preserve">Uncertainty, GDP growth rate, </w:t>
      </w:r>
      <w:r w:rsidR="00A862C3" w:rsidRPr="0076192F">
        <w:rPr>
          <w:rFonts w:ascii="Cambria Math" w:hAnsi="Cambria Math"/>
          <w:sz w:val="24"/>
          <w:szCs w:val="24"/>
        </w:rPr>
        <w:t xml:space="preserve">total </w:t>
      </w:r>
      <w:r w:rsidR="00C12266" w:rsidRPr="0076192F">
        <w:rPr>
          <w:rFonts w:ascii="Cambria Math" w:hAnsi="Cambria Math"/>
          <w:sz w:val="24"/>
          <w:szCs w:val="24"/>
        </w:rPr>
        <w:t>investments (as %</w:t>
      </w:r>
      <w:r w:rsidR="003931B5" w:rsidRPr="0076192F">
        <w:rPr>
          <w:rFonts w:ascii="Cambria Math" w:hAnsi="Cambria Math"/>
          <w:sz w:val="24"/>
          <w:szCs w:val="24"/>
        </w:rPr>
        <w:t xml:space="preserve"> </w:t>
      </w:r>
      <w:r w:rsidR="00C12266" w:rsidRPr="0076192F">
        <w:rPr>
          <w:rFonts w:ascii="Cambria Math" w:hAnsi="Cambria Math"/>
          <w:sz w:val="24"/>
          <w:szCs w:val="24"/>
        </w:rPr>
        <w:t>of GDP)</w:t>
      </w:r>
      <w:r w:rsidR="00047420" w:rsidRPr="0076192F">
        <w:rPr>
          <w:rFonts w:ascii="Cambria Math" w:hAnsi="Cambria Math"/>
          <w:sz w:val="24"/>
          <w:szCs w:val="24"/>
        </w:rPr>
        <w:t xml:space="preserve">, </w:t>
      </w:r>
      <w:r w:rsidR="00C12266" w:rsidRPr="0076192F">
        <w:rPr>
          <w:rFonts w:ascii="Cambria Math" w:hAnsi="Cambria Math"/>
          <w:sz w:val="24"/>
          <w:szCs w:val="24"/>
        </w:rPr>
        <w:t>gross government-debt</w:t>
      </w:r>
      <w:r w:rsidR="00A862C3" w:rsidRPr="0076192F">
        <w:rPr>
          <w:rFonts w:ascii="Cambria Math" w:hAnsi="Cambria Math"/>
          <w:sz w:val="24"/>
          <w:szCs w:val="24"/>
        </w:rPr>
        <w:t xml:space="preserve"> </w:t>
      </w:r>
      <w:r w:rsidR="00C12266" w:rsidRPr="0076192F">
        <w:rPr>
          <w:rFonts w:ascii="Cambria Math" w:hAnsi="Cambria Math"/>
          <w:sz w:val="24"/>
          <w:szCs w:val="24"/>
        </w:rPr>
        <w:t>(as % of GDP)</w:t>
      </w:r>
      <w:r w:rsidR="00047420" w:rsidRPr="0076192F">
        <w:rPr>
          <w:rFonts w:ascii="Cambria Math" w:hAnsi="Cambria Math"/>
          <w:sz w:val="24"/>
          <w:szCs w:val="24"/>
        </w:rPr>
        <w:t xml:space="preserve">, </w:t>
      </w:r>
      <w:r w:rsidR="00C12266" w:rsidRPr="0076192F">
        <w:rPr>
          <w:rFonts w:ascii="Cambria Math" w:hAnsi="Cambria Math"/>
          <w:sz w:val="24"/>
          <w:szCs w:val="24"/>
        </w:rPr>
        <w:t>f</w:t>
      </w:r>
      <w:r w:rsidR="00047420" w:rsidRPr="0076192F">
        <w:rPr>
          <w:rFonts w:ascii="Cambria Math" w:hAnsi="Cambria Math"/>
          <w:sz w:val="24"/>
          <w:szCs w:val="24"/>
        </w:rPr>
        <w:t xml:space="preserve">iscal </w:t>
      </w:r>
      <w:r w:rsidR="00C12266" w:rsidRPr="0076192F">
        <w:rPr>
          <w:rFonts w:ascii="Cambria Math" w:hAnsi="Cambria Math"/>
          <w:sz w:val="24"/>
          <w:szCs w:val="24"/>
        </w:rPr>
        <w:t>b</w:t>
      </w:r>
      <w:r w:rsidR="00047420" w:rsidRPr="0076192F">
        <w:rPr>
          <w:rFonts w:ascii="Cambria Math" w:hAnsi="Cambria Math"/>
          <w:sz w:val="24"/>
          <w:szCs w:val="24"/>
        </w:rPr>
        <w:t>alance</w:t>
      </w:r>
      <w:r w:rsidR="00C12266" w:rsidRPr="0076192F">
        <w:rPr>
          <w:rFonts w:ascii="Cambria Math" w:hAnsi="Cambria Math"/>
          <w:sz w:val="24"/>
          <w:szCs w:val="24"/>
        </w:rPr>
        <w:t xml:space="preserve"> (as % of GDP)</w:t>
      </w:r>
      <w:r w:rsidR="00047420" w:rsidRPr="0076192F">
        <w:rPr>
          <w:rFonts w:ascii="Cambria Math" w:hAnsi="Cambria Math"/>
          <w:sz w:val="24"/>
          <w:szCs w:val="24"/>
        </w:rPr>
        <w:t xml:space="preserve">, NPLs </w:t>
      </w:r>
      <w:r w:rsidR="00C12266" w:rsidRPr="0076192F">
        <w:rPr>
          <w:rFonts w:ascii="Cambria Math" w:hAnsi="Cambria Math"/>
          <w:sz w:val="24"/>
          <w:szCs w:val="24"/>
        </w:rPr>
        <w:t xml:space="preserve">(non-performing loans as % of total gross loans) </w:t>
      </w:r>
      <w:r w:rsidR="00047420" w:rsidRPr="0076192F">
        <w:rPr>
          <w:rFonts w:ascii="Cambria Math" w:hAnsi="Cambria Math"/>
          <w:sz w:val="24"/>
          <w:szCs w:val="24"/>
        </w:rPr>
        <w:t>and sovereign credit ratings</w:t>
      </w:r>
      <w:r w:rsidR="00E347A0">
        <w:rPr>
          <w:rFonts w:ascii="Cambria Math" w:hAnsi="Cambria Math"/>
          <w:sz w:val="24"/>
          <w:szCs w:val="24"/>
        </w:rPr>
        <w:t xml:space="preserve"> </w:t>
      </w:r>
      <w:r w:rsidR="00C771BE">
        <w:rPr>
          <w:rFonts w:ascii="Cambria Math" w:hAnsi="Cambria Math"/>
          <w:sz w:val="24"/>
          <w:szCs w:val="24"/>
        </w:rPr>
        <w:t>as endogenous variables.</w:t>
      </w:r>
    </w:p>
    <w:p w14:paraId="0C415D10" w14:textId="77777777" w:rsidR="00C771BE" w:rsidRDefault="00C771BE" w:rsidP="00AD64E1">
      <w:pPr>
        <w:jc w:val="both"/>
        <w:rPr>
          <w:rFonts w:ascii="Cambria Math" w:hAnsi="Cambria Math"/>
          <w:sz w:val="24"/>
          <w:szCs w:val="24"/>
        </w:rPr>
      </w:pPr>
    </w:p>
    <w:p w14:paraId="3F4369B2" w14:textId="1885E36B" w:rsidR="00C771BE" w:rsidRPr="00C771BE" w:rsidRDefault="00C771BE" w:rsidP="00AD64E1">
      <w:pPr>
        <w:jc w:val="both"/>
        <w:rPr>
          <w:rFonts w:ascii="Cambria Math" w:hAnsi="Cambria Math"/>
          <w:sz w:val="24"/>
          <w:szCs w:val="24"/>
        </w:rPr>
      </w:pPr>
      <w:r w:rsidRPr="00C771BE">
        <w:rPr>
          <w:rFonts w:ascii="Cambria Math" w:hAnsi="Cambria Math"/>
          <w:sz w:val="24"/>
          <w:szCs w:val="24"/>
        </w:rPr>
        <w:t>We incorporate stock price volatility as a country specific proxy of uncertainty</w:t>
      </w:r>
      <w:r>
        <w:rPr>
          <w:rStyle w:val="FootnoteReference"/>
          <w:rFonts w:ascii="Cambria Math" w:hAnsi="Cambria Math"/>
          <w:sz w:val="24"/>
          <w:szCs w:val="24"/>
        </w:rPr>
        <w:footnoteReference w:id="12"/>
      </w:r>
      <w:r w:rsidRPr="00C771BE">
        <w:rPr>
          <w:rFonts w:ascii="Cambria Math" w:hAnsi="Cambria Math"/>
          <w:sz w:val="24"/>
          <w:szCs w:val="24"/>
        </w:rPr>
        <w:t>.  Increased uncertainty is expected to trigger sovereign rating downgrades as it makes consumers and investors more cautious and reduces consumption and investment (Boumparis et al., 2017). For example, S&amp;P’s lists uncertainty as one of the main reasons driving its unprecedented decision to downgrade the US in 2011.</w:t>
      </w:r>
      <w:r w:rsidRPr="00C771BE">
        <w:rPr>
          <w:rStyle w:val="FootnoteReference"/>
          <w:rFonts w:ascii="Cambria Math" w:hAnsi="Cambria Math"/>
          <w:sz w:val="24"/>
          <w:szCs w:val="24"/>
        </w:rPr>
        <w:footnoteReference w:id="13"/>
      </w:r>
      <w:r w:rsidRPr="00C771BE">
        <w:rPr>
          <w:rFonts w:ascii="Cambria Math" w:hAnsi="Cambria Math"/>
          <w:sz w:val="24"/>
          <w:szCs w:val="24"/>
        </w:rPr>
        <w:t xml:space="preserve"> On the other hand, a rating downgrade creates weaker economic conditions which, in turn, increase uncertainty. This is because governments are more likely to change their policy to deal with weak economic conditions and it</w:t>
      </w:r>
      <w:r w:rsidR="00053E51">
        <w:rPr>
          <w:rFonts w:ascii="Cambria Math" w:hAnsi="Cambria Math"/>
          <w:sz w:val="24"/>
          <w:szCs w:val="24"/>
        </w:rPr>
        <w:t>, therefore,</w:t>
      </w:r>
      <w:r w:rsidRPr="00C771BE">
        <w:rPr>
          <w:rFonts w:ascii="Cambria Math" w:hAnsi="Cambria Math"/>
          <w:sz w:val="24"/>
          <w:szCs w:val="24"/>
        </w:rPr>
        <w:t xml:space="preserve"> becomes increasingly uncertain which of the potential policies will be adopted (Pástor and Veronesi, 2013).</w:t>
      </w:r>
    </w:p>
    <w:p w14:paraId="1309F71F" w14:textId="00AC9126" w:rsidR="00AC236A" w:rsidRPr="00EC4652" w:rsidRDefault="00AC236A" w:rsidP="00AD64E1">
      <w:pPr>
        <w:jc w:val="both"/>
        <w:rPr>
          <w:rFonts w:ascii="Cambria Math" w:hAnsi="Cambria Math"/>
          <w:color w:val="000000" w:themeColor="text1"/>
          <w:sz w:val="24"/>
          <w:szCs w:val="24"/>
        </w:rPr>
      </w:pPr>
      <w:r w:rsidRPr="0076192F">
        <w:rPr>
          <w:rFonts w:ascii="Cambria Math" w:hAnsi="Cambria Math"/>
          <w:sz w:val="24"/>
          <w:szCs w:val="24"/>
        </w:rPr>
        <w:t xml:space="preserve">GDP growth </w:t>
      </w:r>
      <w:r w:rsidR="00025BA2" w:rsidRPr="0076192F">
        <w:rPr>
          <w:rFonts w:ascii="Cambria Math" w:hAnsi="Cambria Math"/>
          <w:sz w:val="24"/>
          <w:szCs w:val="24"/>
        </w:rPr>
        <w:t xml:space="preserve">impacts positively </w:t>
      </w:r>
      <w:r w:rsidRPr="0076192F">
        <w:rPr>
          <w:rFonts w:ascii="Cambria Math" w:hAnsi="Cambria Math"/>
          <w:sz w:val="24"/>
          <w:szCs w:val="24"/>
        </w:rPr>
        <w:t xml:space="preserve">on sovereign ratings and vice versa (see e.g. Chen et al., 2016 and Reusens </w:t>
      </w:r>
      <w:r w:rsidR="008D6649" w:rsidRPr="0076192F">
        <w:rPr>
          <w:rFonts w:ascii="Cambria Math" w:hAnsi="Cambria Math"/>
          <w:sz w:val="24"/>
          <w:szCs w:val="24"/>
        </w:rPr>
        <w:t xml:space="preserve">and </w:t>
      </w:r>
      <w:r w:rsidR="008209CC" w:rsidRPr="0076192F">
        <w:rPr>
          <w:rFonts w:ascii="Cambria Math" w:hAnsi="Cambria Math"/>
          <w:sz w:val="24"/>
          <w:szCs w:val="24"/>
        </w:rPr>
        <w:t>Croux</w:t>
      </w:r>
      <w:r w:rsidR="008D6649" w:rsidRPr="0076192F">
        <w:rPr>
          <w:rFonts w:ascii="Cambria Math" w:hAnsi="Cambria Math"/>
          <w:sz w:val="24"/>
          <w:szCs w:val="24"/>
        </w:rPr>
        <w:t>, 2017</w:t>
      </w:r>
      <w:r w:rsidR="008209CC" w:rsidRPr="0076192F">
        <w:rPr>
          <w:rFonts w:ascii="Cambria Math" w:hAnsi="Cambria Math"/>
          <w:sz w:val="24"/>
          <w:szCs w:val="24"/>
        </w:rPr>
        <w:t xml:space="preserve">, </w:t>
      </w:r>
      <w:r w:rsidR="008D6649" w:rsidRPr="0076192F">
        <w:rPr>
          <w:rFonts w:ascii="Cambria Math" w:hAnsi="Cambria Math"/>
          <w:sz w:val="24"/>
          <w:szCs w:val="24"/>
        </w:rPr>
        <w:t xml:space="preserve">and </w:t>
      </w:r>
      <w:r w:rsidRPr="0076192F">
        <w:rPr>
          <w:rFonts w:ascii="Cambria Math" w:hAnsi="Cambria Math"/>
          <w:sz w:val="24"/>
          <w:szCs w:val="24"/>
        </w:rPr>
        <w:t xml:space="preserve">references therein). </w:t>
      </w:r>
      <w:r w:rsidR="008D6649" w:rsidRPr="0076192F">
        <w:rPr>
          <w:rFonts w:ascii="Cambria Math" w:hAnsi="Cambria Math"/>
          <w:sz w:val="24"/>
          <w:szCs w:val="24"/>
        </w:rPr>
        <w:t>An increase in i</w:t>
      </w:r>
      <w:r w:rsidRPr="0076192F">
        <w:rPr>
          <w:rFonts w:ascii="Cambria Math" w:hAnsi="Cambria Math"/>
          <w:sz w:val="24"/>
          <w:szCs w:val="24"/>
        </w:rPr>
        <w:t>nvestments</w:t>
      </w:r>
      <w:r w:rsidR="008D6649" w:rsidRPr="0076192F">
        <w:rPr>
          <w:rFonts w:ascii="Cambria Math" w:hAnsi="Cambria Math"/>
          <w:sz w:val="24"/>
          <w:szCs w:val="24"/>
        </w:rPr>
        <w:t xml:space="preserve"> </w:t>
      </w:r>
      <w:r w:rsidRPr="0076192F">
        <w:rPr>
          <w:rFonts w:ascii="Cambria Math" w:hAnsi="Cambria Math"/>
          <w:sz w:val="24"/>
          <w:szCs w:val="24"/>
        </w:rPr>
        <w:t>trigger</w:t>
      </w:r>
      <w:r w:rsidR="0062719B" w:rsidRPr="0076192F">
        <w:rPr>
          <w:rFonts w:ascii="Cambria Math" w:hAnsi="Cambria Math"/>
          <w:sz w:val="24"/>
          <w:szCs w:val="24"/>
        </w:rPr>
        <w:t>s</w:t>
      </w:r>
      <w:r w:rsidRPr="0076192F">
        <w:rPr>
          <w:rFonts w:ascii="Cambria Math" w:hAnsi="Cambria Math"/>
          <w:sz w:val="24"/>
          <w:szCs w:val="24"/>
        </w:rPr>
        <w:t xml:space="preserve"> sovereign rating upgrades as they enhance the country’s economic prospects. On the other hand, a rating downgrade </w:t>
      </w:r>
      <w:r w:rsidR="00C33264" w:rsidRPr="0076192F">
        <w:rPr>
          <w:rFonts w:ascii="Cambria Math" w:hAnsi="Cambria Math"/>
          <w:sz w:val="24"/>
          <w:szCs w:val="24"/>
        </w:rPr>
        <w:t xml:space="preserve">reduces investments by </w:t>
      </w:r>
      <w:r w:rsidRPr="0076192F">
        <w:rPr>
          <w:rFonts w:ascii="Cambria Math" w:hAnsi="Cambria Math"/>
          <w:sz w:val="24"/>
          <w:szCs w:val="24"/>
        </w:rPr>
        <w:t>affect</w:t>
      </w:r>
      <w:r w:rsidR="00C33264" w:rsidRPr="0076192F">
        <w:rPr>
          <w:rFonts w:ascii="Cambria Math" w:hAnsi="Cambria Math"/>
          <w:sz w:val="24"/>
          <w:szCs w:val="24"/>
        </w:rPr>
        <w:t>ing</w:t>
      </w:r>
      <w:r w:rsidRPr="0076192F">
        <w:rPr>
          <w:rFonts w:ascii="Cambria Math" w:hAnsi="Cambria Math"/>
          <w:sz w:val="24"/>
          <w:szCs w:val="24"/>
        </w:rPr>
        <w:t xml:space="preserve"> the cost of capital and chang</w:t>
      </w:r>
      <w:r w:rsidR="00C33264" w:rsidRPr="0076192F">
        <w:rPr>
          <w:rFonts w:ascii="Cambria Math" w:hAnsi="Cambria Math"/>
          <w:sz w:val="24"/>
          <w:szCs w:val="24"/>
        </w:rPr>
        <w:t>ing</w:t>
      </w:r>
      <w:r w:rsidRPr="0076192F">
        <w:rPr>
          <w:rFonts w:ascii="Cambria Math" w:hAnsi="Cambria Math"/>
          <w:sz w:val="24"/>
          <w:szCs w:val="24"/>
        </w:rPr>
        <w:t xml:space="preserve"> the net present value of some projects from positive to negative (see Chen et al., 2016 and Chen et al., 2013). </w:t>
      </w:r>
      <w:r w:rsidR="00EF17AD" w:rsidRPr="0076192F">
        <w:rPr>
          <w:rFonts w:ascii="Cambria Math" w:hAnsi="Cambria Math"/>
          <w:sz w:val="24"/>
          <w:szCs w:val="24"/>
        </w:rPr>
        <w:t>An increase in government debt trigger</w:t>
      </w:r>
      <w:r w:rsidR="00C33264" w:rsidRPr="0076192F">
        <w:rPr>
          <w:rFonts w:ascii="Cambria Math" w:hAnsi="Cambria Math"/>
          <w:sz w:val="24"/>
          <w:szCs w:val="24"/>
        </w:rPr>
        <w:t>s</w:t>
      </w:r>
      <w:r w:rsidR="00EF17AD" w:rsidRPr="0076192F">
        <w:rPr>
          <w:rFonts w:ascii="Cambria Math" w:hAnsi="Cambria Math"/>
          <w:sz w:val="24"/>
          <w:szCs w:val="24"/>
        </w:rPr>
        <w:t xml:space="preserve"> sovereign rating downgrades because </w:t>
      </w:r>
      <w:r w:rsidR="00C17961" w:rsidRPr="0076192F">
        <w:rPr>
          <w:rFonts w:ascii="Cambria Math" w:hAnsi="Cambria Math"/>
          <w:sz w:val="24"/>
          <w:szCs w:val="24"/>
        </w:rPr>
        <w:t xml:space="preserve">a </w:t>
      </w:r>
      <w:r w:rsidR="00DC0364" w:rsidRPr="0076192F">
        <w:rPr>
          <w:rFonts w:ascii="Cambria Math" w:hAnsi="Cambria Math"/>
          <w:sz w:val="24"/>
          <w:szCs w:val="24"/>
        </w:rPr>
        <w:t xml:space="preserve">high stock of government debt implies higher interest rates to </w:t>
      </w:r>
      <w:r w:rsidR="002710C9" w:rsidRPr="0076192F">
        <w:rPr>
          <w:rFonts w:ascii="Cambria Math" w:hAnsi="Cambria Math"/>
          <w:sz w:val="24"/>
          <w:szCs w:val="24"/>
        </w:rPr>
        <w:t>service</w:t>
      </w:r>
      <w:r w:rsidR="008D2D5B" w:rsidRPr="0076192F">
        <w:rPr>
          <w:rFonts w:ascii="Cambria Math" w:hAnsi="Cambria Math"/>
          <w:sz w:val="24"/>
          <w:szCs w:val="24"/>
        </w:rPr>
        <w:t xml:space="preserve"> it.</w:t>
      </w:r>
      <w:r w:rsidR="00DC0364" w:rsidRPr="0076192F">
        <w:rPr>
          <w:rFonts w:ascii="Cambria Math" w:hAnsi="Cambria Math"/>
          <w:sz w:val="24"/>
          <w:szCs w:val="24"/>
        </w:rPr>
        <w:t xml:space="preserve"> </w:t>
      </w:r>
      <w:r w:rsidR="00EF17AD" w:rsidRPr="0076192F">
        <w:rPr>
          <w:rFonts w:ascii="Cambria Math" w:hAnsi="Cambria Math"/>
          <w:sz w:val="24"/>
          <w:szCs w:val="24"/>
        </w:rPr>
        <w:t>Hence</w:t>
      </w:r>
      <w:r w:rsidR="00DC0364" w:rsidRPr="0076192F">
        <w:rPr>
          <w:rFonts w:ascii="Cambria Math" w:hAnsi="Cambria Math"/>
          <w:sz w:val="24"/>
          <w:szCs w:val="24"/>
        </w:rPr>
        <w:t xml:space="preserve">, additional financial resources are needed to repay debt obligations </w:t>
      </w:r>
      <w:r w:rsidR="00EF17AD" w:rsidRPr="0076192F">
        <w:rPr>
          <w:rFonts w:ascii="Cambria Math" w:hAnsi="Cambria Math"/>
          <w:sz w:val="24"/>
          <w:szCs w:val="24"/>
        </w:rPr>
        <w:t>and therefore</w:t>
      </w:r>
      <w:r w:rsidR="00AD64E1" w:rsidRPr="0076192F">
        <w:rPr>
          <w:rFonts w:ascii="Cambria Math" w:hAnsi="Cambria Math"/>
          <w:sz w:val="24"/>
          <w:szCs w:val="24"/>
        </w:rPr>
        <w:t>, a</w:t>
      </w:r>
      <w:r w:rsidR="00DC0364" w:rsidRPr="0076192F">
        <w:rPr>
          <w:rFonts w:ascii="Cambria Math" w:hAnsi="Cambria Math"/>
          <w:sz w:val="24"/>
          <w:szCs w:val="24"/>
        </w:rPr>
        <w:t xml:space="preserve"> higher government debt </w:t>
      </w:r>
      <w:r w:rsidR="00794B74" w:rsidRPr="0076192F">
        <w:rPr>
          <w:rFonts w:ascii="Cambria Math" w:hAnsi="Cambria Math"/>
          <w:sz w:val="24"/>
          <w:szCs w:val="24"/>
        </w:rPr>
        <w:t>should</w:t>
      </w:r>
      <w:r w:rsidR="00DC0364" w:rsidRPr="0076192F">
        <w:rPr>
          <w:rFonts w:ascii="Cambria Math" w:hAnsi="Cambria Math"/>
          <w:sz w:val="24"/>
          <w:szCs w:val="24"/>
        </w:rPr>
        <w:t xml:space="preserve"> increase the risk of default. </w:t>
      </w:r>
      <w:r w:rsidR="00AD64E1" w:rsidRPr="0076192F">
        <w:rPr>
          <w:rFonts w:ascii="Cambria Math" w:hAnsi="Cambria Math"/>
          <w:sz w:val="24"/>
          <w:szCs w:val="24"/>
        </w:rPr>
        <w:t xml:space="preserve">On the other hand, the impact of sovereign ratings on government debt is uncertain. This is because </w:t>
      </w:r>
      <w:r w:rsidR="008D27C2" w:rsidRPr="0076192F">
        <w:rPr>
          <w:rFonts w:ascii="Cambria Math" w:hAnsi="Cambria Math"/>
          <w:sz w:val="24"/>
          <w:szCs w:val="24"/>
        </w:rPr>
        <w:t>rating upgrades</w:t>
      </w:r>
      <w:r w:rsidR="00904A81" w:rsidRPr="0076192F">
        <w:rPr>
          <w:rFonts w:ascii="Cambria Math" w:hAnsi="Cambria Math"/>
          <w:sz w:val="24"/>
          <w:szCs w:val="24"/>
        </w:rPr>
        <w:t xml:space="preserve"> decrease sovereign spreads and </w:t>
      </w:r>
      <w:r w:rsidR="008D27C2" w:rsidRPr="0076192F">
        <w:rPr>
          <w:rFonts w:ascii="Cambria Math" w:hAnsi="Cambria Math"/>
          <w:sz w:val="24"/>
          <w:szCs w:val="24"/>
        </w:rPr>
        <w:t>make debt repayment cheaper</w:t>
      </w:r>
      <w:r w:rsidR="003E48B5" w:rsidRPr="0076192F">
        <w:rPr>
          <w:rFonts w:ascii="Cambria Math" w:hAnsi="Cambria Math"/>
          <w:sz w:val="24"/>
          <w:szCs w:val="24"/>
        </w:rPr>
        <w:t xml:space="preserve"> which </w:t>
      </w:r>
      <w:r w:rsidR="003E48B5" w:rsidRPr="0076192F">
        <w:rPr>
          <w:rFonts w:ascii="Cambria Math" w:hAnsi="Cambria Math"/>
          <w:sz w:val="24"/>
          <w:szCs w:val="24"/>
        </w:rPr>
        <w:lastRenderedPageBreak/>
        <w:t>might reduce the pile of debt</w:t>
      </w:r>
      <w:r w:rsidR="008D27C2" w:rsidRPr="0076192F">
        <w:rPr>
          <w:rFonts w:ascii="Cambria Math" w:hAnsi="Cambria Math"/>
          <w:sz w:val="24"/>
          <w:szCs w:val="24"/>
        </w:rPr>
        <w:t xml:space="preserve">. </w:t>
      </w:r>
      <w:r w:rsidR="00AD64E1" w:rsidRPr="0076192F">
        <w:rPr>
          <w:rFonts w:ascii="Cambria Math" w:hAnsi="Cambria Math"/>
          <w:sz w:val="24"/>
          <w:szCs w:val="24"/>
        </w:rPr>
        <w:t xml:space="preserve">At the same time, however, </w:t>
      </w:r>
      <w:r w:rsidR="008D27C2" w:rsidRPr="0076192F">
        <w:rPr>
          <w:rFonts w:ascii="Cambria Math" w:hAnsi="Cambria Math"/>
          <w:sz w:val="24"/>
          <w:szCs w:val="24"/>
        </w:rPr>
        <w:t>political business cycle</w:t>
      </w:r>
      <w:r w:rsidR="009414CE" w:rsidRPr="0076192F">
        <w:rPr>
          <w:rFonts w:ascii="Cambria Math" w:hAnsi="Cambria Math"/>
          <w:sz w:val="24"/>
          <w:szCs w:val="24"/>
        </w:rPr>
        <w:t xml:space="preserve"> considerations</w:t>
      </w:r>
      <w:r w:rsidR="00AD64E1" w:rsidRPr="0076192F">
        <w:rPr>
          <w:rFonts w:ascii="Cambria Math" w:hAnsi="Cambria Math"/>
          <w:sz w:val="24"/>
          <w:szCs w:val="24"/>
        </w:rPr>
        <w:t xml:space="preserve"> suggest that </w:t>
      </w:r>
      <w:r w:rsidR="008D27C2" w:rsidRPr="0076192F">
        <w:rPr>
          <w:rFonts w:ascii="Cambria Math" w:hAnsi="Cambria Math"/>
          <w:sz w:val="24"/>
          <w:szCs w:val="24"/>
        </w:rPr>
        <w:t xml:space="preserve">governments might </w:t>
      </w:r>
      <w:r w:rsidR="002710C9" w:rsidRPr="0076192F">
        <w:rPr>
          <w:rFonts w:ascii="Cambria Math" w:hAnsi="Cambria Math"/>
          <w:sz w:val="24"/>
          <w:szCs w:val="24"/>
        </w:rPr>
        <w:t>exploit</w:t>
      </w:r>
      <w:r w:rsidR="008D27C2" w:rsidRPr="0076192F">
        <w:rPr>
          <w:rFonts w:ascii="Cambria Math" w:hAnsi="Cambria Math"/>
          <w:sz w:val="24"/>
          <w:szCs w:val="24"/>
        </w:rPr>
        <w:t xml:space="preserve"> the opportunity of the positive</w:t>
      </w:r>
      <w:r w:rsidR="009620BC" w:rsidRPr="0076192F">
        <w:rPr>
          <w:rFonts w:ascii="Cambria Math" w:hAnsi="Cambria Math"/>
          <w:sz w:val="24"/>
          <w:szCs w:val="24"/>
        </w:rPr>
        <w:t xml:space="preserve"> sentiment in financial markets </w:t>
      </w:r>
      <w:r w:rsidR="008D27C2" w:rsidRPr="0076192F">
        <w:rPr>
          <w:rFonts w:ascii="Cambria Math" w:hAnsi="Cambria Math"/>
          <w:sz w:val="24"/>
          <w:szCs w:val="24"/>
        </w:rPr>
        <w:t>following a rating upgrade and adopt expansionar</w:t>
      </w:r>
      <w:r w:rsidR="009620BC" w:rsidRPr="0076192F">
        <w:rPr>
          <w:rFonts w:ascii="Cambria Math" w:hAnsi="Cambria Math"/>
          <w:sz w:val="24"/>
          <w:szCs w:val="24"/>
        </w:rPr>
        <w:t>y fiscal policies</w:t>
      </w:r>
      <w:r w:rsidR="00313B51" w:rsidRPr="0076192F">
        <w:rPr>
          <w:rFonts w:ascii="Cambria Math" w:hAnsi="Cambria Math"/>
          <w:sz w:val="24"/>
          <w:szCs w:val="24"/>
        </w:rPr>
        <w:t xml:space="preserve"> to increase</w:t>
      </w:r>
      <w:r w:rsidR="008D27C2" w:rsidRPr="0076192F">
        <w:rPr>
          <w:rFonts w:ascii="Cambria Math" w:hAnsi="Cambria Math"/>
          <w:sz w:val="24"/>
          <w:szCs w:val="24"/>
        </w:rPr>
        <w:t xml:space="preserve"> the p</w:t>
      </w:r>
      <w:r w:rsidR="00800BDC" w:rsidRPr="0076192F">
        <w:rPr>
          <w:rFonts w:ascii="Cambria Math" w:hAnsi="Cambria Math"/>
          <w:sz w:val="24"/>
          <w:szCs w:val="24"/>
        </w:rPr>
        <w:t>robability of an electoral victory</w:t>
      </w:r>
      <w:r w:rsidR="003F1631" w:rsidRPr="0076192F">
        <w:rPr>
          <w:rFonts w:ascii="Cambria Math" w:hAnsi="Cambria Math"/>
          <w:sz w:val="24"/>
          <w:szCs w:val="24"/>
        </w:rPr>
        <w:t>.</w:t>
      </w:r>
      <w:r w:rsidR="00EE3115" w:rsidRPr="0076192F">
        <w:rPr>
          <w:rStyle w:val="FootnoteReference"/>
          <w:rFonts w:ascii="Cambria Math" w:hAnsi="Cambria Math"/>
          <w:sz w:val="24"/>
          <w:szCs w:val="24"/>
        </w:rPr>
        <w:footnoteReference w:id="14"/>
      </w:r>
      <w:r w:rsidR="003F1631" w:rsidRPr="0076192F">
        <w:rPr>
          <w:rFonts w:ascii="Cambria Math" w:hAnsi="Cambria Math"/>
          <w:sz w:val="24"/>
          <w:szCs w:val="24"/>
        </w:rPr>
        <w:t xml:space="preserve"> </w:t>
      </w:r>
      <w:r w:rsidR="00EF17AD" w:rsidRPr="00EC4652">
        <w:rPr>
          <w:rFonts w:ascii="Cambria Math" w:hAnsi="Cambria Math"/>
          <w:color w:val="000000" w:themeColor="text1"/>
          <w:sz w:val="24"/>
          <w:szCs w:val="24"/>
        </w:rPr>
        <w:t>A</w:t>
      </w:r>
      <w:r w:rsidR="00904A81" w:rsidRPr="00EC4652">
        <w:rPr>
          <w:rFonts w:ascii="Cambria Math" w:hAnsi="Cambria Math"/>
          <w:color w:val="000000" w:themeColor="text1"/>
          <w:sz w:val="24"/>
          <w:szCs w:val="24"/>
        </w:rPr>
        <w:t xml:space="preserve"> fiscal surplus or very low fiscal deficit indicate</w:t>
      </w:r>
      <w:r w:rsidR="009414CE" w:rsidRPr="00EC4652">
        <w:rPr>
          <w:rFonts w:ascii="Cambria Math" w:hAnsi="Cambria Math"/>
          <w:color w:val="000000" w:themeColor="text1"/>
          <w:sz w:val="24"/>
          <w:szCs w:val="24"/>
        </w:rPr>
        <w:t>s</w:t>
      </w:r>
      <w:r w:rsidR="00904A81" w:rsidRPr="00EC4652">
        <w:rPr>
          <w:rFonts w:ascii="Cambria Math" w:hAnsi="Cambria Math"/>
          <w:color w:val="000000" w:themeColor="text1"/>
          <w:sz w:val="24"/>
          <w:szCs w:val="24"/>
        </w:rPr>
        <w:t xml:space="preserve"> strong fiscal performance</w:t>
      </w:r>
      <w:r w:rsidR="00AD64E1" w:rsidRPr="00EC4652">
        <w:rPr>
          <w:rFonts w:ascii="Cambria Math" w:hAnsi="Cambria Math"/>
          <w:color w:val="000000" w:themeColor="text1"/>
          <w:sz w:val="24"/>
          <w:szCs w:val="24"/>
        </w:rPr>
        <w:t xml:space="preserve"> which, in turn, </w:t>
      </w:r>
      <w:r w:rsidR="00EF17AD" w:rsidRPr="00EC4652">
        <w:rPr>
          <w:rFonts w:ascii="Cambria Math" w:hAnsi="Cambria Math"/>
          <w:color w:val="000000" w:themeColor="text1"/>
          <w:sz w:val="24"/>
          <w:szCs w:val="24"/>
        </w:rPr>
        <w:t>triggers</w:t>
      </w:r>
      <w:r w:rsidR="00AD64E1" w:rsidRPr="00EC4652">
        <w:rPr>
          <w:rFonts w:ascii="Cambria Math" w:hAnsi="Cambria Math"/>
          <w:color w:val="000000" w:themeColor="text1"/>
          <w:sz w:val="24"/>
          <w:szCs w:val="24"/>
        </w:rPr>
        <w:t xml:space="preserve"> sovereign rating</w:t>
      </w:r>
      <w:r w:rsidR="00EF17AD" w:rsidRPr="00EC4652">
        <w:rPr>
          <w:rFonts w:ascii="Cambria Math" w:hAnsi="Cambria Math"/>
          <w:color w:val="000000" w:themeColor="text1"/>
          <w:sz w:val="24"/>
          <w:szCs w:val="24"/>
        </w:rPr>
        <w:t xml:space="preserve"> upgrades</w:t>
      </w:r>
      <w:r w:rsidR="00AD64E1" w:rsidRPr="00EC4652">
        <w:rPr>
          <w:rFonts w:ascii="Cambria Math" w:hAnsi="Cambria Math"/>
          <w:color w:val="000000" w:themeColor="text1"/>
          <w:sz w:val="24"/>
          <w:szCs w:val="24"/>
        </w:rPr>
        <w:t xml:space="preserve">. On the other hand, the impact of the sovereign rating on the fiscal balance is </w:t>
      </w:r>
      <w:r w:rsidR="009620BC" w:rsidRPr="00EC4652">
        <w:rPr>
          <w:rFonts w:ascii="Cambria Math" w:hAnsi="Cambria Math"/>
          <w:color w:val="000000" w:themeColor="text1"/>
          <w:sz w:val="24"/>
          <w:szCs w:val="24"/>
        </w:rPr>
        <w:t>uncertain</w:t>
      </w:r>
      <w:r w:rsidR="00AD64E1" w:rsidRPr="00EC4652">
        <w:rPr>
          <w:rFonts w:ascii="Cambria Math" w:hAnsi="Cambria Math"/>
          <w:color w:val="000000" w:themeColor="text1"/>
          <w:sz w:val="24"/>
          <w:szCs w:val="24"/>
        </w:rPr>
        <w:t>.</w:t>
      </w:r>
      <w:r w:rsidR="009620BC" w:rsidRPr="00EC4652">
        <w:rPr>
          <w:rFonts w:ascii="Cambria Math" w:hAnsi="Cambria Math"/>
          <w:color w:val="000000" w:themeColor="text1"/>
          <w:sz w:val="24"/>
          <w:szCs w:val="24"/>
        </w:rPr>
        <w:t xml:space="preserve"> </w:t>
      </w:r>
      <w:r w:rsidR="00AD64E1" w:rsidRPr="00EC4652">
        <w:rPr>
          <w:rFonts w:ascii="Cambria Math" w:hAnsi="Cambria Math"/>
          <w:color w:val="000000" w:themeColor="text1"/>
          <w:sz w:val="24"/>
          <w:szCs w:val="24"/>
        </w:rPr>
        <w:t xml:space="preserve">This is because </w:t>
      </w:r>
      <w:r w:rsidR="009620BC" w:rsidRPr="00EC4652">
        <w:rPr>
          <w:rFonts w:ascii="Cambria Math" w:hAnsi="Cambria Math"/>
          <w:color w:val="000000" w:themeColor="text1"/>
          <w:sz w:val="24"/>
          <w:szCs w:val="24"/>
        </w:rPr>
        <w:t>rating upgrades decrease sovereign spreads and reduce the amount need</w:t>
      </w:r>
      <w:r w:rsidR="009414CE" w:rsidRPr="00EC4652">
        <w:rPr>
          <w:rFonts w:ascii="Cambria Math" w:hAnsi="Cambria Math"/>
          <w:color w:val="000000" w:themeColor="text1"/>
          <w:sz w:val="24"/>
          <w:szCs w:val="24"/>
        </w:rPr>
        <w:t>ed</w:t>
      </w:r>
      <w:r w:rsidR="009620BC" w:rsidRPr="00EC4652">
        <w:rPr>
          <w:rFonts w:ascii="Cambria Math" w:hAnsi="Cambria Math"/>
          <w:color w:val="000000" w:themeColor="text1"/>
          <w:sz w:val="24"/>
          <w:szCs w:val="24"/>
        </w:rPr>
        <w:t xml:space="preserve"> to be paid on in</w:t>
      </w:r>
      <w:r w:rsidR="00313B51" w:rsidRPr="00EC4652">
        <w:rPr>
          <w:rFonts w:ascii="Cambria Math" w:hAnsi="Cambria Math"/>
          <w:color w:val="000000" w:themeColor="text1"/>
          <w:sz w:val="24"/>
          <w:szCs w:val="24"/>
        </w:rPr>
        <w:t>terest rates each</w:t>
      </w:r>
      <w:r w:rsidR="009620BC" w:rsidRPr="00EC4652">
        <w:rPr>
          <w:rFonts w:ascii="Cambria Math" w:hAnsi="Cambria Math"/>
          <w:color w:val="000000" w:themeColor="text1"/>
          <w:sz w:val="24"/>
          <w:szCs w:val="24"/>
        </w:rPr>
        <w:t xml:space="preserve"> year. </w:t>
      </w:r>
      <w:r w:rsidR="00AD64E1" w:rsidRPr="00EC4652">
        <w:rPr>
          <w:rFonts w:ascii="Cambria Math" w:hAnsi="Cambria Math"/>
          <w:color w:val="000000" w:themeColor="text1"/>
          <w:sz w:val="24"/>
          <w:szCs w:val="24"/>
        </w:rPr>
        <w:t>At the same time, however</w:t>
      </w:r>
      <w:r w:rsidR="009620BC" w:rsidRPr="00EC4652">
        <w:rPr>
          <w:rFonts w:ascii="Cambria Math" w:hAnsi="Cambria Math"/>
          <w:color w:val="000000" w:themeColor="text1"/>
          <w:sz w:val="24"/>
          <w:szCs w:val="24"/>
        </w:rPr>
        <w:t>,</w:t>
      </w:r>
      <w:r w:rsidR="00313B51" w:rsidRPr="00EC4652">
        <w:rPr>
          <w:rFonts w:ascii="Cambria Math" w:hAnsi="Cambria Math"/>
          <w:color w:val="000000" w:themeColor="text1"/>
          <w:sz w:val="24"/>
          <w:szCs w:val="24"/>
        </w:rPr>
        <w:t xml:space="preserve"> </w:t>
      </w:r>
      <w:r w:rsidR="003E48B5" w:rsidRPr="00EC4652">
        <w:rPr>
          <w:rFonts w:ascii="Cambria Math" w:hAnsi="Cambria Math"/>
          <w:color w:val="000000" w:themeColor="text1"/>
          <w:sz w:val="24"/>
          <w:szCs w:val="24"/>
        </w:rPr>
        <w:t>political business cycle considerations might trigger expansionary fiscal policies</w:t>
      </w:r>
      <w:r w:rsidR="00651E9A" w:rsidRPr="00EC4652">
        <w:rPr>
          <w:rFonts w:ascii="Cambria Math" w:hAnsi="Cambria Math"/>
          <w:color w:val="000000" w:themeColor="text1"/>
          <w:sz w:val="24"/>
          <w:szCs w:val="24"/>
        </w:rPr>
        <w:t xml:space="preserve"> leading to a deterioration of the fiscal balance.</w:t>
      </w:r>
      <w:r w:rsidR="005F30EE" w:rsidRPr="00EC4652">
        <w:rPr>
          <w:rFonts w:ascii="Cambria Math" w:hAnsi="Cambria Math"/>
          <w:color w:val="000000" w:themeColor="text1"/>
          <w:sz w:val="24"/>
          <w:szCs w:val="24"/>
        </w:rPr>
        <w:t xml:space="preserve"> </w:t>
      </w:r>
    </w:p>
    <w:p w14:paraId="5D1E4834" w14:textId="1EE8B0BF" w:rsidR="00785508" w:rsidRDefault="00025BA2" w:rsidP="00E516AE">
      <w:pPr>
        <w:jc w:val="both"/>
        <w:rPr>
          <w:rFonts w:ascii="Cambria Math" w:hAnsi="Cambria Math"/>
          <w:color w:val="000000" w:themeColor="text1"/>
          <w:sz w:val="24"/>
          <w:szCs w:val="24"/>
        </w:rPr>
      </w:pPr>
      <w:r w:rsidRPr="0076192F">
        <w:rPr>
          <w:rFonts w:ascii="Cambria Math" w:hAnsi="Cambria Math"/>
          <w:sz w:val="24"/>
          <w:szCs w:val="24"/>
        </w:rPr>
        <w:t>We expand the information set by including NPLs</w:t>
      </w:r>
      <w:r w:rsidR="00992F95">
        <w:rPr>
          <w:rFonts w:ascii="Cambria Math" w:hAnsi="Cambria Math"/>
          <w:sz w:val="24"/>
          <w:szCs w:val="24"/>
        </w:rPr>
        <w:t xml:space="preserve"> in the specification</w:t>
      </w:r>
      <w:r w:rsidRPr="0076192F">
        <w:rPr>
          <w:rFonts w:ascii="Cambria Math" w:hAnsi="Cambria Math"/>
          <w:sz w:val="24"/>
          <w:szCs w:val="24"/>
        </w:rPr>
        <w:t>.</w:t>
      </w:r>
      <w:r w:rsidRPr="0076192F">
        <w:rPr>
          <w:rFonts w:ascii="Cambria Math" w:hAnsi="Cambria Math"/>
          <w:b/>
          <w:sz w:val="24"/>
          <w:szCs w:val="24"/>
        </w:rPr>
        <w:t xml:space="preserve"> </w:t>
      </w:r>
      <w:r w:rsidRPr="0076192F">
        <w:rPr>
          <w:rFonts w:ascii="Cambria Math" w:hAnsi="Cambria Math"/>
          <w:sz w:val="24"/>
          <w:szCs w:val="24"/>
        </w:rPr>
        <w:t>Rising NPLs lead to sovereign rating downgrades as they increase the possibility of a bailout to the banking sector that sets an additional fiscal burden and undermines the country’s economic prospects. On the other hand, sovereign downgrades lead to a rise in NPLs. This is because sovereign rating downgrades lead to banking rating downgrades which in turn lead to a reduction in lending supply and, at the same time, increase the burden of re-financing existing loans</w:t>
      </w:r>
      <w:r w:rsidR="00053E51">
        <w:rPr>
          <w:rFonts w:ascii="Cambria Math" w:hAnsi="Cambria Math"/>
          <w:sz w:val="24"/>
          <w:szCs w:val="24"/>
        </w:rPr>
        <w:t>, therefore,</w:t>
      </w:r>
      <w:r w:rsidRPr="0076192F">
        <w:rPr>
          <w:rFonts w:ascii="Cambria Math" w:hAnsi="Cambria Math"/>
          <w:sz w:val="24"/>
          <w:szCs w:val="24"/>
        </w:rPr>
        <w:t xml:space="preserve"> making it more likely than not that NPLs will increase. </w:t>
      </w:r>
      <w:r w:rsidR="005B03E5">
        <w:rPr>
          <w:rFonts w:ascii="Cambria Math" w:hAnsi="Cambria Math"/>
          <w:sz w:val="24"/>
          <w:szCs w:val="24"/>
        </w:rPr>
        <w:t>Table 2</w:t>
      </w:r>
      <w:r w:rsidR="003C40E6" w:rsidRPr="0076192F">
        <w:rPr>
          <w:rFonts w:ascii="Cambria Math" w:hAnsi="Cambria Math"/>
          <w:color w:val="000000" w:themeColor="text1"/>
          <w:sz w:val="24"/>
          <w:szCs w:val="24"/>
        </w:rPr>
        <w:t xml:space="preserve"> provides details of </w:t>
      </w:r>
      <w:r w:rsidR="0031687E" w:rsidRPr="0076192F">
        <w:rPr>
          <w:rFonts w:ascii="Cambria Math" w:hAnsi="Cambria Math"/>
          <w:color w:val="000000" w:themeColor="text1"/>
          <w:sz w:val="24"/>
          <w:szCs w:val="24"/>
        </w:rPr>
        <w:t xml:space="preserve">the </w:t>
      </w:r>
      <w:r w:rsidR="003C40E6" w:rsidRPr="0076192F">
        <w:rPr>
          <w:rFonts w:ascii="Cambria Math" w:hAnsi="Cambria Math"/>
          <w:color w:val="000000" w:themeColor="text1"/>
          <w:sz w:val="24"/>
          <w:szCs w:val="24"/>
        </w:rPr>
        <w:t xml:space="preserve">data definitions and sources and </w:t>
      </w:r>
      <w:r w:rsidR="00D45201">
        <w:rPr>
          <w:rFonts w:ascii="Cambria Math" w:hAnsi="Cambria Math"/>
          <w:color w:val="000000" w:themeColor="text1"/>
          <w:sz w:val="24"/>
          <w:szCs w:val="24"/>
        </w:rPr>
        <w:t xml:space="preserve"> </w:t>
      </w:r>
      <w:r w:rsidR="003C40E6" w:rsidRPr="0076192F">
        <w:rPr>
          <w:rFonts w:ascii="Cambria Math" w:hAnsi="Cambria Math"/>
          <w:color w:val="000000" w:themeColor="text1"/>
          <w:sz w:val="24"/>
          <w:szCs w:val="24"/>
        </w:rPr>
        <w:t xml:space="preserve">Table </w:t>
      </w:r>
      <w:r w:rsidR="005B03E5">
        <w:rPr>
          <w:rFonts w:ascii="Cambria Math" w:hAnsi="Cambria Math"/>
          <w:color w:val="000000" w:themeColor="text1"/>
          <w:sz w:val="24"/>
          <w:szCs w:val="24"/>
        </w:rPr>
        <w:t>3</w:t>
      </w:r>
      <w:r w:rsidR="003C40E6" w:rsidRPr="0076192F">
        <w:rPr>
          <w:rFonts w:ascii="Cambria Math" w:hAnsi="Cambria Math"/>
          <w:color w:val="000000" w:themeColor="text1"/>
          <w:sz w:val="24"/>
          <w:szCs w:val="24"/>
        </w:rPr>
        <w:t xml:space="preserve"> reports the data summary statistics. </w:t>
      </w:r>
    </w:p>
    <w:p w14:paraId="210F58F0" w14:textId="77777777" w:rsidR="007A6C0E" w:rsidRPr="0076192F" w:rsidRDefault="007A6C0E" w:rsidP="00E516AE">
      <w:pPr>
        <w:jc w:val="both"/>
        <w:rPr>
          <w:rFonts w:ascii="Cambria Math" w:hAnsi="Cambria Math"/>
          <w:color w:val="000000" w:themeColor="text1"/>
          <w:sz w:val="24"/>
          <w:szCs w:val="24"/>
        </w:rPr>
      </w:pPr>
    </w:p>
    <w:p w14:paraId="4B6E40F3" w14:textId="10772AC7" w:rsidR="00DF526F" w:rsidRPr="00956D97" w:rsidRDefault="00483DE0" w:rsidP="00483DE0">
      <w:pPr>
        <w:rPr>
          <w:rFonts w:ascii="Cambria Math" w:hAnsi="Cambria Math"/>
          <w:b/>
          <w:sz w:val="24"/>
          <w:szCs w:val="24"/>
        </w:rPr>
      </w:pPr>
      <w:r w:rsidRPr="0076192F">
        <w:rPr>
          <w:rFonts w:ascii="Cambria Math" w:hAnsi="Cambria Math"/>
          <w:b/>
          <w:sz w:val="24"/>
          <w:szCs w:val="24"/>
        </w:rPr>
        <w:t xml:space="preserve">3. </w:t>
      </w:r>
      <w:r w:rsidR="003F362A" w:rsidRPr="0076192F">
        <w:rPr>
          <w:rFonts w:ascii="Cambria Math" w:hAnsi="Cambria Math"/>
          <w:b/>
          <w:sz w:val="24"/>
          <w:szCs w:val="24"/>
        </w:rPr>
        <w:t>Methodology</w:t>
      </w:r>
    </w:p>
    <w:p w14:paraId="648CAB09" w14:textId="5FBA9669" w:rsidR="0032763B" w:rsidRDefault="0031687E" w:rsidP="007C6766">
      <w:pPr>
        <w:jc w:val="both"/>
        <w:rPr>
          <w:rFonts w:ascii="Cambria Math" w:hAnsi="Cambria Math"/>
          <w:sz w:val="24"/>
          <w:szCs w:val="24"/>
        </w:rPr>
      </w:pPr>
      <w:r w:rsidRPr="0076192F">
        <w:rPr>
          <w:rFonts w:ascii="Cambria Math" w:hAnsi="Cambria Math"/>
          <w:sz w:val="24"/>
          <w:szCs w:val="24"/>
        </w:rPr>
        <w:t>We follow the estimation approach of Binder et al. (2005) and the implementation and extension by Sigmund and Ferstl (201</w:t>
      </w:r>
      <w:r w:rsidR="00992F95">
        <w:rPr>
          <w:rFonts w:ascii="Cambria Math" w:hAnsi="Cambria Math"/>
          <w:sz w:val="24"/>
          <w:szCs w:val="24"/>
        </w:rPr>
        <w:t>9</w:t>
      </w:r>
      <w:r w:rsidRPr="0076192F">
        <w:rPr>
          <w:rFonts w:ascii="Cambria Math" w:hAnsi="Cambria Math"/>
          <w:sz w:val="24"/>
          <w:szCs w:val="24"/>
        </w:rPr>
        <w:t xml:space="preserve">) and </w:t>
      </w:r>
      <w:r w:rsidR="00044C9E" w:rsidRPr="0076192F">
        <w:rPr>
          <w:rFonts w:ascii="Cambria Math" w:hAnsi="Cambria Math"/>
          <w:sz w:val="24"/>
          <w:szCs w:val="24"/>
        </w:rPr>
        <w:t xml:space="preserve">consider a PVAR model with </w:t>
      </w:r>
      <w:r w:rsidR="00C232CD" w:rsidRPr="0076192F">
        <w:rPr>
          <w:rFonts w:ascii="Cambria Math" w:hAnsi="Cambria Math"/>
          <w:sz w:val="24"/>
          <w:szCs w:val="24"/>
        </w:rPr>
        <w:t>fixed effects</w:t>
      </w:r>
      <w:r w:rsidR="0064777C" w:rsidRPr="0076192F">
        <w:rPr>
          <w:rFonts w:ascii="Cambria Math" w:hAnsi="Cambria Math"/>
          <w:sz w:val="24"/>
          <w:szCs w:val="24"/>
        </w:rPr>
        <w:t>:</w:t>
      </w:r>
    </w:p>
    <w:p w14:paraId="1AE53E1F" w14:textId="77777777" w:rsidR="00F77F63" w:rsidRPr="0076192F" w:rsidRDefault="00F77F63" w:rsidP="007C6766">
      <w:pPr>
        <w:jc w:val="both"/>
        <w:rPr>
          <w:rFonts w:ascii="Cambria Math" w:hAnsi="Cambria Math"/>
          <w:sz w:val="24"/>
          <w:szCs w:val="24"/>
        </w:rPr>
      </w:pPr>
    </w:p>
    <w:p w14:paraId="7B4A13FB" w14:textId="3BE7D822" w:rsidR="0038404D" w:rsidRPr="0076192F" w:rsidRDefault="003B7DDC" w:rsidP="007C6766">
      <w:pPr>
        <w:jc w:val="both"/>
        <w:rPr>
          <w:rFonts w:ascii="Cambria Math" w:hAnsi="Cambria Math"/>
          <w:sz w:val="24"/>
          <w:szCs w:val="24"/>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m:t>
        </m:r>
        <m:nary>
          <m:naryPr>
            <m:chr m:val="∑"/>
            <m:limLoc m:val="undOvr"/>
            <m:grow m:val="1"/>
            <m:ctrlPr>
              <w:rPr>
                <w:rFonts w:ascii="Cambria Math" w:hAnsi="Cambria Math"/>
                <w:sz w:val="24"/>
                <w:szCs w:val="24"/>
              </w:rPr>
            </m:ctrlPr>
          </m:naryPr>
          <m:sub>
            <m:r>
              <w:rPr>
                <w:rFonts w:ascii="Cambria Math" w:hAnsi="Cambria Math"/>
                <w:sz w:val="24"/>
                <w:szCs w:val="24"/>
              </w:rPr>
              <m:t>l=1</m:t>
            </m:r>
          </m:sub>
          <m:sup>
            <m:r>
              <w:rPr>
                <w:rFonts w:ascii="Cambria Math" w:hAnsi="Cambria Math"/>
                <w:sz w:val="24"/>
                <w:szCs w:val="24"/>
              </w:rPr>
              <m:t>p</m:t>
            </m:r>
          </m:sup>
          <m:e>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l</m:t>
                </m:r>
              </m:sub>
            </m:sSub>
          </m:e>
        </m:nary>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m:t>
        </m:r>
      </m:oMath>
      <w:r w:rsidR="007C6766" w:rsidRPr="0076192F">
        <w:rPr>
          <w:rFonts w:ascii="Cambria Math" w:hAnsi="Cambria Math"/>
          <w:sz w:val="24"/>
          <w:szCs w:val="24"/>
        </w:rPr>
        <w:tab/>
      </w:r>
      <w:r w:rsidR="007C6766" w:rsidRPr="0076192F">
        <w:rPr>
          <w:rFonts w:ascii="Cambria Math" w:hAnsi="Cambria Math"/>
          <w:sz w:val="24"/>
          <w:szCs w:val="24"/>
        </w:rPr>
        <w:tab/>
      </w:r>
      <w:r w:rsidR="00694EB7">
        <w:rPr>
          <w:rFonts w:ascii="Cambria Math" w:hAnsi="Cambria Math"/>
          <w:sz w:val="24"/>
          <w:szCs w:val="24"/>
        </w:rPr>
        <w:tab/>
      </w:r>
      <w:r w:rsidR="007C6766" w:rsidRPr="0076192F">
        <w:rPr>
          <w:rFonts w:ascii="Cambria Math" w:hAnsi="Cambria Math"/>
          <w:sz w:val="24"/>
          <w:szCs w:val="24"/>
        </w:rPr>
        <w:tab/>
      </w:r>
      <w:r w:rsidR="008D2D5B" w:rsidRPr="0076192F">
        <w:rPr>
          <w:rFonts w:ascii="Cambria Math" w:hAnsi="Cambria Math"/>
          <w:sz w:val="24"/>
          <w:szCs w:val="24"/>
        </w:rPr>
        <w:tab/>
      </w:r>
      <w:r w:rsidR="00BA6C59">
        <w:rPr>
          <w:rFonts w:ascii="Cambria Math" w:hAnsi="Cambria Math"/>
          <w:sz w:val="24"/>
          <w:szCs w:val="24"/>
        </w:rPr>
        <w:tab/>
      </w:r>
      <w:r w:rsidR="0046389D">
        <w:rPr>
          <w:rFonts w:ascii="Cambria Math" w:hAnsi="Cambria Math"/>
          <w:sz w:val="24"/>
          <w:szCs w:val="24"/>
        </w:rPr>
        <w:tab/>
      </w:r>
      <w:r w:rsidR="0046389D">
        <w:rPr>
          <w:rFonts w:ascii="Cambria Math" w:hAnsi="Cambria Math"/>
          <w:sz w:val="24"/>
          <w:szCs w:val="24"/>
        </w:rPr>
        <w:tab/>
      </w:r>
      <w:r w:rsidR="0038404D" w:rsidRPr="0076192F">
        <w:rPr>
          <w:rFonts w:ascii="Cambria Math" w:hAnsi="Cambria Math"/>
          <w:sz w:val="24"/>
          <w:szCs w:val="24"/>
        </w:rPr>
        <w:t>(1)</w:t>
      </w:r>
    </w:p>
    <w:p w14:paraId="0713ACAD" w14:textId="77777777" w:rsidR="00F77F63" w:rsidRDefault="00F77F63" w:rsidP="0043779C">
      <w:pPr>
        <w:jc w:val="both"/>
        <w:rPr>
          <w:rFonts w:ascii="Cambria Math" w:hAnsi="Cambria Math"/>
          <w:sz w:val="24"/>
          <w:szCs w:val="24"/>
        </w:rPr>
      </w:pPr>
    </w:p>
    <w:p w14:paraId="7183E0DD" w14:textId="0BF17BA2" w:rsidR="00291886" w:rsidRPr="0043779C" w:rsidRDefault="007C6766" w:rsidP="0043779C">
      <w:pPr>
        <w:jc w:val="both"/>
        <w:rPr>
          <w:rFonts w:ascii="Cambria Math" w:hAnsi="Cambria Math"/>
          <w:sz w:val="24"/>
          <w:szCs w:val="24"/>
        </w:rPr>
      </w:pPr>
      <w:r w:rsidRPr="0076192F">
        <w:rPr>
          <w:rFonts w:ascii="Cambria Math" w:hAnsi="Cambria Math"/>
          <w:sz w:val="24"/>
          <w:szCs w:val="24"/>
        </w:rPr>
        <w:lastRenderedPageBreak/>
        <w:t>w</w:t>
      </w:r>
      <w:r w:rsidR="0038404D" w:rsidRPr="0076192F">
        <w:rPr>
          <w:rFonts w:ascii="Cambria Math" w:hAnsi="Cambria Math"/>
          <w:sz w:val="24"/>
          <w:szCs w:val="24"/>
        </w:rPr>
        <w:t>here</w:t>
      </w:r>
      <w:r w:rsidR="0038404D" w:rsidRPr="0076192F">
        <w:rPr>
          <w:rFonts w:ascii="Cambria Math" w:hAnsi="Cambria Math"/>
          <w:sz w:val="24"/>
          <w:szCs w:val="24"/>
          <w:vertAlign w:val="subscript"/>
        </w:rPr>
        <w:t xml:space="preserve"> </w:t>
      </w:r>
      <w:r w:rsidR="00452BB5" w:rsidRPr="0076192F">
        <w:rPr>
          <w:rFonts w:ascii="Cambria Math" w:hAnsi="Cambria Math"/>
          <w:sz w:val="24"/>
          <w:szCs w:val="24"/>
        </w:rPr>
        <w:t xml:space="preserve"> </w:t>
      </w: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oMath>
      <w:r w:rsidR="00291886" w:rsidRPr="0076192F">
        <w:rPr>
          <w:rFonts w:ascii="Cambria Math" w:hAnsi="Cambria Math"/>
          <w:sz w:val="24"/>
          <w:szCs w:val="24"/>
        </w:rPr>
        <w:t xml:space="preserve"> </w:t>
      </w:r>
      <w:r w:rsidR="00291886" w:rsidRPr="0076192F">
        <w:rPr>
          <w:rFonts w:ascii="Cambria Math" w:hAnsi="Cambria Math" w:cs="Cambria Math"/>
          <w:sz w:val="24"/>
          <w:szCs w:val="24"/>
        </w:rPr>
        <w:t>ℝ</w:t>
      </w:r>
      <w:r w:rsidR="00291886" w:rsidRPr="0076192F">
        <w:rPr>
          <w:rFonts w:ascii="Cambria Math" w:hAnsi="Cambria Math"/>
          <w:i/>
          <w:sz w:val="24"/>
          <w:szCs w:val="24"/>
          <w:vertAlign w:val="superscript"/>
        </w:rPr>
        <w:t>m</w:t>
      </w:r>
      <w:r w:rsidR="00291886" w:rsidRPr="0076192F">
        <w:rPr>
          <w:rFonts w:ascii="Cambria Math" w:hAnsi="Cambria Math"/>
          <w:sz w:val="24"/>
          <w:szCs w:val="24"/>
        </w:rPr>
        <w:t xml:space="preserve"> is an </w:t>
      </w:r>
      <w:bookmarkStart w:id="3" w:name="_Hlk513038169"/>
      <w:r w:rsidR="006500B0" w:rsidRPr="0076192F">
        <w:rPr>
          <w:rFonts w:ascii="Cambria Math" w:hAnsi="Cambria Math"/>
          <w:sz w:val="24"/>
          <w:szCs w:val="24"/>
        </w:rPr>
        <w:t>(</w:t>
      </w:r>
      <w:r w:rsidR="00291886" w:rsidRPr="0076192F">
        <w:rPr>
          <w:rFonts w:ascii="Cambria Math" w:hAnsi="Cambria Math"/>
          <w:i/>
          <w:sz w:val="24"/>
          <w:szCs w:val="24"/>
        </w:rPr>
        <w:t>m</w:t>
      </w:r>
      <w:r w:rsidR="00291886" w:rsidRPr="0076192F">
        <w:rPr>
          <w:rFonts w:ascii="Cambria Math" w:hAnsi="Cambria Math"/>
          <w:sz w:val="24"/>
          <w:szCs w:val="24"/>
        </w:rPr>
        <w:t xml:space="preserve"> x 1</w:t>
      </w:r>
      <w:r w:rsidR="006500B0" w:rsidRPr="0076192F">
        <w:rPr>
          <w:rFonts w:ascii="Cambria Math" w:hAnsi="Cambria Math"/>
          <w:sz w:val="24"/>
          <w:szCs w:val="24"/>
        </w:rPr>
        <w:t>)</w:t>
      </w:r>
      <w:r w:rsidR="00291886" w:rsidRPr="0076192F">
        <w:rPr>
          <w:rFonts w:ascii="Cambria Math" w:hAnsi="Cambria Math"/>
          <w:sz w:val="24"/>
          <w:szCs w:val="24"/>
        </w:rPr>
        <w:t xml:space="preserve"> vector of endogenous variables </w:t>
      </w:r>
      <w:bookmarkEnd w:id="3"/>
      <w:r w:rsidR="00291886" w:rsidRPr="0076192F">
        <w:rPr>
          <w:rFonts w:ascii="Cambria Math" w:hAnsi="Cambria Math"/>
          <w:sz w:val="24"/>
          <w:szCs w:val="24"/>
        </w:rPr>
        <w:t xml:space="preserve">for the </w:t>
      </w:r>
      <w:r w:rsidR="00291886" w:rsidRPr="0076192F">
        <w:rPr>
          <w:rFonts w:ascii="Cambria Math" w:hAnsi="Cambria Math"/>
          <w:i/>
          <w:sz w:val="24"/>
          <w:szCs w:val="24"/>
        </w:rPr>
        <w:t>i</w:t>
      </w:r>
      <w:r w:rsidR="00291886" w:rsidRPr="0076192F">
        <w:rPr>
          <w:rFonts w:ascii="Cambria Math" w:hAnsi="Cambria Math"/>
          <w:sz w:val="24"/>
          <w:szCs w:val="24"/>
        </w:rPr>
        <w:t>-th cross-sectional unit (</w:t>
      </w:r>
      <w:r w:rsidR="00291886" w:rsidRPr="0076192F">
        <w:rPr>
          <w:rFonts w:ascii="Cambria Math" w:hAnsi="Cambria Math"/>
          <w:i/>
          <w:sz w:val="24"/>
          <w:szCs w:val="24"/>
        </w:rPr>
        <w:t xml:space="preserve">i </w:t>
      </w:r>
      <w:r w:rsidR="00291886" w:rsidRPr="0076192F">
        <w:rPr>
          <w:rFonts w:ascii="Cambria Math" w:hAnsi="Cambria Math"/>
          <w:sz w:val="24"/>
          <w:szCs w:val="24"/>
        </w:rPr>
        <w:t>= 1,2,…,</w:t>
      </w:r>
      <w:r w:rsidR="00291886" w:rsidRPr="0076192F">
        <w:rPr>
          <w:rFonts w:ascii="Cambria Math" w:hAnsi="Cambria Math"/>
          <w:i/>
          <w:sz w:val="24"/>
          <w:szCs w:val="24"/>
        </w:rPr>
        <w:t>N</w:t>
      </w:r>
      <w:r w:rsidR="00291886" w:rsidRPr="0076192F">
        <w:rPr>
          <w:rFonts w:ascii="Cambria Math" w:hAnsi="Cambria Math"/>
          <w:sz w:val="24"/>
          <w:szCs w:val="24"/>
        </w:rPr>
        <w:t xml:space="preserve">) at time </w:t>
      </w:r>
      <w:r w:rsidR="00291886" w:rsidRPr="0076192F">
        <w:rPr>
          <w:rFonts w:ascii="Cambria Math" w:hAnsi="Cambria Math"/>
          <w:i/>
          <w:sz w:val="24"/>
          <w:szCs w:val="24"/>
        </w:rPr>
        <w:t>t</w:t>
      </w:r>
      <w:r w:rsidR="00291886" w:rsidRPr="0076192F">
        <w:rPr>
          <w:rFonts w:ascii="Cambria Math" w:hAnsi="Cambria Math"/>
          <w:sz w:val="24"/>
          <w:szCs w:val="24"/>
        </w:rPr>
        <w:t xml:space="preserve"> (</w:t>
      </w:r>
      <w:bookmarkStart w:id="4" w:name="_Hlk508955843"/>
      <w:r w:rsidR="00291886" w:rsidRPr="0076192F">
        <w:rPr>
          <w:rFonts w:ascii="Cambria Math" w:hAnsi="Cambria Math"/>
          <w:i/>
          <w:sz w:val="24"/>
          <w:szCs w:val="24"/>
        </w:rPr>
        <w:t>t</w:t>
      </w:r>
      <w:r w:rsidR="00291886" w:rsidRPr="0076192F">
        <w:rPr>
          <w:rFonts w:ascii="Cambria Math" w:hAnsi="Cambria Math"/>
          <w:sz w:val="24"/>
          <w:szCs w:val="24"/>
        </w:rPr>
        <w:t xml:space="preserve"> = 1,2,…,</w:t>
      </w:r>
      <w:r w:rsidR="00291886" w:rsidRPr="0076192F">
        <w:rPr>
          <w:rFonts w:ascii="Cambria Math" w:hAnsi="Cambria Math"/>
          <w:i/>
          <w:sz w:val="24"/>
          <w:szCs w:val="24"/>
        </w:rPr>
        <w:t>T</w:t>
      </w:r>
      <w:bookmarkEnd w:id="4"/>
      <w:r w:rsidR="005C1738">
        <w:rPr>
          <w:rFonts w:ascii="Cambria Math" w:hAnsi="Cambria Math"/>
          <w:sz w:val="24"/>
          <w:szCs w:val="24"/>
        </w:rPr>
        <w:t xml:space="preserve">) , </w:t>
      </w:r>
      <w:r w:rsidR="00545425" w:rsidRPr="0076192F">
        <w:rPr>
          <w:rFonts w:ascii="Cambria Math" w:hAnsi="Cambria Math"/>
          <w:position w:val="-14"/>
          <w:sz w:val="24"/>
          <w:szCs w:val="24"/>
        </w:rPr>
        <w:object w:dxaOrig="520" w:dyaOrig="380" w14:anchorId="1DB74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6pt" o:ole="">
            <v:imagedata r:id="rId14" o:title=""/>
          </v:shape>
          <o:OLEObject Type="Embed" ProgID="Equation.DSMT4" ShapeID="_x0000_i1025" DrawAspect="Content" ObjectID="_1621159121" r:id="rId15"/>
        </w:object>
      </w:r>
      <w:r w:rsidR="00545425" w:rsidRPr="0076192F">
        <w:rPr>
          <w:rFonts w:ascii="Cambria Math" w:hAnsi="Cambria Math"/>
          <w:sz w:val="24"/>
          <w:szCs w:val="24"/>
        </w:rPr>
        <w:t xml:space="preserve"> </w:t>
      </w:r>
      <w:proofErr w:type="spellStart"/>
      <w:r w:rsidR="00545425" w:rsidRPr="0076192F">
        <w:rPr>
          <w:rFonts w:ascii="Cambria Math" w:hAnsi="Cambria Math" w:cs="Cambria Math"/>
          <w:sz w:val="24"/>
          <w:szCs w:val="24"/>
        </w:rPr>
        <w:t>ℝ</w:t>
      </w:r>
      <w:r w:rsidR="00545425" w:rsidRPr="0076192F">
        <w:rPr>
          <w:rFonts w:ascii="Cambria Math" w:hAnsi="Cambria Math"/>
          <w:i/>
          <w:sz w:val="24"/>
          <w:szCs w:val="24"/>
          <w:vertAlign w:val="superscript"/>
        </w:rPr>
        <w:t>m</w:t>
      </w:r>
      <w:proofErr w:type="spellEnd"/>
      <w:r w:rsidR="00545425" w:rsidRPr="0076192F">
        <w:rPr>
          <w:rFonts w:ascii="Cambria Math" w:hAnsi="Cambria Math"/>
          <w:sz w:val="24"/>
          <w:szCs w:val="24"/>
        </w:rPr>
        <w:t xml:space="preserve"> is </w:t>
      </w:r>
      <w:r w:rsidR="00611187" w:rsidRPr="0076192F">
        <w:rPr>
          <w:rFonts w:ascii="Cambria Math" w:hAnsi="Cambria Math"/>
          <w:sz w:val="24"/>
          <w:szCs w:val="24"/>
        </w:rPr>
        <w:t>an (</w:t>
      </w:r>
      <w:r w:rsidR="00611187" w:rsidRPr="0076192F">
        <w:rPr>
          <w:rFonts w:ascii="Cambria Math" w:hAnsi="Cambria Math"/>
          <w:i/>
          <w:sz w:val="24"/>
          <w:szCs w:val="24"/>
        </w:rPr>
        <w:t>m</w:t>
      </w:r>
      <w:r w:rsidR="00611187" w:rsidRPr="0076192F">
        <w:rPr>
          <w:rFonts w:ascii="Cambria Math" w:hAnsi="Cambria Math"/>
          <w:sz w:val="24"/>
          <w:szCs w:val="24"/>
        </w:rPr>
        <w:t xml:space="preserve"> x 1) vector of disturbances, </w:t>
      </w:r>
      <w:r w:rsidR="0040733A" w:rsidRPr="0076192F">
        <w:rPr>
          <w:rFonts w:ascii="Cambria Math" w:hAnsi="Cambria Math"/>
          <w:position w:val="-12"/>
        </w:rPr>
        <w:object w:dxaOrig="260" w:dyaOrig="360" w14:anchorId="71B24D1E">
          <v:shape id="_x0000_i1026" type="#_x0000_t75" style="width:16pt;height:20.5pt" o:ole="">
            <v:imagedata r:id="rId16" o:title=""/>
          </v:shape>
          <o:OLEObject Type="Embed" ProgID="Equation.DSMT4" ShapeID="_x0000_i1026" DrawAspect="Content" ObjectID="_1621159122" r:id="rId17"/>
        </w:object>
      </w:r>
      <w:r w:rsidR="00611187" w:rsidRPr="0076192F">
        <w:rPr>
          <w:rFonts w:ascii="Cambria Math" w:hAnsi="Cambria Math"/>
          <w:sz w:val="24"/>
          <w:szCs w:val="24"/>
        </w:rPr>
        <w:t xml:space="preserve"> is an (</w:t>
      </w:r>
      <w:r w:rsidR="00611187" w:rsidRPr="0076192F">
        <w:rPr>
          <w:rFonts w:ascii="Cambria Math" w:hAnsi="Cambria Math"/>
          <w:i/>
          <w:sz w:val="24"/>
          <w:szCs w:val="24"/>
        </w:rPr>
        <w:t>m</w:t>
      </w:r>
      <w:r w:rsidR="00611187" w:rsidRPr="0076192F">
        <w:rPr>
          <w:rFonts w:ascii="Cambria Math" w:hAnsi="Cambria Math"/>
          <w:sz w:val="24"/>
          <w:szCs w:val="24"/>
        </w:rPr>
        <w:t xml:space="preserve"> x 1) vector of individual-specific effects</w:t>
      </w:r>
      <w:r w:rsidR="00D45482" w:rsidRPr="0076192F">
        <w:rPr>
          <w:rFonts w:ascii="Cambria Math" w:hAnsi="Cambria Math"/>
          <w:sz w:val="24"/>
          <w:szCs w:val="24"/>
        </w:rPr>
        <w:t>,</w:t>
      </w:r>
      <w:r w:rsidR="00611187" w:rsidRPr="0076192F">
        <w:rPr>
          <w:rFonts w:ascii="Cambria Math" w:hAnsi="Cambria Math"/>
          <w:sz w:val="24"/>
          <w:szCs w:val="24"/>
        </w:rPr>
        <w:t xml:space="preserve"> </w:t>
      </w:r>
      <w:r w:rsidR="00291886" w:rsidRPr="0076192F">
        <w:rPr>
          <w:rFonts w:ascii="Cambria Math" w:hAnsi="Cambria Math"/>
          <w:sz w:val="24"/>
          <w:szCs w:val="24"/>
        </w:rPr>
        <w:t xml:space="preserve">and </w:t>
      </w:r>
      <w:r w:rsidR="00291886" w:rsidRPr="0076192F">
        <w:rPr>
          <w:rFonts w:ascii="Cambria Math" w:hAnsi="Cambria Math"/>
          <w:i/>
          <w:sz w:val="24"/>
          <w:szCs w:val="24"/>
        </w:rPr>
        <w:t>p</w:t>
      </w:r>
      <w:r w:rsidR="00291886" w:rsidRPr="0076192F">
        <w:rPr>
          <w:rFonts w:ascii="Cambria Math" w:hAnsi="Cambria Math"/>
          <w:sz w:val="24"/>
          <w:szCs w:val="24"/>
        </w:rPr>
        <w:t xml:space="preserve"> is the lag length of the PVAR</w:t>
      </w:r>
      <w:r w:rsidR="00C232CD" w:rsidRPr="0076192F">
        <w:rPr>
          <w:rFonts w:ascii="Cambria Math" w:hAnsi="Cambria Math"/>
          <w:sz w:val="24"/>
          <w:szCs w:val="24"/>
        </w:rPr>
        <w:t xml:space="preserve"> model</w:t>
      </w:r>
      <w:r w:rsidR="00291886" w:rsidRPr="0076192F">
        <w:rPr>
          <w:rFonts w:ascii="Cambria Math" w:hAnsi="Cambria Math"/>
          <w:sz w:val="24"/>
          <w:szCs w:val="24"/>
        </w:rPr>
        <w:t xml:space="preserve">. </w:t>
      </w:r>
      <w:r w:rsidR="00127128" w:rsidRPr="0076192F">
        <w:rPr>
          <w:rFonts w:ascii="Cambria Math" w:hAnsi="Cambria Math"/>
          <w:sz w:val="24"/>
          <w:szCs w:val="24"/>
        </w:rPr>
        <w:t>Stat</w:t>
      </w:r>
      <w:r w:rsidR="00E67A7F" w:rsidRPr="0076192F">
        <w:rPr>
          <w:rFonts w:ascii="Cambria Math" w:hAnsi="Cambria Math"/>
          <w:sz w:val="24"/>
          <w:szCs w:val="24"/>
        </w:rPr>
        <w:t>ionarity requires all unit r</w:t>
      </w:r>
      <w:r w:rsidR="003456FC" w:rsidRPr="0076192F">
        <w:rPr>
          <w:rFonts w:ascii="Cambria Math" w:hAnsi="Cambria Math"/>
          <w:sz w:val="24"/>
          <w:szCs w:val="24"/>
        </w:rPr>
        <w:t>oo</w:t>
      </w:r>
      <w:r w:rsidR="00E67A7F" w:rsidRPr="0076192F">
        <w:rPr>
          <w:rFonts w:ascii="Cambria Math" w:hAnsi="Cambria Math"/>
          <w:sz w:val="24"/>
          <w:szCs w:val="24"/>
        </w:rPr>
        <w:t>t</w:t>
      </w:r>
      <w:r w:rsidR="00127128" w:rsidRPr="0076192F">
        <w:rPr>
          <w:rFonts w:ascii="Cambria Math" w:hAnsi="Cambria Math"/>
          <w:sz w:val="24"/>
          <w:szCs w:val="24"/>
        </w:rPr>
        <w:t xml:space="preserve">s of the model lie inside the unit circle. </w:t>
      </w:r>
      <w:r w:rsidR="0004238A" w:rsidRPr="0076192F">
        <w:rPr>
          <w:rFonts w:ascii="Cambria Math" w:hAnsi="Cambria Math"/>
          <w:sz w:val="24"/>
          <w:szCs w:val="24"/>
        </w:rPr>
        <w:t xml:space="preserve">Parameter homogeneity for </w:t>
      </w:r>
      <w:r w:rsidR="0032763B" w:rsidRPr="0076192F">
        <w:rPr>
          <w:rFonts w:ascii="Cambria Math" w:hAnsi="Cambria Math"/>
          <w:sz w:val="24"/>
          <w:szCs w:val="24"/>
        </w:rPr>
        <w:t xml:space="preserve">the </w:t>
      </w:r>
      <w:r w:rsidR="006500B0" w:rsidRPr="0076192F">
        <w:rPr>
          <w:rFonts w:ascii="Cambria Math" w:hAnsi="Cambria Math"/>
          <w:sz w:val="24"/>
          <w:szCs w:val="24"/>
        </w:rPr>
        <w:t>(</w:t>
      </w:r>
      <w:r w:rsidR="00291886" w:rsidRPr="0076192F">
        <w:rPr>
          <w:rFonts w:ascii="Cambria Math" w:hAnsi="Cambria Math"/>
          <w:i/>
          <w:sz w:val="24"/>
          <w:szCs w:val="24"/>
        </w:rPr>
        <w:t>m</w:t>
      </w:r>
      <w:r w:rsidR="00291886" w:rsidRPr="0076192F">
        <w:rPr>
          <w:rFonts w:ascii="Cambria Math" w:hAnsi="Cambria Math"/>
          <w:sz w:val="24"/>
          <w:szCs w:val="24"/>
        </w:rPr>
        <w:t xml:space="preserve"> x </w:t>
      </w:r>
      <w:r w:rsidR="00291886" w:rsidRPr="0076192F">
        <w:rPr>
          <w:rFonts w:ascii="Cambria Math" w:hAnsi="Cambria Math"/>
          <w:i/>
          <w:sz w:val="24"/>
          <w:szCs w:val="24"/>
        </w:rPr>
        <w:t>m</w:t>
      </w:r>
      <w:r w:rsidR="006500B0" w:rsidRPr="0076192F">
        <w:rPr>
          <w:rFonts w:ascii="Cambria Math" w:hAnsi="Cambria Math"/>
          <w:sz w:val="24"/>
          <w:szCs w:val="24"/>
        </w:rPr>
        <w:t xml:space="preserve">) </w:t>
      </w:r>
      <w:r w:rsidR="00F71F73" w:rsidRPr="00694EB7">
        <w:rPr>
          <w:rFonts w:ascii="Cambria Math" w:hAnsi="Cambria Math"/>
          <w:position w:val="-12"/>
          <w:sz w:val="24"/>
          <w:szCs w:val="24"/>
        </w:rPr>
        <w:object w:dxaOrig="260" w:dyaOrig="360" w14:anchorId="2DEBEEB5">
          <v:shape id="_x0000_i1027" type="#_x0000_t75" style="width:16pt;height:20.5pt" o:ole="">
            <v:imagedata r:id="rId18" o:title=""/>
          </v:shape>
          <o:OLEObject Type="Embed" ProgID="Equation.DSMT4" ShapeID="_x0000_i1027" DrawAspect="Content" ObjectID="_1621159123" r:id="rId19"/>
        </w:object>
      </w:r>
      <w:r w:rsidR="002907E8" w:rsidRPr="00694EB7">
        <w:rPr>
          <w:rFonts w:ascii="Cambria Math" w:hAnsi="Cambria Math"/>
          <w:sz w:val="24"/>
          <w:szCs w:val="24"/>
        </w:rPr>
        <w:t xml:space="preserve"> </w:t>
      </w:r>
      <w:r w:rsidR="00F71F73" w:rsidRPr="00694EB7">
        <w:rPr>
          <w:rFonts w:ascii="Cambria Math" w:hAnsi="Cambria Math"/>
          <w:sz w:val="24"/>
          <w:szCs w:val="24"/>
        </w:rPr>
        <w:t>m</w:t>
      </w:r>
      <w:r w:rsidR="005C1738">
        <w:rPr>
          <w:rFonts w:ascii="Cambria Math" w:hAnsi="Cambria Math"/>
          <w:sz w:val="24"/>
          <w:szCs w:val="24"/>
        </w:rPr>
        <w:t xml:space="preserve">atrix </w:t>
      </w:r>
      <w:r w:rsidR="0004238A" w:rsidRPr="0043779C">
        <w:rPr>
          <w:rFonts w:ascii="Cambria Math" w:hAnsi="Cambria Math"/>
          <w:sz w:val="24"/>
          <w:szCs w:val="24"/>
        </w:rPr>
        <w:t xml:space="preserve">is assumed. </w:t>
      </w:r>
      <w:r w:rsidR="00F23566" w:rsidRPr="0043779C">
        <w:rPr>
          <w:rFonts w:ascii="Cambria Math" w:hAnsi="Cambria Math"/>
          <w:sz w:val="24"/>
          <w:szCs w:val="24"/>
        </w:rPr>
        <w:t xml:space="preserve"> </w:t>
      </w:r>
      <w:r w:rsidR="0043779C">
        <w:rPr>
          <w:rFonts w:ascii="Cambria Math" w:hAnsi="Cambria Math"/>
          <w:sz w:val="24"/>
          <w:szCs w:val="24"/>
        </w:rPr>
        <w:t xml:space="preserve"> </w:t>
      </w:r>
      <w:r w:rsidR="0043779C" w:rsidRPr="0043779C">
        <w:rPr>
          <w:rFonts w:ascii="Cambria Math" w:hAnsi="Cambria Math"/>
          <w:sz w:val="24"/>
          <w:szCs w:val="24"/>
        </w:rPr>
        <w:t>A PVAR model is hence a combination of a sing</w:t>
      </w:r>
      <w:r w:rsidR="0043779C">
        <w:rPr>
          <w:rFonts w:ascii="Cambria Math" w:hAnsi="Cambria Math"/>
          <w:sz w:val="24"/>
          <w:szCs w:val="24"/>
        </w:rPr>
        <w:t xml:space="preserve">le equation dynamic panel model </w:t>
      </w:r>
      <w:r w:rsidR="0043779C" w:rsidRPr="0043779C">
        <w:rPr>
          <w:rFonts w:ascii="Cambria Math" w:hAnsi="Cambria Math"/>
          <w:sz w:val="24"/>
          <w:szCs w:val="24"/>
        </w:rPr>
        <w:t>(DPM) and a vector autoregressive model (VAR).</w:t>
      </w:r>
    </w:p>
    <w:p w14:paraId="07112EB6" w14:textId="23505E84" w:rsidR="00D708F6" w:rsidRDefault="00D708F6" w:rsidP="00C771BE">
      <w:pPr>
        <w:rPr>
          <w:rFonts w:ascii="Cambria Math" w:hAnsi="Cambria Math"/>
          <w:sz w:val="24"/>
          <w:szCs w:val="24"/>
        </w:rPr>
      </w:pPr>
      <w:r w:rsidRPr="0076192F">
        <w:rPr>
          <w:rFonts w:ascii="Cambria Math" w:hAnsi="Cambria Math"/>
          <w:sz w:val="24"/>
          <w:szCs w:val="24"/>
        </w:rPr>
        <w:t xml:space="preserve">Applying the first difference </w:t>
      </w:r>
      <w:r w:rsidR="00D45967">
        <w:rPr>
          <w:rFonts w:ascii="Cambria Math" w:hAnsi="Cambria Math"/>
          <w:sz w:val="24"/>
          <w:szCs w:val="24"/>
        </w:rPr>
        <w:t xml:space="preserve">transformation </w:t>
      </w:r>
      <w:r w:rsidRPr="0076192F">
        <w:rPr>
          <w:rFonts w:ascii="Cambria Math" w:hAnsi="Cambria Math"/>
          <w:sz w:val="24"/>
          <w:szCs w:val="24"/>
        </w:rPr>
        <w:t>to (1) we get:</w:t>
      </w:r>
    </w:p>
    <w:p w14:paraId="678DADCD" w14:textId="77777777" w:rsidR="004510FD" w:rsidRDefault="004510FD" w:rsidP="00D708F6">
      <w:pPr>
        <w:jc w:val="both"/>
        <w:rPr>
          <w:rFonts w:ascii="Cambria Math" w:hAnsi="Cambria Math"/>
          <w:sz w:val="24"/>
          <w:szCs w:val="24"/>
        </w:rPr>
      </w:pPr>
    </w:p>
    <w:p w14:paraId="3939BE0E" w14:textId="485B5D3A" w:rsidR="00D708F6" w:rsidRPr="0076192F" w:rsidRDefault="0043779C" w:rsidP="00D708F6">
      <w:pPr>
        <w:jc w:val="both"/>
        <w:rPr>
          <w:rFonts w:ascii="Cambria Math" w:hAnsi="Cambria Math"/>
          <w:sz w:val="24"/>
          <w:szCs w:val="24"/>
        </w:rPr>
      </w:pPr>
      <m:oMath>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nary>
          <m:naryPr>
            <m:chr m:val="∑"/>
            <m:limLoc m:val="undOvr"/>
            <m:grow m:val="1"/>
            <m:ctrlPr>
              <w:rPr>
                <w:rFonts w:ascii="Cambria Math" w:hAnsi="Cambria Math"/>
                <w:sz w:val="24"/>
                <w:szCs w:val="24"/>
              </w:rPr>
            </m:ctrlPr>
          </m:naryPr>
          <m:sub>
            <m:r>
              <w:rPr>
                <w:rFonts w:ascii="Cambria Math" w:hAnsi="Cambria Math"/>
                <w:sz w:val="24"/>
                <w:szCs w:val="24"/>
              </w:rPr>
              <m:t>l=1</m:t>
            </m:r>
          </m:sub>
          <m:sup>
            <m:r>
              <w:rPr>
                <w:rFonts w:ascii="Cambria Math" w:hAnsi="Cambria Math"/>
                <w:sz w:val="24"/>
                <w:szCs w:val="24"/>
              </w:rPr>
              <m:t>p</m:t>
            </m:r>
          </m:sup>
          <m:e>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l</m:t>
                </m:r>
              </m:sub>
            </m:sSub>
          </m:e>
        </m:nary>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i,t-l</m:t>
            </m:r>
          </m:sub>
        </m:sSub>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m:t>
        </m:r>
      </m:oMath>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sidR="00BA6C59">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sidR="00D708F6" w:rsidRPr="0076192F">
        <w:rPr>
          <w:rFonts w:ascii="Cambria Math" w:hAnsi="Cambria Math"/>
          <w:sz w:val="24"/>
          <w:szCs w:val="24"/>
        </w:rPr>
        <w:t>(2)</w:t>
      </w:r>
    </w:p>
    <w:p w14:paraId="254C27AD" w14:textId="77777777" w:rsidR="00F77F63" w:rsidRDefault="00F77F63" w:rsidP="00D708F6">
      <w:pPr>
        <w:jc w:val="both"/>
        <w:rPr>
          <w:rFonts w:ascii="Cambria Math" w:hAnsi="Cambria Math"/>
          <w:sz w:val="24"/>
          <w:szCs w:val="24"/>
        </w:rPr>
      </w:pPr>
    </w:p>
    <w:p w14:paraId="773CF2ED" w14:textId="4E2576C4" w:rsidR="00D708F6" w:rsidRPr="0076192F" w:rsidRDefault="00D708F6" w:rsidP="00D708F6">
      <w:pPr>
        <w:jc w:val="both"/>
        <w:rPr>
          <w:rFonts w:ascii="Cambria Math" w:hAnsi="Cambria Math"/>
          <w:sz w:val="24"/>
          <w:szCs w:val="24"/>
        </w:rPr>
      </w:pPr>
      <w:r w:rsidRPr="0076192F">
        <w:rPr>
          <w:rFonts w:ascii="Cambria Math" w:hAnsi="Cambria Math"/>
          <w:sz w:val="24"/>
          <w:szCs w:val="24"/>
        </w:rPr>
        <w:t xml:space="preserve">where </w:t>
      </w:r>
      <w:r w:rsidRPr="0076192F">
        <w:rPr>
          <w:rFonts w:ascii="Cambria Math" w:hAnsi="Cambria Math"/>
          <w:sz w:val="24"/>
          <w:szCs w:val="24"/>
          <w:lang w:val="el-GR"/>
        </w:rPr>
        <w:t>Δ</w:t>
      </w:r>
      <w:r w:rsidR="003F2FCA">
        <w:rPr>
          <w:rFonts w:ascii="Cambria Math" w:hAnsi="Cambria Math"/>
          <w:sz w:val="24"/>
          <w:szCs w:val="24"/>
        </w:rPr>
        <w:t xml:space="preserve"> refers </w:t>
      </w:r>
      <w:r w:rsidRPr="0076192F">
        <w:rPr>
          <w:rFonts w:ascii="Cambria Math" w:hAnsi="Cambria Math"/>
          <w:sz w:val="24"/>
          <w:szCs w:val="24"/>
        </w:rPr>
        <w:t>to the first difference</w:t>
      </w:r>
      <w:r w:rsidR="00D45967">
        <w:rPr>
          <w:rFonts w:ascii="Cambria Math" w:hAnsi="Cambria Math"/>
          <w:sz w:val="24"/>
          <w:szCs w:val="24"/>
        </w:rPr>
        <w:t xml:space="preserve"> operator</w:t>
      </w:r>
      <w:r w:rsidRPr="0076192F">
        <w:rPr>
          <w:rFonts w:ascii="Cambria Math" w:hAnsi="Cambria Math"/>
          <w:sz w:val="24"/>
          <w:szCs w:val="24"/>
        </w:rPr>
        <w:t>.</w:t>
      </w:r>
      <w:r w:rsidR="00A43B53" w:rsidRPr="00A43B53">
        <w:rPr>
          <w:rStyle w:val="FootnoteReference"/>
          <w:rFonts w:ascii="Cambria Math" w:hAnsi="Cambria Math"/>
          <w:sz w:val="24"/>
          <w:szCs w:val="24"/>
        </w:rPr>
        <w:t xml:space="preserve"> </w:t>
      </w:r>
      <w:r w:rsidR="00A43B53" w:rsidRPr="0076192F">
        <w:rPr>
          <w:rStyle w:val="FootnoteReference"/>
          <w:rFonts w:ascii="Cambria Math" w:hAnsi="Cambria Math"/>
          <w:sz w:val="24"/>
          <w:szCs w:val="24"/>
        </w:rPr>
        <w:footnoteReference w:id="15"/>
      </w:r>
    </w:p>
    <w:p w14:paraId="7840781D" w14:textId="14292CDD" w:rsidR="00D708F6" w:rsidRDefault="00D708F6" w:rsidP="00D708F6">
      <w:pPr>
        <w:jc w:val="both"/>
        <w:rPr>
          <w:rFonts w:ascii="Cambria Math" w:hAnsi="Cambria Math"/>
          <w:sz w:val="24"/>
          <w:szCs w:val="24"/>
        </w:rPr>
      </w:pPr>
      <w:r w:rsidRPr="0076192F">
        <w:rPr>
          <w:rFonts w:ascii="Cambria Math" w:hAnsi="Cambria Math"/>
          <w:sz w:val="24"/>
          <w:szCs w:val="24"/>
        </w:rPr>
        <w:t>Following Binder et al. (2005)</w:t>
      </w:r>
      <w:r w:rsidR="00992F95">
        <w:rPr>
          <w:rFonts w:ascii="Cambria Math" w:hAnsi="Cambria Math"/>
          <w:sz w:val="24"/>
          <w:szCs w:val="24"/>
        </w:rPr>
        <w:t>,</w:t>
      </w:r>
      <w:r w:rsidRPr="0076192F">
        <w:rPr>
          <w:rFonts w:ascii="Cambria Math" w:hAnsi="Cambria Math"/>
          <w:sz w:val="24"/>
          <w:szCs w:val="24"/>
        </w:rPr>
        <w:t xml:space="preserve"> the moment conditions for the lagged endogenous </w:t>
      </w:r>
      <w:r w:rsidR="002907E8">
        <w:rPr>
          <w:rFonts w:ascii="Cambria Math" w:hAnsi="Cambria Math"/>
          <w:sz w:val="24"/>
          <w:szCs w:val="24"/>
        </w:rPr>
        <w:t xml:space="preserve">and the predetermined </w:t>
      </w:r>
      <w:r w:rsidRPr="0076192F">
        <w:rPr>
          <w:rFonts w:ascii="Cambria Math" w:hAnsi="Cambria Math"/>
          <w:sz w:val="24"/>
          <w:szCs w:val="24"/>
        </w:rPr>
        <w:t>variables are:</w:t>
      </w:r>
    </w:p>
    <w:p w14:paraId="4F9C33A2" w14:textId="77777777" w:rsidR="00F77F63" w:rsidRPr="0076192F" w:rsidRDefault="00F77F63" w:rsidP="00D708F6">
      <w:pPr>
        <w:jc w:val="both"/>
        <w:rPr>
          <w:rFonts w:ascii="Cambria Math" w:hAnsi="Cambria Math"/>
          <w:sz w:val="24"/>
          <w:szCs w:val="24"/>
        </w:rPr>
      </w:pPr>
    </w:p>
    <w:p w14:paraId="447CEC5D" w14:textId="03F72B9C" w:rsidR="002907E8" w:rsidRPr="005C1738" w:rsidRDefault="0043779C" w:rsidP="00D708F6">
      <w:pPr>
        <w:jc w:val="both"/>
        <w:rPr>
          <w:rFonts w:ascii="Cambria Math" w:hAnsi="Cambria Math"/>
          <w:sz w:val="24"/>
          <w:szCs w:val="24"/>
        </w:rPr>
      </w:pPr>
      <m:oMath>
        <m:r>
          <w:rPr>
            <w:rFonts w:ascii="Cambria Math" w:hAnsi="Cambria Math"/>
            <w:sz w:val="24"/>
            <w:szCs w:val="24"/>
          </w:rPr>
          <m:t>Ε</m:t>
        </m:r>
        <m:d>
          <m:dPr>
            <m:begChr m:val="["/>
            <m:endChr m:val="]"/>
            <m:ctrlPr>
              <w:rPr>
                <w:rFonts w:ascii="Cambria Math" w:hAnsi="Cambria Math"/>
                <w:sz w:val="24"/>
                <w:szCs w:val="24"/>
              </w:rPr>
            </m:ctrlPr>
          </m:dPr>
          <m:e>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i,t</m:t>
                </m:r>
              </m:sub>
            </m:sSub>
            <m:sSubSup>
              <m:sSubSupPr>
                <m:ctrlPr>
                  <w:rPr>
                    <w:rFonts w:ascii="Cambria Math" w:hAnsi="Cambria Math"/>
                    <w:sz w:val="24"/>
                    <w:szCs w:val="24"/>
                  </w:rPr>
                </m:ctrlPr>
              </m:sSubSupPr>
              <m:e>
                <m:r>
                  <w:rPr>
                    <w:rFonts w:ascii="Cambria Math" w:hAnsi="Cambria Math"/>
                    <w:sz w:val="24"/>
                    <w:szCs w:val="24"/>
                  </w:rPr>
                  <m:t>y</m:t>
                </m:r>
              </m:e>
              <m:sub>
                <m:r>
                  <w:rPr>
                    <w:rFonts w:ascii="Cambria Math" w:hAnsi="Cambria Math"/>
                    <w:sz w:val="24"/>
                    <w:szCs w:val="24"/>
                  </w:rPr>
                  <m:t>i,j</m:t>
                </m:r>
              </m:sub>
              <m:sup>
                <m:r>
                  <w:rPr>
                    <w:rFonts w:ascii="Cambria Math" w:hAnsi="Cambria Math"/>
                    <w:sz w:val="24"/>
                    <w:szCs w:val="24"/>
                  </w:rPr>
                  <m:t>Τ</m:t>
                </m:r>
              </m:sup>
            </m:sSubSup>
          </m:e>
        </m:d>
        <m:r>
          <w:rPr>
            <w:rFonts w:ascii="Cambria Math" w:hAnsi="Cambria Math"/>
            <w:sz w:val="24"/>
            <w:szCs w:val="24"/>
          </w:rPr>
          <m:t>=0</m:t>
        </m:r>
      </m:oMath>
      <w:r w:rsidR="003C5091">
        <w:rPr>
          <w:rFonts w:ascii="Cambria Math" w:hAnsi="Cambria Math"/>
          <w:sz w:val="24"/>
          <w:szCs w:val="24"/>
        </w:rPr>
        <w:tab/>
      </w:r>
      <w:r w:rsidR="00C635AC" w:rsidRPr="0076192F">
        <w:rPr>
          <w:rFonts w:ascii="Cambria Math" w:hAnsi="Cambria Math"/>
          <w:sz w:val="24"/>
          <w:szCs w:val="24"/>
        </w:rPr>
        <w:tab/>
      </w:r>
      <w:r w:rsidR="00C635AC"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3C5091" w:rsidRPr="004425DB">
        <w:rPr>
          <w:rFonts w:ascii="Cambria Math" w:hAnsi="Cambria Math"/>
          <w:sz w:val="24"/>
          <w:szCs w:val="24"/>
        </w:rPr>
        <w:t xml:space="preserve">                            </w:t>
      </w:r>
      <w:r w:rsidR="00D708F6" w:rsidRPr="0076192F">
        <w:rPr>
          <w:rFonts w:ascii="Cambria Math" w:hAnsi="Cambria Math"/>
          <w:sz w:val="24"/>
          <w:szCs w:val="24"/>
        </w:rPr>
        <w:tab/>
        <w:t>(3)</w:t>
      </w:r>
    </w:p>
    <w:p w14:paraId="5ADD00E7" w14:textId="77777777" w:rsidR="00F77F63" w:rsidRDefault="00F77F63" w:rsidP="00D708F6">
      <w:pPr>
        <w:jc w:val="both"/>
        <w:rPr>
          <w:rFonts w:ascii="Cambria Math" w:hAnsi="Cambria Math"/>
          <w:sz w:val="24"/>
          <w:szCs w:val="24"/>
        </w:rPr>
      </w:pPr>
    </w:p>
    <w:p w14:paraId="0C5AEFD4" w14:textId="6B788218" w:rsidR="00D708F6" w:rsidRDefault="00C635AC" w:rsidP="00D708F6">
      <w:pPr>
        <w:jc w:val="both"/>
        <w:rPr>
          <w:rFonts w:ascii="Cambria Math" w:hAnsi="Cambria Math"/>
          <w:sz w:val="24"/>
          <w:szCs w:val="24"/>
        </w:rPr>
      </w:pPr>
      <w:r w:rsidRPr="0076192F">
        <w:rPr>
          <w:rFonts w:ascii="Cambria Math" w:hAnsi="Cambria Math"/>
          <w:sz w:val="24"/>
          <w:szCs w:val="24"/>
        </w:rPr>
        <w:t xml:space="preserve">with </w:t>
      </w:r>
      <w:r w:rsidRPr="0076192F">
        <w:rPr>
          <w:rFonts w:ascii="Cambria Math" w:hAnsi="Cambria Math"/>
          <w:i/>
          <w:sz w:val="24"/>
          <w:szCs w:val="24"/>
        </w:rPr>
        <w:t>j</w:t>
      </w:r>
      <w:r w:rsidRPr="0076192F">
        <w:rPr>
          <w:rFonts w:ascii="Cambria Math" w:hAnsi="Cambria Math"/>
          <w:sz w:val="24"/>
          <w:szCs w:val="24"/>
        </w:rPr>
        <w:t xml:space="preserve"> </w:t>
      </w:r>
      <w:r w:rsidRPr="0076192F">
        <w:rPr>
          <w:rFonts w:ascii="Cambria Math" w:hAnsi="Cambria Math" w:cs="Cambria Math"/>
          <w:sz w:val="24"/>
          <w:szCs w:val="24"/>
        </w:rPr>
        <w:t>∊</w:t>
      </w:r>
      <w:r w:rsidRPr="0076192F">
        <w:rPr>
          <w:rFonts w:ascii="Cambria Math" w:hAnsi="Cambria Math"/>
          <w:sz w:val="24"/>
          <w:szCs w:val="24"/>
        </w:rPr>
        <w:t xml:space="preserve"> {1,…,</w:t>
      </w:r>
      <w:r w:rsidRPr="0076192F">
        <w:rPr>
          <w:rFonts w:ascii="Cambria Math" w:hAnsi="Cambria Math"/>
          <w:i/>
          <w:sz w:val="24"/>
          <w:szCs w:val="24"/>
        </w:rPr>
        <w:t xml:space="preserve">T − </w:t>
      </w:r>
      <w:r w:rsidRPr="0076192F">
        <w:rPr>
          <w:rFonts w:ascii="Cambria Math" w:hAnsi="Cambria Math"/>
          <w:sz w:val="24"/>
          <w:szCs w:val="24"/>
        </w:rPr>
        <w:t xml:space="preserve">2} and  </w:t>
      </w:r>
      <w:r w:rsidRPr="0076192F">
        <w:rPr>
          <w:rFonts w:ascii="Cambria Math" w:hAnsi="Cambria Math"/>
          <w:i/>
          <w:sz w:val="24"/>
          <w:szCs w:val="24"/>
        </w:rPr>
        <w:t>t</w:t>
      </w:r>
      <w:r w:rsidRPr="0076192F">
        <w:rPr>
          <w:rFonts w:ascii="Cambria Math" w:hAnsi="Cambria Math"/>
          <w:sz w:val="24"/>
          <w:szCs w:val="24"/>
        </w:rPr>
        <w:t xml:space="preserve"> </w:t>
      </w:r>
      <w:r w:rsidRPr="0076192F">
        <w:rPr>
          <w:rFonts w:ascii="Cambria Math" w:hAnsi="Cambria Math"/>
          <w:position w:val="-4"/>
          <w:sz w:val="24"/>
          <w:szCs w:val="24"/>
        </w:rPr>
        <w:object w:dxaOrig="200" w:dyaOrig="200" w14:anchorId="23E81146">
          <v:shape id="_x0000_i1028" type="#_x0000_t75" style="width:10.5pt;height:10.5pt" o:ole="">
            <v:imagedata r:id="rId20" o:title=""/>
          </v:shape>
          <o:OLEObject Type="Embed" ProgID="Equation.DSMT4" ShapeID="_x0000_i1028" DrawAspect="Content" ObjectID="_1621159124" r:id="rId21"/>
        </w:object>
      </w:r>
      <w:r w:rsidRPr="0076192F">
        <w:rPr>
          <w:rFonts w:ascii="Cambria Math" w:hAnsi="Cambria Math" w:cs="Cambria Math"/>
          <w:sz w:val="24"/>
          <w:szCs w:val="24"/>
        </w:rPr>
        <w:t xml:space="preserve"> 𝕋</w:t>
      </w:r>
      <w:r w:rsidRPr="0076192F">
        <w:rPr>
          <w:rFonts w:ascii="Cambria Math" w:hAnsi="Cambria Math" w:cs="Cambria Math"/>
          <w:sz w:val="24"/>
          <w:szCs w:val="24"/>
          <w:vertAlign w:val="subscript"/>
          <w:lang w:val="el-GR"/>
        </w:rPr>
        <w:t>Δ</w:t>
      </w:r>
      <w:r w:rsidRPr="0076192F">
        <w:rPr>
          <w:rFonts w:ascii="Cambria Math" w:hAnsi="Cambria Math"/>
          <w:sz w:val="24"/>
          <w:szCs w:val="24"/>
        </w:rPr>
        <w:t xml:space="preserve">. </w:t>
      </w:r>
      <w:r w:rsidR="00D708F6" w:rsidRPr="0076192F">
        <w:rPr>
          <w:rFonts w:ascii="Cambria Math" w:hAnsi="Cambria Math"/>
          <w:sz w:val="24"/>
          <w:szCs w:val="24"/>
        </w:rPr>
        <w:t xml:space="preserve">By stacking over </w:t>
      </w:r>
      <w:r w:rsidR="00D708F6" w:rsidRPr="0076192F">
        <w:rPr>
          <w:rFonts w:ascii="Cambria Math" w:hAnsi="Cambria Math"/>
          <w:i/>
          <w:sz w:val="24"/>
          <w:szCs w:val="24"/>
        </w:rPr>
        <w:t>t</w:t>
      </w:r>
      <w:r w:rsidR="00D708F6" w:rsidRPr="0076192F">
        <w:rPr>
          <w:rFonts w:ascii="Cambria Math" w:hAnsi="Cambria Math"/>
          <w:sz w:val="24"/>
          <w:szCs w:val="24"/>
        </w:rPr>
        <w:t>, (2) is written as:</w:t>
      </w:r>
    </w:p>
    <w:p w14:paraId="0923CD4E" w14:textId="77777777" w:rsidR="00F77F63" w:rsidRPr="0076192F" w:rsidRDefault="00F77F63" w:rsidP="00D708F6">
      <w:pPr>
        <w:jc w:val="both"/>
        <w:rPr>
          <w:rFonts w:ascii="Cambria Math" w:hAnsi="Cambria Math"/>
          <w:sz w:val="24"/>
          <w:szCs w:val="24"/>
        </w:rPr>
      </w:pPr>
    </w:p>
    <w:p w14:paraId="17AF4952" w14:textId="058AE109" w:rsidR="00D708F6" w:rsidRPr="0076192F" w:rsidRDefault="0043779C" w:rsidP="00D708F6">
      <w:pPr>
        <w:jc w:val="both"/>
        <w:rPr>
          <w:rFonts w:ascii="Cambria Math" w:hAnsi="Cambria Math"/>
          <w:sz w:val="24"/>
          <w:szCs w:val="24"/>
        </w:rPr>
      </w:pPr>
      <m:oMath>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nary>
          <m:naryPr>
            <m:chr m:val="∑"/>
            <m:limLoc m:val="undOvr"/>
            <m:grow m:val="1"/>
            <m:ctrlPr>
              <w:rPr>
                <w:rFonts w:ascii="Cambria Math" w:hAnsi="Cambria Math"/>
                <w:sz w:val="24"/>
                <w:szCs w:val="24"/>
              </w:rPr>
            </m:ctrlPr>
          </m:naryPr>
          <m:sub>
            <m:r>
              <w:rPr>
                <w:rFonts w:ascii="Cambria Math" w:hAnsi="Cambria Math"/>
                <w:sz w:val="24"/>
                <w:szCs w:val="24"/>
              </w:rPr>
              <m:t>l=1</m:t>
            </m:r>
          </m:sub>
          <m:sup>
            <m:r>
              <w:rPr>
                <w:rFonts w:ascii="Cambria Math" w:hAnsi="Cambria Math"/>
                <w:sz w:val="24"/>
                <w:szCs w:val="24"/>
              </w:rPr>
              <m:t>p</m:t>
            </m:r>
          </m:sup>
          <m:e>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i,l</m:t>
                </m:r>
              </m:sub>
            </m:sSub>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l</m:t>
                </m:r>
              </m:sub>
              <m:sup>
                <m:r>
                  <w:rPr>
                    <w:rFonts w:ascii="Cambria Math" w:hAnsi="Cambria Math"/>
                    <w:sz w:val="24"/>
                    <w:szCs w:val="24"/>
                  </w:rPr>
                  <m:t>Τ</m:t>
                </m:r>
              </m:sup>
            </m:sSubSup>
          </m:e>
        </m:nary>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oMath>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sidR="00BA6C59">
        <w:rPr>
          <w:rFonts w:ascii="Cambria Math" w:hAnsi="Cambria Math"/>
          <w:sz w:val="24"/>
          <w:szCs w:val="24"/>
        </w:rPr>
        <w:tab/>
      </w:r>
      <w:r>
        <w:rPr>
          <w:rFonts w:ascii="Cambria Math" w:hAnsi="Cambria Math"/>
          <w:sz w:val="24"/>
          <w:szCs w:val="24"/>
        </w:rPr>
        <w:tab/>
        <w:t xml:space="preserve">             </w:t>
      </w:r>
      <w:r w:rsidR="00D708F6" w:rsidRPr="0076192F">
        <w:rPr>
          <w:rFonts w:ascii="Cambria Math" w:hAnsi="Cambria Math"/>
          <w:sz w:val="24"/>
          <w:szCs w:val="24"/>
        </w:rPr>
        <w:t>(4)</w:t>
      </w:r>
    </w:p>
    <w:p w14:paraId="21205E60" w14:textId="77777777" w:rsidR="00F77F63" w:rsidRDefault="00F77F63" w:rsidP="00D708F6">
      <w:pPr>
        <w:jc w:val="both"/>
        <w:rPr>
          <w:rFonts w:ascii="Cambria Math" w:hAnsi="Cambria Math"/>
          <w:sz w:val="24"/>
          <w:szCs w:val="24"/>
        </w:rPr>
      </w:pPr>
    </w:p>
    <w:p w14:paraId="3A9C9632" w14:textId="53359D32" w:rsidR="00D708F6" w:rsidRDefault="00D708F6" w:rsidP="00D708F6">
      <w:pPr>
        <w:jc w:val="both"/>
        <w:rPr>
          <w:rFonts w:ascii="Cambria Math" w:hAnsi="Cambria Math"/>
          <w:sz w:val="24"/>
          <w:szCs w:val="24"/>
        </w:rPr>
      </w:pPr>
      <w:r w:rsidRPr="0076192F">
        <w:rPr>
          <w:rFonts w:ascii="Cambria Math" w:hAnsi="Cambria Math"/>
          <w:sz w:val="24"/>
          <w:szCs w:val="24"/>
        </w:rPr>
        <w:t xml:space="preserve">where </w:t>
      </w:r>
      <w:r w:rsidR="0040733A" w:rsidRPr="0076192F">
        <w:rPr>
          <w:rFonts w:ascii="Cambria Math" w:hAnsi="Cambria Math"/>
          <w:position w:val="-12"/>
          <w:sz w:val="24"/>
          <w:szCs w:val="24"/>
        </w:rPr>
        <w:object w:dxaOrig="460" w:dyaOrig="360" w14:anchorId="7560813C">
          <v:shape id="_x0000_i1029" type="#_x0000_t75" style="width:25.5pt;height:20.5pt" o:ole="">
            <v:imagedata r:id="rId22" o:title=""/>
          </v:shape>
          <o:OLEObject Type="Embed" ProgID="Equation.DSMT4" ShapeID="_x0000_i1029" DrawAspect="Content" ObjectID="_1621159125" r:id="rId23"/>
        </w:object>
      </w:r>
      <w:r w:rsidRPr="0076192F">
        <w:rPr>
          <w:rFonts w:ascii="Cambria Math" w:hAnsi="Cambria Math"/>
          <w:sz w:val="24"/>
          <w:szCs w:val="24"/>
        </w:rPr>
        <w:t xml:space="preserve"> </w:t>
      </w:r>
      <w:r w:rsidR="0040733A" w:rsidRPr="0076192F">
        <w:rPr>
          <w:rFonts w:ascii="Cambria Math" w:hAnsi="Cambria Math"/>
          <w:position w:val="-14"/>
          <w:sz w:val="24"/>
          <w:szCs w:val="24"/>
        </w:rPr>
        <w:object w:dxaOrig="480" w:dyaOrig="380" w14:anchorId="4460C1AB">
          <v:shape id="_x0000_i1030" type="#_x0000_t75" style="width:25.5pt;height:20.5pt" o:ole="">
            <v:imagedata r:id="rId24" o:title=""/>
          </v:shape>
          <o:OLEObject Type="Embed" ProgID="Equation.DSMT4" ShapeID="_x0000_i1030" DrawAspect="Content" ObjectID="_1621159126" r:id="rId25"/>
        </w:object>
      </w:r>
      <w:r w:rsidR="00C851ED" w:rsidRPr="0076192F">
        <w:rPr>
          <w:rFonts w:ascii="Cambria Math" w:hAnsi="Cambria Math"/>
          <w:sz w:val="24"/>
          <w:szCs w:val="24"/>
        </w:rPr>
        <w:t xml:space="preserve"> </w:t>
      </w:r>
      <w:r w:rsidRPr="0076192F">
        <w:rPr>
          <w:rFonts w:ascii="Cambria Math" w:hAnsi="Cambria Math"/>
          <w:sz w:val="24"/>
          <w:szCs w:val="24"/>
        </w:rPr>
        <w:t xml:space="preserve">and </w:t>
      </w:r>
      <w:r w:rsidR="0040733A" w:rsidRPr="0076192F">
        <w:rPr>
          <w:rFonts w:ascii="Cambria Math" w:hAnsi="Cambria Math"/>
          <w:position w:val="-12"/>
          <w:sz w:val="24"/>
          <w:szCs w:val="24"/>
        </w:rPr>
        <w:object w:dxaOrig="420" w:dyaOrig="360" w14:anchorId="5A2E1E70">
          <v:shape id="_x0000_i1031" type="#_x0000_t75" style="width:25.5pt;height:20.5pt" o:ole="">
            <v:imagedata r:id="rId26" o:title=""/>
          </v:shape>
          <o:OLEObject Type="Embed" ProgID="Equation.DSMT4" ShapeID="_x0000_i1031" DrawAspect="Content" ObjectID="_1621159127" r:id="rId27"/>
        </w:object>
      </w:r>
      <w:r w:rsidRPr="0076192F">
        <w:rPr>
          <w:rFonts w:ascii="Cambria Math" w:hAnsi="Cambria Math"/>
          <w:sz w:val="24"/>
          <w:szCs w:val="24"/>
        </w:rPr>
        <w:t xml:space="preserve"> are </w:t>
      </w:r>
      <m:oMath>
        <m:r>
          <m:rPr>
            <m:sty m:val="p"/>
          </m:rPr>
          <w:rPr>
            <w:rFonts w:ascii="Cambria Math" w:hAnsi="Cambria Math"/>
            <w:sz w:val="24"/>
            <w:szCs w:val="24"/>
          </w:rPr>
          <m:t>((</m:t>
        </m:r>
        <m:r>
          <w:rPr>
            <w:rFonts w:ascii="Cambria Math" w:hAnsi="Cambria Math"/>
            <w:sz w:val="24"/>
            <w:szCs w:val="24"/>
          </w:rPr>
          <m:t xml:space="preserve">T - </m:t>
        </m:r>
        <m:r>
          <m:rPr>
            <m:sty m:val="p"/>
          </m:rPr>
          <w:rPr>
            <w:rFonts w:ascii="Cambria Math" w:hAnsi="Cambria Math"/>
            <w:sz w:val="24"/>
            <w:szCs w:val="24"/>
          </w:rPr>
          <m:t>1</m:t>
        </m:r>
        <m:r>
          <w:rPr>
            <w:rFonts w:ascii="Cambria Math" w:hAnsi="Cambria Math"/>
            <w:sz w:val="24"/>
            <w:szCs w:val="24"/>
          </w:rPr>
          <m:t xml:space="preserve"> - p</m:t>
        </m:r>
        <m:r>
          <m:rPr>
            <m:sty m:val="p"/>
          </m:rPr>
          <w:rPr>
            <w:rFonts w:ascii="Cambria Math" w:hAnsi="Cambria Math"/>
            <w:sz w:val="24"/>
            <w:szCs w:val="24"/>
          </w:rPr>
          <m:t xml:space="preserve">) x </m:t>
        </m:r>
        <m:r>
          <w:rPr>
            <w:rFonts w:ascii="Cambria Math" w:hAnsi="Cambria Math"/>
            <w:sz w:val="24"/>
            <w:szCs w:val="24"/>
          </w:rPr>
          <m:t>m</m:t>
        </m:r>
        <m:r>
          <m:rPr>
            <m:sty m:val="p"/>
          </m:rPr>
          <w:rPr>
            <w:rFonts w:ascii="Cambria Math" w:hAnsi="Cambria Math"/>
            <w:sz w:val="24"/>
            <w:szCs w:val="24"/>
          </w:rPr>
          <m:t>)</m:t>
        </m:r>
      </m:oMath>
      <w:r w:rsidRPr="0076192F">
        <w:rPr>
          <w:rFonts w:ascii="Cambria Math" w:hAnsi="Cambria Math"/>
          <w:sz w:val="24"/>
          <w:szCs w:val="24"/>
        </w:rPr>
        <w:t xml:space="preserve"> matrices</w:t>
      </w:r>
      <w:r w:rsidRPr="0043779C">
        <w:rPr>
          <w:rFonts w:ascii="Cambria Math" w:hAnsi="Cambria Math"/>
          <w:sz w:val="24"/>
          <w:szCs w:val="24"/>
        </w:rPr>
        <w:t>.</w:t>
      </w:r>
      <w:r w:rsidRPr="0076192F">
        <w:rPr>
          <w:rFonts w:ascii="Cambria Math" w:hAnsi="Cambria Math"/>
          <w:sz w:val="24"/>
          <w:szCs w:val="24"/>
        </w:rPr>
        <w:t xml:space="preserve"> Thus, the stacked moment conditions for each </w:t>
      </w:r>
      <w:r w:rsidRPr="0076192F">
        <w:rPr>
          <w:rFonts w:ascii="Cambria Math" w:hAnsi="Cambria Math"/>
          <w:i/>
          <w:sz w:val="24"/>
          <w:szCs w:val="24"/>
        </w:rPr>
        <w:t>i</w:t>
      </w:r>
      <w:r w:rsidRPr="0076192F">
        <w:rPr>
          <w:rFonts w:ascii="Cambria Math" w:hAnsi="Cambria Math"/>
          <w:sz w:val="24"/>
          <w:szCs w:val="24"/>
        </w:rPr>
        <w:t xml:space="preserve"> </w:t>
      </w:r>
      <w:r w:rsidR="00A2039A">
        <w:rPr>
          <w:rFonts w:ascii="Cambria Math" w:hAnsi="Cambria Math"/>
          <w:sz w:val="24"/>
          <w:szCs w:val="24"/>
        </w:rPr>
        <w:t xml:space="preserve"> </w:t>
      </w:r>
      <w:r w:rsidRPr="0076192F">
        <w:rPr>
          <w:rFonts w:ascii="Cambria Math" w:hAnsi="Cambria Math"/>
          <w:sz w:val="24"/>
          <w:szCs w:val="24"/>
        </w:rPr>
        <w:t xml:space="preserve">is as follows: </w:t>
      </w:r>
    </w:p>
    <w:p w14:paraId="02D15CB3" w14:textId="77777777" w:rsidR="00F77F63" w:rsidRPr="0076192F" w:rsidRDefault="00F77F63" w:rsidP="00D708F6">
      <w:pPr>
        <w:jc w:val="both"/>
        <w:rPr>
          <w:rFonts w:ascii="Cambria Math" w:hAnsi="Cambria Math"/>
          <w:sz w:val="24"/>
          <w:szCs w:val="24"/>
        </w:rPr>
      </w:pPr>
    </w:p>
    <w:p w14:paraId="2814B1DD" w14:textId="4A02E00E" w:rsidR="00C8340B" w:rsidRPr="0076192F" w:rsidRDefault="0043779C" w:rsidP="00D708F6">
      <w:pPr>
        <w:rPr>
          <w:rFonts w:ascii="Cambria Math" w:hAnsi="Cambria Math"/>
          <w:sz w:val="24"/>
          <w:szCs w:val="24"/>
        </w:rPr>
      </w:pPr>
      <m:oMath>
        <m:r>
          <w:rPr>
            <w:rFonts w:ascii="Cambria Math" w:hAnsi="Cambria Math"/>
            <w:sz w:val="24"/>
            <w:szCs w:val="24"/>
          </w:rPr>
          <w:lastRenderedPageBreak/>
          <m:t>E</m:t>
        </m:r>
        <m:d>
          <m:dPr>
            <m:begChr m:val="["/>
            <m:endChr m:val="]"/>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Q</m:t>
                </m:r>
              </m:e>
              <m:sub>
                <m:r>
                  <w:rPr>
                    <w:rFonts w:ascii="Cambria Math" w:hAnsi="Cambria Math"/>
                    <w:sz w:val="24"/>
                    <w:szCs w:val="24"/>
                  </w:rPr>
                  <m:t>i</m:t>
                </m:r>
              </m:sub>
              <m:sup>
                <m:r>
                  <w:rPr>
                    <w:rFonts w:ascii="Cambria Math" w:hAnsi="Cambria Math"/>
                    <w:sz w:val="24"/>
                    <w:szCs w:val="24"/>
                  </w:rPr>
                  <m:t>Τ</m:t>
                </m:r>
              </m:sup>
            </m:sSubSup>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e>
        </m:d>
        <m:r>
          <w:rPr>
            <w:rFonts w:ascii="Cambria Math" w:hAnsi="Cambria Math"/>
            <w:sz w:val="24"/>
            <w:szCs w:val="24"/>
          </w:rPr>
          <m:t>=0</m:t>
        </m:r>
      </m:oMath>
      <w:r w:rsidR="006B5B94" w:rsidRPr="0076192F">
        <w:rPr>
          <w:rFonts w:ascii="Cambria Math" w:hAnsi="Cambria Math"/>
          <w:sz w:val="24"/>
          <w:szCs w:val="24"/>
        </w:rPr>
        <w:t>,</w:t>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t xml:space="preserve">(5) </w:t>
      </w:r>
    </w:p>
    <w:p w14:paraId="413A15B6" w14:textId="77777777" w:rsidR="00F77F63" w:rsidRDefault="00F77F63" w:rsidP="00D708F6">
      <w:pPr>
        <w:rPr>
          <w:rFonts w:ascii="Cambria Math" w:hAnsi="Cambria Math"/>
          <w:sz w:val="24"/>
          <w:szCs w:val="24"/>
        </w:rPr>
      </w:pPr>
    </w:p>
    <w:p w14:paraId="3C583CDD" w14:textId="070DE7CE" w:rsidR="00D708F6" w:rsidRPr="004425DB" w:rsidRDefault="002F4CF0" w:rsidP="00D708F6">
      <w:pPr>
        <w:rPr>
          <w:rFonts w:ascii="Cambria Math" w:hAnsi="Cambria Math"/>
        </w:rPr>
      </w:pPr>
      <w:r w:rsidRPr="0076192F">
        <w:rPr>
          <w:rFonts w:ascii="Cambria Math" w:hAnsi="Cambria Math"/>
          <w:sz w:val="24"/>
          <w:szCs w:val="24"/>
        </w:rPr>
        <w:t>w</w:t>
      </w:r>
      <w:r w:rsidR="00D708F6" w:rsidRPr="0076192F">
        <w:rPr>
          <w:rFonts w:ascii="Cambria Math" w:hAnsi="Cambria Math"/>
          <w:sz w:val="24"/>
          <w:szCs w:val="24"/>
        </w:rPr>
        <w:t>here</w:t>
      </w:r>
      <w:r w:rsidRPr="0076192F">
        <w:rPr>
          <w:rFonts w:ascii="Cambria Math" w:hAnsi="Cambria Math"/>
          <w:sz w:val="24"/>
          <w:szCs w:val="24"/>
        </w:rPr>
        <w:t xml:space="preserve"> </w:t>
      </w:r>
      <w:r w:rsidR="0040733A" w:rsidRPr="0040733A">
        <w:rPr>
          <w:rFonts w:ascii="Cambria Math" w:hAnsi="Cambria Math"/>
          <w:sz w:val="24"/>
          <w:szCs w:val="24"/>
        </w:rPr>
        <w:t>Q</w:t>
      </w:r>
      <w:r w:rsidRPr="0040733A">
        <w:rPr>
          <w:rFonts w:ascii="Cambria Math" w:hAnsi="Cambria Math"/>
          <w:i/>
          <w:sz w:val="24"/>
          <w:szCs w:val="24"/>
          <w:vertAlign w:val="subscript"/>
        </w:rPr>
        <w:t>i</w:t>
      </w:r>
      <w:r w:rsidRPr="0076192F">
        <w:rPr>
          <w:rFonts w:ascii="Cambria Math" w:hAnsi="Cambria Math"/>
          <w:sz w:val="24"/>
          <w:szCs w:val="24"/>
        </w:rPr>
        <w:t xml:space="preserve"> </w:t>
      </w:r>
      <w:r w:rsidR="00D708F6" w:rsidRPr="0076192F">
        <w:rPr>
          <w:rFonts w:ascii="Cambria Math" w:hAnsi="Cambria Math"/>
          <w:sz w:val="24"/>
          <w:szCs w:val="24"/>
        </w:rPr>
        <w:t xml:space="preserve">is the stacked form of </w:t>
      </w:r>
      <w:r w:rsidR="0040733A" w:rsidRPr="0076192F">
        <w:rPr>
          <w:rFonts w:ascii="Cambria Math" w:hAnsi="Cambria Math"/>
          <w:position w:val="-14"/>
        </w:rPr>
        <w:object w:dxaOrig="320" w:dyaOrig="400" w14:anchorId="2646129B">
          <v:shape id="_x0000_i1032" type="#_x0000_t75" style="width:15.5pt;height:20.5pt" o:ole="">
            <v:imagedata r:id="rId28" o:title=""/>
          </v:shape>
          <o:OLEObject Type="Embed" ProgID="Equation.DSMT4" ShapeID="_x0000_i1032" DrawAspect="Content" ObjectID="_1621159128" r:id="rId29"/>
        </w:object>
      </w:r>
      <w:r w:rsidR="00D708F6" w:rsidRPr="0076192F">
        <w:rPr>
          <w:rFonts w:ascii="Cambria Math" w:hAnsi="Cambria Math"/>
          <w:sz w:val="24"/>
          <w:szCs w:val="24"/>
        </w:rPr>
        <w:t xml:space="preserve"> with </w:t>
      </w:r>
      <w:r w:rsidR="004425DB" w:rsidRPr="0076192F">
        <w:rPr>
          <w:rFonts w:ascii="Cambria Math" w:hAnsi="Cambria Math"/>
          <w:position w:val="-14"/>
        </w:rPr>
        <w:object w:dxaOrig="2799" w:dyaOrig="400" w14:anchorId="6944892A">
          <v:shape id="_x0000_i1033" type="#_x0000_t75" style="width:144.5pt;height:20.5pt" o:ole="">
            <v:imagedata r:id="rId30" o:title=""/>
          </v:shape>
          <o:OLEObject Type="Embed" ProgID="Equation.DSMT4" ShapeID="_x0000_i1033" DrawAspect="Content" ObjectID="_1621159129" r:id="rId31"/>
        </w:object>
      </w:r>
      <w:r w:rsidR="00D708F6" w:rsidRPr="0076192F">
        <w:rPr>
          <w:rFonts w:ascii="Cambria Math" w:hAnsi="Cambria Math"/>
        </w:rPr>
        <w:t xml:space="preserve"> </w:t>
      </w:r>
      <w:proofErr w:type="spellStart"/>
      <w:r w:rsidR="00D708F6" w:rsidRPr="0076192F">
        <w:rPr>
          <w:rFonts w:ascii="Cambria Math" w:hAnsi="Cambria Math"/>
        </w:rPr>
        <w:t xml:space="preserve">for </w:t>
      </w:r>
      <w:r w:rsidR="00D708F6" w:rsidRPr="0076192F">
        <w:rPr>
          <w:rFonts w:ascii="Cambria Math" w:hAnsi="Cambria Math"/>
          <w:i/>
        </w:rPr>
        <w:t>t</w:t>
      </w:r>
      <w:proofErr w:type="spellEnd"/>
      <w:r w:rsidR="00D708F6" w:rsidRPr="0076192F">
        <w:rPr>
          <w:rFonts w:ascii="Cambria Math" w:hAnsi="Cambria Math"/>
          <w:i/>
        </w:rPr>
        <w:t xml:space="preserve"> </w:t>
      </w:r>
      <w:r w:rsidR="00D708F6" w:rsidRPr="0076192F">
        <w:rPr>
          <w:rFonts w:ascii="Cambria Math" w:hAnsi="Cambria Math"/>
        </w:rPr>
        <w:t xml:space="preserve"> </w:t>
      </w:r>
      <w:r w:rsidR="00D708F6" w:rsidRPr="0076192F">
        <w:rPr>
          <w:rFonts w:ascii="Cambria Math" w:hAnsi="Cambria Math" w:cs="Cambria Math"/>
        </w:rPr>
        <w:t>∊</w:t>
      </w:r>
      <w:r w:rsidR="00D708F6" w:rsidRPr="0076192F">
        <w:rPr>
          <w:rFonts w:ascii="Cambria Math" w:hAnsi="Cambria Math"/>
        </w:rPr>
        <w:t xml:space="preserve"> {</w:t>
      </w:r>
      <w:r w:rsidR="00D708F6" w:rsidRPr="0076192F">
        <w:rPr>
          <w:rFonts w:ascii="Cambria Math" w:hAnsi="Cambria Math"/>
          <w:i/>
        </w:rPr>
        <w:t xml:space="preserve">p </w:t>
      </w:r>
      <w:r w:rsidR="00D708F6" w:rsidRPr="0076192F">
        <w:rPr>
          <w:rFonts w:ascii="Cambria Math" w:hAnsi="Cambria Math"/>
        </w:rPr>
        <w:t>+ 2,…,</w:t>
      </w:r>
      <w:r w:rsidR="00D708F6" w:rsidRPr="0076192F">
        <w:rPr>
          <w:rFonts w:ascii="Cambria Math" w:hAnsi="Cambria Math"/>
          <w:i/>
        </w:rPr>
        <w:t>T</w:t>
      </w:r>
      <w:r w:rsidR="00D708F6" w:rsidRPr="0076192F">
        <w:rPr>
          <w:rFonts w:ascii="Cambria Math" w:hAnsi="Cambria Math"/>
        </w:rPr>
        <w:t>}</w:t>
      </w:r>
      <w:r w:rsidR="00D708F6" w:rsidRPr="0076192F">
        <w:rPr>
          <w:rFonts w:ascii="Cambria Math" w:hAnsi="Cambria Math"/>
          <w:sz w:val="24"/>
          <w:szCs w:val="24"/>
        </w:rPr>
        <w:t xml:space="preserve"> and </w:t>
      </w:r>
    </w:p>
    <w:p w14:paraId="2FD0B04F" w14:textId="77777777" w:rsidR="00F77F63" w:rsidRPr="0076192F" w:rsidRDefault="00F77F63" w:rsidP="00D708F6">
      <w:pPr>
        <w:rPr>
          <w:rFonts w:ascii="Cambria Math" w:hAnsi="Cambria Math"/>
          <w:sz w:val="24"/>
          <w:szCs w:val="24"/>
        </w:rPr>
      </w:pPr>
    </w:p>
    <w:p w14:paraId="2023CC5F" w14:textId="42168F1A" w:rsidR="00D708F6" w:rsidRPr="0076192F" w:rsidRDefault="003B7DDC" w:rsidP="00D708F6">
      <w:pPr>
        <w:rPr>
          <w:rFonts w:ascii="Cambria Math" w:hAnsi="Cambria Math"/>
          <w:sz w:val="24"/>
          <w:szCs w:val="24"/>
        </w:rPr>
      </w:pPr>
      <m:oMath>
        <m:sSubSup>
          <m:sSubSupPr>
            <m:ctrlPr>
              <w:rPr>
                <w:rFonts w:ascii="Cambria Math" w:hAnsi="Cambria Math"/>
                <w:sz w:val="24"/>
                <w:szCs w:val="24"/>
              </w:rPr>
            </m:ctrlPr>
          </m:sSubSupPr>
          <m:e>
            <m:r>
              <w:rPr>
                <w:rFonts w:ascii="Cambria Math" w:hAnsi="Cambria Math"/>
                <w:sz w:val="24"/>
                <w:szCs w:val="24"/>
              </w:rPr>
              <m:t>Q</m:t>
            </m:r>
          </m:e>
          <m:sub>
            <m:r>
              <w:rPr>
                <w:rFonts w:ascii="Cambria Math" w:hAnsi="Cambria Math"/>
                <w:sz w:val="24"/>
                <w:szCs w:val="24"/>
              </w:rPr>
              <m:t>i</m:t>
            </m:r>
          </m:sub>
          <m:sup/>
        </m:sSubSup>
        <m:r>
          <w:rPr>
            <w:rFonts w:ascii="Cambria Math" w:hAnsi="Cambria Math"/>
            <w:sz w:val="24"/>
            <w:szCs w:val="24"/>
          </w:rPr>
          <m:t>:=</m:t>
        </m:r>
        <m:d>
          <m:dPr>
            <m:ctrlPr>
              <w:rPr>
                <w:rFonts w:ascii="Cambria Math" w:hAnsi="Cambria Math"/>
                <w:sz w:val="24"/>
                <w:szCs w:val="24"/>
              </w:rPr>
            </m:ctrlPr>
          </m:dPr>
          <m:e>
            <m:m>
              <m:mPr>
                <m:plcHide m:val="1"/>
                <m:mcs>
                  <m:mc>
                    <m:mcPr>
                      <m:count m:val="4"/>
                      <m:mcJc m:val="center"/>
                    </m:mcPr>
                  </m:mc>
                </m:mcs>
                <m:ctrlPr>
                  <w:rPr>
                    <w:rFonts w:ascii="Cambria Math" w:hAnsi="Cambria Math"/>
                    <w:sz w:val="24"/>
                    <w:szCs w:val="24"/>
                  </w:rPr>
                </m:ctrlPr>
              </m:mPr>
              <m:mr>
                <m:e>
                  <m:sSubSup>
                    <m:sSubSupPr>
                      <m:ctrlPr>
                        <w:rPr>
                          <w:rFonts w:ascii="Cambria Math" w:hAnsi="Cambria Math"/>
                          <w:sz w:val="24"/>
                          <w:szCs w:val="24"/>
                        </w:rPr>
                      </m:ctrlPr>
                    </m:sSubSupPr>
                    <m:e>
                      <m:r>
                        <w:rPr>
                          <w:rFonts w:ascii="Cambria Math" w:hAnsi="Cambria Math"/>
                          <w:sz w:val="24"/>
                          <w:szCs w:val="24"/>
                        </w:rPr>
                        <m:t>q</m:t>
                      </m:r>
                    </m:e>
                    <m:sub>
                      <m:r>
                        <w:rPr>
                          <w:rFonts w:ascii="Cambria Math" w:hAnsi="Cambria Math"/>
                          <w:sz w:val="24"/>
                          <w:szCs w:val="24"/>
                        </w:rPr>
                        <m:t>i,p+2</m:t>
                      </m:r>
                    </m:sub>
                    <m:sup>
                      <m:r>
                        <w:rPr>
                          <w:rFonts w:ascii="Cambria Math" w:hAnsi="Cambria Math"/>
                          <w:sz w:val="24"/>
                          <w:szCs w:val="24"/>
                        </w:rPr>
                        <m:t>Τ</m:t>
                      </m:r>
                    </m:sup>
                  </m:sSubSup>
                </m:e>
                <m:e>
                  <m:r>
                    <w:rPr>
                      <w:rFonts w:ascii="Cambria Math" w:hAnsi="Cambria Math"/>
                      <w:sz w:val="24"/>
                      <w:szCs w:val="24"/>
                    </w:rPr>
                    <m:t>0</m:t>
                  </m:r>
                </m:e>
                <m:e>
                  <m:r>
                    <w:rPr>
                      <w:rFonts w:ascii="Cambria Math" w:hAnsi="Cambria Math"/>
                      <w:sz w:val="24"/>
                      <w:szCs w:val="24"/>
                    </w:rPr>
                    <m:t>⋯</m:t>
                  </m:r>
                </m:e>
                <m:e>
                  <m:r>
                    <w:rPr>
                      <w:rFonts w:ascii="Cambria Math" w:hAnsi="Cambria Math"/>
                      <w:sz w:val="24"/>
                      <w:szCs w:val="24"/>
                    </w:rPr>
                    <m:t>0</m:t>
                  </m:r>
                </m:e>
              </m:mr>
              <m:mr>
                <m:e>
                  <m:r>
                    <w:rPr>
                      <w:rFonts w:ascii="Cambria Math" w:hAnsi="Cambria Math"/>
                      <w:sz w:val="24"/>
                      <w:szCs w:val="24"/>
                    </w:rPr>
                    <m:t>0</m:t>
                  </m:r>
                </m:e>
                <m:e>
                  <m:sSubSup>
                    <m:sSubSupPr>
                      <m:ctrlPr>
                        <w:rPr>
                          <w:rFonts w:ascii="Cambria Math" w:hAnsi="Cambria Math"/>
                          <w:sz w:val="24"/>
                          <w:szCs w:val="24"/>
                        </w:rPr>
                      </m:ctrlPr>
                    </m:sSubSupPr>
                    <m:e>
                      <m:r>
                        <w:rPr>
                          <w:rFonts w:ascii="Cambria Math" w:hAnsi="Cambria Math"/>
                          <w:sz w:val="24"/>
                          <w:szCs w:val="24"/>
                        </w:rPr>
                        <m:t>q</m:t>
                      </m:r>
                    </m:e>
                    <m:sub>
                      <m:r>
                        <w:rPr>
                          <w:rFonts w:ascii="Cambria Math" w:hAnsi="Cambria Math"/>
                          <w:sz w:val="24"/>
                          <w:szCs w:val="24"/>
                        </w:rPr>
                        <m:t>i,p+3</m:t>
                      </m:r>
                    </m:sub>
                    <m:sup>
                      <m:r>
                        <w:rPr>
                          <w:rFonts w:ascii="Cambria Math" w:hAnsi="Cambria Math"/>
                          <w:sz w:val="24"/>
                          <w:szCs w:val="24"/>
                        </w:rPr>
                        <m:t>Τ</m:t>
                      </m:r>
                    </m:sup>
                  </m:sSubSup>
                </m:e>
                <m:e/>
                <m:e>
                  <m:r>
                    <w:rPr>
                      <w:rFonts w:ascii="Cambria Math" w:hAnsi="Cambria Math"/>
                      <w:sz w:val="24"/>
                      <w:szCs w:val="24"/>
                    </w:rPr>
                    <m:t>0</m:t>
                  </m:r>
                </m:e>
              </m:mr>
              <m:mr>
                <m:e>
                  <m:r>
                    <w:rPr>
                      <w:rFonts w:ascii="Cambria Math" w:hAnsi="Cambria Math"/>
                      <w:sz w:val="24"/>
                      <w:szCs w:val="24"/>
                    </w:rPr>
                    <m:t>⋮</m:t>
                  </m:r>
                </m:e>
                <m:e/>
                <m:e>
                  <m:r>
                    <w:rPr>
                      <w:rFonts w:ascii="Cambria Math" w:hAnsi="Cambria Math"/>
                      <w:sz w:val="24"/>
                      <w:szCs w:val="24"/>
                    </w:rPr>
                    <m:t>⋱</m:t>
                  </m:r>
                </m:e>
                <m:e>
                  <m:r>
                    <w:rPr>
                      <w:rFonts w:ascii="Cambria Math" w:hAnsi="Cambria Math"/>
                      <w:sz w:val="24"/>
                      <w:szCs w:val="24"/>
                    </w:rPr>
                    <m:t>⋮</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m:t>
                  </m:r>
                </m:e>
                <m:e>
                  <m:sSubSup>
                    <m:sSubSupPr>
                      <m:ctrlPr>
                        <w:rPr>
                          <w:rFonts w:ascii="Cambria Math" w:hAnsi="Cambria Math"/>
                          <w:sz w:val="24"/>
                          <w:szCs w:val="24"/>
                        </w:rPr>
                      </m:ctrlPr>
                    </m:sSubSupPr>
                    <m:e>
                      <m:r>
                        <w:rPr>
                          <w:rFonts w:ascii="Cambria Math" w:hAnsi="Cambria Math"/>
                          <w:sz w:val="24"/>
                          <w:szCs w:val="24"/>
                        </w:rPr>
                        <m:t>q</m:t>
                      </m:r>
                    </m:e>
                    <m:sub>
                      <m:r>
                        <w:rPr>
                          <w:rFonts w:ascii="Cambria Math" w:hAnsi="Cambria Math"/>
                          <w:sz w:val="24"/>
                          <w:szCs w:val="24"/>
                        </w:rPr>
                        <m:t>i,T</m:t>
                      </m:r>
                    </m:sub>
                    <m:sup>
                      <m:r>
                        <w:rPr>
                          <w:rFonts w:ascii="Cambria Math" w:hAnsi="Cambria Math"/>
                          <w:sz w:val="24"/>
                          <w:szCs w:val="24"/>
                        </w:rPr>
                        <m:t>Τ</m:t>
                      </m:r>
                    </m:sup>
                  </m:sSubSup>
                </m:e>
              </m:mr>
            </m:m>
          </m:e>
        </m:d>
      </m:oMath>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r>
      <w:r w:rsidR="00D708F6" w:rsidRPr="0076192F">
        <w:rPr>
          <w:rFonts w:ascii="Cambria Math" w:hAnsi="Cambria Math"/>
          <w:sz w:val="24"/>
          <w:szCs w:val="24"/>
        </w:rPr>
        <w:tab/>
        <w:t>(6)</w:t>
      </w:r>
    </w:p>
    <w:p w14:paraId="0626CC4C" w14:textId="77777777" w:rsidR="00F77F63" w:rsidRDefault="00F77F63" w:rsidP="00D708F6">
      <w:pPr>
        <w:jc w:val="both"/>
        <w:rPr>
          <w:rFonts w:ascii="Cambria Math" w:hAnsi="Cambria Math"/>
        </w:rPr>
      </w:pPr>
    </w:p>
    <w:p w14:paraId="18640E8A" w14:textId="197830FD" w:rsidR="00D708F6" w:rsidRDefault="00D708F6" w:rsidP="00D708F6">
      <w:pPr>
        <w:jc w:val="both"/>
        <w:rPr>
          <w:rFonts w:ascii="Cambria Math" w:hAnsi="Cambria Math"/>
          <w:sz w:val="24"/>
          <w:szCs w:val="24"/>
        </w:rPr>
      </w:pPr>
      <w:r w:rsidRPr="0076192F">
        <w:rPr>
          <w:rFonts w:ascii="Cambria Math" w:hAnsi="Cambria Math"/>
        </w:rPr>
        <w:t>B</w:t>
      </w:r>
      <w:r w:rsidRPr="0076192F">
        <w:rPr>
          <w:rFonts w:ascii="Cambria Math" w:hAnsi="Cambria Math"/>
          <w:sz w:val="24"/>
          <w:szCs w:val="24"/>
        </w:rPr>
        <w:t>ased on the moment conditions (5), the minimization problem is:</w:t>
      </w:r>
    </w:p>
    <w:p w14:paraId="32FC2849" w14:textId="77777777" w:rsidR="00F77F63" w:rsidRPr="0076192F" w:rsidRDefault="00F77F63" w:rsidP="00D708F6">
      <w:pPr>
        <w:jc w:val="both"/>
        <w:rPr>
          <w:rFonts w:ascii="Cambria Math" w:hAnsi="Cambria Math"/>
          <w:sz w:val="24"/>
          <w:szCs w:val="24"/>
        </w:rPr>
      </w:pPr>
    </w:p>
    <w:p w14:paraId="518E762F" w14:textId="7DDF9603" w:rsidR="00D708F6" w:rsidRPr="0076192F" w:rsidRDefault="003B7DDC" w:rsidP="00D708F6">
      <w:pPr>
        <w:rPr>
          <w:rFonts w:ascii="Cambria Math" w:hAnsi="Cambria Math"/>
          <w:sz w:val="24"/>
          <w:szCs w:val="24"/>
        </w:rPr>
      </w:pPr>
      <m:oMath>
        <m:limLow>
          <m:limLowPr>
            <m:ctrlPr>
              <w:rPr>
                <w:rFonts w:ascii="Cambria Math" w:hAnsi="Cambria Math"/>
                <w:sz w:val="24"/>
                <w:szCs w:val="24"/>
              </w:rPr>
            </m:ctrlPr>
          </m:limLowPr>
          <m:e>
            <m:r>
              <m:rPr>
                <m:sty m:val="p"/>
              </m:rPr>
              <w:rPr>
                <w:rFonts w:ascii="Cambria Math" w:hAnsi="Cambria Math"/>
                <w:sz w:val="24"/>
                <w:szCs w:val="24"/>
              </w:rPr>
              <m:t>min</m:t>
            </m:r>
          </m:e>
          <m:lim>
            <m:r>
              <w:rPr>
                <w:rFonts w:ascii="Cambria Math" w:hAnsi="Cambria Math"/>
                <w:sz w:val="24"/>
                <w:szCs w:val="24"/>
              </w:rPr>
              <m:t>Φ</m:t>
            </m:r>
          </m:lim>
        </m:limLow>
        <m:sSup>
          <m:sSupPr>
            <m:ctrlPr>
              <w:rPr>
                <w:rFonts w:ascii="Cambria Math" w:hAnsi="Cambria Math"/>
                <w:sz w:val="24"/>
                <w:szCs w:val="24"/>
              </w:rPr>
            </m:ctrlPr>
          </m:sSupPr>
          <m:e>
            <m:r>
              <w:rPr>
                <w:rFonts w:ascii="Cambria Math" w:hAnsi="Cambria Math"/>
                <w:sz w:val="24"/>
                <w:szCs w:val="24"/>
              </w:rPr>
              <m:t>{</m:t>
            </m:r>
            <m:nary>
              <m:naryPr>
                <m:chr m:val="∑"/>
                <m:limLoc m:val="undOvr"/>
                <m:grow m:val="1"/>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sz w:val="24"/>
                        <w:szCs w:val="24"/>
                      </w:rPr>
                    </m:ctrlPr>
                  </m:sSubSupPr>
                  <m:e>
                    <m:r>
                      <w:rPr>
                        <w:rFonts w:ascii="Cambria Math" w:hAnsi="Cambria Math"/>
                        <w:sz w:val="24"/>
                        <w:szCs w:val="24"/>
                      </w:rPr>
                      <m:t>Z</m:t>
                    </m:r>
                  </m:e>
                  <m:sub>
                    <m:r>
                      <w:rPr>
                        <w:rFonts w:ascii="Cambria Math" w:hAnsi="Cambria Math"/>
                        <w:sz w:val="24"/>
                        <w:szCs w:val="24"/>
                      </w:rPr>
                      <m:t>i</m:t>
                    </m:r>
                  </m:sub>
                  <m:sup>
                    <m:r>
                      <w:rPr>
                        <w:rFonts w:ascii="Cambria Math" w:hAnsi="Cambria Math"/>
                        <w:sz w:val="24"/>
                        <w:szCs w:val="24"/>
                      </w:rPr>
                      <m:t>Τ</m:t>
                    </m:r>
                  </m:sup>
                </m:sSubSup>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m:t>
                    </m:r>
                  </m:sub>
                </m:sSub>
              </m:e>
            </m:nary>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i,-1</m:t>
                </m:r>
              </m:sub>
            </m:sSub>
            <m:r>
              <w:rPr>
                <w:rFonts w:ascii="Cambria Math" w:hAnsi="Cambria Math"/>
                <w:sz w:val="24"/>
                <w:szCs w:val="24"/>
              </w:rPr>
              <m:t>]Φ)</m:t>
            </m:r>
          </m:e>
          <m:sup>
            <m:r>
              <w:rPr>
                <w:rFonts w:ascii="Cambria Math" w:hAnsi="Cambria Math"/>
                <w:sz w:val="24"/>
                <w:szCs w:val="24"/>
              </w:rPr>
              <m:t>Τ</m:t>
            </m:r>
          </m:sup>
        </m:sSup>
        <m:sSubSup>
          <m:sSubSupPr>
            <m:ctrlPr>
              <w:rPr>
                <w:rFonts w:ascii="Cambria Math" w:hAnsi="Cambria Math"/>
                <w:sz w:val="24"/>
                <w:szCs w:val="24"/>
              </w:rPr>
            </m:ctrlPr>
          </m:sSubSupPr>
          <m:e>
            <m:r>
              <w:rPr>
                <w:rFonts w:ascii="Cambria Math" w:hAnsi="Cambria Math"/>
                <w:sz w:val="24"/>
                <w:szCs w:val="24"/>
              </w:rPr>
              <m:t>Λ</m:t>
            </m:r>
          </m:e>
          <m:sub>
            <m:r>
              <w:rPr>
                <w:rFonts w:ascii="Cambria Math" w:hAnsi="Cambria Math"/>
                <w:sz w:val="24"/>
                <w:szCs w:val="24"/>
              </w:rPr>
              <m:t>z</m:t>
            </m:r>
          </m:sub>
          <m:sup>
            <m:r>
              <w:rPr>
                <w:rFonts w:ascii="Cambria Math" w:hAnsi="Cambria Math"/>
                <w:sz w:val="24"/>
                <w:szCs w:val="24"/>
              </w:rPr>
              <m:t>-1</m:t>
            </m:r>
          </m:sup>
        </m:sSubSup>
        <m:nary>
          <m:naryPr>
            <m:chr m:val="∑"/>
            <m:limLoc m:val="undOvr"/>
            <m:grow m:val="1"/>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sz w:val="24"/>
                    <w:szCs w:val="24"/>
                  </w:rPr>
                </m:ctrlPr>
              </m:sSubSupPr>
              <m:e>
                <m:r>
                  <w:rPr>
                    <w:rFonts w:ascii="Cambria Math" w:hAnsi="Cambria Math"/>
                    <w:sz w:val="24"/>
                    <w:szCs w:val="24"/>
                  </w:rPr>
                  <m:t>Z</m:t>
                </m:r>
              </m:e>
              <m:sub>
                <m:r>
                  <w:rPr>
                    <w:rFonts w:ascii="Cambria Math" w:hAnsi="Cambria Math"/>
                    <w:sz w:val="24"/>
                    <w:szCs w:val="24"/>
                  </w:rPr>
                  <m:t>i</m:t>
                </m:r>
              </m:sub>
              <m:sup>
                <m:r>
                  <w:rPr>
                    <w:rFonts w:ascii="Cambria Math" w:hAnsi="Cambria Math"/>
                    <w:sz w:val="24"/>
                    <w:szCs w:val="24"/>
                  </w:rPr>
                  <m:t>Τ</m:t>
                </m:r>
              </m:sup>
            </m:sSubSup>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m:t>
                </m:r>
              </m:sub>
            </m:sSub>
          </m:e>
        </m:nary>
        <m:r>
          <w:rPr>
            <w:rFonts w:ascii="Cambria Math" w:hAnsi="Cambria Math"/>
            <w:sz w:val="24"/>
            <w:szCs w:val="24"/>
          </w:rPr>
          <m:t>-[Δ</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i,-1</m:t>
            </m:r>
          </m:sub>
        </m:sSub>
        <m:r>
          <w:rPr>
            <w:rFonts w:ascii="Cambria Math" w:hAnsi="Cambria Math"/>
            <w:sz w:val="24"/>
            <w:szCs w:val="24"/>
          </w:rPr>
          <m:t>]Φ)},</m:t>
        </m:r>
      </m:oMath>
      <w:r w:rsidR="00D708F6" w:rsidRPr="0076192F">
        <w:rPr>
          <w:rFonts w:ascii="Cambria Math" w:hAnsi="Cambria Math"/>
          <w:sz w:val="24"/>
          <w:szCs w:val="24"/>
        </w:rPr>
        <w:tab/>
      </w:r>
      <w:r w:rsidR="0043779C">
        <w:rPr>
          <w:rFonts w:ascii="Cambria Math" w:hAnsi="Cambria Math"/>
          <w:sz w:val="24"/>
          <w:szCs w:val="24"/>
        </w:rPr>
        <w:tab/>
      </w:r>
      <w:r w:rsidR="00BA6C59">
        <w:rPr>
          <w:rFonts w:ascii="Cambria Math" w:hAnsi="Cambria Math"/>
          <w:sz w:val="24"/>
          <w:szCs w:val="24"/>
        </w:rPr>
        <w:tab/>
      </w:r>
      <w:r w:rsidR="0043779C">
        <w:rPr>
          <w:rFonts w:ascii="Cambria Math" w:hAnsi="Cambria Math"/>
          <w:sz w:val="24"/>
          <w:szCs w:val="24"/>
        </w:rPr>
        <w:tab/>
      </w:r>
      <w:r w:rsidR="00D708F6" w:rsidRPr="0076192F">
        <w:rPr>
          <w:rFonts w:ascii="Cambria Math" w:hAnsi="Cambria Math"/>
          <w:sz w:val="24"/>
          <w:szCs w:val="24"/>
        </w:rPr>
        <w:t>(7)</w:t>
      </w:r>
    </w:p>
    <w:p w14:paraId="0438A55B" w14:textId="77777777" w:rsidR="00F77F63" w:rsidRDefault="00F77F63" w:rsidP="00D708F6">
      <w:pPr>
        <w:jc w:val="both"/>
        <w:rPr>
          <w:rFonts w:ascii="Cambria Math" w:hAnsi="Cambria Math"/>
          <w:sz w:val="24"/>
          <w:szCs w:val="24"/>
        </w:rPr>
      </w:pPr>
    </w:p>
    <w:p w14:paraId="2728C670" w14:textId="562B9D6F" w:rsidR="00D708F6" w:rsidRPr="0076192F" w:rsidRDefault="00D708F6" w:rsidP="00D708F6">
      <w:pPr>
        <w:jc w:val="both"/>
        <w:rPr>
          <w:rFonts w:ascii="Cambria Math" w:hAnsi="Cambria Math"/>
          <w:sz w:val="24"/>
          <w:szCs w:val="24"/>
        </w:rPr>
      </w:pPr>
      <w:r w:rsidRPr="0076192F">
        <w:rPr>
          <w:rFonts w:ascii="Cambria Math" w:hAnsi="Cambria Math"/>
          <w:sz w:val="24"/>
          <w:szCs w:val="24"/>
        </w:rPr>
        <w:t xml:space="preserve">where </w:t>
      </w:r>
      <w:r w:rsidR="0040733A" w:rsidRPr="0076192F">
        <w:rPr>
          <w:rFonts w:ascii="Cambria Math" w:hAnsi="Cambria Math"/>
          <w:position w:val="-4"/>
        </w:rPr>
        <w:object w:dxaOrig="260" w:dyaOrig="240" w14:anchorId="642F50EB">
          <v:shape id="_x0000_i1034" type="#_x0000_t75" style="width:16pt;height:16pt" o:ole="">
            <v:imagedata r:id="rId32" o:title=""/>
          </v:shape>
          <o:OLEObject Type="Embed" ProgID="Equation.DSMT4" ShapeID="_x0000_i1034" DrawAspect="Content" ObjectID="_1621159130" r:id="rId33"/>
        </w:object>
      </w:r>
      <w:r w:rsidR="00F313E0" w:rsidRPr="0076192F">
        <w:rPr>
          <w:rFonts w:ascii="Cambria Math" w:hAnsi="Cambria Math"/>
        </w:rPr>
        <w:t xml:space="preserve"> </w:t>
      </w:r>
      <w:r w:rsidR="00EE012E" w:rsidRPr="0076192F">
        <w:rPr>
          <w:rFonts w:ascii="Cambria Math" w:hAnsi="Cambria Math"/>
          <w:sz w:val="24"/>
          <w:szCs w:val="24"/>
        </w:rPr>
        <w:t>delivers the Generalized Method of Moments (GMM) estimates of model (2) and</w:t>
      </w:r>
      <w:r w:rsidR="00F313E0" w:rsidRPr="0076192F">
        <w:rPr>
          <w:rFonts w:ascii="Cambria Math" w:hAnsi="Cambria Math"/>
          <w:sz w:val="24"/>
          <w:szCs w:val="24"/>
        </w:rPr>
        <w:t xml:space="preserve"> </w:t>
      </w:r>
      <w:r w:rsidR="004374CE" w:rsidRPr="004374CE">
        <w:rPr>
          <w:rFonts w:ascii="Cambria Math" w:hAnsi="Cambria Math"/>
          <w:position w:val="-12"/>
        </w:rPr>
        <w:object w:dxaOrig="320" w:dyaOrig="360" w14:anchorId="51C0AA40">
          <v:shape id="_x0000_i1035" type="#_x0000_t75" style="width:20.5pt;height:20.5pt" o:ole="">
            <v:imagedata r:id="rId34" o:title=""/>
          </v:shape>
          <o:OLEObject Type="Embed" ProgID="Equation.DSMT4" ShapeID="_x0000_i1035" DrawAspect="Content" ObjectID="_1621159131" r:id="rId35"/>
        </w:object>
      </w:r>
      <w:r w:rsidR="00F313E0" w:rsidRPr="0076192F">
        <w:rPr>
          <w:rFonts w:ascii="Cambria Math" w:hAnsi="Cambria Math"/>
        </w:rPr>
        <w:t xml:space="preserve"> </w:t>
      </w:r>
      <w:r w:rsidRPr="0076192F">
        <w:rPr>
          <w:rFonts w:ascii="Cambria Math" w:hAnsi="Cambria Math"/>
          <w:sz w:val="24"/>
          <w:szCs w:val="24"/>
        </w:rPr>
        <w:t xml:space="preserve">is the weighting matrix based on the one-step estimation procedure of Binder et al. (2005); see </w:t>
      </w:r>
      <w:r w:rsidR="00D22AE6" w:rsidRPr="0076192F">
        <w:rPr>
          <w:rFonts w:ascii="Cambria Math" w:hAnsi="Cambria Math"/>
          <w:sz w:val="24"/>
          <w:szCs w:val="24"/>
        </w:rPr>
        <w:t>also</w:t>
      </w:r>
      <w:r w:rsidRPr="0076192F">
        <w:rPr>
          <w:rFonts w:ascii="Cambria Math" w:hAnsi="Cambria Math"/>
          <w:sz w:val="24"/>
          <w:szCs w:val="24"/>
        </w:rPr>
        <w:t xml:space="preserve"> </w:t>
      </w:r>
      <w:r w:rsidR="00D22AE6" w:rsidRPr="0076192F">
        <w:rPr>
          <w:rFonts w:ascii="Cambria Math" w:hAnsi="Cambria Math"/>
          <w:sz w:val="24"/>
          <w:szCs w:val="24"/>
        </w:rPr>
        <w:t xml:space="preserve">the </w:t>
      </w:r>
      <w:r w:rsidRPr="0076192F">
        <w:rPr>
          <w:rFonts w:ascii="Cambria Math" w:hAnsi="Cambria Math"/>
          <w:sz w:val="24"/>
          <w:szCs w:val="24"/>
        </w:rPr>
        <w:t>detailed technical discussion in Sigmund and Ferstl (201</w:t>
      </w:r>
      <w:r w:rsidR="00992F95">
        <w:rPr>
          <w:rFonts w:ascii="Cambria Math" w:hAnsi="Cambria Math"/>
          <w:sz w:val="24"/>
          <w:szCs w:val="24"/>
        </w:rPr>
        <w:t>9</w:t>
      </w:r>
      <w:r w:rsidRPr="0076192F">
        <w:rPr>
          <w:rFonts w:ascii="Cambria Math" w:hAnsi="Cambria Math"/>
          <w:sz w:val="24"/>
          <w:szCs w:val="24"/>
        </w:rPr>
        <w:t xml:space="preserve">). </w:t>
      </w:r>
    </w:p>
    <w:p w14:paraId="0DA99706" w14:textId="77777777" w:rsidR="00827DAC" w:rsidRDefault="00E56400" w:rsidP="00FD0B56">
      <w:pPr>
        <w:jc w:val="both"/>
        <w:rPr>
          <w:rFonts w:ascii="Cambria Math" w:hAnsi="Cambria Math"/>
          <w:sz w:val="24"/>
          <w:szCs w:val="24"/>
        </w:rPr>
      </w:pPr>
      <w:r w:rsidRPr="0076192F">
        <w:rPr>
          <w:rFonts w:ascii="Cambria Math" w:hAnsi="Cambria Math"/>
          <w:sz w:val="24"/>
          <w:szCs w:val="24"/>
        </w:rPr>
        <w:t>The choice of the optimal weighting matrix reduces the asymptotic bias in the estimation</w:t>
      </w:r>
      <w:r w:rsidR="00E427DC" w:rsidRPr="0076192F">
        <w:rPr>
          <w:rFonts w:ascii="Cambria Math" w:hAnsi="Cambria Math"/>
          <w:sz w:val="24"/>
          <w:szCs w:val="24"/>
        </w:rPr>
        <w:t xml:space="preserve">. Fixed effects are removed by implementing </w:t>
      </w:r>
      <w:r w:rsidR="003F2FCA">
        <w:rPr>
          <w:rFonts w:ascii="Cambria Math" w:hAnsi="Cambria Math"/>
          <w:sz w:val="24"/>
          <w:szCs w:val="24"/>
        </w:rPr>
        <w:t>first differences.</w:t>
      </w:r>
      <w:r w:rsidR="00992F95">
        <w:rPr>
          <w:rFonts w:ascii="Cambria Math" w:hAnsi="Cambria Math"/>
          <w:sz w:val="24"/>
          <w:szCs w:val="24"/>
        </w:rPr>
        <w:t xml:space="preserve"> </w:t>
      </w:r>
    </w:p>
    <w:p w14:paraId="23CADD0E" w14:textId="5C30503A" w:rsidR="004D1451" w:rsidRPr="0076192F" w:rsidRDefault="00827DAC" w:rsidP="00FD0B56">
      <w:pPr>
        <w:jc w:val="both"/>
        <w:rPr>
          <w:rFonts w:ascii="Cambria Math" w:hAnsi="Cambria Math"/>
          <w:sz w:val="24"/>
          <w:szCs w:val="24"/>
        </w:rPr>
      </w:pPr>
      <w:r>
        <w:rPr>
          <w:rFonts w:ascii="Cambria Math" w:hAnsi="Cambria Math"/>
          <w:sz w:val="24"/>
          <w:szCs w:val="24"/>
        </w:rPr>
        <w:t>T</w:t>
      </w:r>
      <w:r w:rsidR="00AE423F" w:rsidRPr="0076192F">
        <w:rPr>
          <w:rFonts w:ascii="Cambria Math" w:hAnsi="Cambria Math"/>
          <w:sz w:val="24"/>
          <w:szCs w:val="24"/>
        </w:rPr>
        <w:t xml:space="preserve">here are </w:t>
      </w:r>
      <w:r w:rsidR="00AE423F" w:rsidRPr="0076192F">
        <w:rPr>
          <w:rFonts w:ascii="Cambria Math" w:hAnsi="Cambria Math"/>
          <w:i/>
          <w:sz w:val="24"/>
          <w:szCs w:val="24"/>
        </w:rPr>
        <w:t xml:space="preserve">m </w:t>
      </w:r>
      <w:r w:rsidR="00AE423F" w:rsidRPr="0076192F">
        <w:rPr>
          <w:rFonts w:ascii="Cambria Math" w:hAnsi="Cambria Math"/>
          <w:sz w:val="24"/>
          <w:szCs w:val="24"/>
        </w:rPr>
        <w:t>= 7 endogenous variables i</w:t>
      </w:r>
      <w:r w:rsidR="00AC28F5" w:rsidRPr="0076192F">
        <w:rPr>
          <w:rFonts w:ascii="Cambria Math" w:hAnsi="Cambria Math"/>
          <w:sz w:val="24"/>
          <w:szCs w:val="24"/>
        </w:rPr>
        <w:t xml:space="preserve">n our </w:t>
      </w:r>
      <w:r w:rsidR="004A538C" w:rsidRPr="0076192F">
        <w:rPr>
          <w:rFonts w:ascii="Cambria Math" w:hAnsi="Cambria Math"/>
          <w:sz w:val="24"/>
          <w:szCs w:val="24"/>
        </w:rPr>
        <w:t>PVAR model</w:t>
      </w:r>
      <w:r w:rsidR="00AC28F5" w:rsidRPr="0076192F">
        <w:rPr>
          <w:rFonts w:ascii="Cambria Math" w:hAnsi="Cambria Math"/>
          <w:sz w:val="24"/>
          <w:szCs w:val="24"/>
        </w:rPr>
        <w:t xml:space="preserve"> such that </w:t>
      </w:r>
      <w:r w:rsidR="00694EB7">
        <w:rPr>
          <w:rFonts w:ascii="Cambria Math" w:hAnsi="Cambria Math"/>
          <w:sz w:val="24"/>
          <w:szCs w:val="24"/>
        </w:rPr>
        <w:t xml:space="preserve">the vector  </w:t>
      </w:r>
      <w:r w:rsidR="00694EB7" w:rsidRPr="00233AFC">
        <w:rPr>
          <w:rFonts w:ascii="Cambria Math" w:hAnsi="Cambria Math"/>
          <w:sz w:val="24"/>
          <w:szCs w:val="24"/>
        </w:rPr>
        <w:t>y</w:t>
      </w:r>
      <w:r w:rsidR="00694EB7" w:rsidRPr="0076192F">
        <w:rPr>
          <w:rFonts w:ascii="Cambria Math" w:hAnsi="Cambria Math"/>
          <w:i/>
          <w:sz w:val="24"/>
          <w:szCs w:val="24"/>
          <w:vertAlign w:val="subscript"/>
        </w:rPr>
        <w:t>i</w:t>
      </w:r>
      <w:r w:rsidR="00694EB7" w:rsidRPr="0076192F">
        <w:rPr>
          <w:rFonts w:ascii="Cambria Math" w:hAnsi="Cambria Math"/>
          <w:sz w:val="24"/>
          <w:szCs w:val="24"/>
          <w:vertAlign w:val="subscript"/>
        </w:rPr>
        <w:t>,</w:t>
      </w:r>
      <w:r w:rsidR="00694EB7" w:rsidRPr="0076192F">
        <w:rPr>
          <w:rFonts w:ascii="Cambria Math" w:hAnsi="Cambria Math"/>
          <w:i/>
          <w:sz w:val="24"/>
          <w:szCs w:val="24"/>
          <w:vertAlign w:val="subscript"/>
        </w:rPr>
        <w:t>t</w:t>
      </w:r>
      <w:r w:rsidR="00694EB7">
        <w:rPr>
          <w:rFonts w:ascii="Cambria Math" w:hAnsi="Cambria Math"/>
          <w:i/>
          <w:sz w:val="24"/>
          <w:szCs w:val="24"/>
        </w:rPr>
        <w:t xml:space="preserve">  </w:t>
      </w:r>
      <w:r w:rsidR="00694EB7">
        <w:rPr>
          <w:rFonts w:ascii="Cambria Math" w:hAnsi="Cambria Math"/>
          <w:sz w:val="24"/>
          <w:szCs w:val="24"/>
        </w:rPr>
        <w:t xml:space="preserve">is </w:t>
      </w:r>
      <w:r w:rsidR="00F679B9">
        <w:rPr>
          <w:rFonts w:ascii="Cambria Math" w:hAnsi="Cambria Math"/>
          <w:sz w:val="24"/>
          <w:szCs w:val="24"/>
        </w:rPr>
        <w:t xml:space="preserve">given by </w:t>
      </w:r>
      <w:r w:rsidR="00694EB7">
        <w:rPr>
          <w:rFonts w:ascii="Cambria Math" w:hAnsi="Cambria Math"/>
          <w:sz w:val="24"/>
          <w:szCs w:val="24"/>
        </w:rPr>
        <w:t xml:space="preserve"> </w:t>
      </w:r>
      <w:r w:rsidR="000D2828" w:rsidRPr="00233AFC">
        <w:rPr>
          <w:rFonts w:ascii="Cambria Math" w:hAnsi="Cambria Math"/>
          <w:sz w:val="24"/>
          <w:szCs w:val="24"/>
        </w:rPr>
        <w:t>y</w:t>
      </w:r>
      <w:r w:rsidR="000D2828" w:rsidRPr="0076192F">
        <w:rPr>
          <w:rFonts w:ascii="Cambria Math" w:hAnsi="Cambria Math"/>
          <w:i/>
          <w:sz w:val="24"/>
          <w:szCs w:val="24"/>
          <w:vertAlign w:val="subscript"/>
        </w:rPr>
        <w:t>i</w:t>
      </w:r>
      <w:r w:rsidR="000D2828" w:rsidRPr="0076192F">
        <w:rPr>
          <w:rFonts w:ascii="Cambria Math" w:hAnsi="Cambria Math"/>
          <w:sz w:val="24"/>
          <w:szCs w:val="24"/>
          <w:vertAlign w:val="subscript"/>
        </w:rPr>
        <w:t>,</w:t>
      </w:r>
      <w:r w:rsidR="000D2828" w:rsidRPr="0076192F">
        <w:rPr>
          <w:rFonts w:ascii="Cambria Math" w:hAnsi="Cambria Math"/>
          <w:i/>
          <w:sz w:val="24"/>
          <w:szCs w:val="24"/>
          <w:vertAlign w:val="subscript"/>
        </w:rPr>
        <w:t>t</w:t>
      </w:r>
      <w:r w:rsidR="000D2828" w:rsidRPr="0076192F">
        <w:rPr>
          <w:rFonts w:ascii="Cambria Math" w:hAnsi="Cambria Math"/>
          <w:sz w:val="24"/>
          <w:szCs w:val="24"/>
        </w:rPr>
        <w:t xml:space="preserve"> </w:t>
      </w:r>
      <w:r w:rsidR="00AC28F5" w:rsidRPr="0076192F">
        <w:rPr>
          <w:rFonts w:ascii="Cambria Math" w:hAnsi="Cambria Math"/>
          <w:sz w:val="24"/>
          <w:szCs w:val="24"/>
        </w:rPr>
        <w:t>=</w:t>
      </w:r>
      <w:r w:rsidR="008D041A" w:rsidRPr="0076192F">
        <w:rPr>
          <w:rFonts w:ascii="Cambria Math" w:hAnsi="Cambria Math"/>
          <w:sz w:val="24"/>
          <w:szCs w:val="24"/>
        </w:rPr>
        <w:t xml:space="preserve"> </w:t>
      </w:r>
      <w:r w:rsidR="00AC28F5" w:rsidRPr="0076192F">
        <w:rPr>
          <w:rFonts w:ascii="Cambria Math" w:hAnsi="Cambria Math"/>
          <w:sz w:val="24"/>
          <w:szCs w:val="24"/>
        </w:rPr>
        <w:t>[Uncertainty,</w:t>
      </w:r>
      <w:r w:rsidR="008D041A" w:rsidRPr="0076192F">
        <w:rPr>
          <w:rFonts w:ascii="Cambria Math" w:hAnsi="Cambria Math"/>
          <w:sz w:val="24"/>
          <w:szCs w:val="24"/>
        </w:rPr>
        <w:t xml:space="preserve"> </w:t>
      </w:r>
      <w:r w:rsidR="00AC28F5" w:rsidRPr="0076192F">
        <w:rPr>
          <w:rFonts w:ascii="Cambria Math" w:hAnsi="Cambria Math"/>
          <w:sz w:val="24"/>
          <w:szCs w:val="24"/>
        </w:rPr>
        <w:t>GDP growth, Investments, Debt, Fiscal Balance, NPLs, rating]</w:t>
      </w:r>
      <w:r>
        <w:rPr>
          <w:rFonts w:ascii="Cambria Math" w:hAnsi="Cambria Math"/>
          <w:sz w:val="24"/>
          <w:szCs w:val="24"/>
        </w:rPr>
        <w:t xml:space="preserve"> </w:t>
      </w:r>
      <w:r w:rsidR="0015309B" w:rsidRPr="0076192F">
        <w:rPr>
          <w:rFonts w:ascii="Cambria Math" w:hAnsi="Cambria Math"/>
          <w:sz w:val="24"/>
          <w:szCs w:val="24"/>
        </w:rPr>
        <w:t>using</w:t>
      </w:r>
      <w:r w:rsidR="00AA0EF7" w:rsidRPr="0076192F">
        <w:rPr>
          <w:rFonts w:ascii="Cambria Math" w:hAnsi="Cambria Math"/>
          <w:sz w:val="24"/>
          <w:szCs w:val="24"/>
        </w:rPr>
        <w:t xml:space="preserve"> </w:t>
      </w:r>
      <w:r w:rsidR="001D29A4" w:rsidRPr="0076192F">
        <w:rPr>
          <w:rFonts w:ascii="Cambria Math" w:hAnsi="Cambria Math"/>
          <w:sz w:val="24"/>
          <w:szCs w:val="24"/>
        </w:rPr>
        <w:t xml:space="preserve">a lag length of </w:t>
      </w:r>
      <w:r w:rsidR="00AC28F5" w:rsidRPr="0076192F">
        <w:rPr>
          <w:rFonts w:ascii="Cambria Math" w:hAnsi="Cambria Math"/>
          <w:i/>
          <w:sz w:val="24"/>
          <w:szCs w:val="24"/>
        </w:rPr>
        <w:t>p</w:t>
      </w:r>
      <w:r w:rsidR="00AC28F5" w:rsidRPr="0076192F">
        <w:rPr>
          <w:rFonts w:ascii="Cambria Math" w:hAnsi="Cambria Math"/>
          <w:sz w:val="24"/>
          <w:szCs w:val="24"/>
        </w:rPr>
        <w:t xml:space="preserve"> = </w:t>
      </w:r>
      <w:r w:rsidR="001D29A4" w:rsidRPr="0076192F">
        <w:rPr>
          <w:rFonts w:ascii="Cambria Math" w:hAnsi="Cambria Math"/>
          <w:sz w:val="24"/>
          <w:szCs w:val="24"/>
        </w:rPr>
        <w:t>2</w:t>
      </w:r>
      <w:r w:rsidR="00AC28F5" w:rsidRPr="0076192F">
        <w:rPr>
          <w:rFonts w:ascii="Cambria Math" w:hAnsi="Cambria Math"/>
          <w:sz w:val="24"/>
          <w:szCs w:val="24"/>
        </w:rPr>
        <w:t xml:space="preserve"> </w:t>
      </w:r>
      <w:r w:rsidR="00AE423F" w:rsidRPr="0076192F">
        <w:rPr>
          <w:rFonts w:ascii="Cambria Math" w:hAnsi="Cambria Math"/>
          <w:sz w:val="24"/>
          <w:szCs w:val="24"/>
        </w:rPr>
        <w:t xml:space="preserve">and </w:t>
      </w:r>
      <w:r w:rsidR="004C5B05" w:rsidRPr="0076192F">
        <w:rPr>
          <w:rFonts w:ascii="Cambria Math" w:hAnsi="Cambria Math"/>
          <w:sz w:val="24"/>
          <w:szCs w:val="24"/>
        </w:rPr>
        <w:t>employing</w:t>
      </w:r>
      <w:r w:rsidR="00AE423F" w:rsidRPr="0076192F">
        <w:rPr>
          <w:rFonts w:ascii="Cambria Math" w:hAnsi="Cambria Math"/>
          <w:sz w:val="24"/>
          <w:szCs w:val="24"/>
        </w:rPr>
        <w:t xml:space="preserve"> </w:t>
      </w:r>
      <w:r w:rsidR="001D29A4" w:rsidRPr="0076192F">
        <w:rPr>
          <w:rFonts w:ascii="Cambria Math" w:hAnsi="Cambria Math"/>
          <w:sz w:val="24"/>
          <w:szCs w:val="24"/>
        </w:rPr>
        <w:t>3</w:t>
      </w:r>
      <w:r w:rsidR="00AE423F" w:rsidRPr="0076192F">
        <w:rPr>
          <w:rFonts w:ascii="Cambria Math" w:hAnsi="Cambria Math"/>
          <w:sz w:val="24"/>
          <w:szCs w:val="24"/>
        </w:rPr>
        <w:t xml:space="preserve"> lags of all endogenous variables as instruments.</w:t>
      </w:r>
      <w:r w:rsidR="00493EC3" w:rsidRPr="0076192F">
        <w:rPr>
          <w:rStyle w:val="FootnoteReference"/>
          <w:rFonts w:ascii="Cambria Math" w:hAnsi="Cambria Math"/>
          <w:sz w:val="24"/>
          <w:szCs w:val="24"/>
        </w:rPr>
        <w:t xml:space="preserve"> </w:t>
      </w:r>
      <w:r w:rsidR="00493EC3" w:rsidRPr="0076192F">
        <w:rPr>
          <w:rStyle w:val="FootnoteReference"/>
          <w:rFonts w:ascii="Cambria Math" w:hAnsi="Cambria Math"/>
          <w:sz w:val="24"/>
          <w:szCs w:val="24"/>
        </w:rPr>
        <w:footnoteReference w:id="16"/>
      </w:r>
      <w:r w:rsidR="00AE423F" w:rsidRPr="0076192F">
        <w:rPr>
          <w:rFonts w:ascii="Cambria Math" w:hAnsi="Cambria Math"/>
          <w:sz w:val="24"/>
          <w:szCs w:val="24"/>
        </w:rPr>
        <w:t xml:space="preserve"> </w:t>
      </w:r>
      <w:r w:rsidR="001D29A4" w:rsidRPr="0076192F">
        <w:rPr>
          <w:rFonts w:ascii="Cambria Math" w:hAnsi="Cambria Math"/>
          <w:sz w:val="24"/>
          <w:szCs w:val="24"/>
        </w:rPr>
        <w:t>The choice of the lag length is based on the Andrews and Lu (2001)</w:t>
      </w:r>
      <w:r w:rsidR="001D29A4" w:rsidRPr="0076192F">
        <w:rPr>
          <w:rFonts w:ascii="Cambria Math" w:hAnsi="Cambria Math"/>
        </w:rPr>
        <w:t xml:space="preserve"> </w:t>
      </w:r>
      <w:r w:rsidR="001D29A4" w:rsidRPr="0076192F">
        <w:rPr>
          <w:rFonts w:ascii="Cambria Math" w:hAnsi="Cambria Math"/>
          <w:sz w:val="24"/>
          <w:szCs w:val="24"/>
        </w:rPr>
        <w:t>model and moment selection criteria</w:t>
      </w:r>
      <w:r w:rsidR="000B0C41" w:rsidRPr="0076192F">
        <w:rPr>
          <w:rFonts w:ascii="Cambria Math" w:hAnsi="Cambria Math"/>
          <w:sz w:val="24"/>
          <w:szCs w:val="24"/>
        </w:rPr>
        <w:t xml:space="preserve"> (MMSC)</w:t>
      </w:r>
      <w:r w:rsidR="0029768D" w:rsidRPr="0076192F">
        <w:rPr>
          <w:rFonts w:ascii="Cambria Math" w:hAnsi="Cambria Math"/>
          <w:sz w:val="24"/>
          <w:szCs w:val="24"/>
        </w:rPr>
        <w:t>.</w:t>
      </w:r>
      <w:r w:rsidR="00212D9C" w:rsidRPr="0076192F">
        <w:rPr>
          <w:rStyle w:val="FootnoteReference"/>
          <w:rFonts w:ascii="Cambria Math" w:hAnsi="Cambria Math"/>
          <w:sz w:val="24"/>
          <w:szCs w:val="24"/>
        </w:rPr>
        <w:t xml:space="preserve"> </w:t>
      </w:r>
      <w:r w:rsidR="00212D9C" w:rsidRPr="0076192F">
        <w:rPr>
          <w:rStyle w:val="FootnoteReference"/>
          <w:rFonts w:ascii="Cambria Math" w:hAnsi="Cambria Math"/>
          <w:sz w:val="24"/>
          <w:szCs w:val="24"/>
        </w:rPr>
        <w:footnoteReference w:id="17"/>
      </w:r>
      <w:r w:rsidR="007B7A31" w:rsidRPr="0076192F">
        <w:rPr>
          <w:rFonts w:ascii="Cambria Math" w:hAnsi="Cambria Math"/>
          <w:sz w:val="24"/>
          <w:szCs w:val="24"/>
        </w:rPr>
        <w:t xml:space="preserve"> </w:t>
      </w:r>
      <w:r w:rsidR="0029768D" w:rsidRPr="0076192F">
        <w:rPr>
          <w:rFonts w:ascii="Cambria Math" w:hAnsi="Cambria Math"/>
          <w:sz w:val="24"/>
          <w:szCs w:val="24"/>
        </w:rPr>
        <w:t>A</w:t>
      </w:r>
      <w:r w:rsidR="007B7A31" w:rsidRPr="0076192F">
        <w:rPr>
          <w:rFonts w:ascii="Cambria Math" w:hAnsi="Cambria Math"/>
          <w:sz w:val="24"/>
          <w:szCs w:val="24"/>
        </w:rPr>
        <w:t xml:space="preserve"> choice of 2 lags appears justified also on </w:t>
      </w:r>
      <w:r w:rsidR="007B7A31" w:rsidRPr="0076192F">
        <w:rPr>
          <w:rFonts w:ascii="Cambria Math" w:hAnsi="Cambria Math"/>
          <w:sz w:val="24"/>
          <w:szCs w:val="24"/>
        </w:rPr>
        <w:lastRenderedPageBreak/>
        <w:t>economic grounds as there is evidence of persistence and stickiness in rating decisions (Dimitrakopoulos and Kolossiatis, 2016)</w:t>
      </w:r>
      <w:r w:rsidR="0029768D" w:rsidRPr="0076192F">
        <w:rPr>
          <w:rFonts w:ascii="Cambria Math" w:hAnsi="Cambria Math"/>
          <w:sz w:val="24"/>
          <w:szCs w:val="24"/>
        </w:rPr>
        <w:t>;</w:t>
      </w:r>
      <w:r w:rsidR="00212D9C" w:rsidRPr="0076192F">
        <w:rPr>
          <w:rFonts w:ascii="Cambria Math" w:hAnsi="Cambria Math"/>
          <w:sz w:val="24"/>
          <w:szCs w:val="24"/>
        </w:rPr>
        <w:t xml:space="preserve"> </w:t>
      </w:r>
      <w:r w:rsidR="0029768D" w:rsidRPr="0076192F">
        <w:rPr>
          <w:rFonts w:ascii="Cambria Math" w:hAnsi="Cambria Math"/>
          <w:sz w:val="24"/>
          <w:szCs w:val="24"/>
        </w:rPr>
        <w:t>considerable persistence</w:t>
      </w:r>
      <w:r w:rsidR="00212D9C" w:rsidRPr="0076192F">
        <w:rPr>
          <w:rFonts w:ascii="Cambria Math" w:hAnsi="Cambria Math"/>
          <w:sz w:val="24"/>
          <w:szCs w:val="24"/>
        </w:rPr>
        <w:t xml:space="preserve"> also shows up in some of the impulse responses reported in the following section of the paper</w:t>
      </w:r>
      <w:r w:rsidR="00CF0339" w:rsidRPr="0076192F">
        <w:rPr>
          <w:rFonts w:ascii="Cambria Math" w:hAnsi="Cambria Math"/>
          <w:sz w:val="24"/>
          <w:szCs w:val="24"/>
        </w:rPr>
        <w:t>.</w:t>
      </w:r>
      <w:r w:rsidR="00A20696" w:rsidRPr="0076192F">
        <w:rPr>
          <w:rFonts w:ascii="Cambria Math" w:hAnsi="Cambria Math"/>
          <w:sz w:val="24"/>
          <w:szCs w:val="24"/>
        </w:rPr>
        <w:t xml:space="preserve"> </w:t>
      </w:r>
    </w:p>
    <w:p w14:paraId="509A62BF" w14:textId="5FD14017" w:rsidR="00E56400" w:rsidRPr="0076192F" w:rsidRDefault="00F47A04" w:rsidP="00FD0B56">
      <w:pPr>
        <w:jc w:val="both"/>
        <w:rPr>
          <w:rFonts w:ascii="Cambria Math" w:hAnsi="Cambria Math"/>
          <w:sz w:val="24"/>
          <w:szCs w:val="24"/>
        </w:rPr>
      </w:pPr>
      <w:r w:rsidRPr="0076192F">
        <w:rPr>
          <w:rFonts w:ascii="Cambria Math" w:hAnsi="Cambria Math"/>
          <w:sz w:val="24"/>
          <w:szCs w:val="24"/>
        </w:rPr>
        <w:t>T</w:t>
      </w:r>
      <w:r w:rsidR="005D4746" w:rsidRPr="0076192F">
        <w:rPr>
          <w:rFonts w:ascii="Cambria Math" w:hAnsi="Cambria Math"/>
          <w:sz w:val="24"/>
          <w:szCs w:val="24"/>
        </w:rPr>
        <w:t xml:space="preserve">o </w:t>
      </w:r>
      <w:r w:rsidR="000A2E12" w:rsidRPr="0076192F">
        <w:rPr>
          <w:rFonts w:ascii="Cambria Math" w:hAnsi="Cambria Math"/>
          <w:sz w:val="24"/>
          <w:szCs w:val="24"/>
        </w:rPr>
        <w:t>examine</w:t>
      </w:r>
      <w:r w:rsidR="00FD0B56" w:rsidRPr="0076192F">
        <w:rPr>
          <w:rFonts w:ascii="Cambria Math" w:hAnsi="Cambria Math"/>
          <w:sz w:val="24"/>
          <w:szCs w:val="24"/>
        </w:rPr>
        <w:t xml:space="preserve"> the respon</w:t>
      </w:r>
      <w:r w:rsidR="000A1A9A" w:rsidRPr="0076192F">
        <w:rPr>
          <w:rFonts w:ascii="Cambria Math" w:hAnsi="Cambria Math"/>
          <w:sz w:val="24"/>
          <w:szCs w:val="24"/>
        </w:rPr>
        <w:t>se of one (endogenous) variable</w:t>
      </w:r>
      <w:r w:rsidR="00FD0B56" w:rsidRPr="0076192F">
        <w:rPr>
          <w:rFonts w:ascii="Cambria Math" w:hAnsi="Cambria Math"/>
          <w:sz w:val="24"/>
          <w:szCs w:val="24"/>
        </w:rPr>
        <w:t xml:space="preserve"> to </w:t>
      </w:r>
      <w:r w:rsidR="00B4529B" w:rsidRPr="0076192F">
        <w:rPr>
          <w:rFonts w:ascii="Cambria Math" w:hAnsi="Cambria Math"/>
          <w:sz w:val="24"/>
          <w:szCs w:val="24"/>
        </w:rPr>
        <w:t xml:space="preserve">an impulse in </w:t>
      </w:r>
      <w:r w:rsidR="00FD0B56" w:rsidRPr="0076192F">
        <w:rPr>
          <w:rFonts w:ascii="Cambria Math" w:hAnsi="Cambria Math"/>
          <w:sz w:val="24"/>
          <w:szCs w:val="24"/>
        </w:rPr>
        <w:t>another (endogenous) variable</w:t>
      </w:r>
      <w:r w:rsidR="00992F95">
        <w:rPr>
          <w:rFonts w:ascii="Cambria Math" w:hAnsi="Cambria Math"/>
          <w:sz w:val="24"/>
          <w:szCs w:val="24"/>
        </w:rPr>
        <w:t>,</w:t>
      </w:r>
      <w:r w:rsidR="00FD0B56" w:rsidRPr="0076192F">
        <w:rPr>
          <w:rFonts w:ascii="Cambria Math" w:hAnsi="Cambria Math"/>
          <w:sz w:val="24"/>
          <w:szCs w:val="24"/>
        </w:rPr>
        <w:t xml:space="preserve"> </w:t>
      </w:r>
      <w:r w:rsidRPr="0076192F">
        <w:rPr>
          <w:rFonts w:ascii="Cambria Math" w:hAnsi="Cambria Math"/>
          <w:sz w:val="24"/>
          <w:szCs w:val="24"/>
        </w:rPr>
        <w:t>we rely on</w:t>
      </w:r>
      <w:r w:rsidR="00F95EBC" w:rsidRPr="0076192F">
        <w:rPr>
          <w:rFonts w:ascii="Cambria Math" w:hAnsi="Cambria Math"/>
          <w:sz w:val="24"/>
          <w:szCs w:val="24"/>
        </w:rPr>
        <w:t xml:space="preserve"> </w:t>
      </w:r>
      <w:r w:rsidRPr="0076192F">
        <w:rPr>
          <w:rFonts w:ascii="Cambria Math" w:hAnsi="Cambria Math"/>
          <w:sz w:val="24"/>
          <w:szCs w:val="24"/>
        </w:rPr>
        <w:t>Generalized Impulse Response Functions (GIRFs) of Pesaran and Shin (1998); c</w:t>
      </w:r>
      <w:r w:rsidR="005D4746" w:rsidRPr="0076192F">
        <w:rPr>
          <w:rFonts w:ascii="Cambria Math" w:hAnsi="Cambria Math"/>
          <w:sz w:val="24"/>
          <w:szCs w:val="24"/>
        </w:rPr>
        <w:t xml:space="preserve">ontrary to </w:t>
      </w:r>
      <w:r w:rsidR="000A1A9A" w:rsidRPr="0076192F">
        <w:rPr>
          <w:rFonts w:ascii="Cambria Math" w:hAnsi="Cambria Math"/>
          <w:sz w:val="24"/>
          <w:szCs w:val="24"/>
        </w:rPr>
        <w:t xml:space="preserve">Orthogonalized </w:t>
      </w:r>
      <w:r w:rsidR="00E80482" w:rsidRPr="0076192F">
        <w:rPr>
          <w:rFonts w:ascii="Cambria Math" w:hAnsi="Cambria Math"/>
          <w:sz w:val="24"/>
          <w:szCs w:val="24"/>
        </w:rPr>
        <w:t>I</w:t>
      </w:r>
      <w:r w:rsidR="000A1A9A" w:rsidRPr="0076192F">
        <w:rPr>
          <w:rFonts w:ascii="Cambria Math" w:hAnsi="Cambria Math"/>
          <w:sz w:val="24"/>
          <w:szCs w:val="24"/>
        </w:rPr>
        <w:t xml:space="preserve">mpulse </w:t>
      </w:r>
      <w:r w:rsidR="00E80482" w:rsidRPr="0076192F">
        <w:rPr>
          <w:rFonts w:ascii="Cambria Math" w:hAnsi="Cambria Math"/>
          <w:sz w:val="24"/>
          <w:szCs w:val="24"/>
        </w:rPr>
        <w:t>R</w:t>
      </w:r>
      <w:r w:rsidR="000A1A9A" w:rsidRPr="0076192F">
        <w:rPr>
          <w:rFonts w:ascii="Cambria Math" w:hAnsi="Cambria Math"/>
          <w:sz w:val="24"/>
          <w:szCs w:val="24"/>
        </w:rPr>
        <w:t xml:space="preserve">esponse </w:t>
      </w:r>
      <w:r w:rsidR="00E80482" w:rsidRPr="0076192F">
        <w:rPr>
          <w:rFonts w:ascii="Cambria Math" w:hAnsi="Cambria Math"/>
          <w:sz w:val="24"/>
          <w:szCs w:val="24"/>
        </w:rPr>
        <w:t>F</w:t>
      </w:r>
      <w:r w:rsidR="000A1A9A" w:rsidRPr="0076192F">
        <w:rPr>
          <w:rFonts w:ascii="Cambria Math" w:hAnsi="Cambria Math"/>
          <w:sz w:val="24"/>
          <w:szCs w:val="24"/>
        </w:rPr>
        <w:t xml:space="preserve">unctions </w:t>
      </w:r>
      <w:r w:rsidR="006B1F0F" w:rsidRPr="0076192F">
        <w:rPr>
          <w:rFonts w:ascii="Cambria Math" w:hAnsi="Cambria Math"/>
          <w:sz w:val="24"/>
          <w:szCs w:val="24"/>
        </w:rPr>
        <w:t>(OIRF</w:t>
      </w:r>
      <w:r w:rsidR="00B86E6F" w:rsidRPr="0076192F">
        <w:rPr>
          <w:rFonts w:ascii="Cambria Math" w:hAnsi="Cambria Math"/>
          <w:sz w:val="24"/>
          <w:szCs w:val="24"/>
        </w:rPr>
        <w:t>s</w:t>
      </w:r>
      <w:r w:rsidR="009A5BCF" w:rsidRPr="0076192F">
        <w:rPr>
          <w:rFonts w:ascii="Cambria Math" w:hAnsi="Cambria Math"/>
          <w:sz w:val="24"/>
          <w:szCs w:val="24"/>
        </w:rPr>
        <w:t>; where the underlying shocks to the model are orthogonalized using the Cholesky decomposition before calculating impulse responses</w:t>
      </w:r>
      <w:r w:rsidR="006B1F0F" w:rsidRPr="0076192F">
        <w:rPr>
          <w:rFonts w:ascii="Cambria Math" w:hAnsi="Cambria Math"/>
          <w:sz w:val="24"/>
          <w:szCs w:val="24"/>
        </w:rPr>
        <w:t>)</w:t>
      </w:r>
      <w:r w:rsidR="005D4746" w:rsidRPr="0076192F">
        <w:rPr>
          <w:rFonts w:ascii="Cambria Math" w:hAnsi="Cambria Math"/>
          <w:sz w:val="24"/>
          <w:szCs w:val="24"/>
        </w:rPr>
        <w:t>,</w:t>
      </w:r>
      <w:r w:rsidR="006B1F0F" w:rsidRPr="0076192F">
        <w:rPr>
          <w:rFonts w:ascii="Cambria Math" w:hAnsi="Cambria Math"/>
          <w:sz w:val="24"/>
          <w:szCs w:val="24"/>
        </w:rPr>
        <w:t xml:space="preserve"> </w:t>
      </w:r>
      <w:r w:rsidR="005D4746" w:rsidRPr="0076192F">
        <w:rPr>
          <w:rFonts w:ascii="Cambria Math" w:hAnsi="Cambria Math"/>
          <w:sz w:val="24"/>
          <w:szCs w:val="24"/>
        </w:rPr>
        <w:t>GIRFs</w:t>
      </w:r>
      <w:r w:rsidR="00FD0B56" w:rsidRPr="0076192F">
        <w:rPr>
          <w:rFonts w:ascii="Cambria Math" w:hAnsi="Cambria Math"/>
          <w:sz w:val="24"/>
          <w:szCs w:val="24"/>
        </w:rPr>
        <w:t xml:space="preserve"> </w:t>
      </w:r>
      <w:r w:rsidR="005D4746" w:rsidRPr="0076192F">
        <w:rPr>
          <w:rFonts w:ascii="Cambria Math" w:hAnsi="Cambria Math"/>
          <w:sz w:val="24"/>
          <w:szCs w:val="24"/>
        </w:rPr>
        <w:t xml:space="preserve">are </w:t>
      </w:r>
      <w:r w:rsidR="00FD0B56" w:rsidRPr="0076192F">
        <w:rPr>
          <w:rFonts w:ascii="Cambria Math" w:hAnsi="Cambria Math"/>
          <w:sz w:val="24"/>
          <w:szCs w:val="24"/>
        </w:rPr>
        <w:t>not affected by the ordering of the variables</w:t>
      </w:r>
      <w:r w:rsidR="005D4746" w:rsidRPr="0076192F">
        <w:rPr>
          <w:rFonts w:ascii="Cambria Math" w:hAnsi="Cambria Math"/>
          <w:sz w:val="24"/>
          <w:szCs w:val="24"/>
        </w:rPr>
        <w:t xml:space="preserve"> in the PVAR model</w:t>
      </w:r>
      <w:r w:rsidR="003775E8" w:rsidRPr="0076192F">
        <w:rPr>
          <w:rFonts w:ascii="Cambria Math" w:hAnsi="Cambria Math"/>
          <w:sz w:val="24"/>
          <w:szCs w:val="24"/>
        </w:rPr>
        <w:t xml:space="preserve"> and fully take account of the historical patterns of correlations observed amongst the different shocks.</w:t>
      </w:r>
      <w:r w:rsidR="00FD0B56" w:rsidRPr="0076192F">
        <w:rPr>
          <w:rFonts w:ascii="Cambria Math" w:hAnsi="Cambria Math"/>
          <w:sz w:val="24"/>
          <w:szCs w:val="24"/>
        </w:rPr>
        <w:t xml:space="preserve"> </w:t>
      </w:r>
      <w:r w:rsidR="00794B74" w:rsidRPr="0076192F">
        <w:rPr>
          <w:rFonts w:ascii="Cambria Math" w:hAnsi="Cambria Math"/>
          <w:sz w:val="24"/>
          <w:szCs w:val="24"/>
        </w:rPr>
        <w:t>The justification of GIRFs over OIRFs is twofold</w:t>
      </w:r>
      <w:r w:rsidR="001A3938" w:rsidRPr="0076192F">
        <w:rPr>
          <w:rFonts w:ascii="Cambria Math" w:hAnsi="Cambria Math"/>
          <w:sz w:val="24"/>
          <w:szCs w:val="24"/>
        </w:rPr>
        <w:t>.</w:t>
      </w:r>
      <w:r w:rsidR="00794B74" w:rsidRPr="0076192F">
        <w:rPr>
          <w:rFonts w:ascii="Cambria Math" w:hAnsi="Cambria Math"/>
          <w:sz w:val="24"/>
          <w:szCs w:val="24"/>
        </w:rPr>
        <w:t xml:space="preserve"> </w:t>
      </w:r>
      <w:r w:rsidR="001A3938" w:rsidRPr="0076192F">
        <w:rPr>
          <w:rFonts w:ascii="Cambria Math" w:hAnsi="Cambria Math"/>
          <w:sz w:val="24"/>
          <w:szCs w:val="24"/>
        </w:rPr>
        <w:t>First,</w:t>
      </w:r>
      <w:r w:rsidR="00794B74" w:rsidRPr="0076192F">
        <w:rPr>
          <w:rFonts w:ascii="Cambria Math" w:hAnsi="Cambria Math"/>
          <w:sz w:val="24"/>
          <w:szCs w:val="24"/>
        </w:rPr>
        <w:t xml:space="preserve"> the theoretical framework for this strand of </w:t>
      </w:r>
      <w:r w:rsidR="00053E51">
        <w:rPr>
          <w:rFonts w:ascii="Cambria Math" w:hAnsi="Cambria Math"/>
          <w:sz w:val="24"/>
          <w:szCs w:val="24"/>
        </w:rPr>
        <w:t xml:space="preserve">the </w:t>
      </w:r>
      <w:r w:rsidR="00794B74" w:rsidRPr="0076192F">
        <w:rPr>
          <w:rFonts w:ascii="Cambria Math" w:hAnsi="Cambria Math"/>
          <w:sz w:val="24"/>
          <w:szCs w:val="24"/>
        </w:rPr>
        <w:t>empirical literature is limited at best</w:t>
      </w:r>
      <w:r w:rsidR="0031687E" w:rsidRPr="0076192F">
        <w:rPr>
          <w:rStyle w:val="FootnoteReference"/>
          <w:rFonts w:ascii="Cambria Math" w:hAnsi="Cambria Math"/>
          <w:sz w:val="24"/>
          <w:szCs w:val="24"/>
        </w:rPr>
        <w:footnoteReference w:id="18"/>
      </w:r>
      <w:r w:rsidR="00794B74" w:rsidRPr="0076192F">
        <w:rPr>
          <w:rFonts w:ascii="Cambria Math" w:hAnsi="Cambria Math"/>
          <w:sz w:val="24"/>
          <w:szCs w:val="24"/>
        </w:rPr>
        <w:t xml:space="preserve"> and</w:t>
      </w:r>
      <w:r w:rsidR="001A3938" w:rsidRPr="0076192F">
        <w:rPr>
          <w:rFonts w:ascii="Cambria Math" w:hAnsi="Cambria Math"/>
          <w:sz w:val="24"/>
          <w:szCs w:val="24"/>
        </w:rPr>
        <w:t>,</w:t>
      </w:r>
      <w:r w:rsidR="00794B74" w:rsidRPr="0076192F">
        <w:rPr>
          <w:rFonts w:ascii="Cambria Math" w:hAnsi="Cambria Math"/>
          <w:sz w:val="24"/>
          <w:szCs w:val="24"/>
        </w:rPr>
        <w:t xml:space="preserve"> </w:t>
      </w:r>
      <w:r w:rsidR="001A3938" w:rsidRPr="0076192F">
        <w:rPr>
          <w:rFonts w:ascii="Cambria Math" w:hAnsi="Cambria Math"/>
          <w:sz w:val="24"/>
          <w:szCs w:val="24"/>
        </w:rPr>
        <w:t>second,</w:t>
      </w:r>
      <w:r w:rsidR="00794B74" w:rsidRPr="0076192F">
        <w:rPr>
          <w:rFonts w:ascii="Cambria Math" w:hAnsi="Cambria Math"/>
          <w:sz w:val="24"/>
          <w:szCs w:val="24"/>
        </w:rPr>
        <w:t xml:space="preserve"> the large number of variables we employ makes an appropriate ordering almost impossible</w:t>
      </w:r>
      <w:r w:rsidR="00AF0EBD" w:rsidRPr="0076192F">
        <w:rPr>
          <w:rFonts w:ascii="Cambria Math" w:hAnsi="Cambria Math"/>
          <w:sz w:val="24"/>
          <w:szCs w:val="24"/>
        </w:rPr>
        <w:t>.</w:t>
      </w:r>
      <w:r w:rsidR="00C52006" w:rsidRPr="0076192F">
        <w:rPr>
          <w:rStyle w:val="FootnoteReference"/>
          <w:rFonts w:ascii="Cambria Math" w:hAnsi="Cambria Math"/>
          <w:sz w:val="24"/>
          <w:szCs w:val="24"/>
        </w:rPr>
        <w:footnoteReference w:id="19"/>
      </w:r>
      <w:r w:rsidR="00AF0EBD" w:rsidRPr="0076192F">
        <w:rPr>
          <w:rFonts w:ascii="Cambria Math" w:hAnsi="Cambria Math"/>
          <w:sz w:val="24"/>
          <w:szCs w:val="24"/>
        </w:rPr>
        <w:t xml:space="preserve"> </w:t>
      </w:r>
      <w:r w:rsidR="004A538C" w:rsidRPr="0076192F">
        <w:rPr>
          <w:rFonts w:ascii="Cambria Math" w:hAnsi="Cambria Math"/>
          <w:sz w:val="24"/>
          <w:szCs w:val="24"/>
        </w:rPr>
        <w:t>In what follows</w:t>
      </w:r>
      <w:r w:rsidR="001A3938" w:rsidRPr="0076192F">
        <w:rPr>
          <w:rFonts w:ascii="Cambria Math" w:hAnsi="Cambria Math"/>
          <w:sz w:val="24"/>
          <w:szCs w:val="24"/>
        </w:rPr>
        <w:t>,</w:t>
      </w:r>
      <w:r w:rsidR="000A2E12" w:rsidRPr="0076192F">
        <w:rPr>
          <w:rFonts w:ascii="Cambria Math" w:hAnsi="Cambria Math"/>
          <w:sz w:val="24"/>
          <w:szCs w:val="24"/>
        </w:rPr>
        <w:t xml:space="preserve"> </w:t>
      </w:r>
      <w:r w:rsidR="004A538C" w:rsidRPr="0076192F">
        <w:rPr>
          <w:rFonts w:ascii="Cambria Math" w:hAnsi="Cambria Math"/>
          <w:sz w:val="24"/>
          <w:szCs w:val="24"/>
        </w:rPr>
        <w:t xml:space="preserve">we report </w:t>
      </w:r>
      <w:r w:rsidR="000A1A9A" w:rsidRPr="0076192F">
        <w:rPr>
          <w:rFonts w:ascii="Cambria Math" w:hAnsi="Cambria Math"/>
          <w:sz w:val="24"/>
          <w:szCs w:val="24"/>
        </w:rPr>
        <w:t>GIRFs</w:t>
      </w:r>
      <w:r w:rsidR="004A538C" w:rsidRPr="0076192F">
        <w:rPr>
          <w:rFonts w:ascii="Cambria Math" w:hAnsi="Cambria Math"/>
          <w:sz w:val="24"/>
          <w:szCs w:val="24"/>
        </w:rPr>
        <w:t xml:space="preserve"> with </w:t>
      </w:r>
      <w:r w:rsidR="00364D81" w:rsidRPr="0076192F">
        <w:rPr>
          <w:rFonts w:ascii="Cambria Math" w:hAnsi="Cambria Math"/>
          <w:sz w:val="24"/>
          <w:szCs w:val="24"/>
        </w:rPr>
        <w:t xml:space="preserve">95% </w:t>
      </w:r>
      <w:r w:rsidR="000A4036" w:rsidRPr="0076192F">
        <w:rPr>
          <w:rFonts w:ascii="Cambria Math" w:hAnsi="Cambria Math"/>
          <w:sz w:val="24"/>
          <w:szCs w:val="24"/>
        </w:rPr>
        <w:t xml:space="preserve">confidence </w:t>
      </w:r>
      <w:r w:rsidR="004A538C" w:rsidRPr="0076192F">
        <w:rPr>
          <w:rFonts w:ascii="Cambria Math" w:hAnsi="Cambria Math"/>
          <w:sz w:val="24"/>
          <w:szCs w:val="24"/>
        </w:rPr>
        <w:t>i</w:t>
      </w:r>
      <w:r w:rsidR="000A4036" w:rsidRPr="0076192F">
        <w:rPr>
          <w:rFonts w:ascii="Cambria Math" w:hAnsi="Cambria Math"/>
          <w:sz w:val="24"/>
          <w:szCs w:val="24"/>
        </w:rPr>
        <w:t xml:space="preserve">ntervals estimated using </w:t>
      </w:r>
      <w:r w:rsidR="007A6A92" w:rsidRPr="0076192F">
        <w:rPr>
          <w:rFonts w:ascii="Cambria Math" w:hAnsi="Cambria Math"/>
          <w:sz w:val="24"/>
          <w:szCs w:val="24"/>
        </w:rPr>
        <w:t>b</w:t>
      </w:r>
      <w:r w:rsidR="00CE2A3E" w:rsidRPr="0076192F">
        <w:rPr>
          <w:rFonts w:ascii="Cambria Math" w:hAnsi="Cambria Math"/>
          <w:sz w:val="24"/>
          <w:szCs w:val="24"/>
        </w:rPr>
        <w:t>ootstrap</w:t>
      </w:r>
      <w:r w:rsidR="000A4036" w:rsidRPr="0076192F">
        <w:rPr>
          <w:rFonts w:ascii="Cambria Math" w:hAnsi="Cambria Math"/>
          <w:sz w:val="24"/>
          <w:szCs w:val="24"/>
        </w:rPr>
        <w:t xml:space="preserve"> </w:t>
      </w:r>
      <w:r w:rsidR="00CE2A3E" w:rsidRPr="0076192F">
        <w:rPr>
          <w:rFonts w:ascii="Cambria Math" w:hAnsi="Cambria Math"/>
          <w:sz w:val="24"/>
          <w:szCs w:val="24"/>
        </w:rPr>
        <w:t>cross-sectional resampling</w:t>
      </w:r>
      <w:r w:rsidR="004A538C" w:rsidRPr="0076192F">
        <w:rPr>
          <w:rFonts w:ascii="Cambria Math" w:hAnsi="Cambria Math"/>
          <w:sz w:val="24"/>
          <w:szCs w:val="24"/>
        </w:rPr>
        <w:t xml:space="preserve"> (Kapetanios, 2008)</w:t>
      </w:r>
      <w:r w:rsidR="00CE2A3E" w:rsidRPr="0076192F">
        <w:rPr>
          <w:rFonts w:ascii="Cambria Math" w:hAnsi="Cambria Math"/>
          <w:sz w:val="24"/>
          <w:szCs w:val="24"/>
        </w:rPr>
        <w:t>.</w:t>
      </w:r>
      <w:r w:rsidR="000744B2" w:rsidRPr="0076192F">
        <w:rPr>
          <w:rStyle w:val="FootnoteReference"/>
          <w:rFonts w:ascii="Cambria Math" w:hAnsi="Cambria Math"/>
          <w:sz w:val="24"/>
          <w:szCs w:val="24"/>
        </w:rPr>
        <w:footnoteReference w:id="20"/>
      </w:r>
      <w:r w:rsidR="00CE2A3E" w:rsidRPr="0076192F">
        <w:rPr>
          <w:rFonts w:ascii="Cambria Math" w:hAnsi="Cambria Math"/>
          <w:sz w:val="24"/>
          <w:szCs w:val="24"/>
        </w:rPr>
        <w:t xml:space="preserve"> </w:t>
      </w:r>
    </w:p>
    <w:p w14:paraId="1050F0DA" w14:textId="020B27C4" w:rsidR="0076192F" w:rsidRDefault="0076192F">
      <w:pPr>
        <w:rPr>
          <w:rFonts w:ascii="Cambria Math" w:hAnsi="Cambria Math"/>
          <w:sz w:val="24"/>
          <w:szCs w:val="24"/>
        </w:rPr>
      </w:pPr>
    </w:p>
    <w:p w14:paraId="0492E29C" w14:textId="4A3C4BA3" w:rsidR="003F362A" w:rsidRPr="0076192F" w:rsidRDefault="00483DE0" w:rsidP="00483DE0">
      <w:pPr>
        <w:rPr>
          <w:rFonts w:ascii="Cambria Math" w:hAnsi="Cambria Math"/>
          <w:sz w:val="24"/>
          <w:szCs w:val="24"/>
        </w:rPr>
      </w:pPr>
      <w:r w:rsidRPr="0076192F">
        <w:rPr>
          <w:rFonts w:ascii="Cambria Math" w:hAnsi="Cambria Math"/>
          <w:b/>
          <w:sz w:val="24"/>
          <w:szCs w:val="24"/>
        </w:rPr>
        <w:t xml:space="preserve">4. </w:t>
      </w:r>
      <w:r w:rsidR="005B6958" w:rsidRPr="0076192F">
        <w:rPr>
          <w:rFonts w:ascii="Cambria Math" w:hAnsi="Cambria Math"/>
          <w:b/>
          <w:sz w:val="24"/>
          <w:szCs w:val="24"/>
        </w:rPr>
        <w:t>Empirical r</w:t>
      </w:r>
      <w:r w:rsidR="003F362A" w:rsidRPr="0076192F">
        <w:rPr>
          <w:rFonts w:ascii="Cambria Math" w:hAnsi="Cambria Math"/>
          <w:b/>
          <w:sz w:val="24"/>
          <w:szCs w:val="24"/>
        </w:rPr>
        <w:t>esults</w:t>
      </w:r>
    </w:p>
    <w:p w14:paraId="5BCD43DB" w14:textId="2FABAC2C" w:rsidR="001C465E" w:rsidRPr="0076192F" w:rsidRDefault="001C465E" w:rsidP="00950FB5">
      <w:pPr>
        <w:jc w:val="both"/>
        <w:rPr>
          <w:rFonts w:ascii="Cambria Math" w:hAnsi="Cambria Math"/>
          <w:b/>
          <w:sz w:val="24"/>
          <w:szCs w:val="24"/>
        </w:rPr>
      </w:pPr>
      <w:r w:rsidRPr="0076192F">
        <w:rPr>
          <w:rFonts w:ascii="Cambria Math" w:hAnsi="Cambria Math"/>
          <w:b/>
          <w:sz w:val="24"/>
          <w:szCs w:val="24"/>
        </w:rPr>
        <w:t>4.1</w:t>
      </w:r>
      <w:r w:rsidR="00827DAC">
        <w:rPr>
          <w:rFonts w:ascii="Cambria Math" w:hAnsi="Cambria Math"/>
          <w:b/>
          <w:sz w:val="24"/>
          <w:szCs w:val="24"/>
        </w:rPr>
        <w:t>.</w:t>
      </w:r>
      <w:r w:rsidRPr="0076192F">
        <w:rPr>
          <w:rFonts w:ascii="Cambria Math" w:hAnsi="Cambria Math"/>
          <w:b/>
          <w:sz w:val="24"/>
          <w:szCs w:val="24"/>
        </w:rPr>
        <w:t xml:space="preserve"> Main estimates</w:t>
      </w:r>
    </w:p>
    <w:p w14:paraId="066D524C" w14:textId="37E21C35" w:rsidR="000211D8" w:rsidRPr="0076192F" w:rsidRDefault="00FD0B56" w:rsidP="00950FB5">
      <w:pPr>
        <w:jc w:val="both"/>
        <w:rPr>
          <w:rFonts w:ascii="Cambria Math" w:hAnsi="Cambria Math"/>
          <w:sz w:val="24"/>
          <w:szCs w:val="24"/>
        </w:rPr>
      </w:pPr>
      <w:r w:rsidRPr="0076192F">
        <w:rPr>
          <w:rFonts w:ascii="Cambria Math" w:hAnsi="Cambria Math"/>
          <w:sz w:val="24"/>
          <w:szCs w:val="24"/>
        </w:rPr>
        <w:t xml:space="preserve">We </w:t>
      </w:r>
      <w:r w:rsidR="00B86E6F" w:rsidRPr="0076192F">
        <w:rPr>
          <w:rFonts w:ascii="Cambria Math" w:hAnsi="Cambria Math"/>
          <w:sz w:val="24"/>
          <w:szCs w:val="24"/>
        </w:rPr>
        <w:t>calculate</w:t>
      </w:r>
      <w:r w:rsidRPr="0076192F">
        <w:rPr>
          <w:rFonts w:ascii="Cambria Math" w:hAnsi="Cambria Math"/>
          <w:sz w:val="24"/>
          <w:szCs w:val="24"/>
        </w:rPr>
        <w:t xml:space="preserve"> </w:t>
      </w:r>
      <w:r w:rsidR="00D33BB1" w:rsidRPr="0076192F">
        <w:rPr>
          <w:rFonts w:ascii="Cambria Math" w:hAnsi="Cambria Math"/>
          <w:sz w:val="24"/>
          <w:szCs w:val="24"/>
        </w:rPr>
        <w:t xml:space="preserve">and report </w:t>
      </w:r>
      <w:r w:rsidRPr="0076192F">
        <w:rPr>
          <w:rFonts w:ascii="Cambria Math" w:hAnsi="Cambria Math"/>
          <w:sz w:val="24"/>
          <w:szCs w:val="24"/>
        </w:rPr>
        <w:t>GIRF</w:t>
      </w:r>
      <w:r w:rsidR="00695A5F" w:rsidRPr="0076192F">
        <w:rPr>
          <w:rFonts w:ascii="Cambria Math" w:hAnsi="Cambria Math"/>
          <w:sz w:val="24"/>
          <w:szCs w:val="24"/>
        </w:rPr>
        <w:t xml:space="preserve">s </w:t>
      </w:r>
      <w:r w:rsidR="00B4529B" w:rsidRPr="0076192F">
        <w:rPr>
          <w:rFonts w:ascii="Cambria Math" w:hAnsi="Cambria Math"/>
          <w:sz w:val="24"/>
          <w:szCs w:val="24"/>
        </w:rPr>
        <w:t>to one standard error shock</w:t>
      </w:r>
      <w:r w:rsidR="00C63F08" w:rsidRPr="0076192F">
        <w:rPr>
          <w:rFonts w:ascii="Cambria Math" w:hAnsi="Cambria Math"/>
          <w:sz w:val="24"/>
          <w:szCs w:val="24"/>
        </w:rPr>
        <w:t>s</w:t>
      </w:r>
      <w:r w:rsidR="00B4529B" w:rsidRPr="0076192F">
        <w:rPr>
          <w:rFonts w:ascii="Cambria Math" w:hAnsi="Cambria Math"/>
          <w:sz w:val="24"/>
          <w:szCs w:val="24"/>
        </w:rPr>
        <w:t xml:space="preserve"> </w:t>
      </w:r>
      <w:r w:rsidR="00D2511E" w:rsidRPr="0076192F">
        <w:rPr>
          <w:rFonts w:ascii="Cambria Math" w:hAnsi="Cambria Math"/>
          <w:sz w:val="24"/>
          <w:szCs w:val="24"/>
        </w:rPr>
        <w:t xml:space="preserve">for all </w:t>
      </w:r>
      <w:r w:rsidRPr="0076192F">
        <w:rPr>
          <w:rFonts w:ascii="Cambria Math" w:hAnsi="Cambria Math"/>
          <w:sz w:val="24"/>
          <w:szCs w:val="24"/>
        </w:rPr>
        <w:t xml:space="preserve">CRAs </w:t>
      </w:r>
      <w:r w:rsidR="00D33BB1" w:rsidRPr="0076192F">
        <w:rPr>
          <w:rFonts w:ascii="Cambria Math" w:hAnsi="Cambria Math"/>
          <w:sz w:val="24"/>
          <w:szCs w:val="24"/>
        </w:rPr>
        <w:t xml:space="preserve">based on the </w:t>
      </w:r>
      <w:r w:rsidRPr="0076192F">
        <w:rPr>
          <w:rFonts w:ascii="Cambria Math" w:hAnsi="Cambria Math"/>
          <w:sz w:val="24"/>
          <w:szCs w:val="24"/>
        </w:rPr>
        <w:t>first differenc</w:t>
      </w:r>
      <w:r w:rsidR="00D33BB1" w:rsidRPr="0076192F">
        <w:rPr>
          <w:rFonts w:ascii="Cambria Math" w:hAnsi="Cambria Math"/>
          <w:sz w:val="24"/>
          <w:szCs w:val="24"/>
        </w:rPr>
        <w:t>e</w:t>
      </w:r>
      <w:r w:rsidRPr="0076192F">
        <w:rPr>
          <w:rFonts w:ascii="Cambria Math" w:hAnsi="Cambria Math"/>
          <w:sz w:val="24"/>
          <w:szCs w:val="24"/>
        </w:rPr>
        <w:t xml:space="preserve"> </w:t>
      </w:r>
      <w:r w:rsidR="00D33BB1" w:rsidRPr="0076192F">
        <w:rPr>
          <w:rFonts w:ascii="Cambria Math" w:hAnsi="Cambria Math"/>
          <w:sz w:val="24"/>
          <w:szCs w:val="24"/>
        </w:rPr>
        <w:t xml:space="preserve">transformation </w:t>
      </w:r>
      <w:r w:rsidR="00BC377B">
        <w:rPr>
          <w:rFonts w:ascii="Cambria Math" w:hAnsi="Cambria Math"/>
          <w:sz w:val="24"/>
          <w:szCs w:val="24"/>
        </w:rPr>
        <w:t>(stability</w:t>
      </w:r>
      <w:r w:rsidR="009D090A" w:rsidRPr="0076192F">
        <w:rPr>
          <w:rFonts w:ascii="Cambria Math" w:hAnsi="Cambria Math"/>
          <w:sz w:val="24"/>
          <w:szCs w:val="24"/>
        </w:rPr>
        <w:t xml:space="preserve"> condition is satisfied </w:t>
      </w:r>
      <w:r w:rsidR="00B86E6F" w:rsidRPr="0076192F">
        <w:rPr>
          <w:rFonts w:ascii="Cambria Math" w:hAnsi="Cambria Math"/>
          <w:sz w:val="24"/>
          <w:szCs w:val="24"/>
        </w:rPr>
        <w:t>in</w:t>
      </w:r>
      <w:r w:rsidR="009D090A" w:rsidRPr="0076192F">
        <w:rPr>
          <w:rFonts w:ascii="Cambria Math" w:hAnsi="Cambria Math"/>
          <w:sz w:val="24"/>
          <w:szCs w:val="24"/>
        </w:rPr>
        <w:t xml:space="preserve"> </w:t>
      </w:r>
      <w:r w:rsidR="00B7234B">
        <w:rPr>
          <w:rFonts w:ascii="Cambria Math" w:hAnsi="Cambria Math"/>
          <w:sz w:val="24"/>
          <w:szCs w:val="24"/>
        </w:rPr>
        <w:t>all</w:t>
      </w:r>
      <w:r w:rsidR="00B86E6F" w:rsidRPr="0076192F">
        <w:rPr>
          <w:rFonts w:ascii="Cambria Math" w:hAnsi="Cambria Math"/>
          <w:sz w:val="24"/>
          <w:szCs w:val="24"/>
        </w:rPr>
        <w:t xml:space="preserve"> </w:t>
      </w:r>
      <w:r w:rsidR="009D090A" w:rsidRPr="0076192F">
        <w:rPr>
          <w:rFonts w:ascii="Cambria Math" w:hAnsi="Cambria Math"/>
          <w:sz w:val="24"/>
          <w:szCs w:val="24"/>
        </w:rPr>
        <w:t>cases</w:t>
      </w:r>
      <w:r w:rsidR="00B86E6F" w:rsidRPr="0076192F">
        <w:rPr>
          <w:rFonts w:ascii="Cambria Math" w:hAnsi="Cambria Math"/>
          <w:sz w:val="24"/>
          <w:szCs w:val="24"/>
        </w:rPr>
        <w:t>).</w:t>
      </w:r>
      <w:r w:rsidR="00950FB5" w:rsidRPr="0076192F">
        <w:rPr>
          <w:rFonts w:ascii="Cambria Math" w:hAnsi="Cambria Math"/>
          <w:sz w:val="24"/>
          <w:szCs w:val="24"/>
        </w:rPr>
        <w:t xml:space="preserve"> </w:t>
      </w:r>
      <w:r w:rsidR="005440B3" w:rsidRPr="0076192F">
        <w:rPr>
          <w:rFonts w:ascii="Cambria Math" w:hAnsi="Cambria Math"/>
          <w:sz w:val="24"/>
          <w:szCs w:val="24"/>
        </w:rPr>
        <w:t xml:space="preserve">Figures </w:t>
      </w:r>
      <w:r w:rsidR="005B03E5">
        <w:rPr>
          <w:rFonts w:ascii="Cambria Math" w:hAnsi="Cambria Math"/>
          <w:sz w:val="24"/>
          <w:szCs w:val="24"/>
        </w:rPr>
        <w:t>1</w:t>
      </w:r>
      <w:r w:rsidR="005440B3" w:rsidRPr="0076192F">
        <w:rPr>
          <w:rFonts w:ascii="Cambria Math" w:hAnsi="Cambria Math"/>
          <w:sz w:val="24"/>
          <w:szCs w:val="24"/>
        </w:rPr>
        <w:t xml:space="preserve"> to </w:t>
      </w:r>
      <w:r w:rsidR="005B03E5">
        <w:rPr>
          <w:rFonts w:ascii="Cambria Math" w:hAnsi="Cambria Math"/>
          <w:sz w:val="24"/>
          <w:szCs w:val="24"/>
        </w:rPr>
        <w:t>3</w:t>
      </w:r>
      <w:r w:rsidR="005440B3" w:rsidRPr="0076192F">
        <w:rPr>
          <w:rFonts w:ascii="Cambria Math" w:hAnsi="Cambria Math"/>
          <w:sz w:val="24"/>
          <w:szCs w:val="24"/>
        </w:rPr>
        <w:t xml:space="preserve"> </w:t>
      </w:r>
      <w:r w:rsidR="00D33BB1" w:rsidRPr="0076192F">
        <w:rPr>
          <w:rFonts w:ascii="Cambria Math" w:hAnsi="Cambria Math"/>
          <w:sz w:val="24"/>
          <w:szCs w:val="24"/>
        </w:rPr>
        <w:t xml:space="preserve">report </w:t>
      </w:r>
      <w:r w:rsidR="005440B3" w:rsidRPr="0076192F">
        <w:rPr>
          <w:rFonts w:ascii="Cambria Math" w:hAnsi="Cambria Math"/>
          <w:sz w:val="24"/>
          <w:szCs w:val="24"/>
        </w:rPr>
        <w:t xml:space="preserve">GIRFs for </w:t>
      </w:r>
      <w:r w:rsidR="00D33BB1" w:rsidRPr="0076192F">
        <w:rPr>
          <w:rFonts w:ascii="Cambria Math" w:hAnsi="Cambria Math"/>
          <w:sz w:val="24"/>
          <w:szCs w:val="24"/>
        </w:rPr>
        <w:t xml:space="preserve">the three CRAs </w:t>
      </w:r>
      <w:r w:rsidR="001652CB" w:rsidRPr="0076192F">
        <w:rPr>
          <w:rFonts w:ascii="Cambria Math" w:hAnsi="Cambria Math"/>
          <w:sz w:val="24"/>
          <w:szCs w:val="24"/>
        </w:rPr>
        <w:t xml:space="preserve">using the first difference transformation. </w:t>
      </w:r>
    </w:p>
    <w:p w14:paraId="44A4FCFF" w14:textId="5334E770" w:rsidR="00C843B8" w:rsidRPr="0076192F" w:rsidRDefault="00A721FB" w:rsidP="00C843B8">
      <w:pPr>
        <w:jc w:val="both"/>
        <w:rPr>
          <w:rFonts w:ascii="Cambria Math" w:hAnsi="Cambria Math"/>
          <w:sz w:val="24"/>
          <w:szCs w:val="24"/>
        </w:rPr>
      </w:pPr>
      <w:r w:rsidRPr="0076192F">
        <w:rPr>
          <w:rFonts w:ascii="Cambria Math" w:hAnsi="Cambria Math"/>
          <w:sz w:val="24"/>
          <w:szCs w:val="24"/>
        </w:rPr>
        <w:t xml:space="preserve">An </w:t>
      </w:r>
      <w:r w:rsidR="00F764CC" w:rsidRPr="0076192F">
        <w:rPr>
          <w:rFonts w:ascii="Cambria Math" w:hAnsi="Cambria Math"/>
          <w:sz w:val="24"/>
          <w:szCs w:val="24"/>
        </w:rPr>
        <w:t>u</w:t>
      </w:r>
      <w:r w:rsidR="002C7A43" w:rsidRPr="0076192F">
        <w:rPr>
          <w:rFonts w:ascii="Cambria Math" w:hAnsi="Cambria Math"/>
          <w:sz w:val="24"/>
          <w:szCs w:val="24"/>
        </w:rPr>
        <w:t>ncertainty</w:t>
      </w:r>
      <w:r w:rsidR="00F235AE" w:rsidRPr="0076192F">
        <w:rPr>
          <w:rFonts w:ascii="Cambria Math" w:hAnsi="Cambria Math"/>
          <w:sz w:val="24"/>
          <w:szCs w:val="24"/>
        </w:rPr>
        <w:t xml:space="preserve"> </w:t>
      </w:r>
      <w:r w:rsidR="001317D7" w:rsidRPr="0076192F">
        <w:rPr>
          <w:rFonts w:ascii="Cambria Math" w:hAnsi="Cambria Math"/>
          <w:sz w:val="24"/>
          <w:szCs w:val="24"/>
        </w:rPr>
        <w:t xml:space="preserve">shock impacts negatively </w:t>
      </w:r>
      <w:r w:rsidR="00F235AE" w:rsidRPr="0076192F">
        <w:rPr>
          <w:rFonts w:ascii="Cambria Math" w:hAnsi="Cambria Math"/>
          <w:sz w:val="24"/>
          <w:szCs w:val="24"/>
        </w:rPr>
        <w:t xml:space="preserve">on </w:t>
      </w:r>
      <w:r w:rsidR="00E83C49" w:rsidRPr="0076192F">
        <w:rPr>
          <w:rFonts w:ascii="Cambria Math" w:hAnsi="Cambria Math"/>
          <w:sz w:val="24"/>
          <w:szCs w:val="24"/>
        </w:rPr>
        <w:t xml:space="preserve">the </w:t>
      </w:r>
      <w:r w:rsidR="00F235AE" w:rsidRPr="0076192F">
        <w:rPr>
          <w:rFonts w:ascii="Cambria Math" w:hAnsi="Cambria Math"/>
          <w:sz w:val="24"/>
          <w:szCs w:val="24"/>
        </w:rPr>
        <w:t xml:space="preserve">sovereign ratings </w:t>
      </w:r>
      <w:r w:rsidR="00E83C49" w:rsidRPr="0076192F">
        <w:rPr>
          <w:rFonts w:ascii="Cambria Math" w:hAnsi="Cambria Math"/>
          <w:sz w:val="24"/>
          <w:szCs w:val="24"/>
        </w:rPr>
        <w:t>assigned by all CRAs</w:t>
      </w:r>
      <w:r w:rsidRPr="0076192F">
        <w:rPr>
          <w:rFonts w:ascii="Cambria Math" w:hAnsi="Cambria Math"/>
          <w:sz w:val="24"/>
          <w:szCs w:val="24"/>
        </w:rPr>
        <w:t>; t</w:t>
      </w:r>
      <w:r w:rsidR="00E83C49" w:rsidRPr="0076192F">
        <w:rPr>
          <w:rFonts w:ascii="Cambria Math" w:hAnsi="Cambria Math"/>
          <w:sz w:val="24"/>
          <w:szCs w:val="24"/>
        </w:rPr>
        <w:t xml:space="preserve">he impact </w:t>
      </w:r>
      <w:r w:rsidR="002C7A43" w:rsidRPr="0076192F">
        <w:rPr>
          <w:rFonts w:ascii="Cambria Math" w:hAnsi="Cambria Math"/>
          <w:sz w:val="24"/>
          <w:szCs w:val="24"/>
        </w:rPr>
        <w:t xml:space="preserve">is statistically significant </w:t>
      </w:r>
      <w:r w:rsidR="00E83C49" w:rsidRPr="0076192F">
        <w:rPr>
          <w:rFonts w:ascii="Cambria Math" w:hAnsi="Cambria Math"/>
          <w:sz w:val="24"/>
          <w:szCs w:val="24"/>
        </w:rPr>
        <w:t>for all CRAs</w:t>
      </w:r>
      <w:r w:rsidR="007A6C0E">
        <w:rPr>
          <w:rFonts w:ascii="Cambria Math" w:hAnsi="Cambria Math"/>
          <w:sz w:val="24"/>
          <w:szCs w:val="24"/>
        </w:rPr>
        <w:t xml:space="preserve"> dies out after 2 years for S&amp;P’s and Fitch but it is long lasting for Moody’s</w:t>
      </w:r>
      <w:r w:rsidR="00E83C49" w:rsidRPr="0076192F">
        <w:rPr>
          <w:rFonts w:ascii="Cambria Math" w:hAnsi="Cambria Math"/>
          <w:sz w:val="24"/>
          <w:szCs w:val="24"/>
        </w:rPr>
        <w:t xml:space="preserve">. </w:t>
      </w:r>
      <w:r w:rsidRPr="0076192F">
        <w:rPr>
          <w:rFonts w:ascii="Cambria Math" w:hAnsi="Cambria Math"/>
          <w:sz w:val="24"/>
          <w:szCs w:val="24"/>
        </w:rPr>
        <w:t>A positive GDP growth rate shock impacts positively on CRA decisions;</w:t>
      </w:r>
      <w:r w:rsidR="00A673D2">
        <w:rPr>
          <w:rFonts w:ascii="Cambria Math" w:hAnsi="Cambria Math"/>
          <w:sz w:val="24"/>
          <w:szCs w:val="24"/>
        </w:rPr>
        <w:t xml:space="preserve"> the effects last for al</w:t>
      </w:r>
      <w:r w:rsidR="007A6C0E">
        <w:rPr>
          <w:rFonts w:ascii="Cambria Math" w:hAnsi="Cambria Math"/>
          <w:sz w:val="24"/>
          <w:szCs w:val="24"/>
        </w:rPr>
        <w:t>most 6</w:t>
      </w:r>
      <w:r w:rsidR="00A673D2">
        <w:rPr>
          <w:rFonts w:ascii="Cambria Math" w:hAnsi="Cambria Math"/>
          <w:sz w:val="24"/>
          <w:szCs w:val="24"/>
        </w:rPr>
        <w:t xml:space="preserve"> years for Moody’s and for 5 years for S&amp;P’s and Fitch. </w:t>
      </w:r>
      <w:r w:rsidR="00C843B8" w:rsidRPr="0076192F">
        <w:rPr>
          <w:rFonts w:ascii="Cambria Math" w:hAnsi="Cambria Math"/>
          <w:sz w:val="24"/>
          <w:szCs w:val="24"/>
        </w:rPr>
        <w:t xml:space="preserve">A positive investment shock leads to sovereign </w:t>
      </w:r>
      <w:r w:rsidR="00322449" w:rsidRPr="0076192F">
        <w:rPr>
          <w:rFonts w:ascii="Cambria Math" w:hAnsi="Cambria Math"/>
          <w:sz w:val="24"/>
          <w:szCs w:val="24"/>
        </w:rPr>
        <w:t xml:space="preserve">rating </w:t>
      </w:r>
      <w:r w:rsidR="00A673D2">
        <w:rPr>
          <w:rFonts w:ascii="Cambria Math" w:hAnsi="Cambria Math"/>
          <w:sz w:val="24"/>
          <w:szCs w:val="24"/>
        </w:rPr>
        <w:t xml:space="preserve">upgrades. </w:t>
      </w:r>
      <w:r w:rsidR="00437E12">
        <w:rPr>
          <w:rFonts w:ascii="Cambria Math" w:hAnsi="Cambria Math"/>
          <w:sz w:val="24"/>
          <w:szCs w:val="24"/>
        </w:rPr>
        <w:t xml:space="preserve">The </w:t>
      </w:r>
      <w:r w:rsidR="00A673D2">
        <w:rPr>
          <w:rFonts w:ascii="Cambria Math" w:hAnsi="Cambria Math"/>
          <w:sz w:val="24"/>
          <w:szCs w:val="24"/>
        </w:rPr>
        <w:t xml:space="preserve">duration </w:t>
      </w:r>
      <w:r w:rsidR="00A673D2">
        <w:rPr>
          <w:rFonts w:ascii="Cambria Math" w:hAnsi="Cambria Math"/>
          <w:sz w:val="24"/>
          <w:szCs w:val="24"/>
        </w:rPr>
        <w:lastRenderedPageBreak/>
        <w:t>of the effect varies from 5 years for Moody’</w:t>
      </w:r>
      <w:r w:rsidR="00437E12">
        <w:rPr>
          <w:rFonts w:ascii="Cambria Math" w:hAnsi="Cambria Math"/>
          <w:sz w:val="24"/>
          <w:szCs w:val="24"/>
        </w:rPr>
        <w:t>s to 3 years for</w:t>
      </w:r>
      <w:r w:rsidR="00185116">
        <w:rPr>
          <w:rFonts w:ascii="Cambria Math" w:hAnsi="Cambria Math"/>
          <w:sz w:val="24"/>
          <w:szCs w:val="24"/>
        </w:rPr>
        <w:t xml:space="preserve"> S&amp;P’s and to 2</w:t>
      </w:r>
      <w:r w:rsidR="00A673D2">
        <w:rPr>
          <w:rFonts w:ascii="Cambria Math" w:hAnsi="Cambria Math"/>
          <w:sz w:val="24"/>
          <w:szCs w:val="24"/>
        </w:rPr>
        <w:t xml:space="preserve"> year</w:t>
      </w:r>
      <w:r w:rsidR="00185116">
        <w:rPr>
          <w:rFonts w:ascii="Cambria Math" w:hAnsi="Cambria Math"/>
          <w:sz w:val="24"/>
          <w:szCs w:val="24"/>
        </w:rPr>
        <w:t>s</w:t>
      </w:r>
      <w:r w:rsidR="00A673D2">
        <w:rPr>
          <w:rFonts w:ascii="Cambria Math" w:hAnsi="Cambria Math"/>
          <w:sz w:val="24"/>
          <w:szCs w:val="24"/>
        </w:rPr>
        <w:t xml:space="preserve"> for Fitch. </w:t>
      </w:r>
      <w:r w:rsidR="00F23566">
        <w:rPr>
          <w:rFonts w:ascii="Cambria Math" w:hAnsi="Cambria Math"/>
          <w:sz w:val="24"/>
          <w:szCs w:val="24"/>
        </w:rPr>
        <w:t>The latter results suggest</w:t>
      </w:r>
      <w:r w:rsidR="0006029B">
        <w:rPr>
          <w:rFonts w:ascii="Cambria Math" w:hAnsi="Cambria Math"/>
          <w:sz w:val="24"/>
          <w:szCs w:val="24"/>
        </w:rPr>
        <w:t xml:space="preserve"> </w:t>
      </w:r>
      <w:r w:rsidR="00F23566">
        <w:rPr>
          <w:rFonts w:ascii="Cambria Math" w:hAnsi="Cambria Math"/>
          <w:sz w:val="24"/>
          <w:szCs w:val="24"/>
        </w:rPr>
        <w:t xml:space="preserve">that </w:t>
      </w:r>
      <w:r w:rsidR="0006029B">
        <w:rPr>
          <w:rFonts w:ascii="Cambria Math" w:hAnsi="Cambria Math"/>
          <w:sz w:val="24"/>
          <w:szCs w:val="24"/>
        </w:rPr>
        <w:t>Moody’s a</w:t>
      </w:r>
      <w:r w:rsidR="00F23566">
        <w:rPr>
          <w:rFonts w:ascii="Cambria Math" w:hAnsi="Cambria Math"/>
          <w:sz w:val="24"/>
          <w:szCs w:val="24"/>
        </w:rPr>
        <w:t>ssigns</w:t>
      </w:r>
      <w:r w:rsidR="0006029B">
        <w:rPr>
          <w:rFonts w:ascii="Cambria Math" w:hAnsi="Cambria Math"/>
          <w:sz w:val="24"/>
          <w:szCs w:val="24"/>
        </w:rPr>
        <w:t xml:space="preserve"> </w:t>
      </w:r>
      <w:r w:rsidR="00F23566">
        <w:rPr>
          <w:rFonts w:ascii="Cambria Math" w:hAnsi="Cambria Math"/>
          <w:sz w:val="24"/>
          <w:szCs w:val="24"/>
        </w:rPr>
        <w:t>a</w:t>
      </w:r>
      <w:r w:rsidR="0006029B">
        <w:rPr>
          <w:rFonts w:ascii="Cambria Math" w:hAnsi="Cambria Math"/>
          <w:sz w:val="24"/>
          <w:szCs w:val="24"/>
        </w:rPr>
        <w:t xml:space="preserve"> </w:t>
      </w:r>
      <w:r w:rsidR="00F23566">
        <w:rPr>
          <w:rFonts w:ascii="Cambria Math" w:hAnsi="Cambria Math"/>
          <w:sz w:val="24"/>
          <w:szCs w:val="24"/>
        </w:rPr>
        <w:t xml:space="preserve">higher </w:t>
      </w:r>
      <w:r w:rsidR="0006029B">
        <w:rPr>
          <w:rFonts w:ascii="Cambria Math" w:hAnsi="Cambria Math"/>
          <w:sz w:val="24"/>
          <w:szCs w:val="24"/>
        </w:rPr>
        <w:t xml:space="preserve">weight on </w:t>
      </w:r>
      <w:r w:rsidR="00F23566">
        <w:rPr>
          <w:rFonts w:ascii="Cambria Math" w:hAnsi="Cambria Math"/>
          <w:sz w:val="24"/>
          <w:szCs w:val="24"/>
        </w:rPr>
        <w:t>i</w:t>
      </w:r>
      <w:r w:rsidR="0006029B">
        <w:rPr>
          <w:rFonts w:ascii="Cambria Math" w:hAnsi="Cambria Math"/>
          <w:sz w:val="24"/>
          <w:szCs w:val="24"/>
        </w:rPr>
        <w:t xml:space="preserve">nvestments than the </w:t>
      </w:r>
      <w:r w:rsidR="00F23566">
        <w:rPr>
          <w:rFonts w:ascii="Cambria Math" w:hAnsi="Cambria Math"/>
          <w:sz w:val="24"/>
          <w:szCs w:val="24"/>
        </w:rPr>
        <w:t>remaining</w:t>
      </w:r>
      <w:r w:rsidR="0006029B">
        <w:rPr>
          <w:rFonts w:ascii="Cambria Math" w:hAnsi="Cambria Math"/>
          <w:sz w:val="24"/>
          <w:szCs w:val="24"/>
        </w:rPr>
        <w:t xml:space="preserve"> rating agencies. </w:t>
      </w:r>
    </w:p>
    <w:p w14:paraId="271FF904" w14:textId="77777777" w:rsidR="00085EC1" w:rsidRDefault="005440B3" w:rsidP="00CB0269">
      <w:pPr>
        <w:jc w:val="both"/>
        <w:rPr>
          <w:rFonts w:ascii="Cambria Math" w:hAnsi="Cambria Math"/>
          <w:sz w:val="24"/>
          <w:szCs w:val="24"/>
        </w:rPr>
      </w:pPr>
      <w:r w:rsidRPr="0076192F">
        <w:rPr>
          <w:rFonts w:ascii="Cambria Math" w:hAnsi="Cambria Math"/>
          <w:sz w:val="24"/>
          <w:szCs w:val="24"/>
        </w:rPr>
        <w:t xml:space="preserve">A positive shock </w:t>
      </w:r>
      <w:r w:rsidR="00F80210" w:rsidRPr="0076192F">
        <w:rPr>
          <w:rFonts w:ascii="Cambria Math" w:hAnsi="Cambria Math"/>
          <w:sz w:val="24"/>
          <w:szCs w:val="24"/>
        </w:rPr>
        <w:t>to</w:t>
      </w:r>
      <w:r w:rsidRPr="0076192F">
        <w:rPr>
          <w:rFonts w:ascii="Cambria Math" w:hAnsi="Cambria Math"/>
          <w:sz w:val="24"/>
          <w:szCs w:val="24"/>
        </w:rPr>
        <w:t xml:space="preserve"> </w:t>
      </w:r>
      <w:r w:rsidR="00F764CC" w:rsidRPr="0076192F">
        <w:rPr>
          <w:rFonts w:ascii="Cambria Math" w:hAnsi="Cambria Math"/>
          <w:sz w:val="24"/>
          <w:szCs w:val="24"/>
        </w:rPr>
        <w:t>g</w:t>
      </w:r>
      <w:r w:rsidRPr="0076192F">
        <w:rPr>
          <w:rFonts w:ascii="Cambria Math" w:hAnsi="Cambria Math"/>
          <w:sz w:val="24"/>
          <w:szCs w:val="24"/>
        </w:rPr>
        <w:t xml:space="preserve">overnment </w:t>
      </w:r>
      <w:r w:rsidR="00F764CC" w:rsidRPr="0076192F">
        <w:rPr>
          <w:rFonts w:ascii="Cambria Math" w:hAnsi="Cambria Math"/>
          <w:sz w:val="24"/>
          <w:szCs w:val="24"/>
        </w:rPr>
        <w:t>d</w:t>
      </w:r>
      <w:r w:rsidR="00437E12">
        <w:rPr>
          <w:rFonts w:ascii="Cambria Math" w:hAnsi="Cambria Math"/>
          <w:sz w:val="24"/>
          <w:szCs w:val="24"/>
        </w:rPr>
        <w:t>ebt has a negative</w:t>
      </w:r>
      <w:r w:rsidR="007F057B">
        <w:rPr>
          <w:rFonts w:ascii="Cambria Math" w:hAnsi="Cambria Math"/>
          <w:sz w:val="24"/>
          <w:szCs w:val="24"/>
        </w:rPr>
        <w:t xml:space="preserve"> and </w:t>
      </w:r>
      <w:r w:rsidR="00437E12">
        <w:rPr>
          <w:rFonts w:ascii="Cambria Math" w:hAnsi="Cambria Math"/>
          <w:sz w:val="24"/>
          <w:szCs w:val="24"/>
        </w:rPr>
        <w:t xml:space="preserve">persistent effect on </w:t>
      </w:r>
      <w:r w:rsidRPr="0076192F">
        <w:rPr>
          <w:rFonts w:ascii="Cambria Math" w:hAnsi="Cambria Math"/>
          <w:sz w:val="24"/>
          <w:szCs w:val="24"/>
        </w:rPr>
        <w:t>sovereign ratings</w:t>
      </w:r>
      <w:r w:rsidR="00827DAC">
        <w:rPr>
          <w:rFonts w:ascii="Cambria Math" w:hAnsi="Cambria Math"/>
          <w:sz w:val="24"/>
          <w:szCs w:val="24"/>
        </w:rPr>
        <w:t>.</w:t>
      </w:r>
      <w:r w:rsidR="00175AA5">
        <w:rPr>
          <w:rFonts w:ascii="Cambria Math" w:hAnsi="Cambria Math"/>
          <w:sz w:val="24"/>
          <w:szCs w:val="24"/>
        </w:rPr>
        <w:t xml:space="preserve"> </w:t>
      </w:r>
      <w:r w:rsidR="00827DAC" w:rsidRPr="0076192F">
        <w:rPr>
          <w:rFonts w:ascii="Cambria Math" w:hAnsi="Cambria Math"/>
          <w:sz w:val="24"/>
          <w:szCs w:val="24"/>
        </w:rPr>
        <w:t xml:space="preserve">A positive shock to </w:t>
      </w:r>
      <w:r w:rsidR="00827DAC">
        <w:rPr>
          <w:rFonts w:ascii="Cambria Math" w:hAnsi="Cambria Math"/>
          <w:sz w:val="24"/>
          <w:szCs w:val="24"/>
        </w:rPr>
        <w:t xml:space="preserve">fiscal balance has a positive and persistent effect on </w:t>
      </w:r>
      <w:r w:rsidR="00827DAC" w:rsidRPr="0076192F">
        <w:rPr>
          <w:rFonts w:ascii="Cambria Math" w:hAnsi="Cambria Math"/>
          <w:sz w:val="24"/>
          <w:szCs w:val="24"/>
        </w:rPr>
        <w:t>sovereign ratings</w:t>
      </w:r>
      <w:r w:rsidR="00827DAC">
        <w:rPr>
          <w:rFonts w:ascii="Cambria Math" w:hAnsi="Cambria Math"/>
          <w:sz w:val="24"/>
          <w:szCs w:val="24"/>
        </w:rPr>
        <w:t xml:space="preserve">. </w:t>
      </w:r>
      <w:r w:rsidR="00175AA5">
        <w:rPr>
          <w:rFonts w:ascii="Cambria Math" w:hAnsi="Cambria Math"/>
          <w:sz w:val="24"/>
          <w:szCs w:val="24"/>
        </w:rPr>
        <w:t>The impact of a government debt shock is sta</w:t>
      </w:r>
      <w:r w:rsidR="00185116">
        <w:rPr>
          <w:rFonts w:ascii="Cambria Math" w:hAnsi="Cambria Math"/>
          <w:sz w:val="24"/>
          <w:szCs w:val="24"/>
        </w:rPr>
        <w:t>tistically important for up to 6</w:t>
      </w:r>
      <w:r w:rsidR="00175AA5">
        <w:rPr>
          <w:rFonts w:ascii="Cambria Math" w:hAnsi="Cambria Math"/>
          <w:sz w:val="24"/>
          <w:szCs w:val="24"/>
        </w:rPr>
        <w:t xml:space="preserve"> years</w:t>
      </w:r>
      <w:r w:rsidR="00185116">
        <w:rPr>
          <w:rFonts w:ascii="Cambria Math" w:hAnsi="Cambria Math"/>
          <w:sz w:val="24"/>
          <w:szCs w:val="24"/>
        </w:rPr>
        <w:t xml:space="preserve"> for Moody’s, 8 years for S&amp;P’s and 10 years for Fitch, </w:t>
      </w:r>
      <w:r w:rsidR="00175AA5">
        <w:rPr>
          <w:rFonts w:ascii="Cambria Math" w:hAnsi="Cambria Math"/>
          <w:sz w:val="24"/>
          <w:szCs w:val="24"/>
        </w:rPr>
        <w:t xml:space="preserve">while a shock on fiscal balance impacts on sovereign ratings for more than 10 years. </w:t>
      </w:r>
      <w:r w:rsidR="007B00D0" w:rsidRPr="00175AA5">
        <w:rPr>
          <w:rFonts w:ascii="Cambria Math" w:hAnsi="Cambria Math"/>
          <w:sz w:val="24"/>
          <w:szCs w:val="24"/>
        </w:rPr>
        <w:t>Therefore, fiscal considerations in terms of</w:t>
      </w:r>
      <w:r w:rsidR="00175AA5" w:rsidRPr="00175AA5">
        <w:rPr>
          <w:rFonts w:ascii="Cambria Math" w:hAnsi="Cambria Math"/>
          <w:sz w:val="24"/>
          <w:szCs w:val="24"/>
        </w:rPr>
        <w:t xml:space="preserve"> fiscal balance </w:t>
      </w:r>
      <w:r w:rsidR="00B1493B" w:rsidRPr="00175AA5">
        <w:rPr>
          <w:rFonts w:ascii="Cambria Math" w:hAnsi="Cambria Math"/>
          <w:sz w:val="24"/>
          <w:szCs w:val="24"/>
        </w:rPr>
        <w:t>trigger</w:t>
      </w:r>
      <w:r w:rsidR="00042FEB" w:rsidRPr="00175AA5">
        <w:rPr>
          <w:rFonts w:ascii="Cambria Math" w:hAnsi="Cambria Math"/>
          <w:sz w:val="24"/>
          <w:szCs w:val="24"/>
        </w:rPr>
        <w:t xml:space="preserve"> </w:t>
      </w:r>
      <w:r w:rsidR="00B1493B" w:rsidRPr="00175AA5">
        <w:rPr>
          <w:rFonts w:ascii="Cambria Math" w:hAnsi="Cambria Math"/>
          <w:sz w:val="24"/>
          <w:szCs w:val="24"/>
        </w:rPr>
        <w:t xml:space="preserve">a </w:t>
      </w:r>
      <w:r w:rsidR="00042FEB" w:rsidRPr="00175AA5">
        <w:rPr>
          <w:rFonts w:ascii="Cambria Math" w:hAnsi="Cambria Math"/>
          <w:sz w:val="24"/>
          <w:szCs w:val="24"/>
        </w:rPr>
        <w:t xml:space="preserve">longer impact </w:t>
      </w:r>
      <w:r w:rsidR="006811B7" w:rsidRPr="00175AA5">
        <w:rPr>
          <w:rFonts w:ascii="Cambria Math" w:hAnsi="Cambria Math"/>
          <w:sz w:val="24"/>
          <w:szCs w:val="24"/>
        </w:rPr>
        <w:t xml:space="preserve">on the rating decisions made by the </w:t>
      </w:r>
      <w:r w:rsidR="007B00D0" w:rsidRPr="00175AA5">
        <w:rPr>
          <w:rFonts w:ascii="Cambria Math" w:hAnsi="Cambria Math"/>
          <w:sz w:val="24"/>
          <w:szCs w:val="24"/>
        </w:rPr>
        <w:t>three CRAs</w:t>
      </w:r>
      <w:r w:rsidR="00E133A6" w:rsidRPr="00175AA5">
        <w:rPr>
          <w:rFonts w:ascii="Cambria Math" w:hAnsi="Cambria Math"/>
          <w:sz w:val="24"/>
          <w:szCs w:val="24"/>
        </w:rPr>
        <w:t xml:space="preserve"> compared to</w:t>
      </w:r>
      <w:r w:rsidR="00175AA5" w:rsidRPr="00175AA5">
        <w:rPr>
          <w:rFonts w:ascii="Cambria Math" w:hAnsi="Cambria Math"/>
          <w:sz w:val="24"/>
          <w:szCs w:val="24"/>
        </w:rPr>
        <w:t xml:space="preserve"> government debt</w:t>
      </w:r>
      <w:r w:rsidR="00E133A6" w:rsidRPr="00175AA5">
        <w:rPr>
          <w:rFonts w:ascii="Cambria Math" w:hAnsi="Cambria Math"/>
          <w:sz w:val="24"/>
          <w:szCs w:val="24"/>
        </w:rPr>
        <w:t xml:space="preserve"> developments</w:t>
      </w:r>
      <w:r w:rsidR="007B00D0" w:rsidRPr="00175AA5">
        <w:rPr>
          <w:rFonts w:ascii="Cambria Math" w:hAnsi="Cambria Math"/>
          <w:sz w:val="24"/>
          <w:szCs w:val="24"/>
        </w:rPr>
        <w:t>.</w:t>
      </w:r>
      <w:r w:rsidR="00175AA5" w:rsidRPr="00175AA5">
        <w:rPr>
          <w:rFonts w:ascii="Cambria Math" w:hAnsi="Cambria Math"/>
          <w:sz w:val="24"/>
          <w:szCs w:val="24"/>
        </w:rPr>
        <w:t xml:space="preserve"> </w:t>
      </w:r>
    </w:p>
    <w:p w14:paraId="4F8B24B7" w14:textId="25790432" w:rsidR="00185116" w:rsidRPr="00BA6C59" w:rsidRDefault="00175AA5" w:rsidP="00CB0269">
      <w:pPr>
        <w:jc w:val="both"/>
        <w:rPr>
          <w:rFonts w:ascii="Cambria Math" w:hAnsi="Cambria Math"/>
          <w:sz w:val="24"/>
          <w:szCs w:val="24"/>
        </w:rPr>
      </w:pPr>
      <w:r w:rsidRPr="00BA6C59">
        <w:rPr>
          <w:rFonts w:ascii="Cambria Math" w:hAnsi="Cambria Math"/>
          <w:sz w:val="24"/>
          <w:szCs w:val="24"/>
        </w:rPr>
        <w:t>The persistence of the effect is</w:t>
      </w:r>
      <w:r w:rsidR="00EC4652" w:rsidRPr="00BA6C59">
        <w:rPr>
          <w:rFonts w:ascii="Cambria Math" w:hAnsi="Cambria Math"/>
          <w:sz w:val="24"/>
          <w:szCs w:val="24"/>
        </w:rPr>
        <w:t xml:space="preserve"> arguably </w:t>
      </w:r>
      <w:r w:rsidRPr="00BA6C59">
        <w:rPr>
          <w:rFonts w:ascii="Cambria Math" w:hAnsi="Cambria Math"/>
          <w:sz w:val="24"/>
          <w:szCs w:val="24"/>
        </w:rPr>
        <w:t xml:space="preserve">not surprising given the stickiness of sovereign ratings and the importance of fiscal variables </w:t>
      </w:r>
      <w:r w:rsidR="00BA6C59" w:rsidRPr="00BA6C59">
        <w:rPr>
          <w:rFonts w:ascii="Cambria Math" w:hAnsi="Cambria Math"/>
          <w:sz w:val="24"/>
          <w:szCs w:val="24"/>
        </w:rPr>
        <w:t>for</w:t>
      </w:r>
      <w:r w:rsidRPr="00BA6C59">
        <w:rPr>
          <w:rFonts w:ascii="Cambria Math" w:hAnsi="Cambria Math"/>
          <w:sz w:val="24"/>
          <w:szCs w:val="24"/>
        </w:rPr>
        <w:t xml:space="preserve"> default risk. </w:t>
      </w:r>
      <w:r w:rsidR="00185116" w:rsidRPr="00BA6C59">
        <w:rPr>
          <w:rFonts w:ascii="Cambria Math" w:hAnsi="Cambria Math"/>
          <w:sz w:val="24"/>
          <w:szCs w:val="24"/>
        </w:rPr>
        <w:t xml:space="preserve">All in all, </w:t>
      </w:r>
      <w:r w:rsidR="00085EC1" w:rsidRPr="00BA6C59">
        <w:rPr>
          <w:rFonts w:ascii="Cambria Math" w:hAnsi="Cambria Math"/>
          <w:sz w:val="24"/>
          <w:szCs w:val="24"/>
        </w:rPr>
        <w:t>CRAs ha</w:t>
      </w:r>
      <w:r w:rsidR="00BA6C59" w:rsidRPr="00BA6C59">
        <w:rPr>
          <w:rFonts w:ascii="Cambria Math" w:hAnsi="Cambria Math"/>
          <w:sz w:val="24"/>
          <w:szCs w:val="24"/>
        </w:rPr>
        <w:t>ve</w:t>
      </w:r>
      <w:r w:rsidR="00085EC1" w:rsidRPr="00BA6C59">
        <w:rPr>
          <w:rFonts w:ascii="Cambria Math" w:hAnsi="Cambria Math"/>
          <w:sz w:val="24"/>
          <w:szCs w:val="24"/>
        </w:rPr>
        <w:t xml:space="preserve"> been very careful and patient in changing credit ratings considering their effect in financial markets and the real economy. So, rating upgrades/downgrades are very rare apart from periods of financial turmoil. Rating’s persistence has been also well documented in the literature. Dimitrakopoulos and Kollosiatis (2014) examine three potential sources of ratings persistence. True state dependence, spurious state dependence and serial error correlation. They provide evidence of the three channels of the observed ratings persistence, with the true state dependence being weak. Consequently, our GIRFs are in line with observed credit ratings and previous literature.</w:t>
      </w:r>
    </w:p>
    <w:p w14:paraId="4520894A" w14:textId="6A68D47B" w:rsidR="00CB0269" w:rsidRPr="0076192F" w:rsidRDefault="00CB0269" w:rsidP="00CB0269">
      <w:pPr>
        <w:jc w:val="both"/>
        <w:rPr>
          <w:rFonts w:ascii="Cambria Math" w:hAnsi="Cambria Math"/>
          <w:sz w:val="24"/>
          <w:szCs w:val="24"/>
        </w:rPr>
      </w:pPr>
      <w:r w:rsidRPr="0076192F">
        <w:rPr>
          <w:rFonts w:ascii="Cambria Math" w:hAnsi="Cambria Math"/>
          <w:sz w:val="24"/>
          <w:szCs w:val="24"/>
        </w:rPr>
        <w:t xml:space="preserve">Turning our attention to NPLs, our model confirms their importance for sovereign rating decisions. </w:t>
      </w:r>
      <w:bookmarkStart w:id="5" w:name="_Hlk508533137"/>
      <w:r w:rsidRPr="0076192F">
        <w:rPr>
          <w:rFonts w:ascii="Cambria Math" w:hAnsi="Cambria Math"/>
          <w:sz w:val="24"/>
          <w:szCs w:val="24"/>
        </w:rPr>
        <w:t xml:space="preserve">A positive shock </w:t>
      </w:r>
      <w:r w:rsidR="007B00D0" w:rsidRPr="0076192F">
        <w:rPr>
          <w:rFonts w:ascii="Cambria Math" w:hAnsi="Cambria Math"/>
          <w:sz w:val="24"/>
          <w:szCs w:val="24"/>
        </w:rPr>
        <w:t xml:space="preserve">to </w:t>
      </w:r>
      <w:r w:rsidRPr="0076192F">
        <w:rPr>
          <w:rFonts w:ascii="Cambria Math" w:hAnsi="Cambria Math"/>
          <w:sz w:val="24"/>
          <w:szCs w:val="24"/>
        </w:rPr>
        <w:t xml:space="preserve">NPLs </w:t>
      </w:r>
      <w:r w:rsidR="006B3B55" w:rsidRPr="0076192F">
        <w:rPr>
          <w:rFonts w:ascii="Cambria Math" w:hAnsi="Cambria Math"/>
          <w:sz w:val="24"/>
          <w:szCs w:val="24"/>
        </w:rPr>
        <w:t xml:space="preserve">leads to sovereign rating </w:t>
      </w:r>
      <w:r w:rsidR="00206589" w:rsidRPr="0076192F">
        <w:rPr>
          <w:rFonts w:ascii="Cambria Math" w:hAnsi="Cambria Math"/>
          <w:sz w:val="24"/>
          <w:szCs w:val="24"/>
        </w:rPr>
        <w:t>downgrades</w:t>
      </w:r>
      <w:r w:rsidR="00B226DD">
        <w:rPr>
          <w:rFonts w:ascii="Cambria Math" w:hAnsi="Cambria Math"/>
          <w:sz w:val="24"/>
          <w:szCs w:val="24"/>
        </w:rPr>
        <w:t xml:space="preserve"> </w:t>
      </w:r>
      <w:r w:rsidR="00B226DD" w:rsidRPr="0076192F">
        <w:rPr>
          <w:rFonts w:ascii="Cambria Math" w:hAnsi="Cambria Math"/>
          <w:sz w:val="24"/>
          <w:szCs w:val="24"/>
        </w:rPr>
        <w:t xml:space="preserve">with the impact being statistically </w:t>
      </w:r>
      <w:r w:rsidR="009B1ED2">
        <w:rPr>
          <w:rFonts w:ascii="Cambria Math" w:hAnsi="Cambria Math"/>
          <w:sz w:val="24"/>
          <w:szCs w:val="24"/>
        </w:rPr>
        <w:t xml:space="preserve">stronger </w:t>
      </w:r>
      <w:r w:rsidR="00B226DD">
        <w:rPr>
          <w:rFonts w:ascii="Cambria Math" w:hAnsi="Cambria Math"/>
          <w:sz w:val="24"/>
          <w:szCs w:val="24"/>
        </w:rPr>
        <w:t>and</w:t>
      </w:r>
      <w:r w:rsidR="007F057B">
        <w:rPr>
          <w:rFonts w:ascii="Cambria Math" w:hAnsi="Cambria Math"/>
          <w:sz w:val="24"/>
          <w:szCs w:val="24"/>
        </w:rPr>
        <w:t xml:space="preserve"> economically</w:t>
      </w:r>
      <w:r w:rsidR="00B226DD">
        <w:rPr>
          <w:rFonts w:ascii="Cambria Math" w:hAnsi="Cambria Math"/>
          <w:sz w:val="24"/>
          <w:szCs w:val="24"/>
        </w:rPr>
        <w:t xml:space="preserve"> more prolonged </w:t>
      </w:r>
      <w:r w:rsidR="00B226DD" w:rsidRPr="0076192F">
        <w:rPr>
          <w:rFonts w:ascii="Cambria Math" w:hAnsi="Cambria Math"/>
          <w:sz w:val="24"/>
          <w:szCs w:val="24"/>
        </w:rPr>
        <w:t xml:space="preserve">for Moody’s (up to 6 years). </w:t>
      </w:r>
      <w:r w:rsidR="00B226DD">
        <w:rPr>
          <w:rFonts w:ascii="Cambria Math" w:hAnsi="Cambria Math"/>
          <w:sz w:val="24"/>
          <w:szCs w:val="24"/>
        </w:rPr>
        <w:t xml:space="preserve"> </w:t>
      </w:r>
      <w:r w:rsidR="006B3B55" w:rsidRPr="0076192F">
        <w:rPr>
          <w:rFonts w:ascii="Cambria Math" w:hAnsi="Cambria Math"/>
          <w:sz w:val="24"/>
          <w:szCs w:val="24"/>
        </w:rPr>
        <w:t xml:space="preserve"> </w:t>
      </w:r>
      <w:bookmarkEnd w:id="5"/>
    </w:p>
    <w:p w14:paraId="27FEFB49" w14:textId="698558B1" w:rsidR="004407C4" w:rsidRPr="0076192F" w:rsidRDefault="007A6C0E" w:rsidP="00950FB5">
      <w:pPr>
        <w:jc w:val="both"/>
        <w:rPr>
          <w:rFonts w:ascii="Cambria Math" w:hAnsi="Cambria Math"/>
          <w:sz w:val="24"/>
          <w:szCs w:val="24"/>
        </w:rPr>
      </w:pPr>
      <w:r>
        <w:rPr>
          <w:rFonts w:ascii="Cambria Math" w:hAnsi="Cambria Math"/>
          <w:sz w:val="24"/>
          <w:szCs w:val="24"/>
        </w:rPr>
        <w:t>From Figures 1-3</w:t>
      </w:r>
      <w:r w:rsidR="00992F95">
        <w:rPr>
          <w:rFonts w:ascii="Cambria Math" w:hAnsi="Cambria Math"/>
          <w:sz w:val="24"/>
          <w:szCs w:val="24"/>
        </w:rPr>
        <w:t>,</w:t>
      </w:r>
      <w:r w:rsidR="006B3B55" w:rsidRPr="0076192F">
        <w:rPr>
          <w:rFonts w:ascii="Cambria Math" w:hAnsi="Cambria Math"/>
          <w:sz w:val="24"/>
          <w:szCs w:val="24"/>
        </w:rPr>
        <w:t xml:space="preserve"> we also note that </w:t>
      </w:r>
      <w:bookmarkStart w:id="6" w:name="_Hlk508973517"/>
      <w:r w:rsidR="00C267E5" w:rsidRPr="0076192F">
        <w:rPr>
          <w:rFonts w:ascii="Cambria Math" w:hAnsi="Cambria Math"/>
          <w:sz w:val="24"/>
          <w:szCs w:val="24"/>
        </w:rPr>
        <w:t>positive shocks to sovereign ratings</w:t>
      </w:r>
      <w:r w:rsidR="00C32140">
        <w:rPr>
          <w:rFonts w:ascii="Cambria Math" w:hAnsi="Cambria Math"/>
          <w:sz w:val="24"/>
          <w:szCs w:val="24"/>
        </w:rPr>
        <w:t xml:space="preserve"> do have </w:t>
      </w:r>
      <w:bookmarkEnd w:id="6"/>
      <w:r w:rsidR="00F23EF8">
        <w:rPr>
          <w:rFonts w:ascii="Cambria Math" w:hAnsi="Cambria Math"/>
          <w:sz w:val="24"/>
          <w:szCs w:val="24"/>
        </w:rPr>
        <w:t xml:space="preserve">an impact on </w:t>
      </w:r>
      <w:r w:rsidR="00C267E5" w:rsidRPr="0076192F">
        <w:rPr>
          <w:rFonts w:ascii="Cambria Math" w:hAnsi="Cambria Math"/>
          <w:sz w:val="24"/>
          <w:szCs w:val="24"/>
        </w:rPr>
        <w:t>uncertainty</w:t>
      </w:r>
      <w:r w:rsidR="00F23EF8">
        <w:rPr>
          <w:rFonts w:ascii="Cambria Math" w:hAnsi="Cambria Math"/>
          <w:sz w:val="24"/>
          <w:szCs w:val="24"/>
        </w:rPr>
        <w:t xml:space="preserve"> </w:t>
      </w:r>
      <w:r w:rsidR="00E07798" w:rsidRPr="0076192F">
        <w:rPr>
          <w:rFonts w:ascii="Cambria Math" w:hAnsi="Cambria Math"/>
          <w:sz w:val="24"/>
          <w:szCs w:val="24"/>
        </w:rPr>
        <w:t xml:space="preserve">and </w:t>
      </w:r>
      <w:r w:rsidR="006B3B55" w:rsidRPr="0076192F">
        <w:rPr>
          <w:rFonts w:ascii="Cambria Math" w:hAnsi="Cambria Math"/>
          <w:sz w:val="24"/>
          <w:szCs w:val="24"/>
        </w:rPr>
        <w:t xml:space="preserve">trigger a positive effect on GDP growth for all </w:t>
      </w:r>
      <w:r w:rsidR="00F23EF8" w:rsidRPr="0076192F">
        <w:rPr>
          <w:rFonts w:ascii="Cambria Math" w:hAnsi="Cambria Math"/>
          <w:sz w:val="24"/>
          <w:szCs w:val="24"/>
        </w:rPr>
        <w:t>CRAs</w:t>
      </w:r>
      <w:r w:rsidR="00F23EF8">
        <w:rPr>
          <w:rFonts w:ascii="Cambria Math" w:hAnsi="Cambria Math"/>
          <w:sz w:val="24"/>
          <w:szCs w:val="24"/>
        </w:rPr>
        <w:t xml:space="preserve">. </w:t>
      </w:r>
      <w:r w:rsidR="00A673D2">
        <w:rPr>
          <w:rFonts w:ascii="Cambria Math" w:hAnsi="Cambria Math"/>
          <w:sz w:val="24"/>
          <w:szCs w:val="24"/>
        </w:rPr>
        <w:t>T</w:t>
      </w:r>
      <w:r w:rsidR="00440CDE" w:rsidRPr="0076192F">
        <w:rPr>
          <w:rFonts w:ascii="Cambria Math" w:hAnsi="Cambria Math"/>
          <w:sz w:val="24"/>
          <w:szCs w:val="24"/>
        </w:rPr>
        <w:t>he impact</w:t>
      </w:r>
      <w:r w:rsidR="004502B8">
        <w:rPr>
          <w:rFonts w:ascii="Cambria Math" w:hAnsi="Cambria Math"/>
          <w:sz w:val="24"/>
          <w:szCs w:val="24"/>
        </w:rPr>
        <w:t xml:space="preserve"> on</w:t>
      </w:r>
      <w:r w:rsidR="00F23EF8">
        <w:rPr>
          <w:rFonts w:ascii="Cambria Math" w:hAnsi="Cambria Math"/>
          <w:sz w:val="24"/>
          <w:szCs w:val="24"/>
        </w:rPr>
        <w:t xml:space="preserve"> Uncertainty and </w:t>
      </w:r>
      <w:r w:rsidR="004502B8">
        <w:rPr>
          <w:rFonts w:ascii="Cambria Math" w:hAnsi="Cambria Math"/>
          <w:sz w:val="24"/>
          <w:szCs w:val="24"/>
        </w:rPr>
        <w:t>GDP growth</w:t>
      </w:r>
      <w:r w:rsidR="00440CDE" w:rsidRPr="0076192F">
        <w:rPr>
          <w:rFonts w:ascii="Cambria Math" w:hAnsi="Cambria Math"/>
          <w:sz w:val="24"/>
          <w:szCs w:val="24"/>
        </w:rPr>
        <w:t>, which is similar for all CRAs, reaches its peak after 2 years an</w:t>
      </w:r>
      <w:r w:rsidR="007F057B">
        <w:rPr>
          <w:rFonts w:ascii="Cambria Math" w:hAnsi="Cambria Math"/>
          <w:sz w:val="24"/>
          <w:szCs w:val="24"/>
        </w:rPr>
        <w:t>d remains statistically significant</w:t>
      </w:r>
      <w:r w:rsidR="00F23EF8">
        <w:rPr>
          <w:rFonts w:ascii="Cambria Math" w:hAnsi="Cambria Math"/>
          <w:sz w:val="24"/>
          <w:szCs w:val="24"/>
        </w:rPr>
        <w:t xml:space="preserve"> for up to 4</w:t>
      </w:r>
      <w:r w:rsidR="00440CDE" w:rsidRPr="0076192F">
        <w:rPr>
          <w:rFonts w:ascii="Cambria Math" w:hAnsi="Cambria Math"/>
          <w:sz w:val="24"/>
          <w:szCs w:val="24"/>
        </w:rPr>
        <w:t xml:space="preserve"> years. </w:t>
      </w:r>
      <w:r w:rsidR="002A4542" w:rsidRPr="0076192F">
        <w:rPr>
          <w:rFonts w:ascii="Cambria Math" w:hAnsi="Cambria Math"/>
          <w:sz w:val="24"/>
          <w:szCs w:val="24"/>
        </w:rPr>
        <w:t xml:space="preserve">Investments </w:t>
      </w:r>
      <w:r w:rsidR="00C267E5" w:rsidRPr="0076192F">
        <w:rPr>
          <w:rFonts w:ascii="Cambria Math" w:hAnsi="Cambria Math"/>
          <w:sz w:val="24"/>
          <w:szCs w:val="24"/>
        </w:rPr>
        <w:t xml:space="preserve">also </w:t>
      </w:r>
      <w:r w:rsidR="002A4542" w:rsidRPr="0076192F">
        <w:rPr>
          <w:rFonts w:ascii="Cambria Math" w:hAnsi="Cambria Math"/>
          <w:sz w:val="24"/>
          <w:szCs w:val="24"/>
        </w:rPr>
        <w:t>respond positively to positive sovereign rating shocks</w:t>
      </w:r>
      <w:r w:rsidR="00A673D2">
        <w:rPr>
          <w:rFonts w:ascii="Cambria Math" w:hAnsi="Cambria Math"/>
          <w:sz w:val="24"/>
          <w:szCs w:val="24"/>
        </w:rPr>
        <w:t>.</w:t>
      </w:r>
      <w:r w:rsidR="00A673D2" w:rsidRPr="00A673D2">
        <w:rPr>
          <w:rFonts w:ascii="Cambria Math" w:hAnsi="Cambria Math"/>
          <w:sz w:val="24"/>
          <w:szCs w:val="24"/>
        </w:rPr>
        <w:t xml:space="preserve"> </w:t>
      </w:r>
      <w:r w:rsidR="00A673D2" w:rsidRPr="0076192F">
        <w:rPr>
          <w:rFonts w:ascii="Cambria Math" w:hAnsi="Cambria Math"/>
          <w:sz w:val="24"/>
          <w:szCs w:val="24"/>
        </w:rPr>
        <w:t xml:space="preserve">The impact is maximized after </w:t>
      </w:r>
      <w:r w:rsidR="00F23EF8">
        <w:rPr>
          <w:rFonts w:ascii="Cambria Math" w:hAnsi="Cambria Math"/>
          <w:sz w:val="24"/>
          <w:szCs w:val="24"/>
        </w:rPr>
        <w:t>3</w:t>
      </w:r>
      <w:r w:rsidR="00A673D2" w:rsidRPr="0076192F">
        <w:rPr>
          <w:rFonts w:ascii="Cambria Math" w:hAnsi="Cambria Math"/>
          <w:sz w:val="24"/>
          <w:szCs w:val="24"/>
        </w:rPr>
        <w:t xml:space="preserve"> years for</w:t>
      </w:r>
      <w:r w:rsidR="00A673D2">
        <w:rPr>
          <w:rFonts w:ascii="Cambria Math" w:hAnsi="Cambria Math"/>
          <w:sz w:val="24"/>
          <w:szCs w:val="24"/>
        </w:rPr>
        <w:t xml:space="preserve"> all agencies and</w:t>
      </w:r>
      <w:r w:rsidR="00A673D2" w:rsidRPr="0076192F">
        <w:rPr>
          <w:rFonts w:ascii="Cambria Math" w:hAnsi="Cambria Math"/>
          <w:sz w:val="24"/>
          <w:szCs w:val="24"/>
        </w:rPr>
        <w:t xml:space="preserve"> lasts (from a statist</w:t>
      </w:r>
      <w:r w:rsidR="00F23EF8">
        <w:rPr>
          <w:rFonts w:ascii="Cambria Math" w:hAnsi="Cambria Math"/>
          <w:sz w:val="24"/>
          <w:szCs w:val="24"/>
        </w:rPr>
        <w:t>ical point of view) for almost 8 years</w:t>
      </w:r>
      <w:r w:rsidR="00A673D2">
        <w:rPr>
          <w:rFonts w:ascii="Cambria Math" w:hAnsi="Cambria Math"/>
          <w:sz w:val="24"/>
          <w:szCs w:val="24"/>
        </w:rPr>
        <w:t>.</w:t>
      </w:r>
      <w:r w:rsidR="002A4542" w:rsidRPr="0076192F">
        <w:rPr>
          <w:rFonts w:ascii="Cambria Math" w:hAnsi="Cambria Math"/>
          <w:sz w:val="24"/>
          <w:szCs w:val="24"/>
        </w:rPr>
        <w:t xml:space="preserve"> </w:t>
      </w:r>
      <w:r w:rsidR="007C7794" w:rsidRPr="00175AA5">
        <w:rPr>
          <w:rFonts w:ascii="Cambria Math" w:hAnsi="Cambria Math"/>
          <w:sz w:val="24"/>
          <w:szCs w:val="24"/>
        </w:rPr>
        <w:t>P</w:t>
      </w:r>
      <w:r w:rsidR="008C5883" w:rsidRPr="00175AA5">
        <w:rPr>
          <w:rFonts w:ascii="Cambria Math" w:hAnsi="Cambria Math"/>
          <w:sz w:val="24"/>
          <w:szCs w:val="24"/>
        </w:rPr>
        <w:t>ositive shock</w:t>
      </w:r>
      <w:r w:rsidR="007C7794" w:rsidRPr="00175AA5">
        <w:rPr>
          <w:rFonts w:ascii="Cambria Math" w:hAnsi="Cambria Math"/>
          <w:sz w:val="24"/>
          <w:szCs w:val="24"/>
        </w:rPr>
        <w:t>s</w:t>
      </w:r>
      <w:r w:rsidR="008C5883" w:rsidRPr="00175AA5">
        <w:rPr>
          <w:rFonts w:ascii="Cambria Math" w:hAnsi="Cambria Math"/>
          <w:sz w:val="24"/>
          <w:szCs w:val="24"/>
        </w:rPr>
        <w:t xml:space="preserve"> </w:t>
      </w:r>
      <w:r w:rsidR="008B3AD5" w:rsidRPr="00175AA5">
        <w:rPr>
          <w:rFonts w:ascii="Cambria Math" w:hAnsi="Cambria Math"/>
          <w:sz w:val="24"/>
          <w:szCs w:val="24"/>
        </w:rPr>
        <w:t>to</w:t>
      </w:r>
      <w:r w:rsidR="008C5883" w:rsidRPr="00175AA5">
        <w:rPr>
          <w:rFonts w:ascii="Cambria Math" w:hAnsi="Cambria Math"/>
          <w:sz w:val="24"/>
          <w:szCs w:val="24"/>
        </w:rPr>
        <w:t xml:space="preserve"> sovereign ratings </w:t>
      </w:r>
      <w:r w:rsidR="00C32140" w:rsidRPr="00175AA5">
        <w:rPr>
          <w:rFonts w:ascii="Cambria Math" w:hAnsi="Cambria Math"/>
          <w:sz w:val="24"/>
          <w:szCs w:val="24"/>
        </w:rPr>
        <w:t>do have a positive</w:t>
      </w:r>
      <w:r w:rsidR="00ED0F20" w:rsidRPr="00175AA5">
        <w:rPr>
          <w:rFonts w:ascii="Cambria Math" w:hAnsi="Cambria Math"/>
          <w:sz w:val="24"/>
          <w:szCs w:val="24"/>
        </w:rPr>
        <w:t xml:space="preserve"> </w:t>
      </w:r>
      <w:r w:rsidR="00190517" w:rsidRPr="00175AA5">
        <w:rPr>
          <w:rFonts w:ascii="Cambria Math" w:hAnsi="Cambria Math"/>
          <w:sz w:val="24"/>
          <w:szCs w:val="24"/>
        </w:rPr>
        <w:t xml:space="preserve">impact on </w:t>
      </w:r>
      <w:r w:rsidR="008B3AD5" w:rsidRPr="00175AA5">
        <w:rPr>
          <w:rFonts w:ascii="Cambria Math" w:hAnsi="Cambria Math"/>
          <w:sz w:val="24"/>
          <w:szCs w:val="24"/>
        </w:rPr>
        <w:t>f</w:t>
      </w:r>
      <w:r w:rsidR="00190517" w:rsidRPr="00175AA5">
        <w:rPr>
          <w:rFonts w:ascii="Cambria Math" w:hAnsi="Cambria Math"/>
          <w:sz w:val="24"/>
          <w:szCs w:val="24"/>
        </w:rPr>
        <w:t>iscal</w:t>
      </w:r>
      <w:r w:rsidR="00BC377B">
        <w:rPr>
          <w:rFonts w:ascii="Cambria Math" w:hAnsi="Cambria Math"/>
          <w:sz w:val="24"/>
          <w:szCs w:val="24"/>
        </w:rPr>
        <w:t xml:space="preserve"> balance and</w:t>
      </w:r>
      <w:r w:rsidR="00190517" w:rsidRPr="00175AA5">
        <w:rPr>
          <w:rFonts w:ascii="Cambria Math" w:hAnsi="Cambria Math"/>
          <w:sz w:val="24"/>
          <w:szCs w:val="24"/>
        </w:rPr>
        <w:t xml:space="preserve"> </w:t>
      </w:r>
      <w:r w:rsidR="008B3AD5" w:rsidRPr="00175AA5">
        <w:rPr>
          <w:rFonts w:ascii="Cambria Math" w:hAnsi="Cambria Math"/>
          <w:sz w:val="24"/>
          <w:szCs w:val="24"/>
        </w:rPr>
        <w:t>g</w:t>
      </w:r>
      <w:r w:rsidR="00190517" w:rsidRPr="00175AA5">
        <w:rPr>
          <w:rFonts w:ascii="Cambria Math" w:hAnsi="Cambria Math"/>
          <w:sz w:val="24"/>
          <w:szCs w:val="24"/>
        </w:rPr>
        <w:t xml:space="preserve">overnment </w:t>
      </w:r>
      <w:r w:rsidR="008B3AD5" w:rsidRPr="00175AA5">
        <w:rPr>
          <w:rFonts w:ascii="Cambria Math" w:hAnsi="Cambria Math"/>
          <w:sz w:val="24"/>
          <w:szCs w:val="24"/>
        </w:rPr>
        <w:t>d</w:t>
      </w:r>
      <w:r w:rsidR="00190517" w:rsidRPr="00175AA5">
        <w:rPr>
          <w:rFonts w:ascii="Cambria Math" w:hAnsi="Cambria Math"/>
          <w:sz w:val="24"/>
          <w:szCs w:val="24"/>
        </w:rPr>
        <w:t>ebt.</w:t>
      </w:r>
      <w:r w:rsidR="00B75779" w:rsidRPr="00175AA5">
        <w:t xml:space="preserve"> </w:t>
      </w:r>
      <w:r w:rsidR="00B75779">
        <w:rPr>
          <w:rFonts w:ascii="Cambria Math" w:hAnsi="Cambria Math"/>
          <w:sz w:val="24"/>
          <w:szCs w:val="24"/>
        </w:rPr>
        <w:t>T</w:t>
      </w:r>
      <w:r w:rsidR="00B75779" w:rsidRPr="00B75779">
        <w:rPr>
          <w:rFonts w:ascii="Cambria Math" w:hAnsi="Cambria Math"/>
          <w:sz w:val="24"/>
          <w:szCs w:val="24"/>
        </w:rPr>
        <w:t>he impact</w:t>
      </w:r>
      <w:r w:rsidR="00B75779">
        <w:rPr>
          <w:rFonts w:ascii="Cambria Math" w:hAnsi="Cambria Math"/>
          <w:sz w:val="24"/>
          <w:szCs w:val="24"/>
        </w:rPr>
        <w:t xml:space="preserve"> on government debt</w:t>
      </w:r>
      <w:r w:rsidR="00B75779" w:rsidRPr="00B75779">
        <w:rPr>
          <w:rFonts w:ascii="Cambria Math" w:hAnsi="Cambria Math"/>
          <w:sz w:val="24"/>
          <w:szCs w:val="24"/>
        </w:rPr>
        <w:t xml:space="preserve"> is</w:t>
      </w:r>
      <w:r w:rsidR="00F23EF8">
        <w:rPr>
          <w:rFonts w:ascii="Cambria Math" w:hAnsi="Cambria Math"/>
          <w:sz w:val="24"/>
          <w:szCs w:val="24"/>
        </w:rPr>
        <w:t xml:space="preserve"> maximized after 3 years and is</w:t>
      </w:r>
      <w:r w:rsidR="00B75779" w:rsidRPr="00B75779">
        <w:rPr>
          <w:rFonts w:ascii="Cambria Math" w:hAnsi="Cambria Math"/>
          <w:sz w:val="24"/>
          <w:szCs w:val="24"/>
        </w:rPr>
        <w:t xml:space="preserve"> persistent and statistically significant for up to 8 years for Moody’s and slightly less so (up to 7 years) for S&amp;P’s and </w:t>
      </w:r>
      <w:r w:rsidR="00B75779" w:rsidRPr="00B75779">
        <w:rPr>
          <w:rFonts w:ascii="Cambria Math" w:hAnsi="Cambria Math"/>
          <w:sz w:val="24"/>
          <w:szCs w:val="24"/>
        </w:rPr>
        <w:lastRenderedPageBreak/>
        <w:t>Fitch</w:t>
      </w:r>
      <w:r w:rsidR="00B75779">
        <w:rPr>
          <w:rFonts w:ascii="Cambria Math" w:hAnsi="Cambria Math"/>
          <w:sz w:val="24"/>
          <w:szCs w:val="24"/>
        </w:rPr>
        <w:t>, while</w:t>
      </w:r>
      <w:r w:rsidR="007F1F44">
        <w:rPr>
          <w:rFonts w:ascii="Cambria Math" w:hAnsi="Cambria Math"/>
          <w:sz w:val="24"/>
          <w:szCs w:val="24"/>
        </w:rPr>
        <w:t>,</w:t>
      </w:r>
      <w:r w:rsidR="00B75779">
        <w:rPr>
          <w:rFonts w:ascii="Cambria Math" w:hAnsi="Cambria Math"/>
          <w:sz w:val="24"/>
          <w:szCs w:val="24"/>
        </w:rPr>
        <w:t xml:space="preserve"> f</w:t>
      </w:r>
      <w:r w:rsidR="00B75779" w:rsidRPr="0076192F">
        <w:rPr>
          <w:rFonts w:ascii="Cambria Math" w:hAnsi="Cambria Math"/>
          <w:sz w:val="24"/>
          <w:szCs w:val="24"/>
        </w:rPr>
        <w:t xml:space="preserve">or all CRAs, a positive </w:t>
      </w:r>
      <w:r w:rsidR="00B75779">
        <w:rPr>
          <w:rFonts w:ascii="Cambria Math" w:hAnsi="Cambria Math"/>
          <w:sz w:val="24"/>
          <w:szCs w:val="24"/>
        </w:rPr>
        <w:t>sovereign rating</w:t>
      </w:r>
      <w:r w:rsidR="00B75779" w:rsidRPr="0076192F">
        <w:rPr>
          <w:rFonts w:ascii="Cambria Math" w:hAnsi="Cambria Math"/>
          <w:sz w:val="24"/>
          <w:szCs w:val="24"/>
        </w:rPr>
        <w:t xml:space="preserve"> shock exerts a statistically significant and positive impact on</w:t>
      </w:r>
      <w:r w:rsidR="00B75779">
        <w:rPr>
          <w:rFonts w:ascii="Cambria Math" w:hAnsi="Cambria Math"/>
          <w:sz w:val="24"/>
          <w:szCs w:val="24"/>
        </w:rPr>
        <w:t xml:space="preserve"> </w:t>
      </w:r>
      <w:r w:rsidR="007F1F44">
        <w:rPr>
          <w:rFonts w:ascii="Cambria Math" w:hAnsi="Cambria Math"/>
          <w:sz w:val="24"/>
          <w:szCs w:val="24"/>
        </w:rPr>
        <w:t xml:space="preserve">the </w:t>
      </w:r>
      <w:r w:rsidR="00B75779">
        <w:rPr>
          <w:rFonts w:ascii="Cambria Math" w:hAnsi="Cambria Math"/>
          <w:sz w:val="24"/>
          <w:szCs w:val="24"/>
        </w:rPr>
        <w:t>fiscal balance</w:t>
      </w:r>
      <w:r w:rsidR="00B75779" w:rsidRPr="0076192F">
        <w:rPr>
          <w:rFonts w:ascii="Cambria Math" w:hAnsi="Cambria Math"/>
          <w:sz w:val="24"/>
          <w:szCs w:val="24"/>
        </w:rPr>
        <w:t xml:space="preserve"> for up to 4 years.</w:t>
      </w:r>
      <w:r w:rsidR="00190517" w:rsidRPr="0076192F">
        <w:rPr>
          <w:rFonts w:ascii="Cambria Math" w:hAnsi="Cambria Math"/>
          <w:sz w:val="24"/>
          <w:szCs w:val="24"/>
        </w:rPr>
        <w:t xml:space="preserve"> </w:t>
      </w:r>
      <w:r w:rsidR="005102A0">
        <w:rPr>
          <w:rFonts w:ascii="Cambria Math" w:hAnsi="Cambria Math"/>
          <w:sz w:val="24"/>
          <w:szCs w:val="24"/>
        </w:rPr>
        <w:t xml:space="preserve"> </w:t>
      </w:r>
    </w:p>
    <w:p w14:paraId="1A4366CE" w14:textId="7D2765A7" w:rsidR="0010420D" w:rsidRPr="003F2FCA" w:rsidRDefault="00C267E5" w:rsidP="00950FB5">
      <w:pPr>
        <w:jc w:val="both"/>
        <w:rPr>
          <w:rFonts w:ascii="Cambria Math" w:hAnsi="Cambria Math"/>
          <w:sz w:val="24"/>
          <w:szCs w:val="24"/>
        </w:rPr>
      </w:pPr>
      <w:r w:rsidRPr="0076192F">
        <w:rPr>
          <w:rFonts w:ascii="Cambria Math" w:hAnsi="Cambria Math"/>
          <w:sz w:val="24"/>
          <w:szCs w:val="24"/>
        </w:rPr>
        <w:t>Last but not</w:t>
      </w:r>
      <w:r w:rsidR="0025299B" w:rsidRPr="0076192F">
        <w:rPr>
          <w:rFonts w:ascii="Cambria Math" w:hAnsi="Cambria Math"/>
          <w:sz w:val="24"/>
          <w:szCs w:val="24"/>
        </w:rPr>
        <w:t xml:space="preserve"> </w:t>
      </w:r>
      <w:r w:rsidRPr="0076192F">
        <w:rPr>
          <w:rFonts w:ascii="Cambria Math" w:hAnsi="Cambria Math"/>
          <w:sz w:val="24"/>
          <w:szCs w:val="24"/>
        </w:rPr>
        <w:t>least, p</w:t>
      </w:r>
      <w:r w:rsidR="002A4542" w:rsidRPr="0076192F">
        <w:rPr>
          <w:rFonts w:ascii="Cambria Math" w:hAnsi="Cambria Math"/>
          <w:sz w:val="24"/>
          <w:szCs w:val="24"/>
        </w:rPr>
        <w:t>ositive shocks to sovereign ratings reduce NPLs</w:t>
      </w:r>
      <w:r w:rsidR="00B226DD">
        <w:rPr>
          <w:rFonts w:ascii="Cambria Math" w:hAnsi="Cambria Math"/>
          <w:sz w:val="24"/>
          <w:szCs w:val="24"/>
        </w:rPr>
        <w:t>.</w:t>
      </w:r>
      <w:r w:rsidRPr="0076192F">
        <w:rPr>
          <w:rFonts w:ascii="Cambria Math" w:hAnsi="Cambria Math"/>
          <w:sz w:val="24"/>
          <w:szCs w:val="24"/>
        </w:rPr>
        <w:t xml:space="preserve"> </w:t>
      </w:r>
      <w:r w:rsidR="00B226DD">
        <w:rPr>
          <w:rFonts w:ascii="Cambria Math" w:hAnsi="Cambria Math"/>
          <w:sz w:val="24"/>
          <w:szCs w:val="24"/>
        </w:rPr>
        <w:t>T</w:t>
      </w:r>
      <w:r w:rsidR="00B226DD" w:rsidRPr="00B226DD">
        <w:rPr>
          <w:rFonts w:ascii="Cambria Math" w:hAnsi="Cambria Math"/>
          <w:sz w:val="24"/>
          <w:szCs w:val="24"/>
        </w:rPr>
        <w:t>he impact</w:t>
      </w:r>
      <w:r w:rsidR="00B226DD">
        <w:rPr>
          <w:rFonts w:ascii="Cambria Math" w:hAnsi="Cambria Math"/>
          <w:sz w:val="24"/>
          <w:szCs w:val="24"/>
        </w:rPr>
        <w:t xml:space="preserve"> reaches its peak after 3 years and is long lasting (up to </w:t>
      </w:r>
      <w:r w:rsidR="00EC4652">
        <w:rPr>
          <w:rFonts w:ascii="Cambria Math" w:hAnsi="Cambria Math"/>
          <w:sz w:val="24"/>
          <w:szCs w:val="24"/>
        </w:rPr>
        <w:t>9</w:t>
      </w:r>
      <w:r w:rsidR="005102A0">
        <w:rPr>
          <w:rFonts w:ascii="Cambria Math" w:hAnsi="Cambria Math"/>
          <w:sz w:val="24"/>
          <w:szCs w:val="24"/>
        </w:rPr>
        <w:t xml:space="preserve"> years for Moody’s and</w:t>
      </w:r>
      <w:r w:rsidR="00B226DD">
        <w:rPr>
          <w:rFonts w:ascii="Cambria Math" w:hAnsi="Cambria Math"/>
          <w:sz w:val="24"/>
          <w:szCs w:val="24"/>
        </w:rPr>
        <w:t xml:space="preserve"> up to</w:t>
      </w:r>
      <w:r w:rsidR="005102A0">
        <w:rPr>
          <w:rFonts w:ascii="Cambria Math" w:hAnsi="Cambria Math"/>
          <w:sz w:val="24"/>
          <w:szCs w:val="24"/>
        </w:rPr>
        <w:t xml:space="preserve"> 10 years for S&amp;P’s and</w:t>
      </w:r>
      <w:r w:rsidR="00B226DD" w:rsidRPr="00B226DD">
        <w:rPr>
          <w:rFonts w:ascii="Cambria Math" w:hAnsi="Cambria Math"/>
          <w:sz w:val="24"/>
          <w:szCs w:val="24"/>
        </w:rPr>
        <w:t xml:space="preserve"> Fitch</w:t>
      </w:r>
      <w:r w:rsidR="00B226DD" w:rsidRPr="00695194">
        <w:rPr>
          <w:rFonts w:ascii="Cambria Math" w:hAnsi="Cambria Math"/>
          <w:sz w:val="24"/>
          <w:szCs w:val="24"/>
        </w:rPr>
        <w:t xml:space="preserve">) </w:t>
      </w:r>
      <w:r w:rsidR="00B226DD" w:rsidRPr="00EC4652">
        <w:rPr>
          <w:rFonts w:ascii="Cambria Math" w:hAnsi="Cambria Math"/>
          <w:sz w:val="24"/>
          <w:szCs w:val="24"/>
        </w:rPr>
        <w:t xml:space="preserve">and the magnitude of the impact of the shock at peak (after 3 years) is stronger for </w:t>
      </w:r>
      <w:r w:rsidR="00B226DD" w:rsidRPr="003F2FCA">
        <w:rPr>
          <w:rFonts w:ascii="Cambria Math" w:hAnsi="Cambria Math"/>
          <w:sz w:val="24"/>
          <w:szCs w:val="24"/>
        </w:rPr>
        <w:t>Moody’s (that is, a nega</w:t>
      </w:r>
      <w:r w:rsidR="005102A0">
        <w:rPr>
          <w:rFonts w:ascii="Cambria Math" w:hAnsi="Cambria Math"/>
          <w:sz w:val="24"/>
          <w:szCs w:val="24"/>
        </w:rPr>
        <w:t>tive change of approximately 2</w:t>
      </w:r>
      <w:r w:rsidR="00B226DD" w:rsidRPr="003F2FCA">
        <w:rPr>
          <w:rFonts w:ascii="Cambria Math" w:hAnsi="Cambria Math"/>
          <w:sz w:val="24"/>
          <w:szCs w:val="24"/>
        </w:rPr>
        <w:t xml:space="preserve"> </w:t>
      </w:r>
      <w:r w:rsidR="00695194" w:rsidRPr="003F2FCA">
        <w:rPr>
          <w:rFonts w:ascii="Cambria Math" w:hAnsi="Cambria Math"/>
          <w:sz w:val="24"/>
          <w:szCs w:val="24"/>
        </w:rPr>
        <w:t>percentage</w:t>
      </w:r>
      <w:r w:rsidR="00B226DD" w:rsidRPr="003F2FCA">
        <w:rPr>
          <w:rFonts w:ascii="Cambria Math" w:hAnsi="Cambria Math"/>
          <w:sz w:val="24"/>
          <w:szCs w:val="24"/>
        </w:rPr>
        <w:t xml:space="preserve"> </w:t>
      </w:r>
      <w:r w:rsidR="00695194" w:rsidRPr="003F2FCA">
        <w:rPr>
          <w:rFonts w:ascii="Cambria Math" w:hAnsi="Cambria Math"/>
          <w:sz w:val="24"/>
          <w:szCs w:val="24"/>
        </w:rPr>
        <w:t xml:space="preserve">points </w:t>
      </w:r>
      <w:r w:rsidR="00B226DD" w:rsidRPr="003F2FCA">
        <w:rPr>
          <w:rFonts w:ascii="Cambria Math" w:hAnsi="Cambria Math"/>
          <w:sz w:val="24"/>
          <w:szCs w:val="24"/>
        </w:rPr>
        <w:t xml:space="preserve">following a one standard error positive shock in the equation for </w:t>
      </w:r>
      <w:r w:rsidR="00695194" w:rsidRPr="003F2FCA">
        <w:rPr>
          <w:rFonts w:ascii="Cambria Math" w:hAnsi="Cambria Math"/>
          <w:sz w:val="24"/>
          <w:szCs w:val="24"/>
        </w:rPr>
        <w:t>sovereign ratings</w:t>
      </w:r>
      <w:r w:rsidR="00B226DD" w:rsidRPr="003F2FCA">
        <w:rPr>
          <w:rFonts w:ascii="Cambria Math" w:hAnsi="Cambria Math"/>
          <w:sz w:val="24"/>
          <w:szCs w:val="24"/>
        </w:rPr>
        <w:t>).</w:t>
      </w:r>
      <w:r w:rsidR="00EC4652" w:rsidRPr="003F2FCA">
        <w:rPr>
          <w:rFonts w:ascii="Cambria Math" w:hAnsi="Cambria Math"/>
          <w:sz w:val="24"/>
          <w:szCs w:val="24"/>
        </w:rPr>
        <w:t xml:space="preserve"> </w:t>
      </w:r>
      <w:r w:rsidR="00552CFE" w:rsidRPr="003F2FCA">
        <w:rPr>
          <w:rFonts w:ascii="Cambria Math" w:hAnsi="Cambria Math"/>
          <w:sz w:val="24"/>
          <w:szCs w:val="24"/>
        </w:rPr>
        <w:t xml:space="preserve"> </w:t>
      </w:r>
    </w:p>
    <w:p w14:paraId="6940C05F" w14:textId="38FE7E21" w:rsidR="00C27899" w:rsidRPr="0076192F" w:rsidRDefault="0010420D" w:rsidP="002E6C48">
      <w:pPr>
        <w:jc w:val="both"/>
        <w:rPr>
          <w:rFonts w:ascii="Cambria Math" w:hAnsi="Cambria Math"/>
          <w:sz w:val="24"/>
          <w:szCs w:val="24"/>
        </w:rPr>
      </w:pPr>
      <w:r w:rsidRPr="0076192F">
        <w:rPr>
          <w:rFonts w:ascii="Cambria Math" w:hAnsi="Cambria Math"/>
          <w:sz w:val="24"/>
          <w:szCs w:val="24"/>
        </w:rPr>
        <w:t xml:space="preserve">To sum up, </w:t>
      </w:r>
      <w:r w:rsidR="001541A8" w:rsidRPr="0076192F">
        <w:rPr>
          <w:rFonts w:ascii="Cambria Math" w:hAnsi="Cambria Math"/>
          <w:sz w:val="24"/>
          <w:szCs w:val="24"/>
        </w:rPr>
        <w:t>GIRFs</w:t>
      </w:r>
      <w:r w:rsidRPr="0076192F">
        <w:rPr>
          <w:rFonts w:ascii="Cambria Math" w:hAnsi="Cambria Math"/>
          <w:sz w:val="24"/>
          <w:szCs w:val="24"/>
        </w:rPr>
        <w:t xml:space="preserve"> provide </w:t>
      </w:r>
      <w:r w:rsidR="00C267E5" w:rsidRPr="0076192F">
        <w:rPr>
          <w:rFonts w:ascii="Cambria Math" w:hAnsi="Cambria Math"/>
          <w:sz w:val="24"/>
          <w:szCs w:val="24"/>
        </w:rPr>
        <w:t xml:space="preserve">evidence of significant effects from NPLs </w:t>
      </w:r>
      <w:r w:rsidR="001541A8" w:rsidRPr="0076192F">
        <w:rPr>
          <w:rFonts w:ascii="Cambria Math" w:hAnsi="Cambria Math"/>
          <w:sz w:val="24"/>
          <w:szCs w:val="24"/>
        </w:rPr>
        <w:t xml:space="preserve">on sovereign rating decisions over and above the effects of the remaining </w:t>
      </w:r>
      <w:r w:rsidR="00C267E5" w:rsidRPr="0076192F">
        <w:rPr>
          <w:rFonts w:ascii="Cambria Math" w:hAnsi="Cambria Math"/>
          <w:sz w:val="24"/>
          <w:szCs w:val="24"/>
        </w:rPr>
        <w:t>economic/financial variables</w:t>
      </w:r>
      <w:r w:rsidR="001541A8" w:rsidRPr="0076192F">
        <w:rPr>
          <w:rFonts w:ascii="Cambria Math" w:hAnsi="Cambria Math"/>
          <w:sz w:val="24"/>
          <w:szCs w:val="24"/>
        </w:rPr>
        <w:t>;</w:t>
      </w:r>
      <w:r w:rsidR="00C267E5" w:rsidRPr="0076192F">
        <w:rPr>
          <w:rFonts w:ascii="Cambria Math" w:hAnsi="Cambria Math"/>
          <w:sz w:val="24"/>
          <w:szCs w:val="24"/>
        </w:rPr>
        <w:t xml:space="preserve"> </w:t>
      </w:r>
      <w:r w:rsidR="001541A8" w:rsidRPr="0076192F">
        <w:rPr>
          <w:rFonts w:ascii="Cambria Math" w:hAnsi="Cambria Math"/>
          <w:sz w:val="24"/>
          <w:szCs w:val="24"/>
        </w:rPr>
        <w:t>at the same time, sovereign ratings impact on</w:t>
      </w:r>
      <w:r w:rsidR="007353B7">
        <w:rPr>
          <w:rFonts w:ascii="Cambria Math" w:hAnsi="Cambria Math"/>
          <w:sz w:val="24"/>
          <w:szCs w:val="24"/>
        </w:rPr>
        <w:t xml:space="preserve"> NPLs</w:t>
      </w:r>
      <w:r w:rsidR="00B226DD">
        <w:rPr>
          <w:rFonts w:ascii="Cambria Math" w:hAnsi="Cambria Math"/>
          <w:sz w:val="24"/>
          <w:szCs w:val="24"/>
        </w:rPr>
        <w:t xml:space="preserve"> and </w:t>
      </w:r>
      <w:r w:rsidR="001541A8" w:rsidRPr="0076192F">
        <w:rPr>
          <w:rFonts w:ascii="Cambria Math" w:hAnsi="Cambria Math"/>
          <w:sz w:val="24"/>
          <w:szCs w:val="24"/>
        </w:rPr>
        <w:t>all other variables.</w:t>
      </w:r>
      <w:r w:rsidR="00042FEB" w:rsidRPr="0076192F">
        <w:rPr>
          <w:rFonts w:ascii="Cambria Math" w:hAnsi="Cambria Math"/>
          <w:sz w:val="24"/>
          <w:szCs w:val="24"/>
        </w:rPr>
        <w:t xml:space="preserve"> </w:t>
      </w:r>
    </w:p>
    <w:p w14:paraId="3284FDDA" w14:textId="77777777" w:rsidR="00F679B9" w:rsidRPr="0076192F" w:rsidRDefault="00F679B9" w:rsidP="00935926">
      <w:pPr>
        <w:jc w:val="both"/>
        <w:rPr>
          <w:rFonts w:ascii="Cambria Math" w:hAnsi="Cambria Math"/>
          <w:sz w:val="24"/>
          <w:szCs w:val="24"/>
        </w:rPr>
      </w:pPr>
    </w:p>
    <w:p w14:paraId="425370CA" w14:textId="78CB0783" w:rsidR="007B5535" w:rsidRPr="007F057B" w:rsidRDefault="007B5535" w:rsidP="007B5535">
      <w:pPr>
        <w:rPr>
          <w:rFonts w:ascii="Cambria Math" w:hAnsi="Cambria Math"/>
          <w:sz w:val="24"/>
          <w:szCs w:val="24"/>
        </w:rPr>
      </w:pPr>
      <w:r w:rsidRPr="0076192F">
        <w:rPr>
          <w:rFonts w:ascii="Cambria Math" w:hAnsi="Cambria Math"/>
          <w:b/>
          <w:sz w:val="24"/>
          <w:szCs w:val="24"/>
        </w:rPr>
        <w:t>4.</w:t>
      </w:r>
      <w:r w:rsidR="00785508">
        <w:rPr>
          <w:rFonts w:ascii="Cambria Math" w:hAnsi="Cambria Math"/>
          <w:b/>
          <w:sz w:val="24"/>
          <w:szCs w:val="24"/>
        </w:rPr>
        <w:t>3</w:t>
      </w:r>
      <w:r w:rsidRPr="0076192F">
        <w:rPr>
          <w:rFonts w:ascii="Cambria Math" w:hAnsi="Cambria Math"/>
          <w:b/>
          <w:sz w:val="24"/>
          <w:szCs w:val="24"/>
        </w:rPr>
        <w:t xml:space="preserve">. </w:t>
      </w:r>
      <w:r w:rsidR="0041747A" w:rsidRPr="0076192F">
        <w:rPr>
          <w:rFonts w:ascii="Cambria Math" w:hAnsi="Cambria Math"/>
          <w:b/>
          <w:sz w:val="24"/>
          <w:szCs w:val="24"/>
        </w:rPr>
        <w:t>R</w:t>
      </w:r>
      <w:r w:rsidRPr="0076192F">
        <w:rPr>
          <w:rFonts w:ascii="Cambria Math" w:hAnsi="Cambria Math"/>
          <w:b/>
          <w:sz w:val="24"/>
          <w:szCs w:val="24"/>
        </w:rPr>
        <w:t>obustness checks</w:t>
      </w:r>
    </w:p>
    <w:p w14:paraId="5C6AED94" w14:textId="3B92D47A" w:rsidR="0069272C" w:rsidRPr="0076192F" w:rsidRDefault="0069272C" w:rsidP="00DD5BF6">
      <w:pPr>
        <w:jc w:val="both"/>
        <w:rPr>
          <w:rFonts w:ascii="Cambria Math" w:hAnsi="Cambria Math"/>
          <w:b/>
          <w:sz w:val="24"/>
          <w:szCs w:val="24"/>
        </w:rPr>
      </w:pPr>
      <w:r w:rsidRPr="0076192F">
        <w:rPr>
          <w:rFonts w:ascii="Cambria Math" w:hAnsi="Cambria Math"/>
          <w:b/>
          <w:sz w:val="24"/>
          <w:szCs w:val="24"/>
        </w:rPr>
        <w:t>4.</w:t>
      </w:r>
      <w:r w:rsidR="00785508">
        <w:rPr>
          <w:rFonts w:ascii="Cambria Math" w:hAnsi="Cambria Math"/>
          <w:b/>
          <w:sz w:val="24"/>
          <w:szCs w:val="24"/>
        </w:rPr>
        <w:t>3</w:t>
      </w:r>
      <w:r w:rsidRPr="0076192F">
        <w:rPr>
          <w:rFonts w:ascii="Cambria Math" w:hAnsi="Cambria Math"/>
          <w:b/>
          <w:sz w:val="24"/>
          <w:szCs w:val="24"/>
        </w:rPr>
        <w:t>.1. A logistic transformation of sovereign ratings</w:t>
      </w:r>
    </w:p>
    <w:p w14:paraId="37E67309" w14:textId="3A605F7B" w:rsidR="008F0F08" w:rsidRPr="0076192F" w:rsidRDefault="00D77462" w:rsidP="00DD5BF6">
      <w:pPr>
        <w:jc w:val="both"/>
        <w:rPr>
          <w:rFonts w:ascii="Cambria Math" w:hAnsi="Cambria Math"/>
          <w:sz w:val="24"/>
          <w:szCs w:val="24"/>
        </w:rPr>
      </w:pPr>
      <w:r w:rsidRPr="0076192F">
        <w:rPr>
          <w:rFonts w:ascii="Cambria Math" w:hAnsi="Cambria Math"/>
          <w:sz w:val="24"/>
          <w:szCs w:val="24"/>
        </w:rPr>
        <w:t>So far o</w:t>
      </w:r>
      <w:r w:rsidR="000E6147" w:rsidRPr="0076192F">
        <w:rPr>
          <w:rFonts w:ascii="Cambria Math" w:hAnsi="Cambria Math"/>
          <w:sz w:val="24"/>
          <w:szCs w:val="24"/>
        </w:rPr>
        <w:t>ur results ha</w:t>
      </w:r>
      <w:r w:rsidRPr="0076192F">
        <w:rPr>
          <w:rFonts w:ascii="Cambria Math" w:hAnsi="Cambria Math"/>
          <w:sz w:val="24"/>
          <w:szCs w:val="24"/>
        </w:rPr>
        <w:t>ve</w:t>
      </w:r>
      <w:r w:rsidR="000E6147" w:rsidRPr="0076192F">
        <w:rPr>
          <w:rFonts w:ascii="Cambria Math" w:hAnsi="Cambria Math"/>
          <w:sz w:val="24"/>
          <w:szCs w:val="24"/>
        </w:rPr>
        <w:t xml:space="preserve"> been based on the linear transformation of sovereign ratings from letters to numbers.</w:t>
      </w:r>
      <w:r w:rsidR="00DD5BF6" w:rsidRPr="0076192F">
        <w:rPr>
          <w:rFonts w:ascii="Cambria Math" w:hAnsi="Cambria Math"/>
          <w:sz w:val="24"/>
          <w:szCs w:val="24"/>
        </w:rPr>
        <w:t xml:space="preserve"> This implies that the distance between two subsequent ratings is always the same</w:t>
      </w:r>
      <w:r w:rsidR="0041747A" w:rsidRPr="0076192F">
        <w:rPr>
          <w:rFonts w:ascii="Cambria Math" w:hAnsi="Cambria Math"/>
          <w:sz w:val="24"/>
          <w:szCs w:val="24"/>
        </w:rPr>
        <w:t>.</w:t>
      </w:r>
      <w:r w:rsidR="008F0F08" w:rsidRPr="0076192F">
        <w:rPr>
          <w:rFonts w:ascii="Cambria Math" w:hAnsi="Cambria Math"/>
          <w:sz w:val="24"/>
          <w:szCs w:val="24"/>
        </w:rPr>
        <w:t xml:space="preserve"> Among others, </w:t>
      </w:r>
      <w:r w:rsidR="00DD5BF6" w:rsidRPr="0076192F">
        <w:rPr>
          <w:rFonts w:ascii="Cambria Math" w:hAnsi="Cambria Math"/>
          <w:sz w:val="24"/>
          <w:szCs w:val="24"/>
        </w:rPr>
        <w:t xml:space="preserve">Afonso et al. (2011) </w:t>
      </w:r>
      <w:r w:rsidR="008F0F08" w:rsidRPr="0076192F">
        <w:rPr>
          <w:rFonts w:ascii="Cambria Math" w:hAnsi="Cambria Math"/>
          <w:sz w:val="24"/>
          <w:szCs w:val="24"/>
        </w:rPr>
        <w:t xml:space="preserve">and </w:t>
      </w:r>
      <w:r w:rsidR="00DD5BF6" w:rsidRPr="0076192F">
        <w:rPr>
          <w:rFonts w:ascii="Cambria Math" w:hAnsi="Cambria Math"/>
          <w:sz w:val="24"/>
          <w:szCs w:val="24"/>
        </w:rPr>
        <w:t>Boumparis et al. (2017) have considered</w:t>
      </w:r>
      <w:r w:rsidR="000E6147" w:rsidRPr="0076192F">
        <w:rPr>
          <w:rFonts w:ascii="Cambria Math" w:hAnsi="Cambria Math"/>
          <w:sz w:val="24"/>
          <w:szCs w:val="24"/>
        </w:rPr>
        <w:t xml:space="preserve"> a logistic transformation of sovereign ratings instead of a linear </w:t>
      </w:r>
      <w:r w:rsidR="00DD5BF6" w:rsidRPr="0076192F">
        <w:rPr>
          <w:rFonts w:ascii="Cambria Math" w:hAnsi="Cambria Math"/>
          <w:sz w:val="24"/>
          <w:szCs w:val="24"/>
        </w:rPr>
        <w:t xml:space="preserve">one. </w:t>
      </w:r>
      <w:r w:rsidR="00992F95">
        <w:rPr>
          <w:rFonts w:ascii="Cambria Math" w:hAnsi="Cambria Math"/>
          <w:sz w:val="24"/>
          <w:szCs w:val="24"/>
        </w:rPr>
        <w:t>T</w:t>
      </w:r>
      <w:r w:rsidR="007D0FF3" w:rsidRPr="0076192F">
        <w:rPr>
          <w:rFonts w:ascii="Cambria Math" w:hAnsi="Cambria Math"/>
          <w:sz w:val="24"/>
          <w:szCs w:val="24"/>
        </w:rPr>
        <w:t>he logistic transformation is given by</w:t>
      </w:r>
      <w:r w:rsidR="00563717" w:rsidRPr="0076192F">
        <w:rPr>
          <w:rFonts w:ascii="Cambria Math" w:hAnsi="Cambria Math"/>
          <w:position w:val="-12"/>
        </w:rPr>
        <w:object w:dxaOrig="1880" w:dyaOrig="360" w14:anchorId="4325923D">
          <v:shape id="_x0000_i1036" type="#_x0000_t75" style="width:88pt;height:20.5pt" o:ole="">
            <v:imagedata r:id="rId36" o:title=""/>
          </v:shape>
          <o:OLEObject Type="Embed" ProgID="Equation.DSMT4" ShapeID="_x0000_i1036" DrawAspect="Content" ObjectID="_1621159132" r:id="rId37"/>
        </w:object>
      </w:r>
      <w:r w:rsidR="007D0FF3" w:rsidRPr="0076192F">
        <w:rPr>
          <w:rFonts w:ascii="Cambria Math" w:hAnsi="Cambria Math"/>
          <w:sz w:val="24"/>
          <w:szCs w:val="24"/>
        </w:rPr>
        <w:t xml:space="preserve">, where </w:t>
      </w:r>
      <w:r w:rsidR="00563717" w:rsidRPr="0076192F">
        <w:rPr>
          <w:rFonts w:ascii="Cambria Math" w:hAnsi="Cambria Math"/>
          <w:position w:val="-12"/>
          <w:sz w:val="24"/>
          <w:szCs w:val="24"/>
        </w:rPr>
        <w:object w:dxaOrig="1840" w:dyaOrig="360" w14:anchorId="208301B7">
          <v:shape id="_x0000_i1037" type="#_x0000_t75" style="width:88pt;height:20.5pt" o:ole="">
            <v:imagedata r:id="rId38" o:title=""/>
          </v:shape>
          <o:OLEObject Type="Embed" ProgID="Equation.DSMT4" ShapeID="_x0000_i1037" DrawAspect="Content" ObjectID="_1621159133" r:id="rId39"/>
        </w:object>
      </w:r>
      <w:r w:rsidR="007D0FF3" w:rsidRPr="0076192F">
        <w:rPr>
          <w:rFonts w:ascii="Cambria Math" w:hAnsi="Cambria Math"/>
          <w:sz w:val="24"/>
          <w:szCs w:val="24"/>
        </w:rPr>
        <w:t xml:space="preserve">, the number of categories, </w:t>
      </w:r>
      <w:r w:rsidR="004B5C0F" w:rsidRPr="00482EC8">
        <w:rPr>
          <w:position w:val="-12"/>
        </w:rPr>
        <w:object w:dxaOrig="260" w:dyaOrig="360" w14:anchorId="3D9B90AF">
          <v:shape id="_x0000_i1038" type="#_x0000_t75" style="width:16pt;height:20.5pt" o:ole="">
            <v:imagedata r:id="rId40" o:title=""/>
          </v:shape>
          <o:OLEObject Type="Embed" ProgID="Equation.DSMT4" ShapeID="_x0000_i1038" DrawAspect="Content" ObjectID="_1621159134" r:id="rId41"/>
        </w:object>
      </w:r>
      <w:r w:rsidR="004B5C0F">
        <w:t xml:space="preserve">, </w:t>
      </w:r>
      <w:r w:rsidR="007D0FF3" w:rsidRPr="0076192F">
        <w:rPr>
          <w:rFonts w:ascii="Cambria Math" w:hAnsi="Cambria Math"/>
          <w:sz w:val="24"/>
          <w:szCs w:val="24"/>
        </w:rPr>
        <w:t>equals 21 and (from the last column of Table 1) the rating grades are</w:t>
      </w:r>
      <w:r w:rsidR="00267DCE" w:rsidRPr="0076192F">
        <w:rPr>
          <w:rFonts w:ascii="Cambria Math" w:hAnsi="Cambria Math"/>
          <w:sz w:val="24"/>
          <w:szCs w:val="24"/>
        </w:rPr>
        <w:t xml:space="preserve"> </w:t>
      </w:r>
      <w:r w:rsidR="00267DCE" w:rsidRPr="0076192F">
        <w:rPr>
          <w:rFonts w:ascii="Cambria Math" w:hAnsi="Cambria Math"/>
          <w:position w:val="-6"/>
        </w:rPr>
        <w:object w:dxaOrig="340" w:dyaOrig="279" w14:anchorId="7CE5D0BE">
          <v:shape id="_x0000_i1039" type="#_x0000_t75" style="width:15.5pt;height:15.5pt" o:ole="">
            <v:imagedata r:id="rId42" o:title=""/>
          </v:shape>
          <o:OLEObject Type="Embed" ProgID="Equation.DSMT4" ShapeID="_x0000_i1039" DrawAspect="Content" ObjectID="_1621159135" r:id="rId43"/>
        </w:object>
      </w:r>
      <w:r w:rsidR="00267DCE" w:rsidRPr="0076192F">
        <w:rPr>
          <w:rFonts w:ascii="Cambria Math" w:hAnsi="Cambria Math"/>
          <w:position w:val="-10"/>
        </w:rPr>
        <w:object w:dxaOrig="920" w:dyaOrig="320" w14:anchorId="71B75D44">
          <v:shape id="_x0000_i1040" type="#_x0000_t75" style="width:46.5pt;height:15.5pt" o:ole="">
            <v:imagedata r:id="rId44" o:title=""/>
          </v:shape>
          <o:OLEObject Type="Embed" ProgID="Equation.DSMT4" ShapeID="_x0000_i1040" DrawAspect="Content" ObjectID="_1621159136" r:id="rId45"/>
        </w:object>
      </w:r>
      <w:r w:rsidR="007D0FF3" w:rsidRPr="0076192F">
        <w:rPr>
          <w:rFonts w:ascii="Cambria Math" w:hAnsi="Cambria Math"/>
          <w:sz w:val="24"/>
          <w:szCs w:val="24"/>
        </w:rPr>
        <w:t xml:space="preserve">. Figure </w:t>
      </w:r>
      <w:r w:rsidR="005B03E5">
        <w:rPr>
          <w:rFonts w:ascii="Cambria Math" w:hAnsi="Cambria Math"/>
          <w:sz w:val="24"/>
          <w:szCs w:val="24"/>
        </w:rPr>
        <w:t>4</w:t>
      </w:r>
      <w:r w:rsidR="007D0FF3" w:rsidRPr="0076192F">
        <w:rPr>
          <w:rFonts w:ascii="Cambria Math" w:hAnsi="Cambria Math"/>
          <w:sz w:val="24"/>
          <w:szCs w:val="24"/>
        </w:rPr>
        <w:t xml:space="preserve"> plots together the linear and logistic transformation for Mo</w:t>
      </w:r>
      <w:r w:rsidR="00920D49" w:rsidRPr="0076192F">
        <w:rPr>
          <w:rFonts w:ascii="Cambria Math" w:hAnsi="Cambria Math"/>
          <w:sz w:val="24"/>
          <w:szCs w:val="24"/>
        </w:rPr>
        <w:t>ody’s sovereign credit ratings.</w:t>
      </w:r>
    </w:p>
    <w:p w14:paraId="0A717A4A" w14:textId="18F3AF79" w:rsidR="00B40E6A" w:rsidRPr="00C8340B" w:rsidRDefault="007D0FF3" w:rsidP="00980678">
      <w:pPr>
        <w:jc w:val="both"/>
        <w:rPr>
          <w:rFonts w:ascii="Cambria Math" w:hAnsi="Cambria Math"/>
          <w:sz w:val="24"/>
          <w:szCs w:val="24"/>
        </w:rPr>
      </w:pPr>
      <w:r w:rsidRPr="0076192F">
        <w:rPr>
          <w:rFonts w:ascii="Cambria Math" w:hAnsi="Cambria Math"/>
          <w:sz w:val="24"/>
          <w:szCs w:val="24"/>
        </w:rPr>
        <w:t xml:space="preserve">In the logistic transformation, the differences between categories are not constant but are still imposed </w:t>
      </w:r>
      <w:r w:rsidRPr="0076192F">
        <w:rPr>
          <w:rFonts w:ascii="Cambria Math" w:hAnsi="Cambria Math"/>
          <w:i/>
          <w:sz w:val="24"/>
          <w:szCs w:val="24"/>
        </w:rPr>
        <w:t>a priori</w:t>
      </w:r>
      <w:r w:rsidRPr="0076192F">
        <w:rPr>
          <w:rFonts w:ascii="Cambria Math" w:hAnsi="Cambria Math"/>
          <w:sz w:val="24"/>
          <w:szCs w:val="24"/>
        </w:rPr>
        <w:t>. Consequently, we perform</w:t>
      </w:r>
      <w:r w:rsidR="00053E51">
        <w:rPr>
          <w:rFonts w:ascii="Cambria Math" w:hAnsi="Cambria Math"/>
          <w:sz w:val="24"/>
          <w:szCs w:val="24"/>
        </w:rPr>
        <w:t>ed</w:t>
      </w:r>
      <w:r w:rsidRPr="0076192F">
        <w:rPr>
          <w:rFonts w:ascii="Cambria Math" w:hAnsi="Cambria Math"/>
          <w:sz w:val="24"/>
          <w:szCs w:val="24"/>
        </w:rPr>
        <w:t xml:space="preserve"> again our analysis using </w:t>
      </w:r>
      <w:r w:rsidR="007E5F32" w:rsidRPr="0076192F">
        <w:rPr>
          <w:rFonts w:ascii="Cambria Math" w:hAnsi="Cambria Math"/>
          <w:sz w:val="24"/>
          <w:szCs w:val="24"/>
        </w:rPr>
        <w:t>the</w:t>
      </w:r>
      <w:r w:rsidRPr="0076192F">
        <w:rPr>
          <w:rFonts w:ascii="Cambria Math" w:hAnsi="Cambria Math"/>
          <w:sz w:val="24"/>
          <w:szCs w:val="24"/>
        </w:rPr>
        <w:t xml:space="preserve"> logistic transformation of sovereign ratings.</w:t>
      </w:r>
      <w:r w:rsidR="001B66DF">
        <w:rPr>
          <w:rFonts w:ascii="Cambria Math" w:hAnsi="Cambria Math"/>
          <w:sz w:val="24"/>
          <w:szCs w:val="24"/>
        </w:rPr>
        <w:t xml:space="preserve"> W</w:t>
      </w:r>
      <w:r w:rsidR="005E30E1" w:rsidRPr="0076192F">
        <w:rPr>
          <w:rFonts w:ascii="Cambria Math" w:hAnsi="Cambria Math"/>
          <w:sz w:val="24"/>
          <w:szCs w:val="24"/>
        </w:rPr>
        <w:t>e report</w:t>
      </w:r>
      <w:r w:rsidR="000C5D13" w:rsidRPr="0076192F">
        <w:rPr>
          <w:rFonts w:ascii="Cambria Math" w:hAnsi="Cambria Math"/>
          <w:sz w:val="24"/>
          <w:szCs w:val="24"/>
        </w:rPr>
        <w:t xml:space="preserve"> </w:t>
      </w:r>
      <w:r w:rsidR="00F5177C">
        <w:rPr>
          <w:rFonts w:ascii="Cambria Math" w:hAnsi="Cambria Math"/>
          <w:sz w:val="24"/>
          <w:szCs w:val="24"/>
        </w:rPr>
        <w:t>in Figure 5</w:t>
      </w:r>
      <w:r w:rsidR="005B7113" w:rsidRPr="0076192F">
        <w:rPr>
          <w:rFonts w:ascii="Cambria Math" w:hAnsi="Cambria Math"/>
          <w:sz w:val="24"/>
          <w:szCs w:val="24"/>
        </w:rPr>
        <w:t xml:space="preserve"> GIRFs</w:t>
      </w:r>
      <w:r w:rsidR="005E30E1" w:rsidRPr="0076192F">
        <w:rPr>
          <w:rFonts w:ascii="Cambria Math" w:hAnsi="Cambria Math"/>
          <w:sz w:val="24"/>
          <w:szCs w:val="24"/>
        </w:rPr>
        <w:t xml:space="preserve"> </w:t>
      </w:r>
      <w:r w:rsidR="000C5D13" w:rsidRPr="0076192F">
        <w:rPr>
          <w:rFonts w:ascii="Cambria Math" w:hAnsi="Cambria Math"/>
          <w:sz w:val="24"/>
          <w:szCs w:val="24"/>
        </w:rPr>
        <w:t xml:space="preserve">for Moody’s </w:t>
      </w:r>
      <w:r w:rsidR="00712F42" w:rsidRPr="0076192F">
        <w:rPr>
          <w:rFonts w:ascii="Cambria Math" w:hAnsi="Cambria Math"/>
          <w:sz w:val="24"/>
          <w:szCs w:val="24"/>
        </w:rPr>
        <w:t xml:space="preserve">over the 1998-2016 period </w:t>
      </w:r>
      <w:r w:rsidR="000C5D13" w:rsidRPr="0076192F">
        <w:rPr>
          <w:rFonts w:ascii="Cambria Math" w:hAnsi="Cambria Math"/>
          <w:sz w:val="24"/>
          <w:szCs w:val="24"/>
        </w:rPr>
        <w:t xml:space="preserve">using </w:t>
      </w:r>
      <w:r w:rsidR="005B7113" w:rsidRPr="0076192F">
        <w:rPr>
          <w:rFonts w:ascii="Cambria Math" w:hAnsi="Cambria Math"/>
          <w:sz w:val="24"/>
          <w:szCs w:val="24"/>
        </w:rPr>
        <w:t xml:space="preserve">the </w:t>
      </w:r>
      <w:r w:rsidR="000C5D13" w:rsidRPr="0076192F">
        <w:rPr>
          <w:rFonts w:ascii="Cambria Math" w:hAnsi="Cambria Math"/>
          <w:sz w:val="24"/>
          <w:szCs w:val="24"/>
        </w:rPr>
        <w:t>first differenc</w:t>
      </w:r>
      <w:r w:rsidR="005B7113" w:rsidRPr="0076192F">
        <w:rPr>
          <w:rFonts w:ascii="Cambria Math" w:hAnsi="Cambria Math"/>
          <w:sz w:val="24"/>
          <w:szCs w:val="24"/>
        </w:rPr>
        <w:t>e transformation;</w:t>
      </w:r>
      <w:r w:rsidR="000C5D13" w:rsidRPr="0076192F">
        <w:rPr>
          <w:rFonts w:ascii="Cambria Math" w:hAnsi="Cambria Math"/>
          <w:sz w:val="24"/>
          <w:szCs w:val="24"/>
        </w:rPr>
        <w:t xml:space="preserve"> </w:t>
      </w:r>
      <w:r w:rsidR="005B7113" w:rsidRPr="0076192F">
        <w:rPr>
          <w:rFonts w:ascii="Cambria Math" w:hAnsi="Cambria Math"/>
          <w:sz w:val="24"/>
          <w:szCs w:val="24"/>
        </w:rPr>
        <w:t xml:space="preserve">these </w:t>
      </w:r>
      <w:r w:rsidR="001B67DA" w:rsidRPr="0076192F">
        <w:rPr>
          <w:rFonts w:ascii="Cambria Math" w:hAnsi="Cambria Math"/>
          <w:sz w:val="24"/>
          <w:szCs w:val="24"/>
        </w:rPr>
        <w:t xml:space="preserve">are </w:t>
      </w:r>
      <w:r w:rsidR="00B826FE" w:rsidRPr="0076192F">
        <w:rPr>
          <w:rFonts w:ascii="Cambria Math" w:hAnsi="Cambria Math"/>
          <w:sz w:val="24"/>
          <w:szCs w:val="24"/>
        </w:rPr>
        <w:t>broad</w:t>
      </w:r>
      <w:r w:rsidR="009B6A81" w:rsidRPr="0076192F">
        <w:rPr>
          <w:rFonts w:ascii="Cambria Math" w:hAnsi="Cambria Math"/>
          <w:sz w:val="24"/>
          <w:szCs w:val="24"/>
        </w:rPr>
        <w:t>ly</w:t>
      </w:r>
      <w:r w:rsidR="00B826FE" w:rsidRPr="0076192F">
        <w:rPr>
          <w:rFonts w:ascii="Cambria Math" w:hAnsi="Cambria Math"/>
          <w:sz w:val="24"/>
          <w:szCs w:val="24"/>
        </w:rPr>
        <w:t xml:space="preserve"> </w:t>
      </w:r>
      <w:r w:rsidR="009B6A81" w:rsidRPr="0076192F">
        <w:rPr>
          <w:rFonts w:ascii="Cambria Math" w:hAnsi="Cambria Math"/>
          <w:sz w:val="24"/>
          <w:szCs w:val="24"/>
        </w:rPr>
        <w:t xml:space="preserve">in </w:t>
      </w:r>
      <w:r w:rsidR="001B67DA" w:rsidRPr="0076192F">
        <w:rPr>
          <w:rFonts w:ascii="Cambria Math" w:hAnsi="Cambria Math"/>
          <w:sz w:val="24"/>
          <w:szCs w:val="24"/>
        </w:rPr>
        <w:t xml:space="preserve">line with our main results </w:t>
      </w:r>
      <w:r w:rsidR="00B826FE" w:rsidRPr="0076192F">
        <w:rPr>
          <w:rFonts w:ascii="Cambria Math" w:hAnsi="Cambria Math"/>
          <w:sz w:val="24"/>
          <w:szCs w:val="24"/>
        </w:rPr>
        <w:t xml:space="preserve">reported </w:t>
      </w:r>
      <w:r w:rsidR="001B67DA" w:rsidRPr="0076192F">
        <w:rPr>
          <w:rFonts w:ascii="Cambria Math" w:hAnsi="Cambria Math"/>
          <w:sz w:val="24"/>
          <w:szCs w:val="24"/>
        </w:rPr>
        <w:t>earlier</w:t>
      </w:r>
      <w:r w:rsidR="00B826FE" w:rsidRPr="0076192F">
        <w:rPr>
          <w:rFonts w:ascii="Cambria Math" w:hAnsi="Cambria Math"/>
          <w:sz w:val="24"/>
          <w:szCs w:val="24"/>
        </w:rPr>
        <w:t xml:space="preserve"> on</w:t>
      </w:r>
      <w:r w:rsidR="001B67DA" w:rsidRPr="0076192F">
        <w:rPr>
          <w:rFonts w:ascii="Cambria Math" w:hAnsi="Cambria Math"/>
          <w:sz w:val="24"/>
          <w:szCs w:val="24"/>
        </w:rPr>
        <w:t xml:space="preserve">. </w:t>
      </w:r>
      <w:r w:rsidR="001B67DA" w:rsidRPr="00BD7A31">
        <w:rPr>
          <w:rFonts w:ascii="Cambria Math" w:hAnsi="Cambria Math"/>
          <w:sz w:val="24"/>
          <w:szCs w:val="24"/>
        </w:rPr>
        <w:t>However,</w:t>
      </w:r>
      <w:r w:rsidR="00BD7A31">
        <w:rPr>
          <w:rFonts w:ascii="Cambria Math" w:hAnsi="Cambria Math"/>
          <w:sz w:val="24"/>
          <w:szCs w:val="24"/>
        </w:rPr>
        <w:t xml:space="preserve"> </w:t>
      </w:r>
      <w:r w:rsidR="00992F95">
        <w:rPr>
          <w:rFonts w:ascii="Cambria Math" w:hAnsi="Cambria Math"/>
          <w:sz w:val="24"/>
          <w:szCs w:val="24"/>
        </w:rPr>
        <w:t>minor</w:t>
      </w:r>
      <w:r w:rsidR="00BD7A31">
        <w:rPr>
          <w:rFonts w:ascii="Cambria Math" w:hAnsi="Cambria Math"/>
          <w:sz w:val="24"/>
          <w:szCs w:val="24"/>
        </w:rPr>
        <w:t xml:space="preserve"> differences can be observed. </w:t>
      </w:r>
      <w:r w:rsidR="00BD7A31" w:rsidRPr="00C8340B">
        <w:rPr>
          <w:rFonts w:ascii="Cambria Math" w:hAnsi="Cambria Math"/>
          <w:sz w:val="24"/>
          <w:szCs w:val="24"/>
        </w:rPr>
        <w:t xml:space="preserve">For instance, </w:t>
      </w:r>
      <w:r w:rsidR="001B67DA" w:rsidRPr="00C8340B">
        <w:rPr>
          <w:rFonts w:ascii="Cambria Math" w:hAnsi="Cambria Math"/>
          <w:sz w:val="24"/>
          <w:szCs w:val="24"/>
        </w:rPr>
        <w:t xml:space="preserve"> </w:t>
      </w:r>
      <w:r w:rsidR="00B826FE" w:rsidRPr="00C8340B">
        <w:rPr>
          <w:rFonts w:ascii="Cambria Math" w:hAnsi="Cambria Math"/>
          <w:sz w:val="24"/>
          <w:szCs w:val="24"/>
        </w:rPr>
        <w:t xml:space="preserve">a </w:t>
      </w:r>
      <w:r w:rsidR="000F52F9" w:rsidRPr="00C8340B">
        <w:rPr>
          <w:rFonts w:ascii="Cambria Math" w:hAnsi="Cambria Math"/>
          <w:sz w:val="24"/>
          <w:szCs w:val="24"/>
        </w:rPr>
        <w:t>compari</w:t>
      </w:r>
      <w:r w:rsidR="00B826FE" w:rsidRPr="00C8340B">
        <w:rPr>
          <w:rFonts w:ascii="Cambria Math" w:hAnsi="Cambria Math"/>
          <w:sz w:val="24"/>
          <w:szCs w:val="24"/>
        </w:rPr>
        <w:t>son</w:t>
      </w:r>
      <w:r w:rsidR="000F52F9" w:rsidRPr="00C8340B">
        <w:rPr>
          <w:rFonts w:ascii="Cambria Math" w:hAnsi="Cambria Math"/>
          <w:sz w:val="24"/>
          <w:szCs w:val="24"/>
        </w:rPr>
        <w:t xml:space="preserve"> </w:t>
      </w:r>
      <w:r w:rsidR="00B826FE" w:rsidRPr="00C8340B">
        <w:rPr>
          <w:rFonts w:ascii="Cambria Math" w:hAnsi="Cambria Math"/>
          <w:sz w:val="24"/>
          <w:szCs w:val="24"/>
        </w:rPr>
        <w:t xml:space="preserve">of </w:t>
      </w:r>
      <w:r w:rsidR="002C15A7">
        <w:rPr>
          <w:rFonts w:ascii="Cambria Math" w:hAnsi="Cambria Math"/>
          <w:sz w:val="24"/>
          <w:szCs w:val="24"/>
        </w:rPr>
        <w:t>Figure 5</w:t>
      </w:r>
      <w:r w:rsidR="001B67DA" w:rsidRPr="00C8340B">
        <w:rPr>
          <w:rFonts w:ascii="Cambria Math" w:hAnsi="Cambria Math"/>
          <w:sz w:val="24"/>
          <w:szCs w:val="24"/>
        </w:rPr>
        <w:t xml:space="preserve"> </w:t>
      </w:r>
      <w:r w:rsidR="002C15A7">
        <w:rPr>
          <w:rFonts w:ascii="Cambria Math" w:hAnsi="Cambria Math"/>
          <w:sz w:val="24"/>
          <w:szCs w:val="24"/>
        </w:rPr>
        <w:t>with Figure 1</w:t>
      </w:r>
      <w:r w:rsidR="000F52F9" w:rsidRPr="00C8340B">
        <w:rPr>
          <w:rFonts w:ascii="Cambria Math" w:hAnsi="Cambria Math"/>
          <w:sz w:val="24"/>
          <w:szCs w:val="24"/>
        </w:rPr>
        <w:t xml:space="preserve"> </w:t>
      </w:r>
      <w:r w:rsidR="00B826FE" w:rsidRPr="00C8340B">
        <w:rPr>
          <w:rFonts w:ascii="Cambria Math" w:hAnsi="Cambria Math"/>
          <w:sz w:val="24"/>
          <w:szCs w:val="24"/>
        </w:rPr>
        <w:t xml:space="preserve">shows </w:t>
      </w:r>
      <w:bookmarkStart w:id="7" w:name="_Hlk514261127"/>
      <w:r w:rsidR="001B67DA" w:rsidRPr="00C8340B">
        <w:rPr>
          <w:rFonts w:ascii="Cambria Math" w:hAnsi="Cambria Math"/>
          <w:sz w:val="24"/>
          <w:szCs w:val="24"/>
        </w:rPr>
        <w:t xml:space="preserve">that </w:t>
      </w:r>
      <w:r w:rsidR="00980678" w:rsidRPr="00C8340B">
        <w:rPr>
          <w:rFonts w:ascii="Cambria Math" w:hAnsi="Cambria Math"/>
          <w:sz w:val="24"/>
          <w:szCs w:val="24"/>
        </w:rPr>
        <w:t>the impact</w:t>
      </w:r>
      <w:bookmarkStart w:id="8" w:name="_Hlk513716709"/>
      <w:r w:rsidR="00980678" w:rsidRPr="00C8340B">
        <w:rPr>
          <w:rFonts w:ascii="Cambria Math" w:hAnsi="Cambria Math"/>
          <w:sz w:val="24"/>
          <w:szCs w:val="24"/>
        </w:rPr>
        <w:t xml:space="preserve"> of</w:t>
      </w:r>
      <w:r w:rsidR="00BD7A31" w:rsidRPr="00C8340B">
        <w:rPr>
          <w:rFonts w:ascii="Cambria Math" w:hAnsi="Cambria Math"/>
          <w:sz w:val="24"/>
          <w:szCs w:val="24"/>
        </w:rPr>
        <w:t xml:space="preserve"> sovereign rating shocks on NPLs</w:t>
      </w:r>
      <w:r w:rsidR="00980678" w:rsidRPr="00C8340B">
        <w:rPr>
          <w:rFonts w:ascii="Cambria Math" w:hAnsi="Cambria Math"/>
          <w:sz w:val="24"/>
          <w:szCs w:val="24"/>
        </w:rPr>
        <w:t xml:space="preserve"> based on the </w:t>
      </w:r>
      <w:r w:rsidR="00BD7A31" w:rsidRPr="00C8340B">
        <w:rPr>
          <w:rFonts w:ascii="Cambria Math" w:hAnsi="Cambria Math"/>
          <w:sz w:val="24"/>
          <w:szCs w:val="24"/>
        </w:rPr>
        <w:t>logistic</w:t>
      </w:r>
      <w:r w:rsidR="00980678" w:rsidRPr="00C8340B">
        <w:rPr>
          <w:rFonts w:ascii="Cambria Math" w:hAnsi="Cambria Math"/>
          <w:sz w:val="24"/>
          <w:szCs w:val="24"/>
        </w:rPr>
        <w:t xml:space="preserve"> transformation </w:t>
      </w:r>
      <w:r w:rsidR="009C68BD" w:rsidRPr="00C8340B">
        <w:rPr>
          <w:rFonts w:ascii="Cambria Math" w:hAnsi="Cambria Math"/>
          <w:sz w:val="24"/>
          <w:szCs w:val="24"/>
        </w:rPr>
        <w:t>against</w:t>
      </w:r>
      <w:r w:rsidR="00BD7A31" w:rsidRPr="00C8340B">
        <w:rPr>
          <w:rFonts w:ascii="Cambria Math" w:hAnsi="Cambria Math"/>
          <w:sz w:val="24"/>
          <w:szCs w:val="24"/>
        </w:rPr>
        <w:t xml:space="preserve"> the linear</w:t>
      </w:r>
      <w:r w:rsidR="00980678" w:rsidRPr="00C8340B">
        <w:rPr>
          <w:rFonts w:ascii="Cambria Math" w:hAnsi="Cambria Math"/>
          <w:sz w:val="24"/>
          <w:szCs w:val="24"/>
        </w:rPr>
        <w:t xml:space="preserve"> transformation is statistically mo</w:t>
      </w:r>
      <w:r w:rsidR="00C9184F" w:rsidRPr="00C8340B">
        <w:rPr>
          <w:rFonts w:ascii="Cambria Math" w:hAnsi="Cambria Math"/>
          <w:sz w:val="24"/>
          <w:szCs w:val="24"/>
        </w:rPr>
        <w:t>st</w:t>
      </w:r>
      <w:r w:rsidR="00980678" w:rsidRPr="00C8340B">
        <w:rPr>
          <w:rFonts w:ascii="Cambria Math" w:hAnsi="Cambria Math"/>
          <w:sz w:val="24"/>
          <w:szCs w:val="24"/>
        </w:rPr>
        <w:t xml:space="preserve"> </w:t>
      </w:r>
      <w:r w:rsidR="00743620" w:rsidRPr="00C8340B">
        <w:rPr>
          <w:rFonts w:ascii="Cambria Math" w:hAnsi="Cambria Math"/>
          <w:sz w:val="24"/>
          <w:szCs w:val="24"/>
        </w:rPr>
        <w:t>long</w:t>
      </w:r>
      <w:r w:rsidR="00980678" w:rsidRPr="00C8340B">
        <w:rPr>
          <w:rFonts w:ascii="Cambria Math" w:hAnsi="Cambria Math"/>
          <w:sz w:val="24"/>
          <w:szCs w:val="24"/>
        </w:rPr>
        <w:t>-lived (</w:t>
      </w:r>
      <w:r w:rsidR="00BD7A31" w:rsidRPr="00C8340B">
        <w:rPr>
          <w:rFonts w:ascii="Cambria Math" w:hAnsi="Cambria Math"/>
          <w:sz w:val="24"/>
          <w:szCs w:val="24"/>
        </w:rPr>
        <w:t>10</w:t>
      </w:r>
      <w:r w:rsidR="00980678" w:rsidRPr="00C8340B">
        <w:rPr>
          <w:rFonts w:ascii="Cambria Math" w:hAnsi="Cambria Math"/>
          <w:sz w:val="24"/>
          <w:szCs w:val="24"/>
        </w:rPr>
        <w:t xml:space="preserve"> years for the former as opposed to </w:t>
      </w:r>
      <w:r w:rsidR="00BD7A31" w:rsidRPr="00C8340B">
        <w:rPr>
          <w:rFonts w:ascii="Cambria Math" w:hAnsi="Cambria Math"/>
          <w:sz w:val="24"/>
          <w:szCs w:val="24"/>
        </w:rPr>
        <w:t>9</w:t>
      </w:r>
      <w:r w:rsidR="00980678" w:rsidRPr="00C8340B">
        <w:rPr>
          <w:rFonts w:ascii="Cambria Math" w:hAnsi="Cambria Math"/>
          <w:sz w:val="24"/>
          <w:szCs w:val="24"/>
        </w:rPr>
        <w:t xml:space="preserve"> years for the latter case) and the impact of sovereign rating s</w:t>
      </w:r>
      <w:bookmarkEnd w:id="7"/>
      <w:r w:rsidR="00980678" w:rsidRPr="00C8340B">
        <w:rPr>
          <w:rFonts w:ascii="Cambria Math" w:hAnsi="Cambria Math"/>
          <w:sz w:val="24"/>
          <w:szCs w:val="24"/>
        </w:rPr>
        <w:t xml:space="preserve">hocks on investments based </w:t>
      </w:r>
      <w:r w:rsidR="00980678" w:rsidRPr="00C8340B">
        <w:rPr>
          <w:rFonts w:ascii="Cambria Math" w:hAnsi="Cambria Math"/>
          <w:sz w:val="24"/>
          <w:szCs w:val="24"/>
        </w:rPr>
        <w:lastRenderedPageBreak/>
        <w:t xml:space="preserve">on the </w:t>
      </w:r>
      <w:r w:rsidR="00743620" w:rsidRPr="00C8340B">
        <w:rPr>
          <w:rFonts w:ascii="Cambria Math" w:hAnsi="Cambria Math"/>
          <w:sz w:val="24"/>
          <w:szCs w:val="24"/>
        </w:rPr>
        <w:t>linear</w:t>
      </w:r>
      <w:r w:rsidR="00980678" w:rsidRPr="00C8340B">
        <w:rPr>
          <w:rFonts w:ascii="Cambria Math" w:hAnsi="Cambria Math"/>
          <w:sz w:val="24"/>
          <w:szCs w:val="24"/>
        </w:rPr>
        <w:t xml:space="preserve"> transformation </w:t>
      </w:r>
      <w:r w:rsidR="009C68BD" w:rsidRPr="00C8340B">
        <w:rPr>
          <w:rFonts w:ascii="Cambria Math" w:hAnsi="Cambria Math"/>
          <w:sz w:val="24"/>
          <w:szCs w:val="24"/>
        </w:rPr>
        <w:t>against</w:t>
      </w:r>
      <w:r w:rsidR="00980678" w:rsidRPr="00C8340B">
        <w:rPr>
          <w:rFonts w:ascii="Cambria Math" w:hAnsi="Cambria Math"/>
          <w:sz w:val="24"/>
          <w:szCs w:val="24"/>
        </w:rPr>
        <w:t xml:space="preserve"> the </w:t>
      </w:r>
      <w:r w:rsidR="00743620" w:rsidRPr="00C8340B">
        <w:rPr>
          <w:rFonts w:ascii="Cambria Math" w:hAnsi="Cambria Math"/>
          <w:sz w:val="24"/>
          <w:szCs w:val="24"/>
        </w:rPr>
        <w:t>logistic</w:t>
      </w:r>
      <w:r w:rsidR="00980678" w:rsidRPr="00C8340B">
        <w:rPr>
          <w:rFonts w:ascii="Cambria Math" w:hAnsi="Cambria Math"/>
          <w:sz w:val="24"/>
          <w:szCs w:val="24"/>
        </w:rPr>
        <w:t xml:space="preserve"> transformation is statistically mo</w:t>
      </w:r>
      <w:r w:rsidR="00C9184F" w:rsidRPr="00C8340B">
        <w:rPr>
          <w:rFonts w:ascii="Cambria Math" w:hAnsi="Cambria Math"/>
          <w:sz w:val="24"/>
          <w:szCs w:val="24"/>
        </w:rPr>
        <w:t>st</w:t>
      </w:r>
      <w:r w:rsidR="00980678" w:rsidRPr="00C8340B">
        <w:rPr>
          <w:rFonts w:ascii="Cambria Math" w:hAnsi="Cambria Math"/>
          <w:sz w:val="24"/>
          <w:szCs w:val="24"/>
        </w:rPr>
        <w:t xml:space="preserve"> </w:t>
      </w:r>
      <w:r w:rsidR="00743620" w:rsidRPr="00C8340B">
        <w:rPr>
          <w:rFonts w:ascii="Cambria Math" w:hAnsi="Cambria Math"/>
          <w:sz w:val="24"/>
          <w:szCs w:val="24"/>
        </w:rPr>
        <w:t>long</w:t>
      </w:r>
      <w:r w:rsidR="00980678" w:rsidRPr="00C8340B">
        <w:rPr>
          <w:rFonts w:ascii="Cambria Math" w:hAnsi="Cambria Math"/>
          <w:sz w:val="24"/>
          <w:szCs w:val="24"/>
        </w:rPr>
        <w:t>-lived (</w:t>
      </w:r>
      <w:r w:rsidR="00BD7A31" w:rsidRPr="00C8340B">
        <w:rPr>
          <w:rFonts w:ascii="Cambria Math" w:hAnsi="Cambria Math"/>
          <w:sz w:val="24"/>
          <w:szCs w:val="24"/>
        </w:rPr>
        <w:t>9</w:t>
      </w:r>
      <w:r w:rsidR="00980678" w:rsidRPr="00C8340B">
        <w:rPr>
          <w:rFonts w:ascii="Cambria Math" w:hAnsi="Cambria Math"/>
          <w:sz w:val="24"/>
          <w:szCs w:val="24"/>
        </w:rPr>
        <w:t xml:space="preserve"> years for the former as opposed to </w:t>
      </w:r>
      <w:r w:rsidR="00F5177C">
        <w:rPr>
          <w:rFonts w:ascii="Cambria Math" w:hAnsi="Cambria Math"/>
          <w:sz w:val="24"/>
          <w:szCs w:val="24"/>
        </w:rPr>
        <w:t>7</w:t>
      </w:r>
      <w:r w:rsidR="00980678" w:rsidRPr="00C8340B">
        <w:rPr>
          <w:rFonts w:ascii="Cambria Math" w:hAnsi="Cambria Math"/>
          <w:sz w:val="24"/>
          <w:szCs w:val="24"/>
        </w:rPr>
        <w:t xml:space="preserve"> years for the latter case). </w:t>
      </w:r>
    </w:p>
    <w:bookmarkEnd w:id="8"/>
    <w:p w14:paraId="371310AC" w14:textId="77777777" w:rsidR="00905663" w:rsidRDefault="00905663">
      <w:pPr>
        <w:rPr>
          <w:rFonts w:ascii="Cambria Math" w:hAnsi="Cambria Math"/>
          <w:sz w:val="24"/>
          <w:szCs w:val="24"/>
        </w:rPr>
      </w:pPr>
    </w:p>
    <w:p w14:paraId="297BCD98" w14:textId="63094507" w:rsidR="0069272C" w:rsidRPr="00BD7A31" w:rsidRDefault="0069272C" w:rsidP="00BD7A31">
      <w:pPr>
        <w:rPr>
          <w:rFonts w:ascii="Cambria Math" w:hAnsi="Cambria Math"/>
          <w:sz w:val="24"/>
          <w:szCs w:val="24"/>
        </w:rPr>
      </w:pPr>
      <w:r w:rsidRPr="0076192F">
        <w:rPr>
          <w:rFonts w:ascii="Cambria Math" w:hAnsi="Cambria Math"/>
          <w:b/>
          <w:sz w:val="24"/>
          <w:szCs w:val="24"/>
        </w:rPr>
        <w:t>4.</w:t>
      </w:r>
      <w:r w:rsidR="00785508">
        <w:rPr>
          <w:rFonts w:ascii="Cambria Math" w:hAnsi="Cambria Math"/>
          <w:b/>
          <w:sz w:val="24"/>
          <w:szCs w:val="24"/>
        </w:rPr>
        <w:t>3</w:t>
      </w:r>
      <w:r w:rsidRPr="0076192F">
        <w:rPr>
          <w:rFonts w:ascii="Cambria Math" w:hAnsi="Cambria Math"/>
          <w:b/>
          <w:sz w:val="24"/>
          <w:szCs w:val="24"/>
        </w:rPr>
        <w:t xml:space="preserve">.2. Alternative measures of </w:t>
      </w:r>
      <w:r w:rsidR="00D50148" w:rsidRPr="0076192F">
        <w:rPr>
          <w:rFonts w:ascii="Cambria Math" w:hAnsi="Cambria Math"/>
          <w:b/>
          <w:sz w:val="24"/>
          <w:szCs w:val="24"/>
        </w:rPr>
        <w:t xml:space="preserve">uncertainty and </w:t>
      </w:r>
      <w:r w:rsidRPr="0076192F">
        <w:rPr>
          <w:rFonts w:ascii="Cambria Math" w:hAnsi="Cambria Math"/>
          <w:b/>
          <w:sz w:val="24"/>
          <w:szCs w:val="24"/>
        </w:rPr>
        <w:t>banking risk</w:t>
      </w:r>
    </w:p>
    <w:p w14:paraId="232D5E5A" w14:textId="259A82BF" w:rsidR="00C771BE" w:rsidRPr="005B03E5" w:rsidRDefault="00D50148" w:rsidP="00C771BE">
      <w:pPr>
        <w:jc w:val="both"/>
        <w:rPr>
          <w:rFonts w:ascii="Cambria Math" w:hAnsi="Cambria Math" w:cs="Times New Roman"/>
          <w:sz w:val="24"/>
          <w:szCs w:val="24"/>
        </w:rPr>
      </w:pPr>
      <w:r w:rsidRPr="0076192F">
        <w:rPr>
          <w:rFonts w:ascii="Cambria Math" w:hAnsi="Cambria Math"/>
          <w:sz w:val="24"/>
          <w:szCs w:val="24"/>
        </w:rPr>
        <w:t>Rath</w:t>
      </w:r>
      <w:r w:rsidR="00C771BE">
        <w:rPr>
          <w:rFonts w:ascii="Cambria Math" w:hAnsi="Cambria Math"/>
          <w:sz w:val="24"/>
          <w:szCs w:val="24"/>
        </w:rPr>
        <w:t>er than using stock price volatility</w:t>
      </w:r>
      <w:r w:rsidRPr="0076192F">
        <w:rPr>
          <w:rFonts w:ascii="Cambria Math" w:hAnsi="Cambria Math"/>
          <w:sz w:val="24"/>
          <w:szCs w:val="24"/>
        </w:rPr>
        <w:t xml:space="preserve"> in our PVAR model, we have tried </w:t>
      </w:r>
      <w:r w:rsidR="00C771BE">
        <w:rPr>
          <w:rFonts w:ascii="Cambria Math" w:hAnsi="Cambria Math" w:cs="Times New Roman"/>
          <w:sz w:val="24"/>
          <w:szCs w:val="24"/>
        </w:rPr>
        <w:t>the economic policy uncertainty</w:t>
      </w:r>
      <w:r w:rsidR="005B03E5" w:rsidRPr="005B03E5">
        <w:rPr>
          <w:rFonts w:ascii="Cambria Math" w:hAnsi="Cambria Math" w:cs="Times New Roman"/>
          <w:sz w:val="24"/>
          <w:szCs w:val="24"/>
        </w:rPr>
        <w:t>.</w:t>
      </w:r>
      <w:r w:rsidR="005B03E5" w:rsidRPr="005B03E5">
        <w:rPr>
          <w:rStyle w:val="FootnoteReference"/>
          <w:rFonts w:ascii="Cambria Math" w:hAnsi="Cambria Math"/>
          <w:sz w:val="24"/>
          <w:szCs w:val="24"/>
        </w:rPr>
        <w:t xml:space="preserve"> </w:t>
      </w:r>
      <w:r w:rsidR="005B03E5" w:rsidRPr="005B03E5">
        <w:rPr>
          <w:rStyle w:val="FootnoteReference"/>
          <w:rFonts w:ascii="Cambria Math" w:hAnsi="Cambria Math"/>
          <w:sz w:val="24"/>
          <w:szCs w:val="24"/>
        </w:rPr>
        <w:footnoteReference w:id="21"/>
      </w:r>
      <w:r w:rsidR="005B03E5" w:rsidRPr="005B03E5">
        <w:rPr>
          <w:rFonts w:ascii="Cambria Math" w:hAnsi="Cambria Math"/>
          <w:sz w:val="24"/>
          <w:szCs w:val="24"/>
        </w:rPr>
        <w:t xml:space="preserve"> </w:t>
      </w:r>
      <w:r w:rsidRPr="005B03E5">
        <w:rPr>
          <w:rFonts w:ascii="Cambria Math" w:hAnsi="Cambria Math" w:cs="Times New Roman"/>
          <w:sz w:val="24"/>
          <w:szCs w:val="24"/>
        </w:rPr>
        <w:t xml:space="preserve"> </w:t>
      </w:r>
      <w:r w:rsidR="00C771BE" w:rsidRPr="005B03E5">
        <w:rPr>
          <w:rFonts w:ascii="Cambria Math" w:hAnsi="Cambria Math"/>
          <w:sz w:val="24"/>
          <w:szCs w:val="24"/>
        </w:rPr>
        <w:t xml:space="preserve">Economic Policy Uncertainty is an index constructed based on newspaper articles regarding policy uncertainty from leading newspapers. It counts the number of newspaper articles containing the terms uncertain or uncertainty, economic or economy, and one or more policy-relevant terms. </w:t>
      </w:r>
    </w:p>
    <w:p w14:paraId="5645378E" w14:textId="52316ED1" w:rsidR="00D50148" w:rsidRPr="00C45D3B" w:rsidRDefault="00D50148" w:rsidP="00763872">
      <w:pPr>
        <w:jc w:val="both"/>
        <w:rPr>
          <w:rFonts w:ascii="Cambria Math" w:hAnsi="Cambria Math" w:cs="Times New Roman"/>
          <w:sz w:val="24"/>
          <w:szCs w:val="24"/>
        </w:rPr>
      </w:pPr>
      <w:r w:rsidRPr="0076192F">
        <w:rPr>
          <w:rFonts w:ascii="Cambria Math" w:hAnsi="Cambria Math"/>
          <w:sz w:val="24"/>
          <w:szCs w:val="24"/>
        </w:rPr>
        <w:t xml:space="preserve">Our </w:t>
      </w:r>
      <w:r w:rsidR="001A5FBC" w:rsidRPr="0076192F">
        <w:rPr>
          <w:rFonts w:ascii="Cambria Math" w:hAnsi="Cambria Math"/>
          <w:sz w:val="24"/>
          <w:szCs w:val="24"/>
        </w:rPr>
        <w:t xml:space="preserve">GIRFs </w:t>
      </w:r>
      <w:r w:rsidR="00010792" w:rsidRPr="0076192F">
        <w:rPr>
          <w:rFonts w:ascii="Cambria Math" w:hAnsi="Cambria Math"/>
          <w:sz w:val="24"/>
          <w:szCs w:val="24"/>
        </w:rPr>
        <w:t xml:space="preserve">(see </w:t>
      </w:r>
      <w:r w:rsidR="002C15A7">
        <w:rPr>
          <w:rFonts w:ascii="Cambria Math" w:hAnsi="Cambria Math"/>
          <w:sz w:val="24"/>
          <w:szCs w:val="24"/>
        </w:rPr>
        <w:t xml:space="preserve"> Figure 6</w:t>
      </w:r>
      <w:r w:rsidRPr="0076192F">
        <w:rPr>
          <w:rFonts w:ascii="Cambria Math" w:hAnsi="Cambria Math"/>
          <w:sz w:val="24"/>
          <w:szCs w:val="24"/>
        </w:rPr>
        <w:t xml:space="preserve">) </w:t>
      </w:r>
      <w:r w:rsidR="001A5FBC" w:rsidRPr="0076192F">
        <w:rPr>
          <w:rFonts w:ascii="Cambria Math" w:hAnsi="Cambria Math"/>
          <w:sz w:val="24"/>
          <w:szCs w:val="24"/>
        </w:rPr>
        <w:t xml:space="preserve">throughout the </w:t>
      </w:r>
      <w:r w:rsidR="00992F95">
        <w:rPr>
          <w:rFonts w:ascii="Cambria Math" w:hAnsi="Cambria Math"/>
          <w:sz w:val="24"/>
          <w:szCs w:val="24"/>
        </w:rPr>
        <w:t>entire</w:t>
      </w:r>
      <w:r w:rsidR="001A5FBC" w:rsidRPr="0076192F">
        <w:rPr>
          <w:rFonts w:ascii="Cambria Math" w:hAnsi="Cambria Math"/>
          <w:sz w:val="24"/>
          <w:szCs w:val="24"/>
        </w:rPr>
        <w:t xml:space="preserve"> sample</w:t>
      </w:r>
      <w:r w:rsidRPr="0076192F">
        <w:rPr>
          <w:rFonts w:ascii="Cambria Math" w:hAnsi="Cambria Math"/>
          <w:sz w:val="24"/>
          <w:szCs w:val="24"/>
        </w:rPr>
        <w:t xml:space="preserve"> period for Moody’s based on the first difference transformation </w:t>
      </w:r>
      <w:r w:rsidR="001A5FBC" w:rsidRPr="0076192F">
        <w:rPr>
          <w:rFonts w:ascii="Cambria Math" w:hAnsi="Cambria Math"/>
          <w:sz w:val="24"/>
          <w:szCs w:val="24"/>
        </w:rPr>
        <w:t>are broadly in line with our main results reported earlier on</w:t>
      </w:r>
      <w:r w:rsidR="00E55552" w:rsidRPr="0076192F">
        <w:rPr>
          <w:rFonts w:ascii="Cambria Math" w:hAnsi="Cambria Math"/>
          <w:sz w:val="24"/>
          <w:szCs w:val="24"/>
        </w:rPr>
        <w:t xml:space="preserve">. </w:t>
      </w:r>
      <w:r w:rsidR="00010792" w:rsidRPr="00877038">
        <w:rPr>
          <w:rFonts w:ascii="Cambria Math" w:hAnsi="Cambria Math"/>
          <w:sz w:val="24"/>
          <w:szCs w:val="24"/>
        </w:rPr>
        <w:t>Notice</w:t>
      </w:r>
      <w:r w:rsidR="0037105C" w:rsidRPr="00877038">
        <w:rPr>
          <w:rFonts w:ascii="Cambria Math" w:hAnsi="Cambria Math"/>
          <w:sz w:val="24"/>
          <w:szCs w:val="24"/>
        </w:rPr>
        <w:t>,</w:t>
      </w:r>
      <w:r w:rsidR="00010792" w:rsidRPr="00877038">
        <w:rPr>
          <w:rFonts w:ascii="Cambria Math" w:hAnsi="Cambria Math"/>
          <w:sz w:val="24"/>
          <w:szCs w:val="24"/>
        </w:rPr>
        <w:t xml:space="preserve"> however (by</w:t>
      </w:r>
      <w:r w:rsidR="00E55552" w:rsidRPr="00877038">
        <w:rPr>
          <w:rFonts w:ascii="Cambria Math" w:hAnsi="Cambria Math"/>
          <w:sz w:val="24"/>
          <w:szCs w:val="24"/>
        </w:rPr>
        <w:t xml:space="preserve"> compar</w:t>
      </w:r>
      <w:r w:rsidR="00010792" w:rsidRPr="00877038">
        <w:rPr>
          <w:rFonts w:ascii="Cambria Math" w:hAnsi="Cambria Math"/>
          <w:sz w:val="24"/>
          <w:szCs w:val="24"/>
        </w:rPr>
        <w:t>ing</w:t>
      </w:r>
      <w:r w:rsidR="00E55552" w:rsidRPr="00877038">
        <w:rPr>
          <w:rFonts w:ascii="Cambria Math" w:hAnsi="Cambria Math"/>
          <w:sz w:val="24"/>
          <w:szCs w:val="24"/>
        </w:rPr>
        <w:t xml:space="preserve"> </w:t>
      </w:r>
      <w:r w:rsidR="00F803D0" w:rsidRPr="00877038">
        <w:rPr>
          <w:rFonts w:ascii="Cambria Math" w:hAnsi="Cambria Math"/>
          <w:sz w:val="24"/>
          <w:szCs w:val="24"/>
        </w:rPr>
        <w:t xml:space="preserve"> </w:t>
      </w:r>
      <w:r w:rsidR="002C15A7">
        <w:rPr>
          <w:rFonts w:ascii="Cambria Math" w:hAnsi="Cambria Math"/>
          <w:sz w:val="24"/>
          <w:szCs w:val="24"/>
        </w:rPr>
        <w:t>Figure 6 with Figure 1</w:t>
      </w:r>
      <w:r w:rsidR="00010792" w:rsidRPr="00877038">
        <w:rPr>
          <w:rFonts w:ascii="Cambria Math" w:hAnsi="Cambria Math"/>
          <w:sz w:val="24"/>
          <w:szCs w:val="24"/>
        </w:rPr>
        <w:t>)</w:t>
      </w:r>
      <w:r w:rsidR="0037105C" w:rsidRPr="00877038">
        <w:rPr>
          <w:rFonts w:ascii="Cambria Math" w:hAnsi="Cambria Math"/>
          <w:sz w:val="24"/>
          <w:szCs w:val="24"/>
        </w:rPr>
        <w:t>,</w:t>
      </w:r>
      <w:r w:rsidR="00E55552" w:rsidRPr="00877038">
        <w:rPr>
          <w:rFonts w:ascii="Cambria Math" w:hAnsi="Cambria Math"/>
          <w:sz w:val="24"/>
          <w:szCs w:val="24"/>
        </w:rPr>
        <w:t xml:space="preserve"> </w:t>
      </w:r>
      <w:r w:rsidR="00E55552" w:rsidRPr="00C04A5C">
        <w:rPr>
          <w:rFonts w:ascii="Cambria Math" w:hAnsi="Cambria Math"/>
          <w:color w:val="000000" w:themeColor="text1"/>
          <w:sz w:val="24"/>
          <w:szCs w:val="24"/>
        </w:rPr>
        <w:t xml:space="preserve">that the impact of </w:t>
      </w:r>
      <w:r w:rsidR="00C60468" w:rsidRPr="00C04A5C">
        <w:rPr>
          <w:rFonts w:ascii="Cambria Math" w:hAnsi="Cambria Math"/>
          <w:color w:val="000000" w:themeColor="text1"/>
          <w:sz w:val="24"/>
          <w:szCs w:val="24"/>
        </w:rPr>
        <w:t>economic policy uncertainty</w:t>
      </w:r>
      <w:r w:rsidR="00010792" w:rsidRPr="00C04A5C">
        <w:rPr>
          <w:rFonts w:ascii="Cambria Math" w:hAnsi="Cambria Math"/>
          <w:color w:val="000000" w:themeColor="text1"/>
          <w:sz w:val="24"/>
          <w:szCs w:val="24"/>
        </w:rPr>
        <w:t xml:space="preserve"> </w:t>
      </w:r>
      <w:r w:rsidR="00E55552" w:rsidRPr="00C04A5C">
        <w:rPr>
          <w:rFonts w:ascii="Cambria Math" w:hAnsi="Cambria Math"/>
          <w:color w:val="000000" w:themeColor="text1"/>
          <w:sz w:val="24"/>
          <w:szCs w:val="24"/>
        </w:rPr>
        <w:t>on sovereign ratings</w:t>
      </w:r>
      <w:r w:rsidR="00C04A5C" w:rsidRPr="00C04A5C">
        <w:rPr>
          <w:rFonts w:ascii="Cambria Math" w:hAnsi="Cambria Math"/>
          <w:color w:val="000000" w:themeColor="text1"/>
          <w:sz w:val="24"/>
          <w:szCs w:val="24"/>
        </w:rPr>
        <w:t xml:space="preserve"> is less</w:t>
      </w:r>
      <w:r w:rsidR="00F5177C">
        <w:rPr>
          <w:rFonts w:ascii="Cambria Math" w:hAnsi="Cambria Math"/>
          <w:color w:val="000000" w:themeColor="text1"/>
          <w:sz w:val="24"/>
          <w:szCs w:val="24"/>
        </w:rPr>
        <w:t xml:space="preserve"> long-lived</w:t>
      </w:r>
      <w:r w:rsidR="00E55552" w:rsidRPr="00C04A5C">
        <w:rPr>
          <w:rFonts w:ascii="Cambria Math" w:hAnsi="Cambria Math"/>
          <w:color w:val="000000" w:themeColor="text1"/>
          <w:sz w:val="24"/>
          <w:szCs w:val="24"/>
        </w:rPr>
        <w:t xml:space="preserve"> </w:t>
      </w:r>
      <w:r w:rsidR="00010792" w:rsidRPr="00C04A5C">
        <w:rPr>
          <w:rFonts w:ascii="Cambria Math" w:hAnsi="Cambria Math"/>
          <w:color w:val="000000" w:themeColor="text1"/>
          <w:sz w:val="24"/>
          <w:szCs w:val="24"/>
        </w:rPr>
        <w:t>than the</w:t>
      </w:r>
      <w:r w:rsidR="00E55552" w:rsidRPr="00C04A5C">
        <w:rPr>
          <w:rFonts w:ascii="Cambria Math" w:hAnsi="Cambria Math"/>
          <w:color w:val="000000" w:themeColor="text1"/>
          <w:sz w:val="24"/>
          <w:szCs w:val="24"/>
        </w:rPr>
        <w:t xml:space="preserve"> impact of </w:t>
      </w:r>
      <w:r w:rsidR="00C60468" w:rsidRPr="00C04A5C">
        <w:rPr>
          <w:rFonts w:ascii="Cambria Math" w:hAnsi="Cambria Math"/>
          <w:color w:val="000000" w:themeColor="text1"/>
          <w:sz w:val="24"/>
          <w:szCs w:val="24"/>
        </w:rPr>
        <w:t>stock price volatility</w:t>
      </w:r>
      <w:r w:rsidR="00746402" w:rsidRPr="00C04A5C">
        <w:rPr>
          <w:rFonts w:ascii="Cambria Math" w:hAnsi="Cambria Math"/>
          <w:color w:val="000000" w:themeColor="text1"/>
          <w:sz w:val="24"/>
          <w:szCs w:val="24"/>
        </w:rPr>
        <w:t xml:space="preserve"> on </w:t>
      </w:r>
      <w:r w:rsidR="00C04A5C" w:rsidRPr="00C04A5C">
        <w:rPr>
          <w:rFonts w:ascii="Cambria Math" w:hAnsi="Cambria Math"/>
          <w:color w:val="000000" w:themeColor="text1"/>
          <w:sz w:val="24"/>
          <w:szCs w:val="24"/>
        </w:rPr>
        <w:t>sovereign ratings (i.e 5 years and 7 years)</w:t>
      </w:r>
      <w:r w:rsidR="0049788E" w:rsidRPr="00C04A5C">
        <w:rPr>
          <w:rFonts w:ascii="Cambria Math" w:hAnsi="Cambria Math"/>
          <w:color w:val="000000" w:themeColor="text1"/>
          <w:sz w:val="24"/>
          <w:szCs w:val="24"/>
        </w:rPr>
        <w:t>.</w:t>
      </w:r>
      <w:r w:rsidR="00746402" w:rsidRPr="00C45D3B">
        <w:rPr>
          <w:rFonts w:ascii="Cambria Math" w:hAnsi="Cambria Math"/>
          <w:sz w:val="24"/>
          <w:szCs w:val="24"/>
        </w:rPr>
        <w:t xml:space="preserve"> </w:t>
      </w:r>
    </w:p>
    <w:p w14:paraId="16398697" w14:textId="7F26B16D" w:rsidR="00C60468" w:rsidRPr="00C04A5C" w:rsidRDefault="00195C30" w:rsidP="00C04A5C">
      <w:pPr>
        <w:jc w:val="both"/>
        <w:rPr>
          <w:rFonts w:ascii="Cambria Math" w:hAnsi="Cambria Math"/>
          <w:sz w:val="24"/>
          <w:szCs w:val="24"/>
        </w:rPr>
      </w:pPr>
      <w:r w:rsidRPr="0076192F">
        <w:rPr>
          <w:rFonts w:ascii="Cambria Math" w:hAnsi="Cambria Math" w:cs="Calibri"/>
          <w:sz w:val="24"/>
          <w:szCs w:val="24"/>
        </w:rPr>
        <w:t>As a further robustness check,</w:t>
      </w:r>
      <w:r w:rsidR="00F33CF2">
        <w:rPr>
          <w:rFonts w:ascii="Cambria Math" w:hAnsi="Cambria Math" w:cs="Calibri"/>
          <w:sz w:val="24"/>
          <w:szCs w:val="24"/>
        </w:rPr>
        <w:t xml:space="preserve"> r</w:t>
      </w:r>
      <w:r w:rsidR="00F33CF2" w:rsidRPr="00F33CF2">
        <w:rPr>
          <w:rFonts w:ascii="Cambria Math" w:hAnsi="Cambria Math" w:cs="Calibri"/>
          <w:sz w:val="24"/>
          <w:szCs w:val="24"/>
        </w:rPr>
        <w:t>ather than capturing banking risk considerations by NPLs,</w:t>
      </w:r>
      <w:r w:rsidRPr="0076192F">
        <w:rPr>
          <w:rFonts w:ascii="Cambria Math" w:hAnsi="Cambria Math" w:cs="Calibri"/>
          <w:sz w:val="24"/>
          <w:szCs w:val="24"/>
        </w:rPr>
        <w:t xml:space="preserve"> we have constructed </w:t>
      </w:r>
      <w:r w:rsidR="006234CA" w:rsidRPr="0076192F">
        <w:rPr>
          <w:rFonts w:ascii="Cambria Math" w:hAnsi="Cambria Math" w:cs="Calibri"/>
          <w:sz w:val="24"/>
          <w:szCs w:val="24"/>
        </w:rPr>
        <w:t xml:space="preserve">for each country </w:t>
      </w:r>
      <w:r w:rsidRPr="0076192F">
        <w:rPr>
          <w:rFonts w:ascii="Cambria Math" w:hAnsi="Cambria Math" w:cs="Calibri"/>
          <w:sz w:val="24"/>
          <w:szCs w:val="24"/>
        </w:rPr>
        <w:t xml:space="preserve">a </w:t>
      </w:r>
      <w:r w:rsidR="00F463AA" w:rsidRPr="0076192F">
        <w:rPr>
          <w:rFonts w:ascii="Cambria Math" w:hAnsi="Cambria Math" w:cs="Calibri"/>
          <w:sz w:val="24"/>
          <w:szCs w:val="24"/>
        </w:rPr>
        <w:t>‘</w:t>
      </w:r>
      <w:r w:rsidRPr="0076192F">
        <w:rPr>
          <w:rFonts w:ascii="Cambria Math" w:hAnsi="Cambria Math" w:cs="Calibri"/>
          <w:sz w:val="24"/>
          <w:szCs w:val="24"/>
        </w:rPr>
        <w:t>banking risk</w:t>
      </w:r>
      <w:r w:rsidR="00F463AA" w:rsidRPr="0076192F">
        <w:rPr>
          <w:rFonts w:ascii="Cambria Math" w:hAnsi="Cambria Math" w:cs="Calibri"/>
          <w:sz w:val="24"/>
          <w:szCs w:val="24"/>
        </w:rPr>
        <w:t>’</w:t>
      </w:r>
      <w:r w:rsidRPr="0076192F">
        <w:rPr>
          <w:rFonts w:ascii="Cambria Math" w:hAnsi="Cambria Math" w:cs="Calibri"/>
          <w:sz w:val="24"/>
          <w:szCs w:val="24"/>
        </w:rPr>
        <w:t xml:space="preserve"> </w:t>
      </w:r>
      <w:r w:rsidR="00D80A8C" w:rsidRPr="0076192F">
        <w:rPr>
          <w:rFonts w:ascii="Cambria Math" w:hAnsi="Cambria Math" w:cs="Calibri"/>
          <w:sz w:val="24"/>
          <w:szCs w:val="24"/>
        </w:rPr>
        <w:t xml:space="preserve">factor </w:t>
      </w:r>
      <w:r w:rsidR="003661D8" w:rsidRPr="0076192F">
        <w:rPr>
          <w:rFonts w:ascii="Cambria Math" w:hAnsi="Cambria Math" w:cs="Calibri"/>
          <w:sz w:val="24"/>
          <w:szCs w:val="24"/>
        </w:rPr>
        <w:t xml:space="preserve">measure </w:t>
      </w:r>
      <w:r w:rsidRPr="0076192F">
        <w:rPr>
          <w:rFonts w:ascii="Cambria Math" w:hAnsi="Cambria Math" w:cs="Calibri"/>
          <w:sz w:val="24"/>
          <w:szCs w:val="24"/>
        </w:rPr>
        <w:t>using principal component analysis (PCA)</w:t>
      </w:r>
      <w:r w:rsidR="00F463AA" w:rsidRPr="0076192F">
        <w:rPr>
          <w:rFonts w:ascii="Cambria Math" w:hAnsi="Cambria Math" w:cs="Calibri"/>
          <w:sz w:val="24"/>
          <w:szCs w:val="24"/>
        </w:rPr>
        <w:t>.</w:t>
      </w:r>
      <w:r w:rsidRPr="0076192F">
        <w:rPr>
          <w:rFonts w:ascii="Cambria Math" w:hAnsi="Cambria Math" w:cs="Calibri"/>
          <w:sz w:val="24"/>
          <w:szCs w:val="24"/>
        </w:rPr>
        <w:t xml:space="preserve"> </w:t>
      </w:r>
      <w:r w:rsidR="00F463AA" w:rsidRPr="0076192F">
        <w:rPr>
          <w:rFonts w:ascii="Cambria Math" w:hAnsi="Cambria Math" w:cs="Calibri"/>
          <w:sz w:val="24"/>
          <w:szCs w:val="24"/>
        </w:rPr>
        <w:t>PCA</w:t>
      </w:r>
      <w:r w:rsidRPr="0076192F">
        <w:rPr>
          <w:rFonts w:ascii="Cambria Math" w:hAnsi="Cambria Math" w:cs="Calibri"/>
          <w:sz w:val="24"/>
          <w:szCs w:val="24"/>
        </w:rPr>
        <w:t xml:space="preserve"> </w:t>
      </w:r>
      <w:r w:rsidR="00F463AA" w:rsidRPr="0076192F">
        <w:rPr>
          <w:rFonts w:ascii="Cambria Math" w:hAnsi="Cambria Math" w:cs="Calibri"/>
          <w:sz w:val="24"/>
          <w:szCs w:val="24"/>
        </w:rPr>
        <w:t xml:space="preserve">is pooling information from </w:t>
      </w:r>
      <w:r w:rsidRPr="0076192F">
        <w:rPr>
          <w:rFonts w:ascii="Cambria Math" w:hAnsi="Cambria Math" w:cs="Calibri"/>
          <w:sz w:val="24"/>
          <w:szCs w:val="24"/>
        </w:rPr>
        <w:t>a 4-variable dataset, namely NPLs, bank credit to bank deposits, bank capital to risk weighted assets and bank Z-score</w:t>
      </w:r>
      <w:r w:rsidR="00363128" w:rsidRPr="0076192F">
        <w:rPr>
          <w:rFonts w:ascii="Cambria Math" w:hAnsi="Cambria Math" w:cs="Calibri"/>
          <w:sz w:val="24"/>
          <w:szCs w:val="24"/>
        </w:rPr>
        <w:t xml:space="preserve"> </w:t>
      </w:r>
      <w:r w:rsidR="004228C0" w:rsidRPr="0076192F">
        <w:rPr>
          <w:rFonts w:ascii="Cambria Math" w:hAnsi="Cambria Math" w:cs="Calibri"/>
          <w:sz w:val="24"/>
          <w:szCs w:val="24"/>
        </w:rPr>
        <w:t xml:space="preserve">which contribute 22.42%, 26.11%, 23.99% and 27.48% to </w:t>
      </w:r>
      <w:r w:rsidR="00230527" w:rsidRPr="0076192F">
        <w:rPr>
          <w:rFonts w:ascii="Cambria Math" w:hAnsi="Cambria Math" w:cs="Calibri"/>
          <w:sz w:val="24"/>
          <w:szCs w:val="24"/>
        </w:rPr>
        <w:t xml:space="preserve">the </w:t>
      </w:r>
      <w:r w:rsidR="004228C0" w:rsidRPr="0076192F">
        <w:rPr>
          <w:rFonts w:ascii="Cambria Math" w:hAnsi="Cambria Math" w:cs="Calibri"/>
          <w:sz w:val="24"/>
          <w:szCs w:val="24"/>
        </w:rPr>
        <w:t>‘banking risk’ factor</w:t>
      </w:r>
      <w:r w:rsidR="00230527" w:rsidRPr="0076192F">
        <w:rPr>
          <w:rFonts w:ascii="Cambria Math" w:hAnsi="Cambria Math" w:cs="Calibri"/>
          <w:sz w:val="24"/>
          <w:szCs w:val="24"/>
        </w:rPr>
        <w:t>,</w:t>
      </w:r>
      <w:r w:rsidR="004228C0" w:rsidRPr="0076192F">
        <w:rPr>
          <w:rFonts w:ascii="Cambria Math" w:hAnsi="Cambria Math" w:cs="Calibri"/>
          <w:sz w:val="24"/>
          <w:szCs w:val="24"/>
        </w:rPr>
        <w:t xml:space="preserve"> respectively, while the 'banking </w:t>
      </w:r>
      <w:r w:rsidR="00230527" w:rsidRPr="0076192F">
        <w:rPr>
          <w:rFonts w:ascii="Cambria Math" w:hAnsi="Cambria Math" w:cs="Calibri"/>
          <w:sz w:val="24"/>
          <w:szCs w:val="24"/>
        </w:rPr>
        <w:t>risk</w:t>
      </w:r>
      <w:r w:rsidR="00701C65" w:rsidRPr="0076192F">
        <w:rPr>
          <w:rFonts w:ascii="Cambria Math" w:hAnsi="Cambria Math" w:cs="Calibri"/>
          <w:sz w:val="24"/>
          <w:szCs w:val="24"/>
        </w:rPr>
        <w:t>’</w:t>
      </w:r>
      <w:r w:rsidR="00230527" w:rsidRPr="0076192F">
        <w:rPr>
          <w:rFonts w:ascii="Cambria Math" w:hAnsi="Cambria Math" w:cs="Calibri"/>
          <w:sz w:val="24"/>
          <w:szCs w:val="24"/>
        </w:rPr>
        <w:t xml:space="preserve"> </w:t>
      </w:r>
      <w:r w:rsidR="004228C0" w:rsidRPr="0076192F">
        <w:rPr>
          <w:rFonts w:ascii="Cambria Math" w:hAnsi="Cambria Math" w:cs="Calibri"/>
          <w:sz w:val="24"/>
          <w:szCs w:val="24"/>
        </w:rPr>
        <w:t>factor contributes 53.67% to the total variation of the 4-variable dataset (these are average numbers across countries).</w:t>
      </w:r>
      <w:r w:rsidR="004228C0" w:rsidRPr="0076192F">
        <w:rPr>
          <w:rStyle w:val="FootnoteReference"/>
          <w:rFonts w:ascii="Cambria Math" w:hAnsi="Cambria Math" w:cs="Calibri"/>
          <w:sz w:val="24"/>
          <w:szCs w:val="24"/>
        </w:rPr>
        <w:footnoteReference w:id="22"/>
      </w:r>
      <w:r w:rsidR="00230527" w:rsidRPr="0076192F">
        <w:rPr>
          <w:rFonts w:ascii="Cambria Math" w:hAnsi="Cambria Math" w:cs="Calibri"/>
          <w:sz w:val="24"/>
          <w:szCs w:val="24"/>
        </w:rPr>
        <w:t xml:space="preserve"> </w:t>
      </w:r>
      <w:r w:rsidR="00F33CF2">
        <w:rPr>
          <w:rFonts w:ascii="Cambria Math" w:hAnsi="Cambria Math" w:cs="Calibri"/>
          <w:sz w:val="24"/>
          <w:szCs w:val="24"/>
        </w:rPr>
        <w:t xml:space="preserve"> T</w:t>
      </w:r>
      <w:r w:rsidR="00F33CF2" w:rsidRPr="00F33CF2">
        <w:rPr>
          <w:rFonts w:ascii="Cambria Math" w:hAnsi="Cambria Math" w:cs="Calibri"/>
          <w:sz w:val="24"/>
          <w:szCs w:val="24"/>
        </w:rPr>
        <w:t>he bank capital to risk weighted assets</w:t>
      </w:r>
      <w:r w:rsidR="00F33CF2">
        <w:rPr>
          <w:rFonts w:ascii="Cambria Math" w:hAnsi="Cambria Math" w:cs="Calibri"/>
          <w:sz w:val="24"/>
          <w:szCs w:val="24"/>
        </w:rPr>
        <w:t xml:space="preserve"> i</w:t>
      </w:r>
      <w:r w:rsidR="00F33CF2" w:rsidRPr="00F33CF2">
        <w:rPr>
          <w:rFonts w:ascii="Cambria Math" w:hAnsi="Cambria Math" w:cs="Calibri"/>
          <w:sz w:val="24"/>
          <w:szCs w:val="24"/>
        </w:rPr>
        <w:t xml:space="preserve">s a measure of bank solvency and resiliency which shows the extent to which banks are able to ‘weather the </w:t>
      </w:r>
      <w:r w:rsidR="00F33CF2">
        <w:rPr>
          <w:rFonts w:ascii="Cambria Math" w:hAnsi="Cambria Math" w:cs="Calibri"/>
          <w:sz w:val="24"/>
          <w:szCs w:val="24"/>
        </w:rPr>
        <w:t>storm’ of unexpected losses</w:t>
      </w:r>
      <w:r w:rsidR="00233AFC">
        <w:rPr>
          <w:rFonts w:ascii="Cambria Math" w:hAnsi="Cambria Math" w:cs="Calibri"/>
          <w:sz w:val="24"/>
          <w:szCs w:val="24"/>
        </w:rPr>
        <w:t>.</w:t>
      </w:r>
      <w:r w:rsidR="00F33CF2">
        <w:rPr>
          <w:rFonts w:ascii="Cambria Math" w:hAnsi="Cambria Math" w:cs="Calibri"/>
          <w:sz w:val="24"/>
          <w:szCs w:val="24"/>
        </w:rPr>
        <w:t xml:space="preserve"> </w:t>
      </w:r>
      <w:r w:rsidR="00233AFC">
        <w:rPr>
          <w:rFonts w:ascii="Cambria Math" w:hAnsi="Cambria Math" w:cs="Calibri"/>
          <w:sz w:val="24"/>
          <w:szCs w:val="24"/>
        </w:rPr>
        <w:t>T</w:t>
      </w:r>
      <w:r w:rsidR="00F33CF2" w:rsidRPr="00F33CF2">
        <w:rPr>
          <w:rFonts w:ascii="Cambria Math" w:hAnsi="Cambria Math" w:cs="Calibri"/>
          <w:sz w:val="24"/>
          <w:szCs w:val="24"/>
        </w:rPr>
        <w:t>he</w:t>
      </w:r>
      <w:r w:rsidR="00F33CF2">
        <w:rPr>
          <w:rFonts w:ascii="Cambria Math" w:hAnsi="Cambria Math" w:cs="Calibri"/>
          <w:sz w:val="24"/>
          <w:szCs w:val="24"/>
        </w:rPr>
        <w:t xml:space="preserve"> bank credit to bank deposits is</w:t>
      </w:r>
      <w:r w:rsidR="00F33CF2" w:rsidRPr="00F33CF2">
        <w:rPr>
          <w:rFonts w:ascii="Cambria Math" w:hAnsi="Cambria Math" w:cs="Calibri"/>
          <w:sz w:val="24"/>
          <w:szCs w:val="24"/>
        </w:rPr>
        <w:t xml:space="preserve"> a measure of liquidity (see e.g. the discussion in </w:t>
      </w:r>
      <w:r w:rsidR="00F33CF2">
        <w:rPr>
          <w:rFonts w:ascii="Cambria Math" w:hAnsi="Cambria Math" w:cs="Calibri"/>
          <w:sz w:val="24"/>
          <w:szCs w:val="24"/>
        </w:rPr>
        <w:t>Klomp and de Haan, 2012)</w:t>
      </w:r>
      <w:r w:rsidR="00233AFC">
        <w:rPr>
          <w:rFonts w:ascii="Cambria Math" w:hAnsi="Cambria Math" w:cs="Calibri"/>
          <w:sz w:val="24"/>
          <w:szCs w:val="24"/>
        </w:rPr>
        <w:t>. T</w:t>
      </w:r>
      <w:r w:rsidR="00F33CF2" w:rsidRPr="00F33CF2">
        <w:rPr>
          <w:rFonts w:ascii="Cambria Math" w:hAnsi="Cambria Math" w:cs="Calibri"/>
          <w:sz w:val="24"/>
          <w:szCs w:val="24"/>
        </w:rPr>
        <w:t>he ban</w:t>
      </w:r>
      <w:r w:rsidR="00F33CF2">
        <w:rPr>
          <w:rFonts w:ascii="Cambria Math" w:hAnsi="Cambria Math" w:cs="Calibri"/>
          <w:sz w:val="24"/>
          <w:szCs w:val="24"/>
        </w:rPr>
        <w:t>k Z-score</w:t>
      </w:r>
      <w:r w:rsidR="00F33CF2" w:rsidRPr="00F33CF2">
        <w:rPr>
          <w:rFonts w:ascii="Cambria Math" w:hAnsi="Cambria Math" w:cs="Calibri"/>
          <w:sz w:val="24"/>
          <w:szCs w:val="24"/>
        </w:rPr>
        <w:t xml:space="preserve"> captures the (inverse of the) probability of default of a country's banking system, calculated as a weighted average of the Z-scores of a country's </w:t>
      </w:r>
      <w:r w:rsidR="00F33CF2" w:rsidRPr="00F33CF2">
        <w:rPr>
          <w:rFonts w:ascii="Cambria Math" w:hAnsi="Cambria Math" w:cs="Calibri"/>
          <w:sz w:val="24"/>
          <w:szCs w:val="24"/>
        </w:rPr>
        <w:lastRenderedPageBreak/>
        <w:t xml:space="preserve">individual banks where a bank-specific Z-score compares a bank's buffers (capitalization and returns) with the volatility of those returns.  </w:t>
      </w:r>
      <w:r w:rsidR="003661D8" w:rsidRPr="0076192F">
        <w:rPr>
          <w:rFonts w:ascii="Cambria Math" w:hAnsi="Cambria Math" w:cs="Calibri"/>
          <w:sz w:val="24"/>
          <w:szCs w:val="24"/>
        </w:rPr>
        <w:t xml:space="preserve">From </w:t>
      </w:r>
      <w:r w:rsidR="002C15A7">
        <w:rPr>
          <w:rFonts w:ascii="Cambria Math" w:hAnsi="Cambria Math" w:cs="Calibri"/>
          <w:sz w:val="24"/>
          <w:szCs w:val="24"/>
        </w:rPr>
        <w:t>Figure 7</w:t>
      </w:r>
      <w:r w:rsidRPr="0076192F">
        <w:rPr>
          <w:rFonts w:ascii="Cambria Math" w:hAnsi="Cambria Math" w:cs="Calibri"/>
          <w:sz w:val="24"/>
          <w:szCs w:val="24"/>
        </w:rPr>
        <w:t xml:space="preserve">, there is a statistically insignificant impact of shocks to </w:t>
      </w:r>
      <w:r w:rsidR="006234CA" w:rsidRPr="0076192F">
        <w:rPr>
          <w:rFonts w:ascii="Cambria Math" w:hAnsi="Cambria Math" w:cs="Calibri"/>
          <w:sz w:val="24"/>
          <w:szCs w:val="24"/>
        </w:rPr>
        <w:t xml:space="preserve">the </w:t>
      </w:r>
      <w:r w:rsidR="00F463AA" w:rsidRPr="0076192F">
        <w:rPr>
          <w:rFonts w:ascii="Cambria Math" w:hAnsi="Cambria Math" w:cs="Calibri"/>
          <w:sz w:val="24"/>
          <w:szCs w:val="24"/>
        </w:rPr>
        <w:t>‘</w:t>
      </w:r>
      <w:r w:rsidRPr="0076192F">
        <w:rPr>
          <w:rFonts w:ascii="Cambria Math" w:hAnsi="Cambria Math" w:cs="Calibri"/>
          <w:sz w:val="24"/>
          <w:szCs w:val="24"/>
        </w:rPr>
        <w:t>banking risk</w:t>
      </w:r>
      <w:r w:rsidR="00F463AA" w:rsidRPr="0076192F">
        <w:rPr>
          <w:rFonts w:ascii="Cambria Math" w:hAnsi="Cambria Math" w:cs="Calibri"/>
          <w:sz w:val="24"/>
          <w:szCs w:val="24"/>
        </w:rPr>
        <w:t>’</w:t>
      </w:r>
      <w:r w:rsidRPr="0076192F">
        <w:rPr>
          <w:rFonts w:ascii="Cambria Math" w:hAnsi="Cambria Math" w:cs="Calibri"/>
          <w:sz w:val="24"/>
          <w:szCs w:val="24"/>
        </w:rPr>
        <w:t xml:space="preserve"> </w:t>
      </w:r>
      <w:r w:rsidR="006234CA" w:rsidRPr="0076192F">
        <w:rPr>
          <w:rFonts w:ascii="Cambria Math" w:hAnsi="Cambria Math" w:cs="Calibri"/>
          <w:sz w:val="24"/>
          <w:szCs w:val="24"/>
        </w:rPr>
        <w:t xml:space="preserve">factor </w:t>
      </w:r>
      <w:r w:rsidRPr="0076192F">
        <w:rPr>
          <w:rFonts w:ascii="Cambria Math" w:hAnsi="Cambria Math" w:cs="Calibri"/>
          <w:sz w:val="24"/>
          <w:szCs w:val="24"/>
        </w:rPr>
        <w:t xml:space="preserve">on sovereign ratings and vice versa. </w:t>
      </w:r>
      <w:r w:rsidR="006234CA" w:rsidRPr="0076192F">
        <w:rPr>
          <w:rFonts w:ascii="Cambria Math" w:hAnsi="Cambria Math" w:cs="Calibri"/>
          <w:sz w:val="24"/>
          <w:szCs w:val="24"/>
        </w:rPr>
        <w:t>Overall</w:t>
      </w:r>
      <w:r w:rsidRPr="0076192F">
        <w:rPr>
          <w:rFonts w:ascii="Cambria Math" w:hAnsi="Cambria Math" w:cs="Calibri"/>
          <w:sz w:val="24"/>
          <w:szCs w:val="24"/>
        </w:rPr>
        <w:t xml:space="preserve">, </w:t>
      </w:r>
      <w:r w:rsidRPr="0076192F">
        <w:rPr>
          <w:rFonts w:ascii="Cambria Math" w:hAnsi="Cambria Math"/>
          <w:sz w:val="24"/>
          <w:szCs w:val="24"/>
        </w:rPr>
        <w:t>t</w:t>
      </w:r>
      <w:r w:rsidR="00027F1F" w:rsidRPr="0076192F">
        <w:rPr>
          <w:rFonts w:ascii="Cambria Math" w:hAnsi="Cambria Math"/>
          <w:sz w:val="24"/>
          <w:szCs w:val="24"/>
        </w:rPr>
        <w:t>hese</w:t>
      </w:r>
      <w:r w:rsidR="00A356EA" w:rsidRPr="0076192F">
        <w:rPr>
          <w:rFonts w:ascii="Cambria Math" w:hAnsi="Cambria Math"/>
          <w:sz w:val="24"/>
          <w:szCs w:val="24"/>
        </w:rPr>
        <w:t xml:space="preserve"> </w:t>
      </w:r>
      <w:r w:rsidR="00027F1F" w:rsidRPr="0076192F">
        <w:rPr>
          <w:rFonts w:ascii="Cambria Math" w:hAnsi="Cambria Math"/>
          <w:sz w:val="24"/>
          <w:szCs w:val="24"/>
        </w:rPr>
        <w:t>results</w:t>
      </w:r>
      <w:r w:rsidR="00AD2AB5" w:rsidRPr="0076192F">
        <w:rPr>
          <w:rFonts w:ascii="Cambria Math" w:hAnsi="Cambria Math"/>
          <w:sz w:val="24"/>
          <w:szCs w:val="24"/>
        </w:rPr>
        <w:t xml:space="preserve"> </w:t>
      </w:r>
      <w:r w:rsidR="00A062A2" w:rsidRPr="0076192F">
        <w:rPr>
          <w:rFonts w:ascii="Cambria Math" w:hAnsi="Cambria Math"/>
          <w:sz w:val="24"/>
          <w:szCs w:val="24"/>
        </w:rPr>
        <w:t xml:space="preserve">suggest that </w:t>
      </w:r>
      <w:r w:rsidR="00A356EA" w:rsidRPr="0076192F">
        <w:rPr>
          <w:rFonts w:ascii="Cambria Math" w:hAnsi="Cambria Math"/>
          <w:sz w:val="24"/>
          <w:szCs w:val="24"/>
        </w:rPr>
        <w:t>NPLs</w:t>
      </w:r>
      <w:r w:rsidR="001F22AF" w:rsidRPr="0076192F">
        <w:rPr>
          <w:rFonts w:ascii="Cambria Math" w:hAnsi="Cambria Math"/>
          <w:sz w:val="24"/>
          <w:szCs w:val="24"/>
        </w:rPr>
        <w:t xml:space="preserve"> </w:t>
      </w:r>
      <w:r w:rsidR="00F463AA" w:rsidRPr="0076192F">
        <w:rPr>
          <w:rFonts w:ascii="Cambria Math" w:hAnsi="Cambria Math"/>
          <w:sz w:val="24"/>
          <w:szCs w:val="24"/>
        </w:rPr>
        <w:t>dominate</w:t>
      </w:r>
      <w:r w:rsidR="00AD2AB5" w:rsidRPr="0076192F">
        <w:rPr>
          <w:rFonts w:ascii="Cambria Math" w:hAnsi="Cambria Math"/>
          <w:sz w:val="24"/>
          <w:szCs w:val="24"/>
        </w:rPr>
        <w:t xml:space="preserve"> a</w:t>
      </w:r>
      <w:r w:rsidR="006234CA" w:rsidRPr="0076192F">
        <w:rPr>
          <w:rFonts w:ascii="Cambria Math" w:hAnsi="Cambria Math"/>
          <w:sz w:val="24"/>
          <w:szCs w:val="24"/>
        </w:rPr>
        <w:t xml:space="preserve"> pooling</w:t>
      </w:r>
      <w:r w:rsidR="00CC5559" w:rsidRPr="0076192F">
        <w:rPr>
          <w:rFonts w:ascii="Cambria Math" w:hAnsi="Cambria Math"/>
          <w:sz w:val="24"/>
          <w:szCs w:val="24"/>
        </w:rPr>
        <w:t>-based</w:t>
      </w:r>
      <w:r w:rsidR="006234CA" w:rsidRPr="0076192F">
        <w:rPr>
          <w:rFonts w:ascii="Cambria Math" w:hAnsi="Cambria Math"/>
          <w:sz w:val="24"/>
          <w:szCs w:val="24"/>
        </w:rPr>
        <w:t xml:space="preserve"> information from measures </w:t>
      </w:r>
      <w:r w:rsidR="00EA629A" w:rsidRPr="0076192F">
        <w:rPr>
          <w:rFonts w:ascii="Cambria Math" w:hAnsi="Cambria Math"/>
          <w:sz w:val="24"/>
          <w:szCs w:val="24"/>
        </w:rPr>
        <w:t xml:space="preserve">of banking risk </w:t>
      </w:r>
      <w:r w:rsidR="00AD2AB5" w:rsidRPr="0076192F">
        <w:rPr>
          <w:rFonts w:ascii="Cambria Math" w:hAnsi="Cambria Math"/>
          <w:sz w:val="24"/>
          <w:szCs w:val="24"/>
        </w:rPr>
        <w:t xml:space="preserve">in </w:t>
      </w:r>
      <w:r w:rsidR="00A062A2" w:rsidRPr="0076192F">
        <w:rPr>
          <w:rFonts w:ascii="Cambria Math" w:hAnsi="Cambria Math"/>
          <w:sz w:val="24"/>
          <w:szCs w:val="24"/>
        </w:rPr>
        <w:t>driving</w:t>
      </w:r>
      <w:r w:rsidR="00AD2AB5" w:rsidRPr="0076192F">
        <w:rPr>
          <w:rFonts w:ascii="Cambria Math" w:hAnsi="Cambria Math"/>
          <w:sz w:val="24"/>
          <w:szCs w:val="24"/>
        </w:rPr>
        <w:t xml:space="preserve"> credit rating decisions</w:t>
      </w:r>
      <w:r w:rsidR="006234CA" w:rsidRPr="0076192F">
        <w:rPr>
          <w:rFonts w:ascii="Cambria Math" w:hAnsi="Cambria Math"/>
          <w:sz w:val="24"/>
          <w:szCs w:val="24"/>
        </w:rPr>
        <w:t>.</w:t>
      </w:r>
      <w:r w:rsidR="00EA629A" w:rsidRPr="0076192F">
        <w:rPr>
          <w:rStyle w:val="FootnoteReference"/>
          <w:rFonts w:ascii="Cambria Math" w:hAnsi="Cambria Math"/>
          <w:sz w:val="24"/>
          <w:szCs w:val="24"/>
        </w:rPr>
        <w:footnoteReference w:id="23"/>
      </w:r>
      <w:r w:rsidR="00B276D9" w:rsidRPr="0076192F">
        <w:rPr>
          <w:rFonts w:ascii="Cambria Math" w:hAnsi="Cambria Math"/>
          <w:sz w:val="24"/>
          <w:szCs w:val="24"/>
        </w:rPr>
        <w:t xml:space="preserve"> </w:t>
      </w:r>
      <w:r w:rsidR="00552CFE">
        <w:rPr>
          <w:rFonts w:ascii="Cambria Math" w:hAnsi="Cambria Math"/>
          <w:sz w:val="24"/>
          <w:szCs w:val="24"/>
        </w:rPr>
        <w:t xml:space="preserve"> </w:t>
      </w:r>
    </w:p>
    <w:p w14:paraId="56CFAAEF" w14:textId="77777777" w:rsidR="00F5177C" w:rsidRDefault="00F5177C" w:rsidP="00D50148">
      <w:pPr>
        <w:jc w:val="both"/>
        <w:rPr>
          <w:rFonts w:ascii="Cambria Math" w:hAnsi="Cambria Math"/>
          <w:b/>
          <w:sz w:val="24"/>
          <w:szCs w:val="24"/>
        </w:rPr>
      </w:pPr>
    </w:p>
    <w:p w14:paraId="368D772E" w14:textId="700B5FBB" w:rsidR="00D50148" w:rsidRPr="0076192F" w:rsidRDefault="00D50148" w:rsidP="00D50148">
      <w:pPr>
        <w:jc w:val="both"/>
        <w:rPr>
          <w:rFonts w:ascii="Cambria Math" w:hAnsi="Cambria Math"/>
          <w:b/>
          <w:sz w:val="24"/>
          <w:szCs w:val="24"/>
        </w:rPr>
      </w:pPr>
      <w:r w:rsidRPr="0076192F">
        <w:rPr>
          <w:rFonts w:ascii="Cambria Math" w:hAnsi="Cambria Math"/>
          <w:b/>
          <w:sz w:val="24"/>
          <w:szCs w:val="24"/>
        </w:rPr>
        <w:t>4.</w:t>
      </w:r>
      <w:r w:rsidR="00785508">
        <w:rPr>
          <w:rFonts w:ascii="Cambria Math" w:hAnsi="Cambria Math"/>
          <w:b/>
          <w:sz w:val="24"/>
          <w:szCs w:val="24"/>
        </w:rPr>
        <w:t>3</w:t>
      </w:r>
      <w:r w:rsidRPr="0076192F">
        <w:rPr>
          <w:rFonts w:ascii="Cambria Math" w:hAnsi="Cambria Math"/>
          <w:b/>
          <w:sz w:val="24"/>
          <w:szCs w:val="24"/>
        </w:rPr>
        <w:t>.</w:t>
      </w:r>
      <w:r w:rsidR="00050008" w:rsidRPr="0076192F">
        <w:rPr>
          <w:rFonts w:ascii="Cambria Math" w:hAnsi="Cambria Math"/>
          <w:b/>
          <w:sz w:val="24"/>
          <w:szCs w:val="24"/>
        </w:rPr>
        <w:t>3</w:t>
      </w:r>
      <w:r w:rsidRPr="0076192F">
        <w:rPr>
          <w:rFonts w:ascii="Cambria Math" w:hAnsi="Cambria Math"/>
          <w:b/>
          <w:sz w:val="24"/>
          <w:szCs w:val="24"/>
        </w:rPr>
        <w:t>. Other robustness tests</w:t>
      </w:r>
    </w:p>
    <w:p w14:paraId="0F11BD07" w14:textId="2800BF7B" w:rsidR="00D50148" w:rsidRPr="00000787" w:rsidRDefault="00A46BB2" w:rsidP="00A46BB2">
      <w:pPr>
        <w:jc w:val="both"/>
        <w:rPr>
          <w:rFonts w:ascii="Cambria Math" w:hAnsi="Cambria Math"/>
          <w:sz w:val="24"/>
          <w:szCs w:val="24"/>
          <w:lang w:val="en-US"/>
        </w:rPr>
      </w:pPr>
      <w:r w:rsidRPr="0076192F">
        <w:rPr>
          <w:rFonts w:ascii="Cambria Math" w:hAnsi="Cambria Math"/>
          <w:sz w:val="24"/>
          <w:szCs w:val="24"/>
        </w:rPr>
        <w:t xml:space="preserve">We have </w:t>
      </w:r>
      <w:r w:rsidR="00CF28EC" w:rsidRPr="0076192F">
        <w:rPr>
          <w:rFonts w:ascii="Cambria Math" w:hAnsi="Cambria Math"/>
          <w:sz w:val="24"/>
          <w:szCs w:val="24"/>
        </w:rPr>
        <w:t xml:space="preserve">also </w:t>
      </w:r>
      <w:r w:rsidRPr="0076192F">
        <w:rPr>
          <w:rFonts w:ascii="Cambria Math" w:hAnsi="Cambria Math"/>
          <w:sz w:val="24"/>
          <w:szCs w:val="24"/>
        </w:rPr>
        <w:t>explored the impact of regulatory quality</w:t>
      </w:r>
      <w:r w:rsidR="00C9486D" w:rsidRPr="0076192F">
        <w:rPr>
          <w:rFonts w:ascii="Cambria Math" w:hAnsi="Cambria Math"/>
          <w:sz w:val="24"/>
          <w:szCs w:val="24"/>
        </w:rPr>
        <w:t>;</w:t>
      </w:r>
      <w:r w:rsidRPr="0076192F">
        <w:rPr>
          <w:rFonts w:ascii="Cambria Math" w:hAnsi="Cambria Math"/>
          <w:sz w:val="24"/>
          <w:szCs w:val="24"/>
          <w:lang w:val="en-US"/>
        </w:rPr>
        <w:t xml:space="preserve"> </w:t>
      </w:r>
      <w:r w:rsidR="00C9486D" w:rsidRPr="0076192F">
        <w:rPr>
          <w:rFonts w:ascii="Cambria Math" w:hAnsi="Cambria Math"/>
          <w:sz w:val="24"/>
          <w:szCs w:val="24"/>
          <w:lang w:val="en-US"/>
        </w:rPr>
        <w:t>this pools information from</w:t>
      </w:r>
      <w:r w:rsidRPr="0076192F">
        <w:rPr>
          <w:rFonts w:ascii="Cambria Math" w:hAnsi="Cambria Math"/>
          <w:sz w:val="24"/>
          <w:szCs w:val="24"/>
          <w:lang w:val="en-US"/>
        </w:rPr>
        <w:t xml:space="preserve"> </w:t>
      </w:r>
      <w:r w:rsidR="00C9486D" w:rsidRPr="0076192F">
        <w:rPr>
          <w:rFonts w:ascii="Cambria Math" w:hAnsi="Cambria Math"/>
          <w:sz w:val="24"/>
          <w:szCs w:val="24"/>
          <w:lang w:val="en-US"/>
        </w:rPr>
        <w:t xml:space="preserve">a </w:t>
      </w:r>
      <w:r w:rsidRPr="0076192F">
        <w:rPr>
          <w:rFonts w:ascii="Cambria Math" w:hAnsi="Cambria Math"/>
          <w:sz w:val="24"/>
          <w:szCs w:val="24"/>
          <w:lang w:val="en-US"/>
        </w:rPr>
        <w:t>number of variables such as investment and financial freedom, business regulatory environment, competition policy, tax inconsistency, financial institution's transparency, public sector openness to foreign bidders and easiness to start new business.</w:t>
      </w:r>
      <w:r w:rsidRPr="0076192F">
        <w:rPr>
          <w:rStyle w:val="FootnoteReference"/>
          <w:rFonts w:ascii="Cambria Math" w:hAnsi="Cambria Math"/>
          <w:sz w:val="24"/>
          <w:szCs w:val="24"/>
          <w:lang w:val="en-US"/>
        </w:rPr>
        <w:footnoteReference w:id="24"/>
      </w:r>
      <w:r w:rsidRPr="0076192F">
        <w:rPr>
          <w:rFonts w:ascii="Cambria Math" w:hAnsi="Cambria Math"/>
          <w:sz w:val="24"/>
          <w:szCs w:val="24"/>
          <w:lang w:val="en-US"/>
        </w:rPr>
        <w:t xml:space="preserve"> To keep the dimensionality of the PVAR manageable, </w:t>
      </w:r>
      <w:r w:rsidR="007F1FE3" w:rsidRPr="0076192F">
        <w:rPr>
          <w:rFonts w:ascii="Cambria Math" w:hAnsi="Cambria Math"/>
          <w:sz w:val="24"/>
          <w:szCs w:val="24"/>
          <w:lang w:val="en-US"/>
        </w:rPr>
        <w:t xml:space="preserve">and noting that </w:t>
      </w:r>
      <w:r w:rsidRPr="0076192F">
        <w:rPr>
          <w:rFonts w:ascii="Cambria Math" w:hAnsi="Cambria Math"/>
          <w:sz w:val="24"/>
          <w:szCs w:val="24"/>
          <w:lang w:val="en-US"/>
        </w:rPr>
        <w:t xml:space="preserve">regulatory quality </w:t>
      </w:r>
      <w:r w:rsidR="007F1FE3" w:rsidRPr="0076192F">
        <w:rPr>
          <w:rFonts w:ascii="Cambria Math" w:hAnsi="Cambria Math"/>
          <w:sz w:val="24"/>
          <w:szCs w:val="24"/>
          <w:lang w:val="en-US"/>
        </w:rPr>
        <w:t>is a policy variable (more likely to affect than be affected by other economic or financial variables), we let it</w:t>
      </w:r>
      <w:r w:rsidRPr="0076192F">
        <w:rPr>
          <w:rFonts w:ascii="Cambria Math" w:hAnsi="Cambria Math"/>
          <w:sz w:val="24"/>
          <w:szCs w:val="24"/>
          <w:lang w:val="en-US"/>
        </w:rPr>
        <w:t xml:space="preserve"> </w:t>
      </w:r>
      <w:r w:rsidR="007F1FE3" w:rsidRPr="0076192F">
        <w:rPr>
          <w:rFonts w:ascii="Cambria Math" w:hAnsi="Cambria Math"/>
          <w:sz w:val="24"/>
          <w:szCs w:val="24"/>
          <w:lang w:val="en-US"/>
        </w:rPr>
        <w:t xml:space="preserve">enter </w:t>
      </w:r>
      <w:r w:rsidR="00A32742" w:rsidRPr="0076192F">
        <w:rPr>
          <w:rFonts w:ascii="Cambria Math" w:hAnsi="Cambria Math"/>
          <w:sz w:val="24"/>
          <w:szCs w:val="24"/>
          <w:lang w:val="en-US"/>
        </w:rPr>
        <w:t xml:space="preserve">as an exogenous one. </w:t>
      </w:r>
      <w:r w:rsidR="002A5995">
        <w:rPr>
          <w:rFonts w:ascii="Cambria Math" w:hAnsi="Cambria Math"/>
          <w:sz w:val="24"/>
          <w:szCs w:val="24"/>
          <w:lang w:val="en-US"/>
        </w:rPr>
        <w:t xml:space="preserve">Doing so </w:t>
      </w:r>
      <w:r w:rsidRPr="0076192F">
        <w:rPr>
          <w:rFonts w:ascii="Cambria Math" w:hAnsi="Cambria Math"/>
          <w:sz w:val="24"/>
          <w:szCs w:val="24"/>
          <w:lang w:val="en-US"/>
        </w:rPr>
        <w:t>made no qualitative difference to the results reported earlier one</w:t>
      </w:r>
      <w:r w:rsidR="00C9486D" w:rsidRPr="0076192F">
        <w:rPr>
          <w:rFonts w:ascii="Cambria Math" w:hAnsi="Cambria Math"/>
          <w:sz w:val="24"/>
          <w:szCs w:val="24"/>
          <w:lang w:val="en-US"/>
        </w:rPr>
        <w:t>.</w:t>
      </w:r>
      <w:r w:rsidR="00052D33" w:rsidRPr="0076192F">
        <w:rPr>
          <w:rStyle w:val="FootnoteReference"/>
          <w:rFonts w:ascii="Cambria Math" w:hAnsi="Cambria Math"/>
          <w:sz w:val="24"/>
          <w:szCs w:val="24"/>
          <w:lang w:val="en-US"/>
        </w:rPr>
        <w:footnoteReference w:id="25"/>
      </w:r>
      <w:r w:rsidR="00746402">
        <w:rPr>
          <w:rFonts w:ascii="Cambria Math" w:hAnsi="Cambria Math"/>
          <w:sz w:val="24"/>
          <w:szCs w:val="24"/>
          <w:lang w:val="en-US"/>
        </w:rPr>
        <w:t xml:space="preserve"> </w:t>
      </w:r>
    </w:p>
    <w:p w14:paraId="2CC6B0CF" w14:textId="1D5831C9" w:rsidR="003C5091" w:rsidRPr="0076192F" w:rsidRDefault="003C5091" w:rsidP="00DB241B">
      <w:pPr>
        <w:jc w:val="both"/>
        <w:rPr>
          <w:rFonts w:ascii="Cambria Math" w:hAnsi="Cambria Math" w:cs="Times New Roman"/>
          <w:sz w:val="24"/>
          <w:szCs w:val="24"/>
        </w:rPr>
      </w:pPr>
    </w:p>
    <w:p w14:paraId="3CE9A2FF" w14:textId="21EE613D" w:rsidR="000211D8" w:rsidRPr="0076192F" w:rsidRDefault="00F9145C" w:rsidP="00483DE0">
      <w:pPr>
        <w:rPr>
          <w:rFonts w:ascii="Cambria Math" w:hAnsi="Cambria Math"/>
          <w:b/>
          <w:sz w:val="24"/>
          <w:szCs w:val="24"/>
        </w:rPr>
      </w:pPr>
      <w:r>
        <w:rPr>
          <w:rFonts w:ascii="Cambria Math" w:hAnsi="Cambria Math"/>
          <w:b/>
          <w:sz w:val="24"/>
          <w:szCs w:val="24"/>
        </w:rPr>
        <w:t>5</w:t>
      </w:r>
      <w:r w:rsidR="00483DE0" w:rsidRPr="0076192F">
        <w:rPr>
          <w:rFonts w:ascii="Cambria Math" w:hAnsi="Cambria Math"/>
          <w:b/>
          <w:sz w:val="24"/>
          <w:szCs w:val="24"/>
        </w:rPr>
        <w:t xml:space="preserve">. </w:t>
      </w:r>
      <w:r w:rsidR="003F362A" w:rsidRPr="0076192F">
        <w:rPr>
          <w:rFonts w:ascii="Cambria Math" w:hAnsi="Cambria Math"/>
          <w:b/>
          <w:sz w:val="24"/>
          <w:szCs w:val="24"/>
        </w:rPr>
        <w:t>Conclusion</w:t>
      </w:r>
      <w:r w:rsidR="00483DE0" w:rsidRPr="0076192F">
        <w:rPr>
          <w:rFonts w:ascii="Cambria Math" w:hAnsi="Cambria Math"/>
          <w:b/>
          <w:sz w:val="24"/>
          <w:szCs w:val="24"/>
        </w:rPr>
        <w:t>s</w:t>
      </w:r>
      <w:r w:rsidR="005F5EDC" w:rsidRPr="0076192F">
        <w:rPr>
          <w:rFonts w:ascii="Cambria Math" w:hAnsi="Cambria Math"/>
          <w:b/>
          <w:sz w:val="24"/>
          <w:szCs w:val="24"/>
        </w:rPr>
        <w:t xml:space="preserve"> </w:t>
      </w:r>
    </w:p>
    <w:p w14:paraId="29438580" w14:textId="1C675A1D" w:rsidR="004B032E" w:rsidRPr="007B0DB0" w:rsidRDefault="005D5DCD" w:rsidP="00362B6C">
      <w:pPr>
        <w:jc w:val="both"/>
        <w:rPr>
          <w:rFonts w:ascii="Cambria Math" w:hAnsi="Cambria Math"/>
          <w:sz w:val="24"/>
          <w:szCs w:val="24"/>
        </w:rPr>
      </w:pPr>
      <w:r w:rsidRPr="0076192F">
        <w:rPr>
          <w:rFonts w:ascii="Cambria Math" w:hAnsi="Cambria Math"/>
          <w:sz w:val="24"/>
          <w:szCs w:val="24"/>
        </w:rPr>
        <w:t>This paper examines the joint behavior of sovereign ratings and its macroeconomic/financial drivers within a multivariate Panel Vector AutoRegressive framework</w:t>
      </w:r>
      <w:r w:rsidR="00720854" w:rsidRPr="0076192F">
        <w:rPr>
          <w:rFonts w:ascii="Cambria Math" w:hAnsi="Cambria Math"/>
          <w:sz w:val="24"/>
          <w:szCs w:val="24"/>
        </w:rPr>
        <w:t>.</w:t>
      </w:r>
      <w:r w:rsidR="003E5885" w:rsidRPr="0076192F">
        <w:rPr>
          <w:rFonts w:ascii="Cambria Math" w:hAnsi="Cambria Math"/>
          <w:sz w:val="24"/>
          <w:szCs w:val="24"/>
        </w:rPr>
        <w:t xml:space="preserve"> </w:t>
      </w:r>
      <w:r w:rsidR="00720854" w:rsidRPr="0076192F">
        <w:rPr>
          <w:rFonts w:ascii="Cambria Math" w:hAnsi="Cambria Math"/>
          <w:sz w:val="24"/>
          <w:szCs w:val="24"/>
        </w:rPr>
        <w:t>U</w:t>
      </w:r>
      <w:r w:rsidR="00AD3D44" w:rsidRPr="0076192F">
        <w:rPr>
          <w:rFonts w:ascii="Cambria Math" w:hAnsi="Cambria Math"/>
          <w:sz w:val="24"/>
          <w:szCs w:val="24"/>
        </w:rPr>
        <w:t>sing</w:t>
      </w:r>
      <w:r w:rsidR="003E5885" w:rsidRPr="0076192F">
        <w:rPr>
          <w:rFonts w:ascii="Cambria Math" w:hAnsi="Cambria Math"/>
          <w:sz w:val="24"/>
          <w:szCs w:val="24"/>
        </w:rPr>
        <w:t xml:space="preserve"> a panel of 72 countries over the 1998-2016 period</w:t>
      </w:r>
      <w:r w:rsidR="00720854" w:rsidRPr="0076192F">
        <w:rPr>
          <w:rFonts w:ascii="Cambria Math" w:hAnsi="Cambria Math"/>
          <w:sz w:val="24"/>
          <w:szCs w:val="24"/>
        </w:rPr>
        <w:t>,</w:t>
      </w:r>
      <w:r w:rsidRPr="0076192F">
        <w:rPr>
          <w:rFonts w:ascii="Cambria Math" w:hAnsi="Cambria Math"/>
          <w:sz w:val="24"/>
          <w:szCs w:val="24"/>
        </w:rPr>
        <w:t xml:space="preserve"> </w:t>
      </w:r>
      <w:r w:rsidR="00720854" w:rsidRPr="0076192F">
        <w:rPr>
          <w:rFonts w:ascii="Cambria Math" w:hAnsi="Cambria Math"/>
          <w:sz w:val="24"/>
          <w:szCs w:val="24"/>
        </w:rPr>
        <w:t xml:space="preserve">a number of findings </w:t>
      </w:r>
      <w:r w:rsidR="00505BCD" w:rsidRPr="0076192F">
        <w:rPr>
          <w:rFonts w:ascii="Cambria Math" w:hAnsi="Cambria Math"/>
          <w:sz w:val="24"/>
          <w:szCs w:val="24"/>
        </w:rPr>
        <w:t>stand out</w:t>
      </w:r>
      <w:r w:rsidR="00720854" w:rsidRPr="0076192F">
        <w:rPr>
          <w:rFonts w:ascii="Cambria Math" w:hAnsi="Cambria Math"/>
          <w:sz w:val="24"/>
          <w:szCs w:val="24"/>
        </w:rPr>
        <w:t xml:space="preserve">. First, </w:t>
      </w:r>
      <w:r w:rsidR="00AD3D44" w:rsidRPr="0076192F">
        <w:rPr>
          <w:rFonts w:ascii="Cambria Math" w:hAnsi="Cambria Math"/>
          <w:sz w:val="24"/>
          <w:szCs w:val="24"/>
        </w:rPr>
        <w:t>o</w:t>
      </w:r>
      <w:r w:rsidR="00AD313E" w:rsidRPr="0076192F">
        <w:rPr>
          <w:rFonts w:ascii="Cambria Math" w:hAnsi="Cambria Math"/>
          <w:sz w:val="24"/>
          <w:szCs w:val="24"/>
        </w:rPr>
        <w:t>ur</w:t>
      </w:r>
      <w:r w:rsidR="00B87D39" w:rsidRPr="0076192F">
        <w:rPr>
          <w:rFonts w:ascii="Cambria Math" w:hAnsi="Cambria Math"/>
          <w:sz w:val="24"/>
          <w:szCs w:val="24"/>
        </w:rPr>
        <w:t xml:space="preserve"> model finds an important role for NPLs in affecting sovereign rating assessment over and above</w:t>
      </w:r>
      <w:r w:rsidR="005B03E5">
        <w:rPr>
          <w:rFonts w:ascii="Cambria Math" w:hAnsi="Cambria Math"/>
          <w:sz w:val="24"/>
          <w:szCs w:val="24"/>
        </w:rPr>
        <w:t xml:space="preserve"> the effects of </w:t>
      </w:r>
      <w:r w:rsidR="00B87D39" w:rsidRPr="0076192F">
        <w:rPr>
          <w:rFonts w:ascii="Cambria Math" w:hAnsi="Cambria Math"/>
          <w:sz w:val="24"/>
          <w:szCs w:val="24"/>
        </w:rPr>
        <w:t xml:space="preserve">uncertainty, GDP growth, government debt-to-GDP ratio, investment-to-GDP ratio and the fiscal balance-to-GDP ratio. </w:t>
      </w:r>
      <w:r w:rsidR="006C28C6">
        <w:rPr>
          <w:rFonts w:ascii="Cambria Math" w:hAnsi="Cambria Math"/>
          <w:sz w:val="24"/>
          <w:szCs w:val="24"/>
        </w:rPr>
        <w:t xml:space="preserve">At the same time, sovereign rating decisions themselves </w:t>
      </w:r>
      <w:r w:rsidR="004B032E">
        <w:rPr>
          <w:rFonts w:ascii="Cambria Math" w:hAnsi="Cambria Math"/>
          <w:sz w:val="24"/>
          <w:szCs w:val="24"/>
        </w:rPr>
        <w:t>affect NPLs.</w:t>
      </w:r>
      <w:r w:rsidR="004B032E" w:rsidRPr="00D506BA">
        <w:rPr>
          <w:rFonts w:ascii="Cambria Math" w:hAnsi="Cambria Math"/>
          <w:sz w:val="24"/>
          <w:szCs w:val="24"/>
        </w:rPr>
        <w:t xml:space="preserve"> Intuitively, sovereign rating downgrades trigger bank rating downgrades which in turn lead to a reduction in lending supply and, at the same time, increase the burden of re-financing existing loans</w:t>
      </w:r>
      <w:r w:rsidR="00053E51">
        <w:rPr>
          <w:rFonts w:ascii="Cambria Math" w:hAnsi="Cambria Math"/>
          <w:sz w:val="24"/>
          <w:szCs w:val="24"/>
        </w:rPr>
        <w:t xml:space="preserve">, </w:t>
      </w:r>
      <w:r w:rsidR="00053E51">
        <w:rPr>
          <w:rFonts w:ascii="Cambria Math" w:hAnsi="Cambria Math"/>
          <w:sz w:val="24"/>
          <w:szCs w:val="24"/>
        </w:rPr>
        <w:lastRenderedPageBreak/>
        <w:t>therefore,</w:t>
      </w:r>
      <w:r w:rsidR="004B032E" w:rsidRPr="00D506BA">
        <w:rPr>
          <w:rFonts w:ascii="Cambria Math" w:hAnsi="Cambria Math"/>
          <w:sz w:val="24"/>
          <w:szCs w:val="24"/>
        </w:rPr>
        <w:t xml:space="preserve"> triggering a rise in NPLs.</w:t>
      </w:r>
      <w:r w:rsidR="00D506BA" w:rsidRPr="007B0DB0">
        <w:rPr>
          <w:rFonts w:ascii="Cambria Math" w:hAnsi="Cambria Math"/>
          <w:sz w:val="24"/>
          <w:szCs w:val="24"/>
        </w:rPr>
        <w:t xml:space="preserve"> </w:t>
      </w:r>
      <w:r w:rsidR="005B03E5">
        <w:rPr>
          <w:rFonts w:ascii="Cambria Math" w:hAnsi="Cambria Math" w:cs="Times New Roman"/>
          <w:sz w:val="24"/>
          <w:szCs w:val="24"/>
        </w:rPr>
        <w:t xml:space="preserve">Second, </w:t>
      </w:r>
      <w:r w:rsidR="001F3B25" w:rsidRPr="007B0DB0">
        <w:rPr>
          <w:rFonts w:ascii="Cambria Math" w:hAnsi="Cambria Math" w:cs="Times New Roman"/>
          <w:sz w:val="24"/>
          <w:szCs w:val="24"/>
        </w:rPr>
        <w:t xml:space="preserve">uncertainty shocks trigger sovereign rating downgrades following the financial turmoil and the subsequent Eurozone crisis. </w:t>
      </w:r>
    </w:p>
    <w:p w14:paraId="569DC3AE" w14:textId="324A3272" w:rsidR="00DB543B" w:rsidRPr="00941BE3" w:rsidRDefault="00D00A79" w:rsidP="003E5885">
      <w:pPr>
        <w:jc w:val="both"/>
        <w:rPr>
          <w:rFonts w:ascii="Cambria Math" w:hAnsi="Cambria Math"/>
          <w:sz w:val="24"/>
          <w:szCs w:val="24"/>
        </w:rPr>
      </w:pPr>
      <w:r w:rsidRPr="00941BE3">
        <w:rPr>
          <w:rFonts w:ascii="Cambria Math" w:hAnsi="Cambria Math"/>
          <w:sz w:val="24"/>
          <w:szCs w:val="24"/>
        </w:rPr>
        <w:t xml:space="preserve">By flagging the importance of rising </w:t>
      </w:r>
      <w:r w:rsidR="005130DA" w:rsidRPr="00941BE3">
        <w:rPr>
          <w:rFonts w:ascii="Cambria Math" w:hAnsi="Cambria Math"/>
          <w:sz w:val="24"/>
          <w:szCs w:val="24"/>
        </w:rPr>
        <w:t>NPLs</w:t>
      </w:r>
      <w:r w:rsidRPr="00941BE3">
        <w:rPr>
          <w:rFonts w:ascii="Cambria Math" w:hAnsi="Cambria Math"/>
          <w:sz w:val="24"/>
          <w:szCs w:val="24"/>
        </w:rPr>
        <w:t xml:space="preserve"> as a</w:t>
      </w:r>
      <w:r w:rsidR="005130DA" w:rsidRPr="00941BE3">
        <w:rPr>
          <w:rFonts w:ascii="Cambria Math" w:hAnsi="Cambria Math"/>
          <w:sz w:val="24"/>
          <w:szCs w:val="24"/>
        </w:rPr>
        <w:t xml:space="preserve"> vital</w:t>
      </w:r>
      <w:r w:rsidRPr="00941BE3">
        <w:rPr>
          <w:rFonts w:ascii="Cambria Math" w:hAnsi="Cambria Math"/>
          <w:sz w:val="24"/>
          <w:szCs w:val="24"/>
        </w:rPr>
        <w:t xml:space="preserve"> </w:t>
      </w:r>
      <w:r w:rsidR="00BE17DF" w:rsidRPr="00941BE3">
        <w:rPr>
          <w:rFonts w:ascii="Cambria Math" w:hAnsi="Cambria Math"/>
          <w:sz w:val="24"/>
          <w:szCs w:val="24"/>
        </w:rPr>
        <w:t xml:space="preserve">banking </w:t>
      </w:r>
      <w:r w:rsidRPr="00941BE3">
        <w:rPr>
          <w:rFonts w:ascii="Cambria Math" w:hAnsi="Cambria Math"/>
          <w:sz w:val="24"/>
          <w:szCs w:val="24"/>
        </w:rPr>
        <w:t>risk factor</w:t>
      </w:r>
      <w:r w:rsidR="00AB106A" w:rsidRPr="00941BE3">
        <w:rPr>
          <w:rFonts w:ascii="Cambria Math" w:hAnsi="Cambria Math"/>
          <w:sz w:val="24"/>
          <w:szCs w:val="24"/>
        </w:rPr>
        <w:t>,</w:t>
      </w:r>
      <w:r w:rsidR="000B196E" w:rsidRPr="00941BE3">
        <w:rPr>
          <w:rFonts w:ascii="Cambria Math" w:hAnsi="Cambria Math"/>
          <w:sz w:val="24"/>
          <w:szCs w:val="24"/>
        </w:rPr>
        <w:t xml:space="preserve"> </w:t>
      </w:r>
      <w:r w:rsidRPr="00941BE3">
        <w:rPr>
          <w:rFonts w:ascii="Cambria Math" w:hAnsi="Cambria Math"/>
          <w:sz w:val="24"/>
          <w:szCs w:val="24"/>
        </w:rPr>
        <w:t xml:space="preserve">our model provides additional insight towards understanding </w:t>
      </w:r>
      <w:r w:rsidR="00AB1060" w:rsidRPr="00941BE3">
        <w:rPr>
          <w:rFonts w:ascii="Cambria Math" w:hAnsi="Cambria Math"/>
          <w:sz w:val="24"/>
          <w:szCs w:val="24"/>
        </w:rPr>
        <w:t xml:space="preserve">how CRAs </w:t>
      </w:r>
      <w:r w:rsidR="00263973" w:rsidRPr="00941BE3">
        <w:rPr>
          <w:rFonts w:ascii="Cambria Math" w:hAnsi="Cambria Math"/>
          <w:sz w:val="24"/>
          <w:szCs w:val="24"/>
        </w:rPr>
        <w:t>make</w:t>
      </w:r>
      <w:r w:rsidR="00CA0B59" w:rsidRPr="00941BE3">
        <w:rPr>
          <w:rFonts w:ascii="Cambria Math" w:hAnsi="Cambria Math"/>
          <w:sz w:val="24"/>
          <w:szCs w:val="24"/>
        </w:rPr>
        <w:t xml:space="preserve"> </w:t>
      </w:r>
      <w:r w:rsidR="007E150C" w:rsidRPr="00941BE3">
        <w:rPr>
          <w:rFonts w:ascii="Cambria Math" w:hAnsi="Cambria Math"/>
          <w:sz w:val="24"/>
          <w:szCs w:val="24"/>
        </w:rPr>
        <w:t xml:space="preserve">their </w:t>
      </w:r>
      <w:r w:rsidRPr="00941BE3">
        <w:rPr>
          <w:rFonts w:ascii="Cambria Math" w:hAnsi="Cambria Math"/>
          <w:sz w:val="24"/>
          <w:szCs w:val="24"/>
        </w:rPr>
        <w:t xml:space="preserve">sovereign rating </w:t>
      </w:r>
      <w:r w:rsidR="007E150C" w:rsidRPr="00941BE3">
        <w:rPr>
          <w:rFonts w:ascii="Cambria Math" w:hAnsi="Cambria Math"/>
          <w:sz w:val="24"/>
          <w:szCs w:val="24"/>
        </w:rPr>
        <w:t>assessment</w:t>
      </w:r>
      <w:r w:rsidRPr="00941BE3">
        <w:rPr>
          <w:rFonts w:ascii="Cambria Math" w:hAnsi="Cambria Math"/>
          <w:sz w:val="24"/>
          <w:szCs w:val="24"/>
        </w:rPr>
        <w:t xml:space="preserve">s. </w:t>
      </w:r>
      <w:r w:rsidR="000F3AC1" w:rsidRPr="00941BE3">
        <w:rPr>
          <w:rFonts w:ascii="Cambria Math" w:hAnsi="Cambria Math"/>
          <w:sz w:val="24"/>
          <w:szCs w:val="24"/>
        </w:rPr>
        <w:t xml:space="preserve">Both </w:t>
      </w:r>
      <w:r w:rsidR="00941BE3" w:rsidRPr="00941BE3">
        <w:rPr>
          <w:rFonts w:ascii="Cambria Math" w:hAnsi="Cambria Math"/>
          <w:sz w:val="24"/>
          <w:szCs w:val="24"/>
        </w:rPr>
        <w:t>r</w:t>
      </w:r>
      <w:r w:rsidR="0041726F" w:rsidRPr="00941BE3">
        <w:rPr>
          <w:rFonts w:ascii="Cambria Math" w:hAnsi="Cambria Math"/>
          <w:sz w:val="24"/>
          <w:szCs w:val="24"/>
        </w:rPr>
        <w:t xml:space="preserve">ising NPLs </w:t>
      </w:r>
      <w:r w:rsidR="00AB106A" w:rsidRPr="00941BE3">
        <w:rPr>
          <w:rFonts w:ascii="Cambria Math" w:hAnsi="Cambria Math"/>
          <w:sz w:val="24"/>
          <w:szCs w:val="24"/>
        </w:rPr>
        <w:t xml:space="preserve">and </w:t>
      </w:r>
      <w:r w:rsidR="000F3AC1" w:rsidRPr="00941BE3">
        <w:rPr>
          <w:rFonts w:ascii="Cambria Math" w:hAnsi="Cambria Math"/>
          <w:sz w:val="24"/>
          <w:szCs w:val="24"/>
        </w:rPr>
        <w:t>increased</w:t>
      </w:r>
      <w:r w:rsidR="005B03E5">
        <w:rPr>
          <w:rFonts w:ascii="Cambria Math" w:hAnsi="Cambria Math"/>
          <w:sz w:val="24"/>
          <w:szCs w:val="24"/>
        </w:rPr>
        <w:t xml:space="preserve"> </w:t>
      </w:r>
      <w:r w:rsidR="00AB106A" w:rsidRPr="00941BE3">
        <w:rPr>
          <w:rFonts w:ascii="Cambria Math" w:hAnsi="Cambria Math"/>
          <w:sz w:val="24"/>
          <w:szCs w:val="24"/>
        </w:rPr>
        <w:t xml:space="preserve">uncertainty trigger sovereign rating downgrades that </w:t>
      </w:r>
      <w:r w:rsidR="000F3AC1" w:rsidRPr="00941BE3">
        <w:rPr>
          <w:rFonts w:ascii="Cambria Math" w:hAnsi="Cambria Math"/>
          <w:sz w:val="24"/>
          <w:szCs w:val="24"/>
        </w:rPr>
        <w:t xml:space="preserve">‘hit’ </w:t>
      </w:r>
      <w:r w:rsidR="00AB106A" w:rsidRPr="00941BE3">
        <w:rPr>
          <w:rFonts w:ascii="Cambria Math" w:hAnsi="Cambria Math"/>
          <w:sz w:val="24"/>
          <w:szCs w:val="24"/>
        </w:rPr>
        <w:t>investments and economic growth</w:t>
      </w:r>
      <w:r w:rsidR="001F3B25" w:rsidRPr="00941BE3">
        <w:rPr>
          <w:rFonts w:ascii="Cambria Math" w:hAnsi="Cambria Math"/>
          <w:sz w:val="24"/>
          <w:szCs w:val="24"/>
        </w:rPr>
        <w:t>.</w:t>
      </w:r>
      <w:r w:rsidR="00AB106A" w:rsidRPr="00941BE3">
        <w:rPr>
          <w:rFonts w:ascii="Cambria Math" w:hAnsi="Cambria Math"/>
          <w:sz w:val="24"/>
          <w:szCs w:val="24"/>
        </w:rPr>
        <w:t xml:space="preserve"> </w:t>
      </w:r>
      <w:r w:rsidR="001F3B25" w:rsidRPr="00941BE3">
        <w:rPr>
          <w:rFonts w:ascii="Cambria Math" w:hAnsi="Cambria Math"/>
          <w:sz w:val="24"/>
          <w:szCs w:val="24"/>
        </w:rPr>
        <w:t xml:space="preserve">With this in mind, </w:t>
      </w:r>
      <w:r w:rsidR="008B7BBC" w:rsidRPr="00941BE3">
        <w:rPr>
          <w:rFonts w:ascii="Cambria Math" w:hAnsi="Cambria Math"/>
          <w:sz w:val="24"/>
          <w:szCs w:val="24"/>
        </w:rPr>
        <w:t xml:space="preserve">it </w:t>
      </w:r>
      <w:r w:rsidR="0041726F" w:rsidRPr="00941BE3">
        <w:rPr>
          <w:rFonts w:ascii="Cambria Math" w:hAnsi="Cambria Math"/>
          <w:sz w:val="24"/>
          <w:szCs w:val="24"/>
        </w:rPr>
        <w:t xml:space="preserve">is in the interest of policymakers to be </w:t>
      </w:r>
      <w:r w:rsidR="005B03E5">
        <w:rPr>
          <w:rFonts w:ascii="Cambria Math" w:hAnsi="Cambria Math"/>
          <w:sz w:val="24"/>
          <w:szCs w:val="24"/>
        </w:rPr>
        <w:t xml:space="preserve">tackling </w:t>
      </w:r>
      <w:r w:rsidR="00CA0B59" w:rsidRPr="00941BE3">
        <w:rPr>
          <w:rFonts w:ascii="Cambria Math" w:hAnsi="Cambria Math"/>
          <w:sz w:val="24"/>
          <w:szCs w:val="24"/>
        </w:rPr>
        <w:t xml:space="preserve">uncertainty </w:t>
      </w:r>
      <w:r w:rsidR="001F3B25" w:rsidRPr="00941BE3">
        <w:rPr>
          <w:rFonts w:ascii="Cambria Math" w:hAnsi="Cambria Math"/>
          <w:sz w:val="24"/>
          <w:szCs w:val="24"/>
        </w:rPr>
        <w:t>and</w:t>
      </w:r>
      <w:r w:rsidR="00AB106A" w:rsidRPr="00941BE3">
        <w:rPr>
          <w:rFonts w:ascii="Cambria Math" w:hAnsi="Cambria Math"/>
          <w:sz w:val="24"/>
          <w:szCs w:val="24"/>
        </w:rPr>
        <w:t xml:space="preserve"> NPLs especially since </w:t>
      </w:r>
      <w:r w:rsidR="001F3B25" w:rsidRPr="00941BE3">
        <w:rPr>
          <w:rFonts w:ascii="Cambria Math" w:hAnsi="Cambria Math"/>
          <w:sz w:val="24"/>
          <w:szCs w:val="24"/>
        </w:rPr>
        <w:t>rising</w:t>
      </w:r>
      <w:r w:rsidR="00AB106A" w:rsidRPr="00941BE3">
        <w:rPr>
          <w:rFonts w:ascii="Cambria Math" w:hAnsi="Cambria Math"/>
          <w:sz w:val="24"/>
          <w:szCs w:val="24"/>
        </w:rPr>
        <w:t xml:space="preserve"> </w:t>
      </w:r>
      <w:r w:rsidR="001F3B25" w:rsidRPr="00941BE3">
        <w:rPr>
          <w:rFonts w:ascii="Cambria Math" w:hAnsi="Cambria Math"/>
          <w:sz w:val="24"/>
          <w:szCs w:val="24"/>
        </w:rPr>
        <w:t xml:space="preserve">NPLs have been found </w:t>
      </w:r>
      <w:r w:rsidR="000F3AC1" w:rsidRPr="00941BE3">
        <w:rPr>
          <w:rFonts w:ascii="Cambria Math" w:hAnsi="Cambria Math"/>
          <w:sz w:val="24"/>
          <w:szCs w:val="24"/>
        </w:rPr>
        <w:t xml:space="preserve">themselves </w:t>
      </w:r>
      <w:r w:rsidR="001F3B25" w:rsidRPr="00941BE3">
        <w:rPr>
          <w:rFonts w:ascii="Cambria Math" w:hAnsi="Cambria Math"/>
          <w:sz w:val="24"/>
          <w:szCs w:val="24"/>
        </w:rPr>
        <w:t xml:space="preserve">to undermine </w:t>
      </w:r>
      <w:r w:rsidR="00AB106A" w:rsidRPr="00941BE3">
        <w:rPr>
          <w:rFonts w:ascii="Cambria Math" w:hAnsi="Cambria Math"/>
          <w:sz w:val="24"/>
          <w:szCs w:val="24"/>
        </w:rPr>
        <w:t xml:space="preserve">future economic growth (Balgova et al., 2016). </w:t>
      </w:r>
      <w:r w:rsidR="001F3B25" w:rsidRPr="00941BE3">
        <w:rPr>
          <w:rFonts w:ascii="Cambria Math" w:hAnsi="Cambria Math"/>
          <w:sz w:val="24"/>
          <w:szCs w:val="24"/>
        </w:rPr>
        <w:t xml:space="preserve">This could be achieved by improving, for instance, governance indicators; indeed, </w:t>
      </w:r>
      <w:r w:rsidR="00AB106A" w:rsidRPr="00941BE3">
        <w:rPr>
          <w:rFonts w:ascii="Cambria Math" w:hAnsi="Cambria Math"/>
          <w:sz w:val="24"/>
          <w:szCs w:val="24"/>
        </w:rPr>
        <w:t>Balgova et al. (2018) not</w:t>
      </w:r>
      <w:r w:rsidR="001F3B25" w:rsidRPr="00941BE3">
        <w:rPr>
          <w:rFonts w:ascii="Cambria Math" w:hAnsi="Cambria Math"/>
          <w:sz w:val="24"/>
          <w:szCs w:val="24"/>
        </w:rPr>
        <w:t>e</w:t>
      </w:r>
      <w:r w:rsidR="00AB106A" w:rsidRPr="00941BE3">
        <w:rPr>
          <w:rFonts w:ascii="Cambria Math" w:hAnsi="Cambria Math"/>
          <w:sz w:val="24"/>
          <w:szCs w:val="24"/>
        </w:rPr>
        <w:t xml:space="preserve"> t</w:t>
      </w:r>
      <w:r w:rsidR="0069157C" w:rsidRPr="00941BE3">
        <w:rPr>
          <w:rFonts w:ascii="Cambria Math" w:hAnsi="Cambria Math"/>
          <w:sz w:val="24"/>
          <w:szCs w:val="24"/>
        </w:rPr>
        <w:t>h</w:t>
      </w:r>
      <w:r w:rsidR="00AB106A" w:rsidRPr="00941BE3">
        <w:rPr>
          <w:rFonts w:ascii="Cambria Math" w:hAnsi="Cambria Math"/>
          <w:sz w:val="24"/>
          <w:szCs w:val="24"/>
        </w:rPr>
        <w:t>at</w:t>
      </w:r>
      <w:r w:rsidR="0069157C" w:rsidRPr="00941BE3">
        <w:rPr>
          <w:rFonts w:ascii="Cambria Math" w:hAnsi="Cambria Math"/>
          <w:sz w:val="24"/>
          <w:szCs w:val="24"/>
        </w:rPr>
        <w:t xml:space="preserve"> </w:t>
      </w:r>
      <w:r w:rsidR="001F3B25" w:rsidRPr="00941BE3">
        <w:rPr>
          <w:rFonts w:ascii="Cambria Math" w:hAnsi="Cambria Math"/>
          <w:sz w:val="24"/>
          <w:szCs w:val="24"/>
        </w:rPr>
        <w:t xml:space="preserve">improved </w:t>
      </w:r>
      <w:bookmarkStart w:id="9" w:name="_Hlk536727517"/>
      <w:r w:rsidR="00DA4870" w:rsidRPr="00941BE3">
        <w:rPr>
          <w:rFonts w:ascii="Cambria Math" w:hAnsi="Cambria Math"/>
          <w:sz w:val="24"/>
          <w:szCs w:val="24"/>
        </w:rPr>
        <w:t xml:space="preserve">governance </w:t>
      </w:r>
      <w:bookmarkEnd w:id="9"/>
      <w:r w:rsidR="000F3AC1" w:rsidRPr="00941BE3">
        <w:rPr>
          <w:rFonts w:ascii="Cambria Math" w:hAnsi="Cambria Math"/>
          <w:sz w:val="24"/>
          <w:szCs w:val="24"/>
        </w:rPr>
        <w:t xml:space="preserve">(as a measure of </w:t>
      </w:r>
      <w:r w:rsidR="00941BE3" w:rsidRPr="00941BE3">
        <w:rPr>
          <w:rFonts w:ascii="Cambria Math" w:hAnsi="Cambria Math"/>
          <w:sz w:val="24"/>
          <w:szCs w:val="24"/>
        </w:rPr>
        <w:t>the</w:t>
      </w:r>
      <w:r w:rsidR="000F3AC1" w:rsidRPr="00941BE3">
        <w:rPr>
          <w:rFonts w:ascii="Cambria Math" w:hAnsi="Cambria Math"/>
          <w:sz w:val="24"/>
          <w:szCs w:val="24"/>
        </w:rPr>
        <w:t xml:space="preserve"> quality of institutions) helps</w:t>
      </w:r>
      <w:r w:rsidR="001F3B25" w:rsidRPr="00941BE3">
        <w:rPr>
          <w:rFonts w:ascii="Cambria Math" w:hAnsi="Cambria Math"/>
          <w:sz w:val="24"/>
          <w:szCs w:val="24"/>
        </w:rPr>
        <w:t xml:space="preserve"> redu</w:t>
      </w:r>
      <w:r w:rsidR="000F3AC1" w:rsidRPr="00941BE3">
        <w:rPr>
          <w:rFonts w:ascii="Cambria Math" w:hAnsi="Cambria Math"/>
          <w:sz w:val="24"/>
          <w:szCs w:val="24"/>
        </w:rPr>
        <w:t>ce</w:t>
      </w:r>
      <w:r w:rsidR="00AB106A" w:rsidRPr="00941BE3">
        <w:rPr>
          <w:rFonts w:ascii="Cambria Math" w:hAnsi="Cambria Math"/>
          <w:sz w:val="24"/>
          <w:szCs w:val="24"/>
        </w:rPr>
        <w:t xml:space="preserve"> NPLs and </w:t>
      </w:r>
      <w:r w:rsidR="001F3B25" w:rsidRPr="00941BE3">
        <w:rPr>
          <w:rFonts w:ascii="Cambria Math" w:hAnsi="Cambria Math"/>
          <w:sz w:val="24"/>
          <w:szCs w:val="24"/>
        </w:rPr>
        <w:t>strengthen</w:t>
      </w:r>
      <w:r w:rsidR="00AB106A" w:rsidRPr="00941BE3">
        <w:rPr>
          <w:rFonts w:ascii="Cambria Math" w:hAnsi="Cambria Math"/>
          <w:sz w:val="24"/>
          <w:szCs w:val="24"/>
        </w:rPr>
        <w:t xml:space="preserve"> </w:t>
      </w:r>
      <w:r w:rsidR="00490C4B" w:rsidRPr="00941BE3">
        <w:rPr>
          <w:rFonts w:ascii="Cambria Math" w:hAnsi="Cambria Math"/>
          <w:sz w:val="24"/>
          <w:szCs w:val="24"/>
        </w:rPr>
        <w:t xml:space="preserve">economic </w:t>
      </w:r>
      <w:r w:rsidR="00AB106A" w:rsidRPr="00941BE3">
        <w:rPr>
          <w:rFonts w:ascii="Cambria Math" w:hAnsi="Cambria Math"/>
          <w:sz w:val="24"/>
          <w:szCs w:val="24"/>
        </w:rPr>
        <w:t>growth</w:t>
      </w:r>
      <w:r w:rsidR="000237A6" w:rsidRPr="00941BE3">
        <w:rPr>
          <w:rFonts w:ascii="Cambria Math" w:hAnsi="Cambria Math"/>
          <w:sz w:val="24"/>
          <w:szCs w:val="24"/>
        </w:rPr>
        <w:t xml:space="preserve">. </w:t>
      </w:r>
    </w:p>
    <w:p w14:paraId="4FC76326" w14:textId="132AB4DF" w:rsidR="006A6705" w:rsidRDefault="0062719B" w:rsidP="00BA6C59">
      <w:pPr>
        <w:jc w:val="both"/>
        <w:rPr>
          <w:rFonts w:ascii="Cambria Math" w:hAnsi="Cambria Math"/>
          <w:sz w:val="24"/>
          <w:szCs w:val="24"/>
        </w:rPr>
      </w:pPr>
      <w:r w:rsidRPr="0076192F">
        <w:rPr>
          <w:rFonts w:ascii="Cambria Math" w:hAnsi="Cambria Math"/>
          <w:sz w:val="24"/>
          <w:szCs w:val="24"/>
        </w:rPr>
        <w:t>Th</w:t>
      </w:r>
      <w:r w:rsidR="00DC3762" w:rsidRPr="0076192F">
        <w:rPr>
          <w:rFonts w:ascii="Cambria Math" w:hAnsi="Cambria Math"/>
          <w:sz w:val="24"/>
          <w:szCs w:val="24"/>
        </w:rPr>
        <w:t>e</w:t>
      </w:r>
      <w:r w:rsidRPr="0076192F">
        <w:rPr>
          <w:rFonts w:ascii="Cambria Math" w:hAnsi="Cambria Math"/>
          <w:sz w:val="24"/>
          <w:szCs w:val="24"/>
        </w:rPr>
        <w:t xml:space="preserve"> focus of this paper has been on sovereign ratings. Credit Default Swaps provide a market</w:t>
      </w:r>
      <w:r w:rsidR="00A6483F" w:rsidRPr="0076192F">
        <w:rPr>
          <w:rFonts w:ascii="Cambria Math" w:hAnsi="Cambria Math"/>
          <w:sz w:val="24"/>
          <w:szCs w:val="24"/>
        </w:rPr>
        <w:t>-</w:t>
      </w:r>
      <w:r w:rsidRPr="0076192F">
        <w:rPr>
          <w:rFonts w:ascii="Cambria Math" w:hAnsi="Cambria Math"/>
          <w:sz w:val="24"/>
          <w:szCs w:val="24"/>
        </w:rPr>
        <w:t xml:space="preserve">based measure of sovereign risk which is available at a higher frequency. Whether this links in the same manner as sovereign ratings to the lower frequency information set of fundamentals employed in our paper is an interesting avenue of </w:t>
      </w:r>
      <w:r w:rsidR="00D06C0A" w:rsidRPr="0076192F">
        <w:rPr>
          <w:rFonts w:ascii="Cambria Math" w:hAnsi="Cambria Math"/>
          <w:sz w:val="24"/>
          <w:szCs w:val="24"/>
        </w:rPr>
        <w:t xml:space="preserve">future </w:t>
      </w:r>
      <w:r w:rsidRPr="0076192F">
        <w:rPr>
          <w:rFonts w:ascii="Cambria Math" w:hAnsi="Cambria Math"/>
          <w:sz w:val="24"/>
          <w:szCs w:val="24"/>
        </w:rPr>
        <w:t xml:space="preserve">research that could be addressed through e.g. mixed data </w:t>
      </w:r>
      <w:r w:rsidR="0056754F" w:rsidRPr="0076192F">
        <w:rPr>
          <w:rFonts w:ascii="Cambria Math" w:hAnsi="Cambria Math"/>
          <w:sz w:val="24"/>
          <w:szCs w:val="24"/>
        </w:rPr>
        <w:t xml:space="preserve">sampling </w:t>
      </w:r>
      <w:r w:rsidRPr="0076192F">
        <w:rPr>
          <w:rFonts w:ascii="Cambria Math" w:hAnsi="Cambria Math"/>
          <w:sz w:val="24"/>
          <w:szCs w:val="24"/>
        </w:rPr>
        <w:t>(MIDAS) models.</w:t>
      </w:r>
      <w:r w:rsidR="00D06C0A" w:rsidRPr="0076192F">
        <w:rPr>
          <w:rFonts w:ascii="Cambria Math" w:hAnsi="Cambria Math"/>
          <w:sz w:val="24"/>
          <w:szCs w:val="24"/>
        </w:rPr>
        <w:t xml:space="preserve"> </w:t>
      </w:r>
      <w:r w:rsidR="00387AB7">
        <w:rPr>
          <w:rStyle w:val="FootnoteReference"/>
          <w:rFonts w:ascii="Cambria Math" w:hAnsi="Cambria Math"/>
          <w:sz w:val="24"/>
          <w:szCs w:val="24"/>
        </w:rPr>
        <w:footnoteReference w:id="26"/>
      </w:r>
      <w:r w:rsidR="00387AB7">
        <w:rPr>
          <w:rFonts w:ascii="Cambria Math" w:hAnsi="Cambria Math"/>
          <w:sz w:val="24"/>
          <w:szCs w:val="24"/>
        </w:rPr>
        <w:t xml:space="preserve"> </w:t>
      </w:r>
      <w:r w:rsidRPr="0076192F">
        <w:rPr>
          <w:rFonts w:ascii="Cambria Math" w:hAnsi="Cambria Math"/>
          <w:sz w:val="24"/>
          <w:szCs w:val="24"/>
        </w:rPr>
        <w:t>Fu</w:t>
      </w:r>
      <w:r w:rsidR="00D06C0A" w:rsidRPr="0076192F">
        <w:rPr>
          <w:rFonts w:ascii="Cambria Math" w:hAnsi="Cambria Math"/>
          <w:sz w:val="24"/>
          <w:szCs w:val="24"/>
        </w:rPr>
        <w:t>ture</w:t>
      </w:r>
      <w:r w:rsidRPr="0076192F">
        <w:rPr>
          <w:rFonts w:ascii="Cambria Math" w:hAnsi="Cambria Math"/>
          <w:sz w:val="24"/>
          <w:szCs w:val="24"/>
        </w:rPr>
        <w:t xml:space="preserve"> research could also focus on </w:t>
      </w:r>
      <w:r w:rsidR="00257467" w:rsidRPr="0076192F">
        <w:rPr>
          <w:rFonts w:ascii="Cambria Math" w:hAnsi="Cambria Math"/>
          <w:sz w:val="24"/>
          <w:szCs w:val="24"/>
        </w:rPr>
        <w:t>the potential role of state-owned versus private banks. For instance, Gonzalez-Garcia and Grigoli (2013) find that a larger presence of state-owned banks in the banking system is associated with more credit to the public sector, larger fiscal deficits, higher public debt ratios, and higher NPLs because these tend to be more sensitive to political interests if governance in these banks is weak</w:t>
      </w:r>
      <w:r w:rsidR="00001DB9" w:rsidRPr="0076192F">
        <w:rPr>
          <w:rFonts w:ascii="Cambria Math" w:hAnsi="Cambria Math"/>
          <w:sz w:val="24"/>
          <w:szCs w:val="24"/>
        </w:rPr>
        <w:t xml:space="preserve">. </w:t>
      </w:r>
      <w:r w:rsidR="00257467" w:rsidRPr="0076192F">
        <w:rPr>
          <w:rFonts w:ascii="Cambria Math" w:hAnsi="Cambria Math"/>
          <w:sz w:val="24"/>
          <w:szCs w:val="24"/>
        </w:rPr>
        <w:t xml:space="preserve">In addition, state-owned banks appear to have a higher fraction of NPLs loans than privately-owned banks and tend to display a higher likelihood of default (see the discussion in Cull et al., 2017 and references therein). </w:t>
      </w:r>
      <w:r w:rsidR="00A72D32" w:rsidRPr="0076192F">
        <w:rPr>
          <w:rFonts w:ascii="Cambria Math" w:hAnsi="Cambria Math"/>
          <w:sz w:val="24"/>
          <w:szCs w:val="24"/>
        </w:rPr>
        <w:t>These</w:t>
      </w:r>
      <w:r w:rsidR="00257467" w:rsidRPr="0076192F">
        <w:rPr>
          <w:rFonts w:ascii="Cambria Math" w:hAnsi="Cambria Math"/>
          <w:sz w:val="24"/>
          <w:szCs w:val="24"/>
        </w:rPr>
        <w:t xml:space="preserve"> </w:t>
      </w:r>
      <w:r w:rsidR="00A72D32" w:rsidRPr="0076192F">
        <w:rPr>
          <w:rFonts w:ascii="Cambria Math" w:hAnsi="Cambria Math"/>
          <w:sz w:val="24"/>
          <w:szCs w:val="24"/>
        </w:rPr>
        <w:t xml:space="preserve">findings </w:t>
      </w:r>
      <w:r w:rsidR="00257467" w:rsidRPr="0076192F">
        <w:rPr>
          <w:rFonts w:ascii="Cambria Math" w:hAnsi="Cambria Math"/>
          <w:sz w:val="24"/>
          <w:szCs w:val="24"/>
        </w:rPr>
        <w:t>open up the possibility of exploring the interconnections among debt, NPLs and ultimat</w:t>
      </w:r>
      <w:r w:rsidR="00A72D32" w:rsidRPr="0076192F">
        <w:rPr>
          <w:rFonts w:ascii="Cambria Math" w:hAnsi="Cambria Math"/>
          <w:sz w:val="24"/>
          <w:szCs w:val="24"/>
        </w:rPr>
        <w:t>e</w:t>
      </w:r>
      <w:r w:rsidR="00257467" w:rsidRPr="0076192F">
        <w:rPr>
          <w:rFonts w:ascii="Cambria Math" w:hAnsi="Cambria Math"/>
          <w:sz w:val="24"/>
          <w:szCs w:val="24"/>
        </w:rPr>
        <w:t xml:space="preserve">ly credit rating decisions in a panel VAR model which </w:t>
      </w:r>
      <w:r w:rsidR="00A72D32" w:rsidRPr="0076192F">
        <w:rPr>
          <w:rFonts w:ascii="Cambria Math" w:hAnsi="Cambria Math"/>
          <w:sz w:val="24"/>
          <w:szCs w:val="24"/>
        </w:rPr>
        <w:t>controls</w:t>
      </w:r>
      <w:r w:rsidR="00257467" w:rsidRPr="0076192F">
        <w:rPr>
          <w:rFonts w:ascii="Cambria Math" w:hAnsi="Cambria Math"/>
          <w:sz w:val="24"/>
          <w:szCs w:val="24"/>
        </w:rPr>
        <w:t xml:space="preserve"> for governance indicators and a distinction between state-owned and private banks. We intend to return to these issues in future research.</w:t>
      </w:r>
      <w:r w:rsidR="00493EC3" w:rsidRPr="0076192F">
        <w:rPr>
          <w:rFonts w:ascii="Cambria Math" w:hAnsi="Cambria Math"/>
          <w:sz w:val="24"/>
          <w:szCs w:val="24"/>
        </w:rPr>
        <w:t xml:space="preserve"> </w:t>
      </w:r>
      <w:r w:rsidR="006A6705">
        <w:rPr>
          <w:rFonts w:ascii="Cambria Math" w:hAnsi="Cambria Math"/>
          <w:sz w:val="24"/>
          <w:szCs w:val="24"/>
        </w:rPr>
        <w:br w:type="page"/>
      </w:r>
    </w:p>
    <w:p w14:paraId="42721B27" w14:textId="77777777" w:rsidR="00483DE0" w:rsidRPr="0076192F" w:rsidRDefault="00483DE0" w:rsidP="00483DE0">
      <w:pPr>
        <w:jc w:val="both"/>
        <w:rPr>
          <w:rFonts w:ascii="Cambria Math" w:hAnsi="Cambria Math"/>
          <w:b/>
          <w:sz w:val="24"/>
          <w:szCs w:val="24"/>
        </w:rPr>
      </w:pPr>
      <w:r w:rsidRPr="0076192F">
        <w:rPr>
          <w:rFonts w:ascii="Cambria Math" w:hAnsi="Cambria Math"/>
          <w:b/>
          <w:sz w:val="24"/>
          <w:szCs w:val="24"/>
        </w:rPr>
        <w:lastRenderedPageBreak/>
        <w:t>References</w:t>
      </w:r>
    </w:p>
    <w:p w14:paraId="2E888C9F" w14:textId="46620645" w:rsidR="00483DE0" w:rsidRPr="0076192F" w:rsidRDefault="00CE4ADA" w:rsidP="00483DE0">
      <w:pPr>
        <w:jc w:val="both"/>
        <w:rPr>
          <w:rFonts w:ascii="Cambria Math" w:hAnsi="Cambria Math"/>
          <w:sz w:val="24"/>
          <w:szCs w:val="24"/>
        </w:rPr>
      </w:pPr>
      <w:r w:rsidRPr="0076192F">
        <w:rPr>
          <w:rFonts w:ascii="Cambria Math" w:hAnsi="Cambria Math"/>
          <w:sz w:val="24"/>
          <w:szCs w:val="24"/>
        </w:rPr>
        <w:t>Acharya, V., Drechsler, I.</w:t>
      </w:r>
      <w:r w:rsidR="00483DE0" w:rsidRPr="0076192F">
        <w:rPr>
          <w:rFonts w:ascii="Cambria Math" w:hAnsi="Cambria Math"/>
          <w:sz w:val="24"/>
          <w:szCs w:val="24"/>
        </w:rPr>
        <w:t xml:space="preserve"> and Schnabl, P. (2014). A pyrrhic victory? Bank bailouts and sovereign credit risk. </w:t>
      </w:r>
      <w:r w:rsidR="00483DE0" w:rsidRPr="0076192F">
        <w:rPr>
          <w:rFonts w:ascii="Cambria Math" w:hAnsi="Cambria Math"/>
          <w:i/>
          <w:sz w:val="24"/>
          <w:szCs w:val="24"/>
        </w:rPr>
        <w:t>Journal of Finance</w:t>
      </w:r>
      <w:r w:rsidR="00483DE0" w:rsidRPr="0076192F">
        <w:rPr>
          <w:rFonts w:ascii="Cambria Math" w:hAnsi="Cambria Math"/>
          <w:sz w:val="24"/>
          <w:szCs w:val="24"/>
        </w:rPr>
        <w:t>, 69(6), 2689-2739.</w:t>
      </w:r>
    </w:p>
    <w:p w14:paraId="4787875A" w14:textId="3B92009E" w:rsidR="00483DE0" w:rsidRPr="0076192F" w:rsidRDefault="00CE4ADA" w:rsidP="00483DE0">
      <w:pPr>
        <w:jc w:val="both"/>
        <w:rPr>
          <w:rFonts w:ascii="Cambria Math" w:hAnsi="Cambria Math"/>
          <w:sz w:val="24"/>
          <w:szCs w:val="24"/>
        </w:rPr>
      </w:pPr>
      <w:r w:rsidRPr="0076192F">
        <w:rPr>
          <w:rFonts w:ascii="Cambria Math" w:hAnsi="Cambria Math"/>
          <w:sz w:val="24"/>
          <w:szCs w:val="24"/>
        </w:rPr>
        <w:t>Adelino, M.</w:t>
      </w:r>
      <w:r w:rsidR="00483DE0" w:rsidRPr="0076192F">
        <w:rPr>
          <w:rFonts w:ascii="Cambria Math" w:hAnsi="Cambria Math"/>
          <w:sz w:val="24"/>
          <w:szCs w:val="24"/>
        </w:rPr>
        <w:t xml:space="preserve"> and Ferreira, M.A. (2016). Bank ratings and lending supply: Evidence from sovereign downgrades</w:t>
      </w:r>
      <w:r w:rsidRPr="0076192F">
        <w:rPr>
          <w:rFonts w:ascii="Cambria Math" w:hAnsi="Cambria Math"/>
          <w:i/>
          <w:sz w:val="24"/>
          <w:szCs w:val="24"/>
        </w:rPr>
        <w:t xml:space="preserve">. </w:t>
      </w:r>
      <w:r w:rsidR="00483DE0" w:rsidRPr="0076192F">
        <w:rPr>
          <w:rFonts w:ascii="Cambria Math" w:hAnsi="Cambria Math"/>
          <w:i/>
          <w:sz w:val="24"/>
          <w:szCs w:val="24"/>
        </w:rPr>
        <w:t>Review of Financial Studies</w:t>
      </w:r>
      <w:r w:rsidR="00483DE0" w:rsidRPr="0076192F">
        <w:rPr>
          <w:rFonts w:ascii="Cambria Math" w:hAnsi="Cambria Math"/>
          <w:sz w:val="24"/>
          <w:szCs w:val="24"/>
        </w:rPr>
        <w:t>, 29(7), 1709-1746.</w:t>
      </w:r>
    </w:p>
    <w:p w14:paraId="35606E7F" w14:textId="77777777" w:rsidR="00483DE0" w:rsidRPr="0076192F" w:rsidRDefault="00483DE0" w:rsidP="00483DE0">
      <w:pPr>
        <w:jc w:val="both"/>
        <w:rPr>
          <w:rFonts w:ascii="Cambria Math" w:hAnsi="Cambria Math" w:cs="Times New Roman"/>
          <w:sz w:val="24"/>
          <w:szCs w:val="24"/>
        </w:rPr>
      </w:pPr>
      <w:r w:rsidRPr="0076192F">
        <w:rPr>
          <w:rFonts w:ascii="Cambria Math" w:hAnsi="Cambria Math" w:cs="Times New Roman"/>
          <w:sz w:val="24"/>
          <w:szCs w:val="24"/>
        </w:rPr>
        <w:t xml:space="preserve">Afonso, A., Gomes, P. and Rother, P. (2011). Short and long-run determinants of sovereign debt credit ratings. </w:t>
      </w:r>
      <w:r w:rsidRPr="0076192F">
        <w:rPr>
          <w:rFonts w:ascii="Cambria Math" w:hAnsi="Cambria Math" w:cs="Times New Roman"/>
          <w:i/>
          <w:sz w:val="24"/>
          <w:szCs w:val="24"/>
        </w:rPr>
        <w:t>International Journal of Finance and Economics</w:t>
      </w:r>
      <w:r w:rsidRPr="0076192F">
        <w:rPr>
          <w:rFonts w:ascii="Cambria Math" w:hAnsi="Cambria Math" w:cs="Times New Roman"/>
          <w:sz w:val="24"/>
          <w:szCs w:val="24"/>
        </w:rPr>
        <w:t>, 16, 1-15.</w:t>
      </w:r>
    </w:p>
    <w:p w14:paraId="058936C6" w14:textId="737A789D" w:rsidR="00107072" w:rsidRDefault="00107072" w:rsidP="005005DB">
      <w:pPr>
        <w:jc w:val="both"/>
        <w:rPr>
          <w:rFonts w:ascii="Cambria Math" w:hAnsi="Cambria Math" w:cs="Times New Roman"/>
          <w:sz w:val="24"/>
          <w:szCs w:val="24"/>
        </w:rPr>
      </w:pPr>
      <w:r w:rsidRPr="00107072">
        <w:rPr>
          <w:rFonts w:ascii="Cambria Math" w:hAnsi="Cambria Math" w:cs="Times New Roman"/>
          <w:sz w:val="24"/>
          <w:szCs w:val="24"/>
        </w:rPr>
        <w:t xml:space="preserve">Altavilla, C., Pagano, M. and Simonelli, S. (2017). Bank Exposures and Sovereign Stress Transmission. </w:t>
      </w:r>
      <w:r w:rsidRPr="00107072">
        <w:rPr>
          <w:rFonts w:ascii="Cambria Math" w:hAnsi="Cambria Math" w:cs="Times New Roman"/>
          <w:i/>
          <w:sz w:val="24"/>
          <w:szCs w:val="24"/>
        </w:rPr>
        <w:t>Review of Finance</w:t>
      </w:r>
      <w:r w:rsidRPr="00107072">
        <w:rPr>
          <w:rFonts w:ascii="Cambria Math" w:hAnsi="Cambria Math" w:cs="Times New Roman"/>
          <w:sz w:val="24"/>
          <w:szCs w:val="24"/>
        </w:rPr>
        <w:t>, 21, 2103-2139.</w:t>
      </w:r>
    </w:p>
    <w:p w14:paraId="01487D5C" w14:textId="234ABEDF" w:rsidR="005005DB" w:rsidRPr="0076192F" w:rsidRDefault="005005DB" w:rsidP="005005DB">
      <w:pPr>
        <w:jc w:val="both"/>
        <w:rPr>
          <w:rFonts w:ascii="Cambria Math" w:hAnsi="Cambria Math" w:cs="Times New Roman"/>
          <w:sz w:val="24"/>
          <w:szCs w:val="24"/>
        </w:rPr>
      </w:pPr>
      <w:r w:rsidRPr="0076192F">
        <w:rPr>
          <w:rFonts w:ascii="Cambria Math" w:hAnsi="Cambria Math" w:cs="Times New Roman"/>
          <w:sz w:val="24"/>
          <w:szCs w:val="24"/>
        </w:rPr>
        <w:t xml:space="preserve">Andrews, D. </w:t>
      </w:r>
      <w:r w:rsidR="003F3DE6" w:rsidRPr="0076192F">
        <w:rPr>
          <w:rFonts w:ascii="Cambria Math" w:hAnsi="Cambria Math" w:cs="Times New Roman"/>
          <w:sz w:val="24"/>
          <w:szCs w:val="24"/>
        </w:rPr>
        <w:t>and</w:t>
      </w:r>
      <w:r w:rsidRPr="0076192F">
        <w:rPr>
          <w:rFonts w:ascii="Cambria Math" w:hAnsi="Cambria Math" w:cs="Times New Roman"/>
          <w:sz w:val="24"/>
          <w:szCs w:val="24"/>
        </w:rPr>
        <w:t xml:space="preserve"> Lu, B. (2001). Consistent model and moment selection procedures for </w:t>
      </w:r>
      <w:r w:rsidR="003F3DE6" w:rsidRPr="0076192F">
        <w:rPr>
          <w:rFonts w:ascii="Cambria Math" w:hAnsi="Cambria Math" w:cs="Times New Roman"/>
          <w:sz w:val="24"/>
          <w:szCs w:val="24"/>
        </w:rPr>
        <w:t>GMM</w:t>
      </w:r>
      <w:r w:rsidRPr="0076192F">
        <w:rPr>
          <w:rFonts w:ascii="Cambria Math" w:hAnsi="Cambria Math" w:cs="Times New Roman"/>
          <w:sz w:val="24"/>
          <w:szCs w:val="24"/>
        </w:rPr>
        <w:t xml:space="preserve"> estimation with application to dynamic panel data models. </w:t>
      </w:r>
      <w:r w:rsidRPr="0076192F">
        <w:rPr>
          <w:rFonts w:ascii="Cambria Math" w:hAnsi="Cambria Math" w:cs="Times New Roman"/>
          <w:i/>
          <w:sz w:val="24"/>
          <w:szCs w:val="24"/>
        </w:rPr>
        <w:t>Journal of Econometrics</w:t>
      </w:r>
      <w:r w:rsidRPr="0076192F">
        <w:rPr>
          <w:rFonts w:ascii="Cambria Math" w:hAnsi="Cambria Math" w:cs="Times New Roman"/>
          <w:sz w:val="24"/>
          <w:szCs w:val="24"/>
        </w:rPr>
        <w:t>, 101, 123–164.</w:t>
      </w:r>
    </w:p>
    <w:p w14:paraId="723D5227" w14:textId="5FEF0080" w:rsidR="00EB3DA8" w:rsidRPr="0076192F" w:rsidRDefault="00EB3DA8" w:rsidP="00514E9D">
      <w:pPr>
        <w:jc w:val="both"/>
        <w:rPr>
          <w:rFonts w:ascii="Cambria Math" w:hAnsi="Cambria Math"/>
          <w:sz w:val="24"/>
          <w:szCs w:val="24"/>
        </w:rPr>
      </w:pPr>
      <w:r w:rsidRPr="0076192F">
        <w:rPr>
          <w:rFonts w:ascii="Cambria Math" w:hAnsi="Cambria Math"/>
          <w:sz w:val="24"/>
          <w:szCs w:val="24"/>
        </w:rPr>
        <w:t xml:space="preserve">Arellano, M. and Bover, O. (1995). Another look at the instrumental variable estimation of error-components model. </w:t>
      </w:r>
      <w:r w:rsidRPr="0076192F">
        <w:rPr>
          <w:rFonts w:ascii="Cambria Math" w:hAnsi="Cambria Math"/>
          <w:i/>
          <w:sz w:val="24"/>
          <w:szCs w:val="24"/>
        </w:rPr>
        <w:t>Journal of Econometrics</w:t>
      </w:r>
      <w:r w:rsidRPr="0076192F">
        <w:rPr>
          <w:rFonts w:ascii="Cambria Math" w:hAnsi="Cambria Math"/>
          <w:sz w:val="24"/>
          <w:szCs w:val="24"/>
        </w:rPr>
        <w:t>, 68(1), 29-51.</w:t>
      </w:r>
    </w:p>
    <w:p w14:paraId="02DC9843" w14:textId="0D521C87" w:rsidR="000A3962" w:rsidRPr="0076192F" w:rsidRDefault="000A3962" w:rsidP="000A3962">
      <w:pPr>
        <w:jc w:val="both"/>
        <w:rPr>
          <w:rFonts w:ascii="Cambria Math" w:hAnsi="Cambria Math"/>
          <w:sz w:val="24"/>
          <w:szCs w:val="24"/>
        </w:rPr>
      </w:pPr>
      <w:r w:rsidRPr="0076192F">
        <w:rPr>
          <w:rFonts w:ascii="Cambria Math" w:hAnsi="Cambria Math"/>
          <w:sz w:val="24"/>
          <w:szCs w:val="24"/>
        </w:rPr>
        <w:t>Baghai, R.</w:t>
      </w:r>
      <w:r w:rsidR="00C27435" w:rsidRPr="0076192F">
        <w:rPr>
          <w:rFonts w:ascii="Cambria Math" w:hAnsi="Cambria Math"/>
          <w:sz w:val="24"/>
          <w:szCs w:val="24"/>
        </w:rPr>
        <w:t>P.</w:t>
      </w:r>
      <w:r w:rsidRPr="0076192F">
        <w:rPr>
          <w:rFonts w:ascii="Cambria Math" w:hAnsi="Cambria Math"/>
          <w:sz w:val="24"/>
          <w:szCs w:val="24"/>
        </w:rPr>
        <w:t xml:space="preserve">, Servaes, H., </w:t>
      </w:r>
      <w:r w:rsidR="00C27435" w:rsidRPr="0076192F">
        <w:rPr>
          <w:rFonts w:ascii="Cambria Math" w:hAnsi="Cambria Math"/>
          <w:sz w:val="24"/>
          <w:szCs w:val="24"/>
        </w:rPr>
        <w:t xml:space="preserve">and </w:t>
      </w:r>
      <w:r w:rsidRPr="0076192F">
        <w:rPr>
          <w:rFonts w:ascii="Cambria Math" w:hAnsi="Cambria Math"/>
          <w:sz w:val="24"/>
          <w:szCs w:val="24"/>
        </w:rPr>
        <w:t>Tamayo, A. (2014)</w:t>
      </w:r>
      <w:r w:rsidR="00BD1D20" w:rsidRPr="0076192F">
        <w:rPr>
          <w:rFonts w:ascii="Cambria Math" w:hAnsi="Cambria Math"/>
          <w:sz w:val="24"/>
          <w:szCs w:val="24"/>
        </w:rPr>
        <w:t>.</w:t>
      </w:r>
      <w:r w:rsidRPr="0076192F">
        <w:rPr>
          <w:rFonts w:ascii="Cambria Math" w:hAnsi="Cambria Math"/>
          <w:sz w:val="24"/>
          <w:szCs w:val="24"/>
        </w:rPr>
        <w:t xml:space="preserve"> Have rating agencies become more conservative? Implications for capital structure and debt pricing. </w:t>
      </w:r>
      <w:r w:rsidRPr="0076192F">
        <w:rPr>
          <w:rFonts w:ascii="Cambria Math" w:hAnsi="Cambria Math" w:cs="Times New Roman"/>
          <w:i/>
          <w:sz w:val="24"/>
          <w:szCs w:val="24"/>
        </w:rPr>
        <w:t>Journal of Finance</w:t>
      </w:r>
      <w:r w:rsidRPr="0076192F">
        <w:rPr>
          <w:rFonts w:ascii="Cambria Math" w:hAnsi="Cambria Math" w:cs="Times New Roman"/>
          <w:sz w:val="24"/>
          <w:szCs w:val="24"/>
        </w:rPr>
        <w:t xml:space="preserve">, </w:t>
      </w:r>
      <w:r w:rsidRPr="0076192F">
        <w:rPr>
          <w:rFonts w:ascii="Cambria Math" w:hAnsi="Cambria Math"/>
          <w:sz w:val="24"/>
          <w:szCs w:val="24"/>
        </w:rPr>
        <w:t>69, 1961–2005.</w:t>
      </w:r>
    </w:p>
    <w:p w14:paraId="64A00948" w14:textId="7FA428C0" w:rsidR="004655A7" w:rsidRPr="0076192F" w:rsidRDefault="00DA4870" w:rsidP="00514E9D">
      <w:pPr>
        <w:jc w:val="both"/>
        <w:rPr>
          <w:rFonts w:ascii="Cambria Math" w:hAnsi="Cambria Math"/>
          <w:sz w:val="24"/>
          <w:szCs w:val="24"/>
        </w:rPr>
      </w:pPr>
      <w:r w:rsidRPr="0076192F">
        <w:rPr>
          <w:rFonts w:ascii="Cambria Math" w:hAnsi="Cambria Math"/>
          <w:sz w:val="24"/>
          <w:szCs w:val="24"/>
        </w:rPr>
        <w:t>Balgova, M., Plekhanov, A. and Skrzypinska, A. (201</w:t>
      </w:r>
      <w:r w:rsidR="004655A7" w:rsidRPr="0076192F">
        <w:rPr>
          <w:rFonts w:ascii="Cambria Math" w:hAnsi="Cambria Math"/>
          <w:sz w:val="24"/>
          <w:szCs w:val="24"/>
        </w:rPr>
        <w:t>8</w:t>
      </w:r>
      <w:r w:rsidRPr="0076192F">
        <w:rPr>
          <w:rFonts w:ascii="Cambria Math" w:hAnsi="Cambria Math"/>
          <w:sz w:val="24"/>
          <w:szCs w:val="24"/>
        </w:rPr>
        <w:t>). Reducing non-performing loans: Stylized facts and economic impact. Paper presented at the 2018 Annual Meeting of the American Economic Association (held in Philadelphia, PA on January 5-7, 2018). Available at:</w:t>
      </w:r>
    </w:p>
    <w:p w14:paraId="1918B81A" w14:textId="6A90FBBA" w:rsidR="00DA4870" w:rsidRPr="0076192F" w:rsidRDefault="003B7DDC" w:rsidP="00514E9D">
      <w:pPr>
        <w:jc w:val="both"/>
        <w:rPr>
          <w:rFonts w:ascii="Cambria Math" w:hAnsi="Cambria Math"/>
          <w:sz w:val="24"/>
          <w:szCs w:val="24"/>
        </w:rPr>
      </w:pPr>
      <w:hyperlink r:id="rId46" w:history="1">
        <w:r w:rsidR="004655A7" w:rsidRPr="0076192F">
          <w:rPr>
            <w:rStyle w:val="Hyperlink"/>
            <w:rFonts w:ascii="Cambria Math" w:hAnsi="Cambria Math"/>
            <w:sz w:val="24"/>
            <w:szCs w:val="24"/>
          </w:rPr>
          <w:t>https://www.aeaweb.org/conference/2018/preliminary/3224?q=eNqrVipOLS7OzM8LqSxIVbKqhnGVrJQMlWp1lBKLi_OTgRwlHaWS1KJcXAgrJbESKpSZmwphlWWmloO0FxUUXDAFTA1AegsS00Gyxkq1XDBupR4W</w:t>
        </w:r>
      </w:hyperlink>
    </w:p>
    <w:p w14:paraId="5397218A" w14:textId="12C134F1" w:rsidR="00514E9D" w:rsidRPr="0076192F" w:rsidRDefault="00514E9D" w:rsidP="00514E9D">
      <w:pPr>
        <w:jc w:val="both"/>
        <w:rPr>
          <w:rFonts w:ascii="Cambria Math" w:hAnsi="Cambria Math"/>
          <w:sz w:val="24"/>
          <w:szCs w:val="24"/>
        </w:rPr>
      </w:pPr>
      <w:r w:rsidRPr="0076192F">
        <w:rPr>
          <w:rFonts w:ascii="Cambria Math" w:hAnsi="Cambria Math"/>
          <w:sz w:val="24"/>
          <w:szCs w:val="24"/>
        </w:rPr>
        <w:t>Balgova, M., Nies, M. and Plekhanov, A. (2016)</w:t>
      </w:r>
      <w:r w:rsidR="009D25EA" w:rsidRPr="0076192F">
        <w:rPr>
          <w:rFonts w:ascii="Cambria Math" w:hAnsi="Cambria Math"/>
          <w:sz w:val="24"/>
          <w:szCs w:val="24"/>
        </w:rPr>
        <w:t>.</w:t>
      </w:r>
      <w:r w:rsidRPr="0076192F">
        <w:rPr>
          <w:rFonts w:ascii="Cambria Math" w:hAnsi="Cambria Math"/>
          <w:sz w:val="24"/>
          <w:szCs w:val="24"/>
        </w:rPr>
        <w:t xml:space="preserve"> The economic impact of reducing non-performing loans. E</w:t>
      </w:r>
      <w:r w:rsidR="008C44E0" w:rsidRPr="0076192F">
        <w:rPr>
          <w:rFonts w:ascii="Cambria Math" w:hAnsi="Cambria Math"/>
          <w:sz w:val="24"/>
          <w:szCs w:val="24"/>
        </w:rPr>
        <w:t xml:space="preserve">uropean </w:t>
      </w:r>
      <w:r w:rsidRPr="0076192F">
        <w:rPr>
          <w:rFonts w:ascii="Cambria Math" w:hAnsi="Cambria Math"/>
          <w:sz w:val="24"/>
          <w:szCs w:val="24"/>
        </w:rPr>
        <w:t>B</w:t>
      </w:r>
      <w:r w:rsidR="008C44E0" w:rsidRPr="0076192F">
        <w:rPr>
          <w:rFonts w:ascii="Cambria Math" w:hAnsi="Cambria Math"/>
          <w:sz w:val="24"/>
          <w:szCs w:val="24"/>
        </w:rPr>
        <w:t xml:space="preserve">ank for </w:t>
      </w:r>
      <w:r w:rsidRPr="0076192F">
        <w:rPr>
          <w:rFonts w:ascii="Cambria Math" w:hAnsi="Cambria Math"/>
          <w:sz w:val="24"/>
          <w:szCs w:val="24"/>
        </w:rPr>
        <w:t>R</w:t>
      </w:r>
      <w:r w:rsidR="008C44E0" w:rsidRPr="0076192F">
        <w:rPr>
          <w:rFonts w:ascii="Cambria Math" w:hAnsi="Cambria Math"/>
          <w:sz w:val="24"/>
          <w:szCs w:val="24"/>
        </w:rPr>
        <w:t xml:space="preserve">econstruction and </w:t>
      </w:r>
      <w:r w:rsidRPr="0076192F">
        <w:rPr>
          <w:rFonts w:ascii="Cambria Math" w:hAnsi="Cambria Math"/>
          <w:sz w:val="24"/>
          <w:szCs w:val="24"/>
        </w:rPr>
        <w:t>D</w:t>
      </w:r>
      <w:r w:rsidR="008C44E0" w:rsidRPr="0076192F">
        <w:rPr>
          <w:rFonts w:ascii="Cambria Math" w:hAnsi="Cambria Math"/>
          <w:sz w:val="24"/>
          <w:szCs w:val="24"/>
        </w:rPr>
        <w:t>evelopment (EBRD)</w:t>
      </w:r>
      <w:r w:rsidRPr="0076192F">
        <w:rPr>
          <w:rFonts w:ascii="Cambria Math" w:hAnsi="Cambria Math"/>
          <w:sz w:val="24"/>
          <w:szCs w:val="24"/>
        </w:rPr>
        <w:t xml:space="preserve"> Working Paper</w:t>
      </w:r>
      <w:r w:rsidR="008C44E0" w:rsidRPr="0076192F">
        <w:rPr>
          <w:rFonts w:ascii="Cambria Math" w:hAnsi="Cambria Math"/>
          <w:sz w:val="24"/>
          <w:szCs w:val="24"/>
        </w:rPr>
        <w:t xml:space="preserve"> No. </w:t>
      </w:r>
      <w:r w:rsidRPr="0076192F">
        <w:rPr>
          <w:rFonts w:ascii="Cambria Math" w:hAnsi="Cambria Math"/>
          <w:sz w:val="24"/>
          <w:szCs w:val="24"/>
        </w:rPr>
        <w:t>193. Available at:</w:t>
      </w:r>
    </w:p>
    <w:p w14:paraId="519A1670" w14:textId="654C3AFE" w:rsidR="00514E9D" w:rsidRPr="0076192F" w:rsidRDefault="003B7DDC" w:rsidP="00514E9D">
      <w:pPr>
        <w:jc w:val="both"/>
        <w:rPr>
          <w:rFonts w:ascii="Cambria Math" w:hAnsi="Cambria Math"/>
          <w:sz w:val="24"/>
          <w:szCs w:val="24"/>
        </w:rPr>
      </w:pPr>
      <w:hyperlink r:id="rId47" w:history="1">
        <w:r w:rsidR="008C44E0" w:rsidRPr="0076192F">
          <w:rPr>
            <w:rStyle w:val="Hyperlink"/>
            <w:rFonts w:ascii="Cambria Math" w:hAnsi="Cambria Math"/>
            <w:sz w:val="24"/>
            <w:szCs w:val="24"/>
          </w:rPr>
          <w:t>http://npl.vienna-initiative.com/wp-content/uploads/sites/2/2017/02/EBRD-The-Economic-Impact-of-Reducing-NPLs-WP_193.pdf</w:t>
        </w:r>
      </w:hyperlink>
    </w:p>
    <w:p w14:paraId="5E4FD586" w14:textId="7C84F823" w:rsidR="00483DE0" w:rsidRPr="0076192F" w:rsidRDefault="00CE4ADA" w:rsidP="00483DE0">
      <w:pPr>
        <w:jc w:val="both"/>
        <w:rPr>
          <w:rFonts w:ascii="Cambria Math" w:hAnsi="Cambria Math"/>
          <w:sz w:val="24"/>
          <w:szCs w:val="24"/>
        </w:rPr>
      </w:pPr>
      <w:r w:rsidRPr="0076192F">
        <w:rPr>
          <w:rFonts w:ascii="Cambria Math" w:hAnsi="Cambria Math"/>
          <w:sz w:val="24"/>
          <w:szCs w:val="24"/>
        </w:rPr>
        <w:lastRenderedPageBreak/>
        <w:t>Baker, S.R., Bloom, N.</w:t>
      </w:r>
      <w:r w:rsidR="00483DE0" w:rsidRPr="0076192F">
        <w:rPr>
          <w:rFonts w:ascii="Cambria Math" w:hAnsi="Cambria Math"/>
          <w:sz w:val="24"/>
          <w:szCs w:val="24"/>
        </w:rPr>
        <w:t xml:space="preserve"> </w:t>
      </w:r>
      <w:r w:rsidRPr="0076192F">
        <w:rPr>
          <w:rFonts w:ascii="Cambria Math" w:hAnsi="Cambria Math"/>
          <w:sz w:val="24"/>
          <w:szCs w:val="24"/>
        </w:rPr>
        <w:t xml:space="preserve">and </w:t>
      </w:r>
      <w:r w:rsidR="00483DE0" w:rsidRPr="0076192F">
        <w:rPr>
          <w:rFonts w:ascii="Cambria Math" w:hAnsi="Cambria Math"/>
          <w:sz w:val="24"/>
          <w:szCs w:val="24"/>
        </w:rPr>
        <w:t xml:space="preserve">Davis, S.J. (2016). Measuring economic policy uncertainty. </w:t>
      </w:r>
      <w:r w:rsidR="00483DE0" w:rsidRPr="0076192F">
        <w:rPr>
          <w:rFonts w:ascii="Cambria Math" w:hAnsi="Cambria Math"/>
          <w:i/>
          <w:sz w:val="24"/>
          <w:szCs w:val="24"/>
        </w:rPr>
        <w:t>Quarterly Journal of Economics</w:t>
      </w:r>
      <w:r w:rsidR="0059494A" w:rsidRPr="0076192F">
        <w:rPr>
          <w:rFonts w:ascii="Cambria Math" w:hAnsi="Cambria Math"/>
          <w:sz w:val="24"/>
          <w:szCs w:val="24"/>
        </w:rPr>
        <w:t>,</w:t>
      </w:r>
      <w:r w:rsidR="00483DE0" w:rsidRPr="0076192F">
        <w:rPr>
          <w:rFonts w:ascii="Cambria Math" w:hAnsi="Cambria Math"/>
          <w:sz w:val="24"/>
          <w:szCs w:val="24"/>
        </w:rPr>
        <w:t xml:space="preserve"> 131, 1593–1636</w:t>
      </w:r>
      <w:r w:rsidR="0059494A" w:rsidRPr="0076192F">
        <w:rPr>
          <w:rFonts w:ascii="Cambria Math" w:hAnsi="Cambria Math"/>
          <w:sz w:val="24"/>
          <w:szCs w:val="24"/>
        </w:rPr>
        <w:t>.</w:t>
      </w:r>
    </w:p>
    <w:p w14:paraId="4D385D0E" w14:textId="034D3CCA" w:rsidR="00095C2E" w:rsidRDefault="00095C2E" w:rsidP="00095C2E">
      <w:pPr>
        <w:jc w:val="both"/>
        <w:rPr>
          <w:rFonts w:ascii="Cambria Math" w:hAnsi="Cambria Math"/>
          <w:sz w:val="24"/>
          <w:szCs w:val="24"/>
        </w:rPr>
      </w:pPr>
      <w:r w:rsidRPr="00A32C57">
        <w:rPr>
          <w:rFonts w:ascii="Cambria Math" w:hAnsi="Cambria Math"/>
          <w:sz w:val="24"/>
          <w:szCs w:val="24"/>
        </w:rPr>
        <w:t>Berndt</w:t>
      </w:r>
      <w:r>
        <w:rPr>
          <w:rFonts w:ascii="Cambria Math" w:hAnsi="Cambria Math"/>
          <w:sz w:val="24"/>
          <w:szCs w:val="24"/>
        </w:rPr>
        <w:t>, A.,</w:t>
      </w:r>
      <w:r w:rsidRPr="00A32C57">
        <w:rPr>
          <w:rFonts w:ascii="Cambria Math" w:hAnsi="Cambria Math"/>
          <w:sz w:val="24"/>
          <w:szCs w:val="24"/>
        </w:rPr>
        <w:t xml:space="preserve"> Douglas</w:t>
      </w:r>
      <w:r>
        <w:rPr>
          <w:rFonts w:ascii="Cambria Math" w:hAnsi="Cambria Math"/>
          <w:sz w:val="24"/>
          <w:szCs w:val="24"/>
        </w:rPr>
        <w:t>, R.,</w:t>
      </w:r>
      <w:r w:rsidRPr="00A32C57">
        <w:rPr>
          <w:rFonts w:ascii="Cambria Math" w:hAnsi="Cambria Math"/>
          <w:sz w:val="24"/>
          <w:szCs w:val="24"/>
        </w:rPr>
        <w:t xml:space="preserve"> Duffie</w:t>
      </w:r>
      <w:r>
        <w:rPr>
          <w:rFonts w:ascii="Cambria Math" w:hAnsi="Cambria Math"/>
          <w:sz w:val="24"/>
          <w:szCs w:val="24"/>
        </w:rPr>
        <w:t>, D.</w:t>
      </w:r>
      <w:r w:rsidRPr="00A32C57">
        <w:rPr>
          <w:rFonts w:ascii="Cambria Math" w:hAnsi="Cambria Math"/>
          <w:sz w:val="24"/>
          <w:szCs w:val="24"/>
        </w:rPr>
        <w:t xml:space="preserve"> </w:t>
      </w:r>
      <w:r>
        <w:rPr>
          <w:rFonts w:ascii="Cambria Math" w:hAnsi="Cambria Math"/>
          <w:sz w:val="24"/>
          <w:szCs w:val="24"/>
        </w:rPr>
        <w:t xml:space="preserve">and </w:t>
      </w:r>
      <w:r w:rsidRPr="00A32C57">
        <w:rPr>
          <w:rFonts w:ascii="Cambria Math" w:hAnsi="Cambria Math"/>
          <w:sz w:val="24"/>
          <w:szCs w:val="24"/>
        </w:rPr>
        <w:t>Ferguson</w:t>
      </w:r>
      <w:r>
        <w:rPr>
          <w:rFonts w:ascii="Cambria Math" w:hAnsi="Cambria Math"/>
          <w:sz w:val="24"/>
          <w:szCs w:val="24"/>
        </w:rPr>
        <w:t xml:space="preserve">, M. (2018). </w:t>
      </w:r>
      <w:r w:rsidRPr="00A32C57">
        <w:rPr>
          <w:rFonts w:ascii="Cambria Math" w:hAnsi="Cambria Math"/>
          <w:sz w:val="24"/>
          <w:szCs w:val="24"/>
        </w:rPr>
        <w:t>Corporate Credit Risk Premia</w:t>
      </w:r>
      <w:r>
        <w:rPr>
          <w:rFonts w:ascii="Cambria Math" w:hAnsi="Cambria Math"/>
          <w:sz w:val="24"/>
          <w:szCs w:val="24"/>
        </w:rPr>
        <w:t xml:space="preserve">. </w:t>
      </w:r>
      <w:r w:rsidRPr="00A32C57">
        <w:rPr>
          <w:rFonts w:ascii="Cambria Math" w:hAnsi="Cambria Math"/>
          <w:i/>
          <w:sz w:val="24"/>
          <w:szCs w:val="24"/>
        </w:rPr>
        <w:t>Review of Finance</w:t>
      </w:r>
      <w:r w:rsidRPr="00A32C57">
        <w:rPr>
          <w:rFonts w:ascii="Cambria Math" w:hAnsi="Cambria Math"/>
          <w:sz w:val="24"/>
          <w:szCs w:val="24"/>
        </w:rPr>
        <w:t>, 22, 419–454</w:t>
      </w:r>
      <w:r>
        <w:rPr>
          <w:rFonts w:ascii="Cambria Math" w:hAnsi="Cambria Math"/>
          <w:sz w:val="24"/>
          <w:szCs w:val="24"/>
        </w:rPr>
        <w:t>.</w:t>
      </w:r>
    </w:p>
    <w:p w14:paraId="37BF5E5B" w14:textId="5FD1AAA0" w:rsidR="00483DE0" w:rsidRPr="0076192F" w:rsidRDefault="00CE4ADA" w:rsidP="00483DE0">
      <w:pPr>
        <w:jc w:val="both"/>
        <w:rPr>
          <w:rFonts w:ascii="Cambria Math" w:hAnsi="Cambria Math"/>
          <w:sz w:val="24"/>
          <w:szCs w:val="24"/>
        </w:rPr>
      </w:pPr>
      <w:r w:rsidRPr="0076192F">
        <w:rPr>
          <w:rFonts w:ascii="Cambria Math" w:hAnsi="Cambria Math"/>
          <w:sz w:val="24"/>
          <w:szCs w:val="24"/>
        </w:rPr>
        <w:t>Binder, M., Hsiao, C.</w:t>
      </w:r>
      <w:r w:rsidR="00483DE0" w:rsidRPr="0076192F">
        <w:rPr>
          <w:rFonts w:ascii="Cambria Math" w:hAnsi="Cambria Math"/>
          <w:sz w:val="24"/>
          <w:szCs w:val="24"/>
        </w:rPr>
        <w:t xml:space="preserve"> </w:t>
      </w:r>
      <w:r w:rsidR="0059494A" w:rsidRPr="0076192F">
        <w:rPr>
          <w:rFonts w:ascii="Cambria Math" w:hAnsi="Cambria Math"/>
          <w:sz w:val="24"/>
          <w:szCs w:val="24"/>
        </w:rPr>
        <w:t xml:space="preserve">and </w:t>
      </w:r>
      <w:r w:rsidR="00483DE0" w:rsidRPr="0076192F">
        <w:rPr>
          <w:rFonts w:ascii="Cambria Math" w:hAnsi="Cambria Math"/>
          <w:sz w:val="24"/>
          <w:szCs w:val="24"/>
        </w:rPr>
        <w:t>Pesaran, M.H. (2005). Estimation and inference in short panel</w:t>
      </w:r>
      <w:r w:rsidR="0059494A" w:rsidRPr="0076192F">
        <w:rPr>
          <w:rFonts w:ascii="Cambria Math" w:hAnsi="Cambria Math"/>
          <w:sz w:val="24"/>
          <w:szCs w:val="24"/>
        </w:rPr>
        <w:t xml:space="preserve"> </w:t>
      </w:r>
      <w:r w:rsidR="00483DE0" w:rsidRPr="0076192F">
        <w:rPr>
          <w:rFonts w:ascii="Cambria Math" w:hAnsi="Cambria Math"/>
          <w:sz w:val="24"/>
          <w:szCs w:val="24"/>
        </w:rPr>
        <w:t xml:space="preserve">vector autoregressions with unit roots and cointegration. </w:t>
      </w:r>
      <w:r w:rsidR="00483DE0" w:rsidRPr="0076192F">
        <w:rPr>
          <w:rFonts w:ascii="Cambria Math" w:hAnsi="Cambria Math"/>
          <w:i/>
          <w:sz w:val="24"/>
          <w:szCs w:val="24"/>
        </w:rPr>
        <w:t>Econometric Theory</w:t>
      </w:r>
      <w:r w:rsidR="00483DE0" w:rsidRPr="0076192F">
        <w:rPr>
          <w:rFonts w:ascii="Cambria Math" w:hAnsi="Cambria Math"/>
          <w:sz w:val="24"/>
          <w:szCs w:val="24"/>
        </w:rPr>
        <w:t>, 21(4),</w:t>
      </w:r>
      <w:r w:rsidR="0059494A" w:rsidRPr="0076192F">
        <w:rPr>
          <w:rFonts w:ascii="Cambria Math" w:hAnsi="Cambria Math"/>
          <w:sz w:val="24"/>
          <w:szCs w:val="24"/>
        </w:rPr>
        <w:t xml:space="preserve"> </w:t>
      </w:r>
      <w:r w:rsidR="00483DE0" w:rsidRPr="0076192F">
        <w:rPr>
          <w:rFonts w:ascii="Cambria Math" w:hAnsi="Cambria Math"/>
          <w:sz w:val="24"/>
          <w:szCs w:val="24"/>
        </w:rPr>
        <w:t>795–837.</w:t>
      </w:r>
    </w:p>
    <w:p w14:paraId="43939962" w14:textId="5596571B" w:rsidR="00483DE0" w:rsidRPr="0076192F" w:rsidRDefault="00CE4ADA" w:rsidP="00483DE0">
      <w:pPr>
        <w:jc w:val="both"/>
        <w:rPr>
          <w:rFonts w:ascii="Cambria Math" w:hAnsi="Cambria Math" w:cs="Times New Roman"/>
          <w:sz w:val="24"/>
          <w:szCs w:val="24"/>
        </w:rPr>
      </w:pPr>
      <w:r w:rsidRPr="0076192F">
        <w:rPr>
          <w:rFonts w:ascii="Cambria Math" w:hAnsi="Cambria Math" w:cs="Times New Roman"/>
          <w:sz w:val="24"/>
          <w:szCs w:val="24"/>
        </w:rPr>
        <w:t>Boumparis, P., Milas, C.</w:t>
      </w:r>
      <w:r w:rsidR="00483DE0" w:rsidRPr="0076192F">
        <w:rPr>
          <w:rFonts w:ascii="Cambria Math" w:hAnsi="Cambria Math" w:cs="Times New Roman"/>
          <w:sz w:val="24"/>
          <w:szCs w:val="24"/>
        </w:rPr>
        <w:t xml:space="preserve"> and Panagiotidis, T. (2017). Economic policy uncertainty and sovereign credit rating decisions: Panel quantile evidence for the Eurozone. </w:t>
      </w:r>
      <w:r w:rsidR="00483DE0" w:rsidRPr="0076192F">
        <w:rPr>
          <w:rFonts w:ascii="Cambria Math" w:hAnsi="Cambria Math" w:cs="Times New Roman"/>
          <w:i/>
          <w:sz w:val="24"/>
          <w:szCs w:val="24"/>
        </w:rPr>
        <w:t>Journal of International Money and Finance</w:t>
      </w:r>
      <w:r w:rsidR="00483DE0" w:rsidRPr="0076192F">
        <w:rPr>
          <w:rFonts w:ascii="Cambria Math" w:hAnsi="Cambria Math" w:cs="Times New Roman"/>
          <w:sz w:val="24"/>
          <w:szCs w:val="24"/>
        </w:rPr>
        <w:t>, 79, 39-71.</w:t>
      </w:r>
    </w:p>
    <w:p w14:paraId="4EB3158C" w14:textId="21CB3460" w:rsidR="001D442D" w:rsidRDefault="001D442D" w:rsidP="00483DE0">
      <w:pPr>
        <w:jc w:val="both"/>
        <w:rPr>
          <w:rFonts w:ascii="Cambria Math" w:hAnsi="Cambria Math"/>
          <w:sz w:val="24"/>
          <w:szCs w:val="24"/>
        </w:rPr>
      </w:pPr>
      <w:r w:rsidRPr="001D442D">
        <w:rPr>
          <w:rStyle w:val="text"/>
          <w:rFonts w:ascii="Cambria Math" w:hAnsi="Cambria Math" w:cs="Arial"/>
          <w:sz w:val="24"/>
          <w:szCs w:val="24"/>
        </w:rPr>
        <w:t>Brůha</w:t>
      </w:r>
      <w:r w:rsidRPr="001D442D">
        <w:rPr>
          <w:rFonts w:ascii="Cambria Math" w:hAnsi="Cambria Math"/>
          <w:sz w:val="24"/>
          <w:szCs w:val="24"/>
        </w:rPr>
        <w:t xml:space="preserve">, J. and </w:t>
      </w:r>
      <w:r w:rsidRPr="001D442D">
        <w:rPr>
          <w:rStyle w:val="text"/>
          <w:rFonts w:ascii="Cambria Math" w:hAnsi="Cambria Math" w:cs="Arial"/>
          <w:sz w:val="24"/>
          <w:szCs w:val="24"/>
        </w:rPr>
        <w:t>Kočenda</w:t>
      </w:r>
      <w:r>
        <w:rPr>
          <w:rStyle w:val="text"/>
          <w:rFonts w:ascii="Cambria Math" w:hAnsi="Cambria Math" w:cs="Arial"/>
          <w:sz w:val="24"/>
          <w:szCs w:val="24"/>
        </w:rPr>
        <w:t>,</w:t>
      </w:r>
      <w:r w:rsidRPr="001D442D">
        <w:rPr>
          <w:rFonts w:ascii="Cambria Math" w:hAnsi="Cambria Math"/>
          <w:sz w:val="24"/>
          <w:szCs w:val="24"/>
        </w:rPr>
        <w:t xml:space="preserve"> </w:t>
      </w:r>
      <w:r>
        <w:rPr>
          <w:rFonts w:ascii="Cambria Math" w:hAnsi="Cambria Math"/>
          <w:sz w:val="24"/>
          <w:szCs w:val="24"/>
        </w:rPr>
        <w:t xml:space="preserve">E. </w:t>
      </w:r>
      <w:r w:rsidRPr="001D442D">
        <w:rPr>
          <w:rFonts w:ascii="Cambria Math" w:hAnsi="Cambria Math"/>
          <w:sz w:val="24"/>
          <w:szCs w:val="24"/>
        </w:rPr>
        <w:t xml:space="preserve">(2018). Financial </w:t>
      </w:r>
      <w:r w:rsidR="00F55878">
        <w:rPr>
          <w:rFonts w:ascii="Cambria Math" w:hAnsi="Cambria Math"/>
          <w:sz w:val="24"/>
          <w:szCs w:val="24"/>
        </w:rPr>
        <w:t>s</w:t>
      </w:r>
      <w:r w:rsidRPr="001D442D">
        <w:rPr>
          <w:rFonts w:ascii="Cambria Math" w:hAnsi="Cambria Math"/>
          <w:sz w:val="24"/>
          <w:szCs w:val="24"/>
        </w:rPr>
        <w:t xml:space="preserve">tability in Europe: Banking and </w:t>
      </w:r>
      <w:r w:rsidR="00F55878">
        <w:rPr>
          <w:rFonts w:ascii="Cambria Math" w:hAnsi="Cambria Math"/>
          <w:sz w:val="24"/>
          <w:szCs w:val="24"/>
        </w:rPr>
        <w:t>s</w:t>
      </w:r>
      <w:r w:rsidRPr="001D442D">
        <w:rPr>
          <w:rFonts w:ascii="Cambria Math" w:hAnsi="Cambria Math"/>
          <w:sz w:val="24"/>
          <w:szCs w:val="24"/>
        </w:rPr>
        <w:t xml:space="preserve">overeign </w:t>
      </w:r>
      <w:r w:rsidR="00F55878">
        <w:rPr>
          <w:rFonts w:ascii="Cambria Math" w:hAnsi="Cambria Math"/>
          <w:sz w:val="24"/>
          <w:szCs w:val="24"/>
        </w:rPr>
        <w:t>r</w:t>
      </w:r>
      <w:r w:rsidRPr="001D442D">
        <w:rPr>
          <w:rFonts w:ascii="Cambria Math" w:hAnsi="Cambria Math"/>
          <w:sz w:val="24"/>
          <w:szCs w:val="24"/>
        </w:rPr>
        <w:t xml:space="preserve">isk. </w:t>
      </w:r>
      <w:r w:rsidRPr="001D442D">
        <w:rPr>
          <w:rFonts w:ascii="Cambria Math" w:hAnsi="Cambria Math"/>
          <w:i/>
          <w:sz w:val="24"/>
          <w:szCs w:val="24"/>
        </w:rPr>
        <w:t>Journal of Financial Stability</w:t>
      </w:r>
      <w:r>
        <w:rPr>
          <w:rFonts w:ascii="Cambria Math" w:hAnsi="Cambria Math"/>
          <w:sz w:val="24"/>
          <w:szCs w:val="24"/>
        </w:rPr>
        <w:t>, 36, 305-321.</w:t>
      </w:r>
    </w:p>
    <w:p w14:paraId="36AEB959" w14:textId="5DB0477B" w:rsidR="00483DE0" w:rsidRPr="0076192F" w:rsidRDefault="00483DE0" w:rsidP="00483DE0">
      <w:pPr>
        <w:jc w:val="both"/>
        <w:rPr>
          <w:rFonts w:ascii="Cambria Math" w:hAnsi="Cambria Math"/>
          <w:sz w:val="24"/>
          <w:szCs w:val="24"/>
        </w:rPr>
      </w:pPr>
      <w:r w:rsidRPr="0076192F">
        <w:rPr>
          <w:rFonts w:ascii="Cambria Math" w:hAnsi="Cambria Math"/>
          <w:sz w:val="24"/>
          <w:szCs w:val="24"/>
        </w:rPr>
        <w:t>Chen, S.</w:t>
      </w:r>
      <w:r w:rsidR="008640CF" w:rsidRPr="0076192F">
        <w:rPr>
          <w:rFonts w:ascii="Cambria Math" w:hAnsi="Cambria Math"/>
          <w:sz w:val="24"/>
          <w:szCs w:val="24"/>
        </w:rPr>
        <w:t>S., Chen, H.Y., Chang, C.</w:t>
      </w:r>
      <w:r w:rsidR="00CE4ADA" w:rsidRPr="0076192F">
        <w:rPr>
          <w:rFonts w:ascii="Cambria Math" w:hAnsi="Cambria Math"/>
          <w:sz w:val="24"/>
          <w:szCs w:val="24"/>
        </w:rPr>
        <w:t>C.</w:t>
      </w:r>
      <w:r w:rsidRPr="0076192F">
        <w:rPr>
          <w:rFonts w:ascii="Cambria Math" w:hAnsi="Cambria Math"/>
          <w:sz w:val="24"/>
          <w:szCs w:val="24"/>
        </w:rPr>
        <w:t xml:space="preserve"> and Yang, S.L. (2013). </w:t>
      </w:r>
      <w:bookmarkStart w:id="10" w:name="_Hlk508806373"/>
      <w:r w:rsidRPr="0076192F">
        <w:rPr>
          <w:rFonts w:ascii="Cambria Math" w:hAnsi="Cambria Math"/>
          <w:sz w:val="24"/>
          <w:szCs w:val="24"/>
        </w:rPr>
        <w:t>How do sovereign credit rating changes affect private investment?</w:t>
      </w:r>
      <w:bookmarkEnd w:id="10"/>
      <w:r w:rsidRPr="0076192F">
        <w:rPr>
          <w:rFonts w:ascii="Cambria Math" w:hAnsi="Cambria Math"/>
          <w:sz w:val="24"/>
          <w:szCs w:val="24"/>
        </w:rPr>
        <w:t xml:space="preserve"> </w:t>
      </w:r>
      <w:r w:rsidRPr="0076192F">
        <w:rPr>
          <w:rFonts w:ascii="Cambria Math" w:hAnsi="Cambria Math"/>
          <w:i/>
          <w:sz w:val="24"/>
          <w:szCs w:val="24"/>
        </w:rPr>
        <w:t xml:space="preserve">Journal of Banking </w:t>
      </w:r>
      <w:r w:rsidR="0059494A" w:rsidRPr="0076192F">
        <w:rPr>
          <w:rFonts w:ascii="Cambria Math" w:hAnsi="Cambria Math"/>
          <w:i/>
          <w:sz w:val="24"/>
          <w:szCs w:val="24"/>
        </w:rPr>
        <w:t>and</w:t>
      </w:r>
      <w:r w:rsidRPr="0076192F">
        <w:rPr>
          <w:rFonts w:ascii="Cambria Math" w:hAnsi="Cambria Math"/>
          <w:i/>
          <w:sz w:val="24"/>
          <w:szCs w:val="24"/>
        </w:rPr>
        <w:t xml:space="preserve"> Finance</w:t>
      </w:r>
      <w:r w:rsidRPr="0076192F">
        <w:rPr>
          <w:rFonts w:ascii="Cambria Math" w:hAnsi="Cambria Math"/>
          <w:sz w:val="24"/>
          <w:szCs w:val="24"/>
        </w:rPr>
        <w:t>, 37(12), 4820-4833.</w:t>
      </w:r>
    </w:p>
    <w:p w14:paraId="68095057" w14:textId="58AD2239" w:rsidR="00483DE0" w:rsidRPr="0076192F" w:rsidRDefault="00483DE0" w:rsidP="00483DE0">
      <w:pPr>
        <w:jc w:val="both"/>
        <w:rPr>
          <w:rFonts w:ascii="Cambria Math" w:hAnsi="Cambria Math"/>
          <w:sz w:val="24"/>
          <w:szCs w:val="24"/>
        </w:rPr>
      </w:pPr>
      <w:r w:rsidRPr="0076192F">
        <w:rPr>
          <w:rFonts w:ascii="Cambria Math" w:hAnsi="Cambria Math"/>
          <w:sz w:val="24"/>
          <w:szCs w:val="24"/>
        </w:rPr>
        <w:t>Chen, S.</w:t>
      </w:r>
      <w:r w:rsidR="008640CF" w:rsidRPr="0076192F">
        <w:rPr>
          <w:rFonts w:ascii="Cambria Math" w:hAnsi="Cambria Math"/>
          <w:sz w:val="24"/>
          <w:szCs w:val="24"/>
        </w:rPr>
        <w:t>S., Chen, H.Y., Chang, C.</w:t>
      </w:r>
      <w:r w:rsidR="00CE4ADA" w:rsidRPr="0076192F">
        <w:rPr>
          <w:rFonts w:ascii="Cambria Math" w:hAnsi="Cambria Math"/>
          <w:sz w:val="24"/>
          <w:szCs w:val="24"/>
        </w:rPr>
        <w:t>C.</w:t>
      </w:r>
      <w:r w:rsidRPr="0076192F">
        <w:rPr>
          <w:rFonts w:ascii="Cambria Math" w:hAnsi="Cambria Math"/>
          <w:sz w:val="24"/>
          <w:szCs w:val="24"/>
        </w:rPr>
        <w:t xml:space="preserve"> and Yang, S.L. (2016). The relation between sovereign credit rating revisions and economic growth. </w:t>
      </w:r>
      <w:r w:rsidRPr="0076192F">
        <w:rPr>
          <w:rFonts w:ascii="Cambria Math" w:hAnsi="Cambria Math"/>
          <w:i/>
          <w:sz w:val="24"/>
          <w:szCs w:val="24"/>
        </w:rPr>
        <w:t xml:space="preserve">Journal of Banking </w:t>
      </w:r>
      <w:r w:rsidR="0059494A" w:rsidRPr="0076192F">
        <w:rPr>
          <w:rFonts w:ascii="Cambria Math" w:hAnsi="Cambria Math"/>
          <w:i/>
          <w:sz w:val="24"/>
          <w:szCs w:val="24"/>
        </w:rPr>
        <w:t xml:space="preserve">and </w:t>
      </w:r>
      <w:r w:rsidRPr="0076192F">
        <w:rPr>
          <w:rFonts w:ascii="Cambria Math" w:hAnsi="Cambria Math"/>
          <w:i/>
          <w:sz w:val="24"/>
          <w:szCs w:val="24"/>
        </w:rPr>
        <w:t>Finance</w:t>
      </w:r>
      <w:r w:rsidRPr="0076192F">
        <w:rPr>
          <w:rFonts w:ascii="Cambria Math" w:hAnsi="Cambria Math"/>
          <w:sz w:val="24"/>
          <w:szCs w:val="24"/>
        </w:rPr>
        <w:t>, 64, 90-100.</w:t>
      </w:r>
    </w:p>
    <w:p w14:paraId="55A4CB44" w14:textId="7CC62455" w:rsidR="000D414C" w:rsidRDefault="00CE4ADA" w:rsidP="00483DE0">
      <w:pPr>
        <w:jc w:val="both"/>
        <w:rPr>
          <w:rFonts w:ascii="Cambria Math" w:hAnsi="Cambria Math" w:cs="Times New Roman"/>
          <w:sz w:val="24"/>
          <w:szCs w:val="24"/>
        </w:rPr>
      </w:pPr>
      <w:r w:rsidRPr="0076192F">
        <w:rPr>
          <w:rFonts w:ascii="Cambria Math" w:hAnsi="Cambria Math" w:cs="Times New Roman"/>
          <w:sz w:val="24"/>
          <w:szCs w:val="24"/>
        </w:rPr>
        <w:t>Cull, R., Martinez Peria</w:t>
      </w:r>
      <w:r w:rsidR="00521008" w:rsidRPr="0076192F">
        <w:rPr>
          <w:rFonts w:ascii="Cambria Math" w:hAnsi="Cambria Math" w:cs="Times New Roman"/>
          <w:sz w:val="24"/>
          <w:szCs w:val="24"/>
        </w:rPr>
        <w:t>,</w:t>
      </w:r>
      <w:r w:rsidRPr="0076192F">
        <w:rPr>
          <w:rFonts w:ascii="Cambria Math" w:hAnsi="Cambria Math" w:cs="Times New Roman"/>
          <w:sz w:val="24"/>
          <w:szCs w:val="24"/>
        </w:rPr>
        <w:t xml:space="preserve"> M.S.</w:t>
      </w:r>
      <w:r w:rsidR="000D414C" w:rsidRPr="0076192F">
        <w:rPr>
          <w:rFonts w:ascii="Cambria Math" w:hAnsi="Cambria Math" w:cs="Times New Roman"/>
          <w:sz w:val="24"/>
          <w:szCs w:val="24"/>
        </w:rPr>
        <w:t xml:space="preserve"> and Verrier, J. (2017). Bank Ownership: Trends and Implications. I</w:t>
      </w:r>
      <w:r w:rsidR="00562D21" w:rsidRPr="0076192F">
        <w:rPr>
          <w:rFonts w:ascii="Cambria Math" w:hAnsi="Cambria Math" w:cs="Times New Roman"/>
          <w:sz w:val="24"/>
          <w:szCs w:val="24"/>
        </w:rPr>
        <w:t xml:space="preserve">nternational </w:t>
      </w:r>
      <w:r w:rsidR="000D414C" w:rsidRPr="0076192F">
        <w:rPr>
          <w:rFonts w:ascii="Cambria Math" w:hAnsi="Cambria Math" w:cs="Times New Roman"/>
          <w:sz w:val="24"/>
          <w:szCs w:val="24"/>
        </w:rPr>
        <w:t>M</w:t>
      </w:r>
      <w:r w:rsidR="00562D21" w:rsidRPr="0076192F">
        <w:rPr>
          <w:rFonts w:ascii="Cambria Math" w:hAnsi="Cambria Math" w:cs="Times New Roman"/>
          <w:sz w:val="24"/>
          <w:szCs w:val="24"/>
        </w:rPr>
        <w:t xml:space="preserve">onetary </w:t>
      </w:r>
      <w:r w:rsidR="000D414C" w:rsidRPr="0076192F">
        <w:rPr>
          <w:rFonts w:ascii="Cambria Math" w:hAnsi="Cambria Math" w:cs="Times New Roman"/>
          <w:sz w:val="24"/>
          <w:szCs w:val="24"/>
        </w:rPr>
        <w:t>F</w:t>
      </w:r>
      <w:r w:rsidR="00562D21" w:rsidRPr="0076192F">
        <w:rPr>
          <w:rFonts w:ascii="Cambria Math" w:hAnsi="Cambria Math" w:cs="Times New Roman"/>
          <w:sz w:val="24"/>
          <w:szCs w:val="24"/>
        </w:rPr>
        <w:t>und</w:t>
      </w:r>
      <w:r w:rsidR="000D414C" w:rsidRPr="0076192F">
        <w:rPr>
          <w:rFonts w:ascii="Cambria Math" w:hAnsi="Cambria Math" w:cs="Times New Roman"/>
          <w:sz w:val="24"/>
          <w:szCs w:val="24"/>
        </w:rPr>
        <w:t xml:space="preserve"> Working Paper No. 17/60.</w:t>
      </w:r>
    </w:p>
    <w:p w14:paraId="586CD906" w14:textId="1D0F24C7" w:rsidR="00F15480" w:rsidRPr="0076192F" w:rsidRDefault="00F15480" w:rsidP="00483DE0">
      <w:pPr>
        <w:jc w:val="both"/>
        <w:rPr>
          <w:rFonts w:ascii="Cambria Math" w:hAnsi="Cambria Math" w:cs="Times New Roman"/>
          <w:sz w:val="24"/>
          <w:szCs w:val="24"/>
        </w:rPr>
      </w:pPr>
      <w:r w:rsidRPr="00F15480">
        <w:rPr>
          <w:rFonts w:ascii="Cambria Math" w:hAnsi="Cambria Math" w:cs="Times New Roman"/>
          <w:sz w:val="24"/>
          <w:szCs w:val="24"/>
        </w:rPr>
        <w:t xml:space="preserve">De Moor, L., Luitel, P., Sercu, P., </w:t>
      </w:r>
      <w:r w:rsidR="00A738CF">
        <w:rPr>
          <w:rFonts w:ascii="Cambria Math" w:hAnsi="Cambria Math" w:cs="Times New Roman"/>
          <w:sz w:val="24"/>
          <w:szCs w:val="24"/>
        </w:rPr>
        <w:t xml:space="preserve">and </w:t>
      </w:r>
      <w:r w:rsidRPr="00F15480">
        <w:rPr>
          <w:rFonts w:ascii="Cambria Math" w:hAnsi="Cambria Math" w:cs="Times New Roman"/>
          <w:sz w:val="24"/>
          <w:szCs w:val="24"/>
        </w:rPr>
        <w:t>Vanpée, R. (2018). Subjectivity in sovereign cred</w:t>
      </w:r>
      <w:r>
        <w:rPr>
          <w:rFonts w:ascii="Cambria Math" w:hAnsi="Cambria Math" w:cs="Times New Roman"/>
          <w:sz w:val="24"/>
          <w:szCs w:val="24"/>
        </w:rPr>
        <w:t xml:space="preserve">it ratings. </w:t>
      </w:r>
      <w:r w:rsidRPr="00F15480">
        <w:rPr>
          <w:rFonts w:ascii="Cambria Math" w:hAnsi="Cambria Math" w:cs="Times New Roman"/>
          <w:i/>
          <w:sz w:val="24"/>
          <w:szCs w:val="24"/>
        </w:rPr>
        <w:t>Journal of Banking and Finance</w:t>
      </w:r>
      <w:r w:rsidRPr="00F15480">
        <w:rPr>
          <w:rFonts w:ascii="Cambria Math" w:hAnsi="Cambria Math" w:cs="Times New Roman"/>
          <w:sz w:val="24"/>
          <w:szCs w:val="24"/>
        </w:rPr>
        <w:t>, 88, 366-392.</w:t>
      </w:r>
    </w:p>
    <w:p w14:paraId="09D4B8B5" w14:textId="77777777" w:rsidR="007B7A31" w:rsidRPr="0076192F" w:rsidRDefault="007B7A31" w:rsidP="007B7A31">
      <w:pPr>
        <w:jc w:val="both"/>
        <w:rPr>
          <w:rFonts w:ascii="Cambria Math" w:hAnsi="Cambria Math" w:cs="Times New Roman"/>
          <w:sz w:val="24"/>
          <w:szCs w:val="24"/>
        </w:rPr>
      </w:pPr>
      <w:r w:rsidRPr="0076192F">
        <w:rPr>
          <w:rFonts w:ascii="Cambria Math" w:hAnsi="Cambria Math" w:cs="Times New Roman"/>
          <w:sz w:val="24"/>
          <w:szCs w:val="24"/>
        </w:rPr>
        <w:t xml:space="preserve">Dimitrakopoulos, S. and Kolossiatis, M. (2016). State dependence and stickiness of sovereign credit ratings: evidence from a panel of countries. </w:t>
      </w:r>
      <w:r w:rsidRPr="0076192F">
        <w:rPr>
          <w:rFonts w:ascii="Cambria Math" w:hAnsi="Cambria Math" w:cs="Times New Roman"/>
          <w:i/>
          <w:sz w:val="24"/>
          <w:szCs w:val="24"/>
        </w:rPr>
        <w:t>Journal of Applied Econometrics</w:t>
      </w:r>
      <w:r w:rsidRPr="0076192F">
        <w:rPr>
          <w:rFonts w:ascii="Cambria Math" w:hAnsi="Cambria Math" w:cs="Times New Roman"/>
          <w:sz w:val="24"/>
          <w:szCs w:val="24"/>
        </w:rPr>
        <w:t>, 31, 1065-1082.</w:t>
      </w:r>
    </w:p>
    <w:p w14:paraId="0D9A1591" w14:textId="770ADE28" w:rsidR="003F7D4F" w:rsidRPr="0076192F" w:rsidRDefault="003F7D4F" w:rsidP="003F7D4F">
      <w:pPr>
        <w:jc w:val="both"/>
        <w:rPr>
          <w:rFonts w:ascii="Cambria Math" w:hAnsi="Cambria Math"/>
          <w:sz w:val="24"/>
          <w:szCs w:val="24"/>
        </w:rPr>
      </w:pPr>
      <w:r w:rsidRPr="0076192F">
        <w:rPr>
          <w:rFonts w:ascii="Cambria Math" w:hAnsi="Cambria Math" w:cs="Times New Roman"/>
          <w:sz w:val="24"/>
          <w:szCs w:val="24"/>
        </w:rPr>
        <w:t>Drago, D. and Gallo, R. (2017</w:t>
      </w:r>
      <w:r w:rsidR="000D3F1D" w:rsidRPr="0076192F">
        <w:rPr>
          <w:rFonts w:ascii="Cambria Math" w:hAnsi="Cambria Math" w:cs="Times New Roman"/>
          <w:sz w:val="24"/>
          <w:szCs w:val="24"/>
        </w:rPr>
        <w:t>a</w:t>
      </w:r>
      <w:r w:rsidRPr="0076192F">
        <w:rPr>
          <w:rFonts w:ascii="Cambria Math" w:hAnsi="Cambria Math" w:cs="Times New Roman"/>
          <w:sz w:val="24"/>
          <w:szCs w:val="24"/>
        </w:rPr>
        <w:t xml:space="preserve">). The impact of sovereign rating changes on European syndicated loan spreads: the role of the rating-based regulation. </w:t>
      </w:r>
      <w:r w:rsidRPr="0076192F">
        <w:rPr>
          <w:rFonts w:ascii="Cambria Math" w:hAnsi="Cambria Math" w:cs="Times New Roman"/>
          <w:i/>
          <w:sz w:val="24"/>
          <w:szCs w:val="24"/>
        </w:rPr>
        <w:t>Journal of International Money and Finance</w:t>
      </w:r>
      <w:r w:rsidRPr="0076192F">
        <w:rPr>
          <w:rFonts w:ascii="Cambria Math" w:hAnsi="Cambria Math" w:cs="Times New Roman"/>
          <w:sz w:val="24"/>
          <w:szCs w:val="24"/>
        </w:rPr>
        <w:t>, 73, Part A, 213-231.</w:t>
      </w:r>
    </w:p>
    <w:p w14:paraId="050FEAC0" w14:textId="4EAD86C4" w:rsidR="000D3F1D" w:rsidRPr="0076192F" w:rsidRDefault="000D3F1D" w:rsidP="000D3F1D">
      <w:pPr>
        <w:jc w:val="both"/>
        <w:rPr>
          <w:rFonts w:ascii="Cambria Math" w:hAnsi="Cambria Math"/>
          <w:sz w:val="24"/>
          <w:szCs w:val="24"/>
        </w:rPr>
      </w:pPr>
      <w:bookmarkStart w:id="11" w:name="_Hlk508787720"/>
      <w:r w:rsidRPr="0076192F">
        <w:rPr>
          <w:rFonts w:ascii="Cambria Math" w:hAnsi="Cambria Math" w:cs="Times New Roman"/>
          <w:sz w:val="24"/>
          <w:szCs w:val="24"/>
        </w:rPr>
        <w:t xml:space="preserve">Drago, D. and Gallo, R. (2017b). The impact of sovereign rating changes on the activity of European banks. </w:t>
      </w:r>
      <w:r w:rsidRPr="0076192F">
        <w:rPr>
          <w:rFonts w:ascii="Cambria Math" w:hAnsi="Cambria Math" w:cs="Times New Roman"/>
          <w:i/>
          <w:sz w:val="24"/>
          <w:szCs w:val="24"/>
        </w:rPr>
        <w:t>Journal of Banking and Finance</w:t>
      </w:r>
      <w:r w:rsidRPr="0076192F">
        <w:rPr>
          <w:rFonts w:ascii="Cambria Math" w:hAnsi="Cambria Math" w:cs="Times New Roman"/>
          <w:sz w:val="24"/>
          <w:szCs w:val="24"/>
        </w:rPr>
        <w:t>, 85, 99-112.</w:t>
      </w:r>
    </w:p>
    <w:p w14:paraId="698003CE" w14:textId="4D750C91" w:rsidR="00F55878" w:rsidRPr="00F55878" w:rsidRDefault="00F55878" w:rsidP="00F55878">
      <w:pPr>
        <w:jc w:val="both"/>
        <w:rPr>
          <w:rFonts w:ascii="Cambria Math" w:hAnsi="Cambria Math"/>
          <w:sz w:val="24"/>
          <w:szCs w:val="24"/>
        </w:rPr>
      </w:pPr>
      <w:r w:rsidRPr="00F55878">
        <w:rPr>
          <w:rFonts w:ascii="Cambria Math" w:hAnsi="Cambria Math"/>
          <w:sz w:val="24"/>
          <w:szCs w:val="24"/>
        </w:rPr>
        <w:lastRenderedPageBreak/>
        <w:t>Drobetz, W., El Ghoul, S</w:t>
      </w:r>
      <w:r>
        <w:rPr>
          <w:rFonts w:ascii="Cambria Math" w:hAnsi="Cambria Math"/>
          <w:sz w:val="24"/>
          <w:szCs w:val="24"/>
        </w:rPr>
        <w:t xml:space="preserve">., </w:t>
      </w:r>
      <w:r w:rsidRPr="00F55878">
        <w:rPr>
          <w:rFonts w:ascii="Cambria Math" w:hAnsi="Cambria Math"/>
          <w:sz w:val="24"/>
          <w:szCs w:val="24"/>
        </w:rPr>
        <w:t>Guedhami, O. and Janzen, M</w:t>
      </w:r>
      <w:r>
        <w:rPr>
          <w:rFonts w:ascii="Cambria Math" w:hAnsi="Cambria Math"/>
          <w:sz w:val="24"/>
          <w:szCs w:val="24"/>
        </w:rPr>
        <w:t>.</w:t>
      </w:r>
      <w:r w:rsidRPr="00F55878">
        <w:rPr>
          <w:rFonts w:ascii="Cambria Math" w:hAnsi="Cambria Math"/>
          <w:sz w:val="24"/>
          <w:szCs w:val="24"/>
        </w:rPr>
        <w:t xml:space="preserve"> (2018). Policy uncertainty, investment, and the cost of capital</w:t>
      </w:r>
      <w:r>
        <w:rPr>
          <w:rFonts w:ascii="Cambria Math" w:hAnsi="Cambria Math"/>
          <w:sz w:val="24"/>
          <w:szCs w:val="24"/>
        </w:rPr>
        <w:t>.</w:t>
      </w:r>
      <w:r w:rsidRPr="00F55878">
        <w:rPr>
          <w:rFonts w:ascii="Cambria Math" w:hAnsi="Cambria Math"/>
          <w:i/>
          <w:sz w:val="24"/>
          <w:szCs w:val="24"/>
        </w:rPr>
        <w:t xml:space="preserve"> Journal of Financial Stability</w:t>
      </w:r>
      <w:r w:rsidRPr="00F55878">
        <w:rPr>
          <w:rFonts w:ascii="Cambria Math" w:hAnsi="Cambria Math"/>
          <w:sz w:val="24"/>
          <w:szCs w:val="24"/>
        </w:rPr>
        <w:t>, 3</w:t>
      </w:r>
      <w:r>
        <w:rPr>
          <w:rFonts w:ascii="Cambria Math" w:hAnsi="Cambria Math"/>
          <w:sz w:val="24"/>
          <w:szCs w:val="24"/>
        </w:rPr>
        <w:t>9</w:t>
      </w:r>
      <w:r w:rsidRPr="00F55878">
        <w:rPr>
          <w:rFonts w:ascii="Cambria Math" w:hAnsi="Cambria Math"/>
          <w:sz w:val="24"/>
          <w:szCs w:val="24"/>
        </w:rPr>
        <w:t xml:space="preserve">, </w:t>
      </w:r>
      <w:r>
        <w:rPr>
          <w:rFonts w:ascii="Cambria Math" w:hAnsi="Cambria Math"/>
          <w:sz w:val="24"/>
          <w:szCs w:val="24"/>
        </w:rPr>
        <w:t>28</w:t>
      </w:r>
      <w:r w:rsidRPr="00F55878">
        <w:rPr>
          <w:rFonts w:ascii="Cambria Math" w:hAnsi="Cambria Math"/>
          <w:sz w:val="24"/>
          <w:szCs w:val="24"/>
        </w:rPr>
        <w:t>-</w:t>
      </w:r>
      <w:r>
        <w:rPr>
          <w:rFonts w:ascii="Cambria Math" w:hAnsi="Cambria Math"/>
          <w:sz w:val="24"/>
          <w:szCs w:val="24"/>
        </w:rPr>
        <w:t>45</w:t>
      </w:r>
      <w:r w:rsidRPr="00F55878">
        <w:rPr>
          <w:rFonts w:ascii="Cambria Math" w:hAnsi="Cambria Math"/>
          <w:sz w:val="24"/>
          <w:szCs w:val="24"/>
        </w:rPr>
        <w:t>.</w:t>
      </w:r>
    </w:p>
    <w:p w14:paraId="0C437AD2" w14:textId="13C31A2C" w:rsidR="00483DE0" w:rsidRPr="0076192F" w:rsidRDefault="00483DE0" w:rsidP="00483DE0">
      <w:pPr>
        <w:jc w:val="both"/>
        <w:rPr>
          <w:rFonts w:ascii="Cambria Math" w:hAnsi="Cambria Math"/>
          <w:sz w:val="24"/>
          <w:szCs w:val="24"/>
        </w:rPr>
      </w:pPr>
      <w:r w:rsidRPr="0076192F">
        <w:rPr>
          <w:rFonts w:ascii="Cambria Math" w:hAnsi="Cambria Math"/>
          <w:sz w:val="24"/>
          <w:szCs w:val="24"/>
        </w:rPr>
        <w:t>Duygun</w:t>
      </w:r>
      <w:r w:rsidR="008640CF" w:rsidRPr="0076192F">
        <w:rPr>
          <w:rFonts w:ascii="Cambria Math" w:hAnsi="Cambria Math"/>
          <w:sz w:val="24"/>
          <w:szCs w:val="24"/>
        </w:rPr>
        <w:t>, M., Ozturk, H.</w:t>
      </w:r>
      <w:r w:rsidRPr="0076192F">
        <w:rPr>
          <w:rFonts w:ascii="Cambria Math" w:hAnsi="Cambria Math"/>
          <w:sz w:val="24"/>
          <w:szCs w:val="24"/>
        </w:rPr>
        <w:t xml:space="preserve"> and Shaban, M. (2016). The role of sovereign credit ratings in fiscal discipline. </w:t>
      </w:r>
      <w:r w:rsidRPr="0076192F">
        <w:rPr>
          <w:rFonts w:ascii="Cambria Math" w:hAnsi="Cambria Math"/>
          <w:i/>
          <w:sz w:val="24"/>
          <w:szCs w:val="24"/>
        </w:rPr>
        <w:t>Emerging Markets Review</w:t>
      </w:r>
      <w:r w:rsidRPr="0076192F">
        <w:rPr>
          <w:rFonts w:ascii="Cambria Math" w:hAnsi="Cambria Math"/>
          <w:sz w:val="24"/>
          <w:szCs w:val="24"/>
        </w:rPr>
        <w:t>, 27, 197-216.</w:t>
      </w:r>
    </w:p>
    <w:bookmarkEnd w:id="11"/>
    <w:p w14:paraId="51717132" w14:textId="77777777" w:rsidR="000E69CB" w:rsidRPr="0076192F" w:rsidRDefault="000E69CB" w:rsidP="00483DE0">
      <w:pPr>
        <w:jc w:val="both"/>
        <w:rPr>
          <w:rFonts w:ascii="Cambria Math" w:hAnsi="Cambria Math"/>
          <w:sz w:val="24"/>
          <w:szCs w:val="24"/>
        </w:rPr>
      </w:pPr>
      <w:r w:rsidRPr="0076192F">
        <w:rPr>
          <w:rFonts w:ascii="Cambria Math" w:hAnsi="Cambria Math"/>
          <w:sz w:val="24"/>
          <w:szCs w:val="24"/>
        </w:rPr>
        <w:t xml:space="preserve">European Securities and Markets Authority (2016). ESMA’s supervision of credit rating agencies, trade repositories and monitoring of third country central counterparties. 2016 Annual Report and 2017 Work Programme. Available at: </w:t>
      </w:r>
    </w:p>
    <w:p w14:paraId="53734766" w14:textId="1EF75348" w:rsidR="000E69CB" w:rsidRPr="0076192F" w:rsidRDefault="003B7DDC" w:rsidP="00483DE0">
      <w:pPr>
        <w:jc w:val="both"/>
        <w:rPr>
          <w:rFonts w:ascii="Cambria Math" w:hAnsi="Cambria Math"/>
          <w:sz w:val="24"/>
          <w:szCs w:val="24"/>
        </w:rPr>
      </w:pPr>
      <w:hyperlink r:id="rId48" w:history="1">
        <w:r w:rsidR="000E69CB" w:rsidRPr="0076192F">
          <w:rPr>
            <w:rStyle w:val="Hyperlink"/>
            <w:rFonts w:ascii="Cambria Math" w:hAnsi="Cambria Math"/>
            <w:sz w:val="24"/>
            <w:szCs w:val="24"/>
          </w:rPr>
          <w:t>https://www.esma.europa.eu/sites/default/files/library/supervision_annual_report_2016_and_work_program_2017_0.pdf</w:t>
        </w:r>
      </w:hyperlink>
    </w:p>
    <w:p w14:paraId="608FC1F8" w14:textId="164CF0A8" w:rsidR="004A1EFE" w:rsidRPr="0076192F" w:rsidRDefault="00AD231E" w:rsidP="004A1EFE">
      <w:pPr>
        <w:jc w:val="both"/>
        <w:rPr>
          <w:rFonts w:ascii="Cambria Math" w:hAnsi="Cambria Math" w:cs="Times New Roman"/>
          <w:sz w:val="24"/>
          <w:szCs w:val="24"/>
        </w:rPr>
      </w:pPr>
      <w:bookmarkStart w:id="12" w:name="_Hlk514748871"/>
      <w:bookmarkStart w:id="13" w:name="_Hlk508609715"/>
      <w:r w:rsidRPr="0076192F">
        <w:rPr>
          <w:rFonts w:ascii="Cambria Math" w:hAnsi="Cambria Math" w:cs="Times New Roman"/>
          <w:sz w:val="24"/>
          <w:szCs w:val="24"/>
        </w:rPr>
        <w:t xml:space="preserve">Gennaioli, N., Martin, A. and Rossi, S. (2014). </w:t>
      </w:r>
      <w:r w:rsidR="004A1EFE" w:rsidRPr="0076192F">
        <w:rPr>
          <w:rFonts w:ascii="Cambria Math" w:hAnsi="Cambria Math" w:cs="Times New Roman"/>
          <w:sz w:val="24"/>
          <w:szCs w:val="24"/>
        </w:rPr>
        <w:t>Sovereign Default, Domestic Banks, and Financial Institutions</w:t>
      </w:r>
      <w:r w:rsidRPr="0076192F">
        <w:rPr>
          <w:rFonts w:ascii="Cambria Math" w:hAnsi="Cambria Math" w:cs="Times New Roman"/>
          <w:sz w:val="24"/>
          <w:szCs w:val="24"/>
        </w:rPr>
        <w:t xml:space="preserve">. </w:t>
      </w:r>
      <w:r w:rsidRPr="0076192F">
        <w:rPr>
          <w:rFonts w:ascii="Cambria Math" w:hAnsi="Cambria Math" w:cs="Times New Roman"/>
          <w:i/>
          <w:sz w:val="24"/>
          <w:szCs w:val="24"/>
        </w:rPr>
        <w:t>Journal of Finance</w:t>
      </w:r>
      <w:r w:rsidRPr="0076192F">
        <w:rPr>
          <w:rFonts w:ascii="Cambria Math" w:hAnsi="Cambria Math" w:cs="Times New Roman"/>
          <w:sz w:val="24"/>
          <w:szCs w:val="24"/>
        </w:rPr>
        <w:t>, 69, 819-866.</w:t>
      </w:r>
    </w:p>
    <w:bookmarkEnd w:id="12"/>
    <w:p w14:paraId="163E7E14" w14:textId="19353B90" w:rsidR="00AE4601" w:rsidRPr="0076192F" w:rsidRDefault="00AE4601" w:rsidP="00705D47">
      <w:pPr>
        <w:jc w:val="both"/>
        <w:rPr>
          <w:rFonts w:ascii="Cambria Math" w:hAnsi="Cambria Math"/>
          <w:sz w:val="24"/>
          <w:szCs w:val="24"/>
        </w:rPr>
      </w:pPr>
      <w:r w:rsidRPr="0076192F">
        <w:rPr>
          <w:rFonts w:ascii="Cambria Math" w:hAnsi="Cambria Math"/>
          <w:sz w:val="24"/>
          <w:szCs w:val="24"/>
        </w:rPr>
        <w:t>Gilchrist, S., Sim, J., and Zakrajšek, E. (2014). Uncertainty, Financial Frictions, and Irreversible Investment. National Bureau of Economic Research Working Paper No. 20038.</w:t>
      </w:r>
    </w:p>
    <w:p w14:paraId="2B4F205D" w14:textId="77777777" w:rsidR="005B2A9D" w:rsidRPr="0076192F" w:rsidRDefault="005B2A9D" w:rsidP="005B2A9D">
      <w:pPr>
        <w:jc w:val="both"/>
        <w:rPr>
          <w:rFonts w:ascii="Cambria Math" w:hAnsi="Cambria Math"/>
          <w:sz w:val="24"/>
          <w:szCs w:val="24"/>
        </w:rPr>
      </w:pPr>
      <w:bookmarkStart w:id="14" w:name="_Hlk508811965"/>
      <w:r w:rsidRPr="000F25DA">
        <w:rPr>
          <w:rFonts w:ascii="Cambria Math" w:hAnsi="Cambria Math"/>
          <w:sz w:val="24"/>
          <w:szCs w:val="24"/>
        </w:rPr>
        <w:t>Go</w:t>
      </w:r>
      <w:r w:rsidRPr="0076192F">
        <w:rPr>
          <w:rFonts w:ascii="Cambria Math" w:hAnsi="Cambria Math"/>
          <w:sz w:val="24"/>
          <w:szCs w:val="24"/>
        </w:rPr>
        <w:t>nzalez-Garcia, J. and Grigoli, F. (2013). State</w:t>
      </w:r>
      <w:bookmarkEnd w:id="14"/>
      <w:r w:rsidRPr="0076192F">
        <w:rPr>
          <w:rFonts w:ascii="Cambria Math" w:hAnsi="Cambria Math"/>
          <w:sz w:val="24"/>
          <w:szCs w:val="24"/>
        </w:rPr>
        <w:t>-Owned Banks and Fiscal Discipline. International Monetary Fund Working Paper No. 13/206.</w:t>
      </w:r>
    </w:p>
    <w:bookmarkEnd w:id="13"/>
    <w:p w14:paraId="4323F4C2" w14:textId="50776721" w:rsidR="00BA2E29" w:rsidRPr="0076192F" w:rsidRDefault="00BA2E29" w:rsidP="00145DA1">
      <w:pPr>
        <w:jc w:val="both"/>
        <w:rPr>
          <w:rFonts w:ascii="Cambria Math" w:hAnsi="Cambria Math"/>
          <w:sz w:val="24"/>
          <w:szCs w:val="24"/>
        </w:rPr>
      </w:pPr>
      <w:r w:rsidRPr="0076192F">
        <w:rPr>
          <w:rFonts w:ascii="Cambria Math" w:hAnsi="Cambria Math"/>
          <w:sz w:val="24"/>
          <w:szCs w:val="24"/>
        </w:rPr>
        <w:t>Holden, S., Natvik, G.J. and Vigie</w:t>
      </w:r>
      <w:r w:rsidR="00E16C95" w:rsidRPr="0076192F">
        <w:rPr>
          <w:rFonts w:ascii="Cambria Math" w:hAnsi="Cambria Math"/>
          <w:sz w:val="24"/>
          <w:szCs w:val="24"/>
        </w:rPr>
        <w:t>r</w:t>
      </w:r>
      <w:r w:rsidRPr="0076192F">
        <w:rPr>
          <w:rFonts w:ascii="Cambria Math" w:hAnsi="Cambria Math"/>
          <w:sz w:val="24"/>
          <w:szCs w:val="24"/>
        </w:rPr>
        <w:t xml:space="preserve">, A. (2018). Credit Rating and Debt Crises. </w:t>
      </w:r>
      <w:r w:rsidRPr="0076192F">
        <w:rPr>
          <w:rFonts w:ascii="Cambria Math" w:hAnsi="Cambria Math"/>
          <w:i/>
          <w:sz w:val="24"/>
          <w:szCs w:val="24"/>
        </w:rPr>
        <w:t>International Economic Review</w:t>
      </w:r>
      <w:r w:rsidRPr="0076192F">
        <w:rPr>
          <w:rFonts w:ascii="Cambria Math" w:hAnsi="Cambria Math"/>
          <w:sz w:val="24"/>
          <w:szCs w:val="24"/>
        </w:rPr>
        <w:t>, 59, 973-987.</w:t>
      </w:r>
    </w:p>
    <w:p w14:paraId="79D77B1C" w14:textId="2872473F" w:rsidR="00121398" w:rsidRPr="0076192F" w:rsidRDefault="00121398" w:rsidP="00145DA1">
      <w:pPr>
        <w:jc w:val="both"/>
        <w:rPr>
          <w:rFonts w:ascii="Cambria Math" w:hAnsi="Cambria Math"/>
          <w:sz w:val="24"/>
          <w:szCs w:val="24"/>
        </w:rPr>
      </w:pPr>
      <w:r w:rsidRPr="0076192F">
        <w:rPr>
          <w:rFonts w:ascii="Cambria Math" w:hAnsi="Cambria Math"/>
          <w:sz w:val="24"/>
          <w:szCs w:val="24"/>
        </w:rPr>
        <w:t xml:space="preserve">Jeanneret, A. (2015). The Dynamics of Sovereign Credit Risk. </w:t>
      </w:r>
      <w:r w:rsidRPr="0076192F">
        <w:rPr>
          <w:rFonts w:ascii="Cambria Math" w:hAnsi="Cambria Math"/>
          <w:i/>
          <w:sz w:val="24"/>
          <w:szCs w:val="24"/>
        </w:rPr>
        <w:t>Journal of Financial and Quantitative Analysis</w:t>
      </w:r>
      <w:r w:rsidRPr="0076192F">
        <w:rPr>
          <w:rFonts w:ascii="Cambria Math" w:hAnsi="Cambria Math"/>
          <w:sz w:val="24"/>
          <w:szCs w:val="24"/>
        </w:rPr>
        <w:t>, 50, 963-985.</w:t>
      </w:r>
    </w:p>
    <w:p w14:paraId="710A0D87" w14:textId="0FA2CF5F" w:rsidR="004A4ECD" w:rsidRPr="0076192F" w:rsidRDefault="004A4ECD" w:rsidP="004A4ECD">
      <w:pPr>
        <w:jc w:val="both"/>
        <w:rPr>
          <w:rFonts w:ascii="Cambria Math" w:hAnsi="Cambria Math"/>
          <w:sz w:val="24"/>
          <w:szCs w:val="24"/>
        </w:rPr>
      </w:pPr>
      <w:r w:rsidRPr="0076192F">
        <w:rPr>
          <w:rFonts w:ascii="Cambria Math" w:hAnsi="Cambria Math"/>
          <w:sz w:val="24"/>
          <w:szCs w:val="24"/>
        </w:rPr>
        <w:t xml:space="preserve">Jeanneret, A. (2018). Sovereign Credit Risk under Good/Bad Governance. </w:t>
      </w:r>
      <w:r w:rsidRPr="0076192F">
        <w:rPr>
          <w:rFonts w:ascii="Cambria Math" w:hAnsi="Cambria Math"/>
          <w:i/>
          <w:sz w:val="24"/>
          <w:szCs w:val="24"/>
        </w:rPr>
        <w:t>Journal of Banking and Finance</w:t>
      </w:r>
      <w:r w:rsidR="00F9145C">
        <w:rPr>
          <w:rFonts w:ascii="Cambria Math" w:hAnsi="Cambria Math"/>
          <w:sz w:val="24"/>
          <w:szCs w:val="24"/>
        </w:rPr>
        <w:t>, 93, 230-246</w:t>
      </w:r>
      <w:r w:rsidRPr="0076192F">
        <w:rPr>
          <w:rFonts w:ascii="Cambria Math" w:hAnsi="Cambria Math"/>
          <w:sz w:val="24"/>
          <w:szCs w:val="24"/>
        </w:rPr>
        <w:t>.</w:t>
      </w:r>
    </w:p>
    <w:p w14:paraId="4E4CB8CA" w14:textId="212DBF83" w:rsidR="00145DA1" w:rsidRPr="0076192F" w:rsidRDefault="00145DA1" w:rsidP="00145DA1">
      <w:pPr>
        <w:jc w:val="both"/>
        <w:rPr>
          <w:rFonts w:ascii="Cambria Math" w:hAnsi="Cambria Math"/>
          <w:sz w:val="24"/>
          <w:szCs w:val="24"/>
        </w:rPr>
      </w:pPr>
      <w:r w:rsidRPr="0076192F">
        <w:rPr>
          <w:rFonts w:ascii="Cambria Math" w:hAnsi="Cambria Math"/>
          <w:sz w:val="24"/>
          <w:szCs w:val="24"/>
        </w:rPr>
        <w:t xml:space="preserve">Kapetanios, G. (2008). A bootstrap procedure for panel data sets with many cross-sectional units. </w:t>
      </w:r>
      <w:r w:rsidRPr="0076192F">
        <w:rPr>
          <w:rFonts w:ascii="Cambria Math" w:hAnsi="Cambria Math"/>
          <w:i/>
          <w:sz w:val="24"/>
          <w:szCs w:val="24"/>
        </w:rPr>
        <w:t>Econometrics Journal</w:t>
      </w:r>
      <w:r w:rsidRPr="0076192F">
        <w:rPr>
          <w:rFonts w:ascii="Cambria Math" w:hAnsi="Cambria Math"/>
          <w:sz w:val="24"/>
          <w:szCs w:val="24"/>
        </w:rPr>
        <w:t>, 11(2), 377–395.</w:t>
      </w:r>
    </w:p>
    <w:p w14:paraId="754808C7" w14:textId="45011CAF" w:rsidR="00C5441E" w:rsidRPr="0076192F" w:rsidRDefault="00C5441E" w:rsidP="00483DE0">
      <w:pPr>
        <w:jc w:val="both"/>
        <w:rPr>
          <w:rFonts w:ascii="Cambria Math" w:hAnsi="Cambria Math"/>
          <w:sz w:val="24"/>
          <w:szCs w:val="24"/>
        </w:rPr>
      </w:pPr>
      <w:r w:rsidRPr="0076192F">
        <w:rPr>
          <w:rFonts w:ascii="Cambria Math" w:hAnsi="Cambria Math"/>
          <w:sz w:val="24"/>
          <w:szCs w:val="24"/>
        </w:rPr>
        <w:t xml:space="preserve">Klomp, J. and de Haan, J. (2012). Banking risk and regulation: Does one size fit all? </w:t>
      </w:r>
      <w:r w:rsidRPr="0076192F">
        <w:rPr>
          <w:rFonts w:ascii="Cambria Math" w:hAnsi="Cambria Math"/>
          <w:i/>
          <w:sz w:val="24"/>
          <w:szCs w:val="24"/>
        </w:rPr>
        <w:t>Journal of Banking and Finance</w:t>
      </w:r>
      <w:r w:rsidRPr="0076192F">
        <w:rPr>
          <w:rFonts w:ascii="Cambria Math" w:hAnsi="Cambria Math"/>
          <w:sz w:val="24"/>
          <w:szCs w:val="24"/>
        </w:rPr>
        <w:t xml:space="preserve">, 36, 3197-3212. </w:t>
      </w:r>
    </w:p>
    <w:p w14:paraId="372A02CF" w14:textId="037DE93A" w:rsidR="0067671D" w:rsidRDefault="0067671D" w:rsidP="008051B7">
      <w:pPr>
        <w:jc w:val="both"/>
        <w:rPr>
          <w:rFonts w:ascii="Cambria Math" w:hAnsi="Cambria Math"/>
          <w:sz w:val="24"/>
          <w:szCs w:val="24"/>
        </w:rPr>
      </w:pPr>
      <w:r w:rsidRPr="0067671D">
        <w:rPr>
          <w:rFonts w:ascii="Cambria Math" w:hAnsi="Cambria Math"/>
          <w:sz w:val="24"/>
          <w:szCs w:val="24"/>
        </w:rPr>
        <w:t xml:space="preserve">Lugo, S., Croce, A. and Faff, R. (2015). Herding Behavior and Rating Convergence among Credit Rating Agencies: Evidence from the Subprime Crisis. </w:t>
      </w:r>
      <w:r w:rsidRPr="0067671D">
        <w:rPr>
          <w:rFonts w:ascii="Cambria Math" w:hAnsi="Cambria Math"/>
          <w:i/>
          <w:sz w:val="24"/>
          <w:szCs w:val="24"/>
        </w:rPr>
        <w:t>Review of Finance</w:t>
      </w:r>
      <w:r w:rsidRPr="0067671D">
        <w:rPr>
          <w:rFonts w:ascii="Cambria Math" w:hAnsi="Cambria Math"/>
          <w:sz w:val="24"/>
          <w:szCs w:val="24"/>
        </w:rPr>
        <w:t>, 19, 1703-1731.</w:t>
      </w:r>
    </w:p>
    <w:p w14:paraId="0C74A392" w14:textId="0973B66C" w:rsidR="008051B7" w:rsidRPr="0076192F" w:rsidRDefault="008051B7" w:rsidP="008051B7">
      <w:pPr>
        <w:jc w:val="both"/>
        <w:rPr>
          <w:rFonts w:ascii="Cambria Math" w:hAnsi="Cambria Math"/>
          <w:sz w:val="24"/>
          <w:szCs w:val="24"/>
        </w:rPr>
      </w:pPr>
      <w:r w:rsidRPr="0076192F">
        <w:rPr>
          <w:rFonts w:ascii="Cambria Math" w:hAnsi="Cambria Math"/>
          <w:sz w:val="24"/>
          <w:szCs w:val="24"/>
        </w:rPr>
        <w:lastRenderedPageBreak/>
        <w:t>Mäkinen, T.,  Sarno, L. and Zinna, G. (2018). Risky Bank Guarantees. Available at:</w:t>
      </w:r>
    </w:p>
    <w:p w14:paraId="71B3C298" w14:textId="77777777" w:rsidR="008051B7" w:rsidRPr="0076192F" w:rsidRDefault="003B7DDC" w:rsidP="008051B7">
      <w:pPr>
        <w:jc w:val="both"/>
        <w:rPr>
          <w:rFonts w:ascii="Cambria Math" w:hAnsi="Cambria Math"/>
          <w:sz w:val="24"/>
          <w:szCs w:val="24"/>
        </w:rPr>
      </w:pPr>
      <w:hyperlink r:id="rId49" w:history="1">
        <w:r w:rsidR="008051B7" w:rsidRPr="0076192F">
          <w:rPr>
            <w:rStyle w:val="Hyperlink"/>
            <w:rFonts w:ascii="Cambria Math" w:hAnsi="Cambria Math"/>
            <w:sz w:val="24"/>
            <w:szCs w:val="24"/>
          </w:rPr>
          <w:t>https://papers.ssrn.com/sol3/papers.cfm?abstract_id=2925823</w:t>
        </w:r>
      </w:hyperlink>
    </w:p>
    <w:p w14:paraId="190B37AA" w14:textId="7B8C5044" w:rsidR="00EF0B21" w:rsidRPr="0076192F" w:rsidRDefault="00EF0B21" w:rsidP="00055355">
      <w:pPr>
        <w:jc w:val="both"/>
        <w:rPr>
          <w:rFonts w:ascii="Cambria Math" w:hAnsi="Cambria Math" w:cs="Times New Roman"/>
          <w:sz w:val="24"/>
          <w:szCs w:val="24"/>
        </w:rPr>
      </w:pPr>
      <w:r w:rsidRPr="0076192F">
        <w:rPr>
          <w:rFonts w:ascii="Cambria Math" w:hAnsi="Cambria Math" w:cs="Times New Roman"/>
          <w:sz w:val="24"/>
          <w:szCs w:val="24"/>
        </w:rPr>
        <w:t xml:space="preserve">Obstfeld, M. (2018). The Current Economic Sweet Spot Is Not the “New Normal”. International Monetary Fund blog, January 22, 2018. Available at: </w:t>
      </w:r>
    </w:p>
    <w:p w14:paraId="1494A45B" w14:textId="238C3EFA" w:rsidR="00EF0B21" w:rsidRPr="0076192F" w:rsidRDefault="003B7DDC" w:rsidP="00055355">
      <w:pPr>
        <w:jc w:val="both"/>
        <w:rPr>
          <w:rFonts w:ascii="Cambria Math" w:hAnsi="Cambria Math" w:cs="Times New Roman"/>
          <w:sz w:val="24"/>
          <w:szCs w:val="24"/>
        </w:rPr>
      </w:pPr>
      <w:hyperlink r:id="rId50" w:history="1">
        <w:r w:rsidR="001062A8" w:rsidRPr="0076192F">
          <w:rPr>
            <w:rStyle w:val="Hyperlink"/>
            <w:rFonts w:ascii="Cambria Math" w:hAnsi="Cambria Math" w:cs="Times New Roman"/>
            <w:sz w:val="24"/>
            <w:szCs w:val="24"/>
          </w:rPr>
          <w:t>https://blogs.imf.org/2018/01/22/the-current-economic-sweet-spot-is-not-the-new-normal/</w:t>
        </w:r>
      </w:hyperlink>
    </w:p>
    <w:p w14:paraId="0ACE6711" w14:textId="374D2BA3" w:rsidR="00C112C9" w:rsidRPr="0076192F" w:rsidRDefault="00C112C9" w:rsidP="00C112C9">
      <w:pPr>
        <w:jc w:val="both"/>
        <w:rPr>
          <w:rFonts w:ascii="Cambria Math" w:hAnsi="Cambria Math"/>
          <w:sz w:val="24"/>
          <w:szCs w:val="24"/>
        </w:rPr>
      </w:pPr>
      <w:bookmarkStart w:id="15" w:name="_Hlk514748904"/>
      <w:r w:rsidRPr="0076192F">
        <w:rPr>
          <w:rFonts w:ascii="Cambria Math" w:hAnsi="Cambria Math"/>
          <w:sz w:val="24"/>
          <w:szCs w:val="24"/>
        </w:rPr>
        <w:t>P</w:t>
      </w:r>
      <w:r w:rsidR="009A787C" w:rsidRPr="0076192F">
        <w:rPr>
          <w:rFonts w:ascii="Cambria Math" w:hAnsi="Cambria Math"/>
          <w:sz w:val="24"/>
          <w:szCs w:val="24"/>
        </w:rPr>
        <w:t>á</w:t>
      </w:r>
      <w:r w:rsidRPr="0076192F">
        <w:rPr>
          <w:rFonts w:ascii="Cambria Math" w:hAnsi="Cambria Math"/>
          <w:sz w:val="24"/>
          <w:szCs w:val="24"/>
        </w:rPr>
        <w:t xml:space="preserve">stor, L. and Veronesi, P. (2013). Political Uncertainty and Risk Premia. </w:t>
      </w:r>
      <w:r w:rsidRPr="0076192F">
        <w:rPr>
          <w:rFonts w:ascii="Cambria Math" w:eastAsia="Times New Roman" w:hAnsi="Cambria Math" w:cs="Arial"/>
          <w:i/>
          <w:iCs/>
          <w:sz w:val="24"/>
          <w:szCs w:val="24"/>
          <w:lang w:eastAsia="en-GB"/>
        </w:rPr>
        <w:t>Journal of Financial Economics</w:t>
      </w:r>
      <w:r w:rsidRPr="0076192F">
        <w:rPr>
          <w:rFonts w:ascii="Cambria Math" w:eastAsia="Times New Roman" w:hAnsi="Cambria Math" w:cs="Arial"/>
          <w:sz w:val="24"/>
          <w:szCs w:val="24"/>
          <w:lang w:eastAsia="en-GB"/>
        </w:rPr>
        <w:t>, 110,</w:t>
      </w:r>
      <w:r w:rsidR="009A787C" w:rsidRPr="0076192F">
        <w:rPr>
          <w:rFonts w:ascii="Cambria Math" w:eastAsia="Times New Roman" w:hAnsi="Cambria Math" w:cs="Arial"/>
          <w:sz w:val="24"/>
          <w:szCs w:val="24"/>
          <w:lang w:eastAsia="en-GB"/>
        </w:rPr>
        <w:t xml:space="preserve"> </w:t>
      </w:r>
      <w:r w:rsidRPr="0076192F">
        <w:rPr>
          <w:rFonts w:ascii="Cambria Math" w:eastAsia="Times New Roman" w:hAnsi="Cambria Math" w:cs="Arial"/>
          <w:sz w:val="24"/>
          <w:szCs w:val="24"/>
          <w:lang w:eastAsia="en-GB"/>
        </w:rPr>
        <w:t>520</w:t>
      </w:r>
      <w:r w:rsidR="009A787C" w:rsidRPr="0076192F">
        <w:rPr>
          <w:rFonts w:ascii="Cambria Math" w:eastAsia="Times New Roman" w:hAnsi="Cambria Math" w:cs="Arial"/>
          <w:sz w:val="24"/>
          <w:szCs w:val="24"/>
          <w:lang w:eastAsia="en-GB"/>
        </w:rPr>
        <w:t>-</w:t>
      </w:r>
      <w:r w:rsidRPr="0076192F">
        <w:rPr>
          <w:rFonts w:ascii="Cambria Math" w:eastAsia="Times New Roman" w:hAnsi="Cambria Math" w:cs="Arial"/>
          <w:sz w:val="24"/>
          <w:szCs w:val="24"/>
          <w:lang w:eastAsia="en-GB"/>
        </w:rPr>
        <w:t>545</w:t>
      </w:r>
      <w:r w:rsidR="009A787C" w:rsidRPr="0076192F">
        <w:rPr>
          <w:rFonts w:ascii="Cambria Math" w:eastAsia="Times New Roman" w:hAnsi="Cambria Math" w:cs="Arial"/>
          <w:sz w:val="24"/>
          <w:szCs w:val="24"/>
          <w:lang w:eastAsia="en-GB"/>
        </w:rPr>
        <w:t>.</w:t>
      </w:r>
    </w:p>
    <w:bookmarkEnd w:id="15"/>
    <w:p w14:paraId="7C92B561" w14:textId="5EE12BEB" w:rsidR="00361EB1" w:rsidRPr="0076192F" w:rsidRDefault="00361EB1" w:rsidP="00361EB1">
      <w:pPr>
        <w:jc w:val="both"/>
        <w:rPr>
          <w:rFonts w:ascii="Cambria Math" w:hAnsi="Cambria Math" w:cs="Times New Roman"/>
          <w:sz w:val="24"/>
          <w:szCs w:val="24"/>
        </w:rPr>
      </w:pPr>
      <w:r w:rsidRPr="0076192F">
        <w:rPr>
          <w:rFonts w:ascii="Cambria Math" w:hAnsi="Cambria Math" w:cs="Times New Roman"/>
          <w:sz w:val="24"/>
          <w:szCs w:val="24"/>
        </w:rPr>
        <w:t xml:space="preserve">Pesaran, H.H. and Shin, Y. (1998). Generalized impulse response analysis in linear multivariate models. </w:t>
      </w:r>
      <w:r w:rsidRPr="0076192F">
        <w:rPr>
          <w:rFonts w:ascii="Cambria Math" w:hAnsi="Cambria Math" w:cs="Times New Roman"/>
          <w:i/>
          <w:sz w:val="24"/>
          <w:szCs w:val="24"/>
        </w:rPr>
        <w:t>Economics Letters</w:t>
      </w:r>
      <w:r w:rsidRPr="0076192F">
        <w:rPr>
          <w:rFonts w:ascii="Cambria Math" w:hAnsi="Cambria Math" w:cs="Times New Roman"/>
          <w:sz w:val="24"/>
          <w:szCs w:val="24"/>
        </w:rPr>
        <w:t xml:space="preserve">, 58, 17-29. </w:t>
      </w:r>
    </w:p>
    <w:p w14:paraId="35FD34F8" w14:textId="1F3DC1AA" w:rsidR="00055355" w:rsidRPr="0076192F" w:rsidRDefault="008640CF" w:rsidP="00055355">
      <w:pPr>
        <w:jc w:val="both"/>
        <w:rPr>
          <w:rFonts w:ascii="Cambria Math" w:hAnsi="Cambria Math" w:cs="Times New Roman"/>
          <w:sz w:val="24"/>
          <w:szCs w:val="24"/>
        </w:rPr>
      </w:pPr>
      <w:r w:rsidRPr="0076192F">
        <w:rPr>
          <w:rFonts w:ascii="Cambria Math" w:hAnsi="Cambria Math" w:cs="Times New Roman"/>
          <w:sz w:val="24"/>
          <w:szCs w:val="24"/>
        </w:rPr>
        <w:t>Reusens, P.</w:t>
      </w:r>
      <w:r w:rsidR="00055355" w:rsidRPr="0076192F">
        <w:rPr>
          <w:rFonts w:ascii="Cambria Math" w:hAnsi="Cambria Math" w:cs="Times New Roman"/>
          <w:sz w:val="24"/>
          <w:szCs w:val="24"/>
        </w:rPr>
        <w:t xml:space="preserve"> and Croux, C. (2017). Sovereign credit rating determinants: a comparison before and after the European debt crisis. </w:t>
      </w:r>
      <w:r w:rsidR="00055355" w:rsidRPr="0076192F">
        <w:rPr>
          <w:rFonts w:ascii="Cambria Math" w:hAnsi="Cambria Math" w:cs="Times New Roman"/>
          <w:i/>
          <w:sz w:val="24"/>
          <w:szCs w:val="24"/>
        </w:rPr>
        <w:t>Journal of Banking and Finance</w:t>
      </w:r>
      <w:r w:rsidR="00055355" w:rsidRPr="0076192F">
        <w:rPr>
          <w:rFonts w:ascii="Cambria Math" w:hAnsi="Cambria Math" w:cs="Times New Roman"/>
          <w:sz w:val="24"/>
          <w:szCs w:val="24"/>
        </w:rPr>
        <w:t>, 77, 108-121.</w:t>
      </w:r>
    </w:p>
    <w:p w14:paraId="08C31CEA" w14:textId="0FC89720" w:rsidR="0059494A" w:rsidRPr="0076192F" w:rsidRDefault="00483DE0" w:rsidP="00483DE0">
      <w:pPr>
        <w:jc w:val="both"/>
        <w:rPr>
          <w:rFonts w:ascii="Cambria Math" w:hAnsi="Cambria Math"/>
          <w:sz w:val="24"/>
          <w:szCs w:val="24"/>
        </w:rPr>
      </w:pPr>
      <w:r w:rsidRPr="0076192F">
        <w:rPr>
          <w:rFonts w:ascii="Cambria Math" w:hAnsi="Cambria Math"/>
          <w:sz w:val="24"/>
          <w:szCs w:val="24"/>
        </w:rPr>
        <w:t>S&amp;P’s Global Ratings (2017). Sovereign Rating Methodology. December 18,</w:t>
      </w:r>
      <w:r w:rsidR="00734F77" w:rsidRPr="0076192F">
        <w:rPr>
          <w:rFonts w:ascii="Cambria Math" w:hAnsi="Cambria Math"/>
          <w:sz w:val="24"/>
          <w:szCs w:val="24"/>
        </w:rPr>
        <w:t xml:space="preserve"> </w:t>
      </w:r>
      <w:r w:rsidRPr="0076192F">
        <w:rPr>
          <w:rFonts w:ascii="Cambria Math" w:hAnsi="Cambria Math"/>
          <w:sz w:val="24"/>
          <w:szCs w:val="24"/>
        </w:rPr>
        <w:t>2017</w:t>
      </w:r>
      <w:r w:rsidR="0059494A" w:rsidRPr="0076192F">
        <w:rPr>
          <w:rFonts w:ascii="Cambria Math" w:hAnsi="Cambria Math"/>
          <w:sz w:val="24"/>
          <w:szCs w:val="24"/>
        </w:rPr>
        <w:t xml:space="preserve">. Available </w:t>
      </w:r>
      <w:r w:rsidR="003C7EFB" w:rsidRPr="0076192F">
        <w:rPr>
          <w:rFonts w:ascii="Cambria Math" w:hAnsi="Cambria Math"/>
          <w:sz w:val="24"/>
          <w:szCs w:val="24"/>
        </w:rPr>
        <w:t>at</w:t>
      </w:r>
      <w:r w:rsidR="0059494A" w:rsidRPr="0076192F">
        <w:rPr>
          <w:rFonts w:ascii="Cambria Math" w:hAnsi="Cambria Math"/>
          <w:sz w:val="24"/>
          <w:szCs w:val="24"/>
        </w:rPr>
        <w:t>:</w:t>
      </w:r>
    </w:p>
    <w:p w14:paraId="67E850DB" w14:textId="403903F7" w:rsidR="00483DE0" w:rsidRPr="0076192F" w:rsidRDefault="003B7DDC" w:rsidP="00483DE0">
      <w:pPr>
        <w:jc w:val="both"/>
        <w:rPr>
          <w:rFonts w:ascii="Cambria Math" w:hAnsi="Cambria Math"/>
          <w:sz w:val="24"/>
          <w:szCs w:val="24"/>
        </w:rPr>
      </w:pPr>
      <w:hyperlink r:id="rId51" w:history="1">
        <w:r w:rsidR="0059494A" w:rsidRPr="0076192F">
          <w:rPr>
            <w:rStyle w:val="Hyperlink"/>
            <w:rFonts w:ascii="Cambria Math" w:hAnsi="Cambria Math"/>
            <w:sz w:val="24"/>
            <w:szCs w:val="24"/>
          </w:rPr>
          <w:t>https://www.spratings.com/documents/20184/4432051/Sovereign+Rating+Methodology/5f8c852c-108d-46d2-add1-4c20c3304725</w:t>
        </w:r>
      </w:hyperlink>
    </w:p>
    <w:p w14:paraId="24B898AB" w14:textId="77777777" w:rsidR="007E4B34" w:rsidRDefault="007E4B34" w:rsidP="00373F2A">
      <w:pPr>
        <w:jc w:val="both"/>
        <w:rPr>
          <w:rFonts w:ascii="Cambria Math" w:hAnsi="Cambria Math" w:cs="Times New Roman"/>
          <w:sz w:val="24"/>
          <w:szCs w:val="24"/>
        </w:rPr>
      </w:pPr>
      <w:r w:rsidRPr="007E4B34">
        <w:rPr>
          <w:rFonts w:ascii="Cambria Math" w:hAnsi="Cambria Math" w:cs="Times New Roman"/>
          <w:sz w:val="24"/>
          <w:szCs w:val="24"/>
        </w:rPr>
        <w:t xml:space="preserve">Sigmund, M., &amp; Ferstl, R. (2019). Panel Vector Autoregression in R with the Package panelvar. </w:t>
      </w:r>
      <w:r w:rsidRPr="007E4B34">
        <w:rPr>
          <w:rFonts w:ascii="Cambria Math" w:hAnsi="Cambria Math" w:cs="Times New Roman"/>
          <w:i/>
          <w:sz w:val="24"/>
          <w:szCs w:val="24"/>
        </w:rPr>
        <w:t>The Quarterly Review of Economics and Finance</w:t>
      </w:r>
      <w:r w:rsidRPr="007E4B34">
        <w:rPr>
          <w:rFonts w:ascii="Cambria Math" w:hAnsi="Cambria Math" w:cs="Times New Roman"/>
          <w:sz w:val="24"/>
          <w:szCs w:val="24"/>
        </w:rPr>
        <w:t xml:space="preserve">. </w:t>
      </w:r>
    </w:p>
    <w:p w14:paraId="0805FC5E" w14:textId="4F368EBF" w:rsidR="00483DE0" w:rsidRPr="0076192F" w:rsidRDefault="00483DE0" w:rsidP="00373F2A">
      <w:pPr>
        <w:jc w:val="both"/>
        <w:rPr>
          <w:rFonts w:ascii="Cambria Math" w:hAnsi="Cambria Math"/>
          <w:b/>
          <w:sz w:val="24"/>
          <w:szCs w:val="24"/>
        </w:rPr>
      </w:pPr>
      <w:r w:rsidRPr="0076192F">
        <w:rPr>
          <w:rFonts w:ascii="Cambria Math" w:hAnsi="Cambria Math"/>
          <w:b/>
          <w:sz w:val="24"/>
          <w:szCs w:val="24"/>
        </w:rPr>
        <w:br w:type="page"/>
      </w:r>
    </w:p>
    <w:p w14:paraId="44D96173" w14:textId="365E4E30" w:rsidR="000211D8" w:rsidRPr="0076192F" w:rsidRDefault="000211D8" w:rsidP="003B5C23">
      <w:pPr>
        <w:spacing w:line="240" w:lineRule="auto"/>
        <w:jc w:val="both"/>
        <w:rPr>
          <w:rFonts w:ascii="Cambria Math" w:hAnsi="Cambria Math"/>
          <w:b/>
          <w:sz w:val="24"/>
          <w:szCs w:val="24"/>
        </w:rPr>
      </w:pPr>
      <w:r w:rsidRPr="0076192F">
        <w:rPr>
          <w:rFonts w:ascii="Cambria Math" w:hAnsi="Cambria Math"/>
          <w:b/>
          <w:sz w:val="24"/>
          <w:szCs w:val="24"/>
        </w:rPr>
        <w:lastRenderedPageBreak/>
        <w:t>Table 1</w:t>
      </w:r>
      <w:r w:rsidR="002A2CCD" w:rsidRPr="0076192F">
        <w:rPr>
          <w:rFonts w:ascii="Cambria Math" w:hAnsi="Cambria Math"/>
          <w:b/>
          <w:sz w:val="24"/>
          <w:szCs w:val="24"/>
        </w:rPr>
        <w:t xml:space="preserve">: </w:t>
      </w:r>
      <w:r w:rsidR="00531C3E" w:rsidRPr="0076192F">
        <w:rPr>
          <w:rFonts w:ascii="Cambria Math" w:hAnsi="Cambria Math"/>
          <w:b/>
          <w:sz w:val="24"/>
          <w:szCs w:val="24"/>
        </w:rPr>
        <w:t>Linear transformation o</w:t>
      </w:r>
      <w:r w:rsidRPr="0076192F">
        <w:rPr>
          <w:rFonts w:ascii="Cambria Math" w:hAnsi="Cambria Math"/>
          <w:b/>
          <w:sz w:val="24"/>
          <w:szCs w:val="24"/>
        </w:rPr>
        <w:t>f sovereign ratings</w:t>
      </w:r>
    </w:p>
    <w:tbl>
      <w:tblPr>
        <w:tblW w:w="9101" w:type="dxa"/>
        <w:tblLook w:val="04A0" w:firstRow="1" w:lastRow="0" w:firstColumn="1" w:lastColumn="0" w:noHBand="0" w:noVBand="1"/>
      </w:tblPr>
      <w:tblGrid>
        <w:gridCol w:w="1720"/>
        <w:gridCol w:w="663"/>
        <w:gridCol w:w="704"/>
        <w:gridCol w:w="1054"/>
        <w:gridCol w:w="960"/>
        <w:gridCol w:w="734"/>
        <w:gridCol w:w="835"/>
        <w:gridCol w:w="1251"/>
        <w:gridCol w:w="1180"/>
      </w:tblGrid>
      <w:tr w:rsidR="0039612B" w:rsidRPr="0076192F" w14:paraId="77C08141" w14:textId="77777777" w:rsidTr="00B21634">
        <w:trPr>
          <w:trHeight w:val="199"/>
        </w:trPr>
        <w:tc>
          <w:tcPr>
            <w:tcW w:w="1720" w:type="dxa"/>
            <w:tcBorders>
              <w:top w:val="single" w:sz="4" w:space="0" w:color="auto"/>
              <w:left w:val="nil"/>
              <w:bottom w:val="nil"/>
              <w:right w:val="nil"/>
            </w:tcBorders>
            <w:shd w:val="clear" w:color="auto" w:fill="auto"/>
            <w:noWrap/>
            <w:vAlign w:val="bottom"/>
            <w:hideMark/>
          </w:tcPr>
          <w:p w14:paraId="6827996A"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2421" w:type="dxa"/>
            <w:gridSpan w:val="3"/>
            <w:tcBorders>
              <w:top w:val="single" w:sz="4" w:space="0" w:color="auto"/>
              <w:left w:val="nil"/>
              <w:bottom w:val="single" w:sz="4" w:space="0" w:color="auto"/>
              <w:right w:val="nil"/>
            </w:tcBorders>
            <w:shd w:val="clear" w:color="auto" w:fill="auto"/>
            <w:noWrap/>
            <w:vAlign w:val="bottom"/>
            <w:hideMark/>
          </w:tcPr>
          <w:p w14:paraId="52355A6A" w14:textId="77777777" w:rsidR="0039612B" w:rsidRPr="0076192F" w:rsidRDefault="0039612B" w:rsidP="00B21634">
            <w:pPr>
              <w:spacing w:after="0" w:line="240" w:lineRule="auto"/>
              <w:jc w:val="center"/>
              <w:rPr>
                <w:rFonts w:ascii="Cambria Math" w:eastAsia="Times New Roman" w:hAnsi="Cambria Math" w:cstheme="majorHAnsi"/>
                <w:b/>
                <w:color w:val="000000"/>
                <w:sz w:val="16"/>
                <w:szCs w:val="16"/>
                <w:lang w:eastAsia="en-GB"/>
              </w:rPr>
            </w:pPr>
            <w:r w:rsidRPr="0076192F">
              <w:rPr>
                <w:rFonts w:ascii="Cambria Math" w:eastAsia="Times New Roman" w:hAnsi="Cambria Math" w:cstheme="majorHAnsi"/>
                <w:b/>
                <w:color w:val="000000"/>
                <w:sz w:val="16"/>
                <w:szCs w:val="16"/>
                <w:lang w:eastAsia="en-GB"/>
              </w:rPr>
              <w:t>Rating Agency</w:t>
            </w:r>
          </w:p>
        </w:tc>
        <w:tc>
          <w:tcPr>
            <w:tcW w:w="960" w:type="dxa"/>
            <w:tcBorders>
              <w:top w:val="single" w:sz="4" w:space="0" w:color="auto"/>
              <w:left w:val="nil"/>
              <w:bottom w:val="single" w:sz="4" w:space="0" w:color="auto"/>
              <w:right w:val="nil"/>
            </w:tcBorders>
            <w:shd w:val="clear" w:color="auto" w:fill="auto"/>
            <w:noWrap/>
            <w:vAlign w:val="bottom"/>
            <w:hideMark/>
          </w:tcPr>
          <w:p w14:paraId="63DA7C5B" w14:textId="77777777" w:rsidR="0039612B" w:rsidRPr="0076192F" w:rsidRDefault="0039612B" w:rsidP="00B21634">
            <w:pPr>
              <w:spacing w:after="0" w:line="240" w:lineRule="auto"/>
              <w:jc w:val="center"/>
              <w:rPr>
                <w:rFonts w:ascii="Cambria Math" w:eastAsia="Times New Roman" w:hAnsi="Cambria Math" w:cstheme="majorHAnsi"/>
                <w:b/>
                <w:color w:val="000000"/>
                <w:sz w:val="16"/>
                <w:szCs w:val="16"/>
                <w:lang w:eastAsia="en-GB"/>
              </w:rPr>
            </w:pPr>
            <w:r w:rsidRPr="0076192F">
              <w:rPr>
                <w:rFonts w:ascii="Cambria Math" w:eastAsia="Times New Roman" w:hAnsi="Cambria Math" w:cstheme="majorHAnsi"/>
                <w:b/>
                <w:color w:val="000000"/>
                <w:sz w:val="16"/>
                <w:szCs w:val="16"/>
                <w:lang w:eastAsia="en-GB"/>
              </w:rPr>
              <w:t> </w:t>
            </w:r>
          </w:p>
        </w:tc>
        <w:tc>
          <w:tcPr>
            <w:tcW w:w="2820" w:type="dxa"/>
            <w:gridSpan w:val="3"/>
            <w:tcBorders>
              <w:top w:val="single" w:sz="4" w:space="0" w:color="auto"/>
              <w:left w:val="nil"/>
              <w:bottom w:val="single" w:sz="4" w:space="0" w:color="auto"/>
              <w:right w:val="nil"/>
            </w:tcBorders>
            <w:shd w:val="clear" w:color="auto" w:fill="auto"/>
            <w:noWrap/>
            <w:vAlign w:val="bottom"/>
            <w:hideMark/>
          </w:tcPr>
          <w:p w14:paraId="4FE1A5D2" w14:textId="77777777" w:rsidR="0039612B" w:rsidRPr="0076192F" w:rsidRDefault="0039612B" w:rsidP="00B21634">
            <w:pPr>
              <w:spacing w:after="0" w:line="240" w:lineRule="auto"/>
              <w:jc w:val="center"/>
              <w:rPr>
                <w:rFonts w:ascii="Cambria Math" w:eastAsia="Times New Roman" w:hAnsi="Cambria Math" w:cstheme="majorHAnsi"/>
                <w:b/>
                <w:color w:val="000000"/>
                <w:sz w:val="16"/>
                <w:szCs w:val="16"/>
                <w:lang w:eastAsia="en-GB"/>
              </w:rPr>
            </w:pPr>
            <w:r w:rsidRPr="0076192F">
              <w:rPr>
                <w:rFonts w:ascii="Cambria Math" w:eastAsia="Times New Roman" w:hAnsi="Cambria Math" w:cstheme="majorHAnsi"/>
                <w:b/>
                <w:color w:val="000000"/>
                <w:sz w:val="16"/>
                <w:szCs w:val="16"/>
                <w:lang w:eastAsia="en-GB"/>
              </w:rPr>
              <w:t>Frequency</w:t>
            </w:r>
          </w:p>
        </w:tc>
        <w:tc>
          <w:tcPr>
            <w:tcW w:w="1180" w:type="dxa"/>
            <w:tcBorders>
              <w:top w:val="single" w:sz="4" w:space="0" w:color="auto"/>
              <w:left w:val="nil"/>
              <w:bottom w:val="single" w:sz="4" w:space="0" w:color="auto"/>
              <w:right w:val="nil"/>
            </w:tcBorders>
            <w:shd w:val="clear" w:color="auto" w:fill="auto"/>
            <w:noWrap/>
            <w:hideMark/>
          </w:tcPr>
          <w:p w14:paraId="1EA33F4F" w14:textId="54F8CFAB" w:rsidR="0039612B" w:rsidRPr="0076192F" w:rsidRDefault="0039612B" w:rsidP="00B21634">
            <w:pPr>
              <w:spacing w:after="0" w:line="240" w:lineRule="auto"/>
              <w:jc w:val="center"/>
              <w:rPr>
                <w:rFonts w:ascii="Cambria Math" w:eastAsia="Times New Roman" w:hAnsi="Cambria Math" w:cstheme="majorHAnsi"/>
                <w:b/>
                <w:color w:val="000000"/>
                <w:sz w:val="16"/>
                <w:szCs w:val="16"/>
                <w:lang w:eastAsia="en-GB"/>
              </w:rPr>
            </w:pPr>
            <w:r w:rsidRPr="0076192F">
              <w:rPr>
                <w:rFonts w:ascii="Cambria Math" w:eastAsia="Times New Roman" w:hAnsi="Cambria Math" w:cstheme="majorHAnsi"/>
                <w:b/>
                <w:color w:val="000000"/>
                <w:sz w:val="16"/>
                <w:szCs w:val="16"/>
                <w:lang w:eastAsia="en-GB"/>
              </w:rPr>
              <w:t xml:space="preserve">Rating </w:t>
            </w:r>
            <w:r w:rsidR="00E02C79" w:rsidRPr="0076192F">
              <w:rPr>
                <w:rFonts w:ascii="Cambria Math" w:eastAsia="Times New Roman" w:hAnsi="Cambria Math" w:cstheme="majorHAnsi"/>
                <w:b/>
                <w:color w:val="000000"/>
                <w:sz w:val="16"/>
                <w:szCs w:val="16"/>
                <w:lang w:eastAsia="en-GB"/>
              </w:rPr>
              <w:t>Scale</w:t>
            </w:r>
          </w:p>
        </w:tc>
      </w:tr>
      <w:tr w:rsidR="0039612B" w:rsidRPr="0076192F" w14:paraId="5DB6D28E"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2F2B865D"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33CE590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Fitch</w:t>
            </w:r>
          </w:p>
        </w:tc>
        <w:tc>
          <w:tcPr>
            <w:tcW w:w="704" w:type="dxa"/>
            <w:tcBorders>
              <w:top w:val="nil"/>
              <w:left w:val="nil"/>
              <w:bottom w:val="single" w:sz="4" w:space="0" w:color="auto"/>
              <w:right w:val="nil"/>
            </w:tcBorders>
            <w:shd w:val="clear" w:color="auto" w:fill="auto"/>
            <w:noWrap/>
            <w:vAlign w:val="bottom"/>
            <w:hideMark/>
          </w:tcPr>
          <w:p w14:paraId="0E3B3B9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S&amp;P's</w:t>
            </w:r>
          </w:p>
        </w:tc>
        <w:tc>
          <w:tcPr>
            <w:tcW w:w="1054" w:type="dxa"/>
            <w:tcBorders>
              <w:top w:val="nil"/>
              <w:left w:val="nil"/>
              <w:bottom w:val="single" w:sz="4" w:space="0" w:color="auto"/>
              <w:right w:val="nil"/>
            </w:tcBorders>
            <w:shd w:val="clear" w:color="auto" w:fill="auto"/>
            <w:noWrap/>
            <w:vAlign w:val="bottom"/>
            <w:hideMark/>
          </w:tcPr>
          <w:p w14:paraId="1168D61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Moody's</w:t>
            </w:r>
          </w:p>
        </w:tc>
        <w:tc>
          <w:tcPr>
            <w:tcW w:w="960" w:type="dxa"/>
            <w:tcBorders>
              <w:top w:val="nil"/>
              <w:left w:val="nil"/>
              <w:bottom w:val="single" w:sz="4" w:space="0" w:color="auto"/>
              <w:right w:val="nil"/>
            </w:tcBorders>
            <w:shd w:val="clear" w:color="auto" w:fill="auto"/>
            <w:noWrap/>
            <w:vAlign w:val="bottom"/>
            <w:hideMark/>
          </w:tcPr>
          <w:p w14:paraId="7DEABEF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Outlook</w:t>
            </w:r>
          </w:p>
        </w:tc>
        <w:tc>
          <w:tcPr>
            <w:tcW w:w="734" w:type="dxa"/>
            <w:tcBorders>
              <w:top w:val="nil"/>
              <w:left w:val="nil"/>
              <w:bottom w:val="single" w:sz="4" w:space="0" w:color="auto"/>
              <w:right w:val="nil"/>
            </w:tcBorders>
            <w:shd w:val="clear" w:color="auto" w:fill="auto"/>
            <w:noWrap/>
            <w:vAlign w:val="bottom"/>
            <w:hideMark/>
          </w:tcPr>
          <w:p w14:paraId="31AE19C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Fitch</w:t>
            </w:r>
          </w:p>
        </w:tc>
        <w:tc>
          <w:tcPr>
            <w:tcW w:w="835" w:type="dxa"/>
            <w:tcBorders>
              <w:top w:val="nil"/>
              <w:left w:val="nil"/>
              <w:bottom w:val="single" w:sz="4" w:space="0" w:color="auto"/>
              <w:right w:val="nil"/>
            </w:tcBorders>
            <w:shd w:val="clear" w:color="auto" w:fill="auto"/>
            <w:noWrap/>
            <w:vAlign w:val="bottom"/>
            <w:hideMark/>
          </w:tcPr>
          <w:p w14:paraId="7F1F926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S&amp;P's</w:t>
            </w:r>
          </w:p>
        </w:tc>
        <w:tc>
          <w:tcPr>
            <w:tcW w:w="1251" w:type="dxa"/>
            <w:tcBorders>
              <w:top w:val="nil"/>
              <w:left w:val="nil"/>
              <w:bottom w:val="single" w:sz="4" w:space="0" w:color="auto"/>
              <w:right w:val="nil"/>
            </w:tcBorders>
            <w:shd w:val="clear" w:color="auto" w:fill="auto"/>
            <w:noWrap/>
            <w:vAlign w:val="bottom"/>
            <w:hideMark/>
          </w:tcPr>
          <w:p w14:paraId="793F57B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Moody's</w:t>
            </w:r>
          </w:p>
        </w:tc>
        <w:tc>
          <w:tcPr>
            <w:tcW w:w="1180" w:type="dxa"/>
            <w:tcBorders>
              <w:top w:val="nil"/>
              <w:left w:val="nil"/>
              <w:bottom w:val="single" w:sz="4" w:space="0" w:color="auto"/>
              <w:right w:val="nil"/>
            </w:tcBorders>
            <w:shd w:val="clear" w:color="auto" w:fill="auto"/>
            <w:noWrap/>
            <w:hideMark/>
          </w:tcPr>
          <w:p w14:paraId="0E152EF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(1-21)</w:t>
            </w:r>
          </w:p>
        </w:tc>
      </w:tr>
      <w:tr w:rsidR="0039612B" w:rsidRPr="0076192F" w14:paraId="1602C7E7" w14:textId="77777777" w:rsidTr="00B21634">
        <w:trPr>
          <w:trHeight w:val="199"/>
        </w:trPr>
        <w:tc>
          <w:tcPr>
            <w:tcW w:w="1720" w:type="dxa"/>
            <w:tcBorders>
              <w:top w:val="nil"/>
              <w:left w:val="nil"/>
              <w:bottom w:val="nil"/>
              <w:right w:val="nil"/>
            </w:tcBorders>
            <w:shd w:val="clear" w:color="auto" w:fill="auto"/>
            <w:noWrap/>
            <w:vAlign w:val="bottom"/>
            <w:hideMark/>
          </w:tcPr>
          <w:p w14:paraId="49B866DB"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Highest quality</w:t>
            </w:r>
          </w:p>
        </w:tc>
        <w:tc>
          <w:tcPr>
            <w:tcW w:w="663" w:type="dxa"/>
            <w:tcBorders>
              <w:top w:val="nil"/>
              <w:left w:val="nil"/>
              <w:bottom w:val="nil"/>
              <w:right w:val="nil"/>
            </w:tcBorders>
            <w:shd w:val="clear" w:color="auto" w:fill="auto"/>
            <w:noWrap/>
            <w:vAlign w:val="bottom"/>
            <w:hideMark/>
          </w:tcPr>
          <w:p w14:paraId="424EAE2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AAA</w:t>
            </w:r>
          </w:p>
        </w:tc>
        <w:tc>
          <w:tcPr>
            <w:tcW w:w="704" w:type="dxa"/>
            <w:tcBorders>
              <w:top w:val="nil"/>
              <w:left w:val="nil"/>
              <w:bottom w:val="nil"/>
              <w:right w:val="nil"/>
            </w:tcBorders>
            <w:shd w:val="clear" w:color="auto" w:fill="auto"/>
            <w:noWrap/>
            <w:vAlign w:val="bottom"/>
            <w:hideMark/>
          </w:tcPr>
          <w:p w14:paraId="5F7C232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AAA</w:t>
            </w:r>
          </w:p>
        </w:tc>
        <w:tc>
          <w:tcPr>
            <w:tcW w:w="1054" w:type="dxa"/>
            <w:tcBorders>
              <w:top w:val="nil"/>
              <w:left w:val="nil"/>
              <w:bottom w:val="nil"/>
              <w:right w:val="nil"/>
            </w:tcBorders>
            <w:shd w:val="clear" w:color="auto" w:fill="auto"/>
            <w:noWrap/>
            <w:vAlign w:val="bottom"/>
            <w:hideMark/>
          </w:tcPr>
          <w:p w14:paraId="385C605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Aaa</w:t>
            </w:r>
          </w:p>
        </w:tc>
        <w:tc>
          <w:tcPr>
            <w:tcW w:w="960" w:type="dxa"/>
            <w:tcBorders>
              <w:top w:val="nil"/>
              <w:left w:val="nil"/>
              <w:bottom w:val="nil"/>
              <w:right w:val="nil"/>
            </w:tcBorders>
            <w:shd w:val="clear" w:color="auto" w:fill="auto"/>
            <w:noWrap/>
            <w:vAlign w:val="bottom"/>
            <w:hideMark/>
          </w:tcPr>
          <w:p w14:paraId="4AE98C2D"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7CB3839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249</w:t>
            </w:r>
          </w:p>
        </w:tc>
        <w:tc>
          <w:tcPr>
            <w:tcW w:w="835" w:type="dxa"/>
            <w:tcBorders>
              <w:top w:val="nil"/>
              <w:left w:val="nil"/>
              <w:bottom w:val="nil"/>
              <w:right w:val="nil"/>
            </w:tcBorders>
            <w:shd w:val="clear" w:color="auto" w:fill="auto"/>
            <w:noWrap/>
            <w:vAlign w:val="bottom"/>
            <w:hideMark/>
          </w:tcPr>
          <w:p w14:paraId="0DCD4C7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249</w:t>
            </w:r>
          </w:p>
        </w:tc>
        <w:tc>
          <w:tcPr>
            <w:tcW w:w="1251" w:type="dxa"/>
            <w:tcBorders>
              <w:top w:val="nil"/>
              <w:left w:val="nil"/>
              <w:bottom w:val="nil"/>
              <w:right w:val="nil"/>
            </w:tcBorders>
            <w:shd w:val="clear" w:color="auto" w:fill="auto"/>
            <w:noWrap/>
            <w:vAlign w:val="bottom"/>
            <w:hideMark/>
          </w:tcPr>
          <w:p w14:paraId="17FB6C0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291</w:t>
            </w:r>
          </w:p>
        </w:tc>
        <w:tc>
          <w:tcPr>
            <w:tcW w:w="1180" w:type="dxa"/>
            <w:tcBorders>
              <w:top w:val="nil"/>
              <w:left w:val="nil"/>
              <w:bottom w:val="nil"/>
              <w:right w:val="nil"/>
            </w:tcBorders>
            <w:shd w:val="clear" w:color="auto" w:fill="auto"/>
            <w:noWrap/>
            <w:hideMark/>
          </w:tcPr>
          <w:p w14:paraId="236C8A4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21</w:t>
            </w:r>
          </w:p>
        </w:tc>
      </w:tr>
      <w:tr w:rsidR="0039612B" w:rsidRPr="0076192F" w14:paraId="7B194490"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03BB9C2C"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4F6300C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2420AB8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146040F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4BA91A0C"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315921C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835" w:type="dxa"/>
            <w:tcBorders>
              <w:top w:val="nil"/>
              <w:left w:val="nil"/>
              <w:bottom w:val="single" w:sz="4" w:space="0" w:color="auto"/>
              <w:right w:val="nil"/>
            </w:tcBorders>
            <w:shd w:val="clear" w:color="auto" w:fill="auto"/>
            <w:noWrap/>
            <w:vAlign w:val="bottom"/>
            <w:hideMark/>
          </w:tcPr>
          <w:p w14:paraId="43721DA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w:t>
            </w:r>
          </w:p>
        </w:tc>
        <w:tc>
          <w:tcPr>
            <w:tcW w:w="1251" w:type="dxa"/>
            <w:tcBorders>
              <w:top w:val="nil"/>
              <w:left w:val="nil"/>
              <w:bottom w:val="single" w:sz="4" w:space="0" w:color="auto"/>
              <w:right w:val="nil"/>
            </w:tcBorders>
            <w:shd w:val="clear" w:color="auto" w:fill="auto"/>
            <w:noWrap/>
            <w:vAlign w:val="bottom"/>
            <w:hideMark/>
          </w:tcPr>
          <w:p w14:paraId="0BE825E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c>
          <w:tcPr>
            <w:tcW w:w="1180" w:type="dxa"/>
            <w:tcBorders>
              <w:top w:val="nil"/>
              <w:left w:val="nil"/>
              <w:bottom w:val="single" w:sz="4" w:space="0" w:color="auto"/>
              <w:right w:val="nil"/>
            </w:tcBorders>
            <w:shd w:val="clear" w:color="auto" w:fill="auto"/>
            <w:noWrap/>
            <w:hideMark/>
          </w:tcPr>
          <w:p w14:paraId="6403A68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20.67</w:t>
            </w:r>
          </w:p>
        </w:tc>
      </w:tr>
      <w:tr w:rsidR="0039612B" w:rsidRPr="0076192F" w14:paraId="2C8D61A1" w14:textId="77777777" w:rsidTr="00B21634">
        <w:trPr>
          <w:trHeight w:val="199"/>
        </w:trPr>
        <w:tc>
          <w:tcPr>
            <w:tcW w:w="1720" w:type="dxa"/>
            <w:tcBorders>
              <w:top w:val="nil"/>
              <w:left w:val="nil"/>
              <w:bottom w:val="nil"/>
              <w:right w:val="nil"/>
            </w:tcBorders>
            <w:shd w:val="clear" w:color="auto" w:fill="auto"/>
            <w:noWrap/>
            <w:vAlign w:val="bottom"/>
            <w:hideMark/>
          </w:tcPr>
          <w:p w14:paraId="1368443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220EE926"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31131C7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4538BE67"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2CED4AD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265CD04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51AF1A2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251" w:type="dxa"/>
            <w:tcBorders>
              <w:top w:val="nil"/>
              <w:left w:val="nil"/>
              <w:bottom w:val="nil"/>
              <w:right w:val="nil"/>
            </w:tcBorders>
            <w:shd w:val="clear" w:color="auto" w:fill="auto"/>
            <w:noWrap/>
            <w:vAlign w:val="bottom"/>
            <w:hideMark/>
          </w:tcPr>
          <w:p w14:paraId="458ADBE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1180" w:type="dxa"/>
            <w:tcBorders>
              <w:top w:val="nil"/>
              <w:left w:val="nil"/>
              <w:bottom w:val="nil"/>
              <w:right w:val="nil"/>
            </w:tcBorders>
            <w:shd w:val="clear" w:color="auto" w:fill="auto"/>
            <w:noWrap/>
            <w:hideMark/>
          </w:tcPr>
          <w:p w14:paraId="7B23EEC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20.33</w:t>
            </w:r>
          </w:p>
        </w:tc>
      </w:tr>
      <w:tr w:rsidR="0039612B" w:rsidRPr="0076192F" w14:paraId="4BD1DF72" w14:textId="77777777" w:rsidTr="00B21634">
        <w:trPr>
          <w:trHeight w:val="199"/>
        </w:trPr>
        <w:tc>
          <w:tcPr>
            <w:tcW w:w="1720" w:type="dxa"/>
            <w:tcBorders>
              <w:top w:val="nil"/>
              <w:left w:val="nil"/>
              <w:bottom w:val="nil"/>
              <w:right w:val="nil"/>
            </w:tcBorders>
            <w:shd w:val="clear" w:color="auto" w:fill="auto"/>
            <w:noWrap/>
            <w:vAlign w:val="bottom"/>
            <w:hideMark/>
          </w:tcPr>
          <w:p w14:paraId="46E71CA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2B43113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w:t>
            </w:r>
          </w:p>
        </w:tc>
        <w:tc>
          <w:tcPr>
            <w:tcW w:w="704" w:type="dxa"/>
            <w:tcBorders>
              <w:top w:val="nil"/>
              <w:left w:val="nil"/>
              <w:bottom w:val="nil"/>
              <w:right w:val="nil"/>
            </w:tcBorders>
            <w:shd w:val="clear" w:color="auto" w:fill="auto"/>
            <w:noWrap/>
            <w:vAlign w:val="bottom"/>
            <w:hideMark/>
          </w:tcPr>
          <w:p w14:paraId="46F8C0C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w:t>
            </w:r>
          </w:p>
        </w:tc>
        <w:tc>
          <w:tcPr>
            <w:tcW w:w="1054" w:type="dxa"/>
            <w:tcBorders>
              <w:top w:val="nil"/>
              <w:left w:val="nil"/>
              <w:bottom w:val="nil"/>
              <w:right w:val="nil"/>
            </w:tcBorders>
            <w:shd w:val="clear" w:color="auto" w:fill="auto"/>
            <w:noWrap/>
            <w:vAlign w:val="bottom"/>
            <w:hideMark/>
          </w:tcPr>
          <w:p w14:paraId="5007680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Aa1</w:t>
            </w:r>
          </w:p>
        </w:tc>
        <w:tc>
          <w:tcPr>
            <w:tcW w:w="960" w:type="dxa"/>
            <w:tcBorders>
              <w:top w:val="nil"/>
              <w:left w:val="nil"/>
              <w:bottom w:val="nil"/>
              <w:right w:val="nil"/>
            </w:tcBorders>
            <w:shd w:val="clear" w:color="auto" w:fill="auto"/>
            <w:noWrap/>
            <w:vAlign w:val="bottom"/>
            <w:hideMark/>
          </w:tcPr>
          <w:p w14:paraId="472FC6EA"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0EEED31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56</w:t>
            </w:r>
          </w:p>
        </w:tc>
        <w:tc>
          <w:tcPr>
            <w:tcW w:w="835" w:type="dxa"/>
            <w:tcBorders>
              <w:top w:val="nil"/>
              <w:left w:val="nil"/>
              <w:bottom w:val="nil"/>
              <w:right w:val="nil"/>
            </w:tcBorders>
            <w:shd w:val="clear" w:color="auto" w:fill="auto"/>
            <w:noWrap/>
            <w:vAlign w:val="bottom"/>
            <w:hideMark/>
          </w:tcPr>
          <w:p w14:paraId="7B24787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52</w:t>
            </w:r>
          </w:p>
        </w:tc>
        <w:tc>
          <w:tcPr>
            <w:tcW w:w="1251" w:type="dxa"/>
            <w:tcBorders>
              <w:top w:val="nil"/>
              <w:left w:val="nil"/>
              <w:bottom w:val="nil"/>
              <w:right w:val="nil"/>
            </w:tcBorders>
            <w:shd w:val="clear" w:color="auto" w:fill="auto"/>
            <w:noWrap/>
            <w:vAlign w:val="bottom"/>
            <w:hideMark/>
          </w:tcPr>
          <w:p w14:paraId="412E2AA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35</w:t>
            </w:r>
          </w:p>
        </w:tc>
        <w:tc>
          <w:tcPr>
            <w:tcW w:w="1180" w:type="dxa"/>
            <w:tcBorders>
              <w:top w:val="nil"/>
              <w:left w:val="nil"/>
              <w:bottom w:val="nil"/>
              <w:right w:val="nil"/>
            </w:tcBorders>
            <w:shd w:val="clear" w:color="auto" w:fill="auto"/>
            <w:noWrap/>
            <w:hideMark/>
          </w:tcPr>
          <w:p w14:paraId="2327E03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20</w:t>
            </w:r>
          </w:p>
        </w:tc>
      </w:tr>
      <w:tr w:rsidR="0039612B" w:rsidRPr="0076192F" w14:paraId="535F9D76" w14:textId="77777777" w:rsidTr="00B21634">
        <w:trPr>
          <w:trHeight w:val="199"/>
        </w:trPr>
        <w:tc>
          <w:tcPr>
            <w:tcW w:w="1720" w:type="dxa"/>
            <w:tcBorders>
              <w:top w:val="nil"/>
              <w:left w:val="nil"/>
              <w:bottom w:val="nil"/>
              <w:right w:val="nil"/>
            </w:tcBorders>
            <w:shd w:val="clear" w:color="auto" w:fill="auto"/>
            <w:noWrap/>
            <w:vAlign w:val="bottom"/>
            <w:hideMark/>
          </w:tcPr>
          <w:p w14:paraId="4D75F21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40D5B98B"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623BEB2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2FB81E77"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45758E07"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49D6715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835" w:type="dxa"/>
            <w:tcBorders>
              <w:top w:val="nil"/>
              <w:left w:val="nil"/>
              <w:bottom w:val="nil"/>
              <w:right w:val="nil"/>
            </w:tcBorders>
            <w:shd w:val="clear" w:color="auto" w:fill="auto"/>
            <w:noWrap/>
            <w:vAlign w:val="bottom"/>
            <w:hideMark/>
          </w:tcPr>
          <w:p w14:paraId="42C8004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251" w:type="dxa"/>
            <w:tcBorders>
              <w:top w:val="nil"/>
              <w:left w:val="nil"/>
              <w:bottom w:val="nil"/>
              <w:right w:val="nil"/>
            </w:tcBorders>
            <w:shd w:val="clear" w:color="auto" w:fill="auto"/>
            <w:noWrap/>
            <w:vAlign w:val="bottom"/>
            <w:hideMark/>
          </w:tcPr>
          <w:p w14:paraId="0DBFC1E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180" w:type="dxa"/>
            <w:tcBorders>
              <w:top w:val="nil"/>
              <w:left w:val="nil"/>
              <w:bottom w:val="nil"/>
              <w:right w:val="nil"/>
            </w:tcBorders>
            <w:shd w:val="clear" w:color="auto" w:fill="auto"/>
            <w:noWrap/>
            <w:hideMark/>
          </w:tcPr>
          <w:p w14:paraId="107E2BB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19.67</w:t>
            </w:r>
          </w:p>
        </w:tc>
      </w:tr>
      <w:tr w:rsidR="0039612B" w:rsidRPr="0076192F" w14:paraId="0CE7EA28" w14:textId="77777777" w:rsidTr="00B21634">
        <w:trPr>
          <w:trHeight w:val="199"/>
        </w:trPr>
        <w:tc>
          <w:tcPr>
            <w:tcW w:w="1720" w:type="dxa"/>
            <w:tcBorders>
              <w:top w:val="nil"/>
              <w:left w:val="nil"/>
              <w:bottom w:val="nil"/>
              <w:right w:val="nil"/>
            </w:tcBorders>
            <w:shd w:val="clear" w:color="auto" w:fill="auto"/>
            <w:noWrap/>
            <w:vAlign w:val="bottom"/>
            <w:hideMark/>
          </w:tcPr>
          <w:p w14:paraId="1628A87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30D4771D"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61EA53BF"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759BB9C6"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7232D6A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2361393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835" w:type="dxa"/>
            <w:tcBorders>
              <w:top w:val="nil"/>
              <w:left w:val="nil"/>
              <w:bottom w:val="nil"/>
              <w:right w:val="nil"/>
            </w:tcBorders>
            <w:shd w:val="clear" w:color="auto" w:fill="auto"/>
            <w:noWrap/>
            <w:vAlign w:val="bottom"/>
            <w:hideMark/>
          </w:tcPr>
          <w:p w14:paraId="63DC61D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251" w:type="dxa"/>
            <w:tcBorders>
              <w:top w:val="nil"/>
              <w:left w:val="nil"/>
              <w:bottom w:val="nil"/>
              <w:right w:val="nil"/>
            </w:tcBorders>
            <w:shd w:val="clear" w:color="auto" w:fill="auto"/>
            <w:noWrap/>
            <w:vAlign w:val="bottom"/>
            <w:hideMark/>
          </w:tcPr>
          <w:p w14:paraId="18A19EA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180" w:type="dxa"/>
            <w:tcBorders>
              <w:top w:val="nil"/>
              <w:left w:val="nil"/>
              <w:bottom w:val="nil"/>
              <w:right w:val="nil"/>
            </w:tcBorders>
            <w:shd w:val="clear" w:color="auto" w:fill="auto"/>
            <w:noWrap/>
            <w:hideMark/>
          </w:tcPr>
          <w:p w14:paraId="0B4FBBE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19.33</w:t>
            </w:r>
          </w:p>
        </w:tc>
      </w:tr>
      <w:tr w:rsidR="0039612B" w:rsidRPr="0076192F" w14:paraId="4C206531" w14:textId="77777777" w:rsidTr="00B21634">
        <w:trPr>
          <w:trHeight w:val="199"/>
        </w:trPr>
        <w:tc>
          <w:tcPr>
            <w:tcW w:w="1720" w:type="dxa"/>
            <w:tcBorders>
              <w:top w:val="nil"/>
              <w:left w:val="nil"/>
              <w:bottom w:val="nil"/>
              <w:right w:val="nil"/>
            </w:tcBorders>
            <w:shd w:val="clear" w:color="auto" w:fill="auto"/>
            <w:noWrap/>
            <w:vAlign w:val="bottom"/>
            <w:hideMark/>
          </w:tcPr>
          <w:p w14:paraId="380EA938"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High quality</w:t>
            </w:r>
          </w:p>
        </w:tc>
        <w:tc>
          <w:tcPr>
            <w:tcW w:w="663" w:type="dxa"/>
            <w:tcBorders>
              <w:top w:val="nil"/>
              <w:left w:val="nil"/>
              <w:bottom w:val="nil"/>
              <w:right w:val="nil"/>
            </w:tcBorders>
            <w:shd w:val="clear" w:color="auto" w:fill="auto"/>
            <w:noWrap/>
            <w:vAlign w:val="bottom"/>
            <w:hideMark/>
          </w:tcPr>
          <w:p w14:paraId="257E950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w:t>
            </w:r>
          </w:p>
        </w:tc>
        <w:tc>
          <w:tcPr>
            <w:tcW w:w="704" w:type="dxa"/>
            <w:tcBorders>
              <w:top w:val="nil"/>
              <w:left w:val="nil"/>
              <w:bottom w:val="nil"/>
              <w:right w:val="nil"/>
            </w:tcBorders>
            <w:shd w:val="clear" w:color="auto" w:fill="auto"/>
            <w:noWrap/>
            <w:vAlign w:val="bottom"/>
            <w:hideMark/>
          </w:tcPr>
          <w:p w14:paraId="0427CC3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w:t>
            </w:r>
          </w:p>
        </w:tc>
        <w:tc>
          <w:tcPr>
            <w:tcW w:w="1054" w:type="dxa"/>
            <w:tcBorders>
              <w:top w:val="nil"/>
              <w:left w:val="nil"/>
              <w:bottom w:val="nil"/>
              <w:right w:val="nil"/>
            </w:tcBorders>
            <w:shd w:val="clear" w:color="auto" w:fill="auto"/>
            <w:noWrap/>
            <w:vAlign w:val="bottom"/>
            <w:hideMark/>
          </w:tcPr>
          <w:p w14:paraId="05D1327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Aa2</w:t>
            </w:r>
          </w:p>
        </w:tc>
        <w:tc>
          <w:tcPr>
            <w:tcW w:w="960" w:type="dxa"/>
            <w:tcBorders>
              <w:top w:val="nil"/>
              <w:left w:val="nil"/>
              <w:bottom w:val="nil"/>
              <w:right w:val="nil"/>
            </w:tcBorders>
            <w:shd w:val="clear" w:color="auto" w:fill="auto"/>
            <w:noWrap/>
            <w:vAlign w:val="bottom"/>
            <w:hideMark/>
          </w:tcPr>
          <w:p w14:paraId="4588ED32"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100705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61</w:t>
            </w:r>
          </w:p>
        </w:tc>
        <w:tc>
          <w:tcPr>
            <w:tcW w:w="835" w:type="dxa"/>
            <w:tcBorders>
              <w:top w:val="nil"/>
              <w:left w:val="nil"/>
              <w:bottom w:val="nil"/>
              <w:right w:val="nil"/>
            </w:tcBorders>
            <w:shd w:val="clear" w:color="auto" w:fill="auto"/>
            <w:noWrap/>
            <w:vAlign w:val="bottom"/>
            <w:hideMark/>
          </w:tcPr>
          <w:p w14:paraId="78E2263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40</w:t>
            </w:r>
          </w:p>
        </w:tc>
        <w:tc>
          <w:tcPr>
            <w:tcW w:w="1251" w:type="dxa"/>
            <w:tcBorders>
              <w:top w:val="nil"/>
              <w:left w:val="nil"/>
              <w:bottom w:val="nil"/>
              <w:right w:val="nil"/>
            </w:tcBorders>
            <w:shd w:val="clear" w:color="auto" w:fill="auto"/>
            <w:noWrap/>
            <w:vAlign w:val="bottom"/>
            <w:hideMark/>
          </w:tcPr>
          <w:p w14:paraId="16E04AA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50</w:t>
            </w:r>
          </w:p>
        </w:tc>
        <w:tc>
          <w:tcPr>
            <w:tcW w:w="1180" w:type="dxa"/>
            <w:tcBorders>
              <w:top w:val="nil"/>
              <w:left w:val="nil"/>
              <w:bottom w:val="nil"/>
              <w:right w:val="nil"/>
            </w:tcBorders>
            <w:shd w:val="clear" w:color="auto" w:fill="auto"/>
            <w:noWrap/>
            <w:hideMark/>
          </w:tcPr>
          <w:p w14:paraId="359C66C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19</w:t>
            </w:r>
          </w:p>
        </w:tc>
      </w:tr>
      <w:tr w:rsidR="0039612B" w:rsidRPr="0076192F" w14:paraId="1AD0BA2A" w14:textId="77777777" w:rsidTr="00B21634">
        <w:trPr>
          <w:trHeight w:val="199"/>
        </w:trPr>
        <w:tc>
          <w:tcPr>
            <w:tcW w:w="1720" w:type="dxa"/>
            <w:tcBorders>
              <w:top w:val="nil"/>
              <w:left w:val="nil"/>
              <w:bottom w:val="nil"/>
              <w:right w:val="nil"/>
            </w:tcBorders>
            <w:shd w:val="clear" w:color="auto" w:fill="auto"/>
            <w:noWrap/>
            <w:vAlign w:val="bottom"/>
            <w:hideMark/>
          </w:tcPr>
          <w:p w14:paraId="11D6F4C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7E791FF3"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07CBAD2F"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2BBF99F3"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7081C9C1"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3E25E01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w:t>
            </w:r>
          </w:p>
        </w:tc>
        <w:tc>
          <w:tcPr>
            <w:tcW w:w="835" w:type="dxa"/>
            <w:tcBorders>
              <w:top w:val="nil"/>
              <w:left w:val="nil"/>
              <w:bottom w:val="nil"/>
              <w:right w:val="nil"/>
            </w:tcBorders>
            <w:shd w:val="clear" w:color="auto" w:fill="auto"/>
            <w:noWrap/>
            <w:vAlign w:val="bottom"/>
            <w:hideMark/>
          </w:tcPr>
          <w:p w14:paraId="4E125FE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14</w:t>
            </w:r>
          </w:p>
        </w:tc>
        <w:tc>
          <w:tcPr>
            <w:tcW w:w="1251" w:type="dxa"/>
            <w:tcBorders>
              <w:top w:val="nil"/>
              <w:left w:val="nil"/>
              <w:bottom w:val="nil"/>
              <w:right w:val="nil"/>
            </w:tcBorders>
            <w:shd w:val="clear" w:color="auto" w:fill="auto"/>
            <w:noWrap/>
            <w:vAlign w:val="bottom"/>
            <w:hideMark/>
          </w:tcPr>
          <w:p w14:paraId="31F68F7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1180" w:type="dxa"/>
            <w:tcBorders>
              <w:top w:val="nil"/>
              <w:left w:val="nil"/>
              <w:bottom w:val="nil"/>
              <w:right w:val="nil"/>
            </w:tcBorders>
            <w:shd w:val="clear" w:color="auto" w:fill="auto"/>
            <w:noWrap/>
            <w:hideMark/>
          </w:tcPr>
          <w:p w14:paraId="5AEB956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18.67</w:t>
            </w:r>
          </w:p>
        </w:tc>
      </w:tr>
      <w:tr w:rsidR="0039612B" w:rsidRPr="0076192F" w14:paraId="69389654" w14:textId="77777777" w:rsidTr="00B21634">
        <w:trPr>
          <w:trHeight w:val="199"/>
        </w:trPr>
        <w:tc>
          <w:tcPr>
            <w:tcW w:w="1720" w:type="dxa"/>
            <w:tcBorders>
              <w:top w:val="nil"/>
              <w:left w:val="nil"/>
              <w:bottom w:val="nil"/>
              <w:right w:val="nil"/>
            </w:tcBorders>
            <w:shd w:val="clear" w:color="auto" w:fill="auto"/>
            <w:noWrap/>
            <w:vAlign w:val="bottom"/>
            <w:hideMark/>
          </w:tcPr>
          <w:p w14:paraId="548293E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3070088A"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55045BE4"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234617CA"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530B71A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7914FD1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835" w:type="dxa"/>
            <w:tcBorders>
              <w:top w:val="nil"/>
              <w:left w:val="nil"/>
              <w:bottom w:val="nil"/>
              <w:right w:val="nil"/>
            </w:tcBorders>
            <w:shd w:val="clear" w:color="auto" w:fill="auto"/>
            <w:noWrap/>
            <w:vAlign w:val="bottom"/>
            <w:hideMark/>
          </w:tcPr>
          <w:p w14:paraId="353F711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1251" w:type="dxa"/>
            <w:tcBorders>
              <w:top w:val="nil"/>
              <w:left w:val="nil"/>
              <w:bottom w:val="nil"/>
              <w:right w:val="nil"/>
            </w:tcBorders>
            <w:shd w:val="clear" w:color="auto" w:fill="auto"/>
            <w:noWrap/>
            <w:vAlign w:val="bottom"/>
            <w:hideMark/>
          </w:tcPr>
          <w:p w14:paraId="5DE26FA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1180" w:type="dxa"/>
            <w:tcBorders>
              <w:top w:val="nil"/>
              <w:left w:val="nil"/>
              <w:bottom w:val="nil"/>
              <w:right w:val="nil"/>
            </w:tcBorders>
            <w:shd w:val="clear" w:color="auto" w:fill="auto"/>
            <w:noWrap/>
            <w:hideMark/>
          </w:tcPr>
          <w:p w14:paraId="52E2FE0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18.33</w:t>
            </w:r>
          </w:p>
        </w:tc>
      </w:tr>
      <w:tr w:rsidR="0039612B" w:rsidRPr="0076192F" w14:paraId="47E873EB" w14:textId="77777777" w:rsidTr="00B21634">
        <w:trPr>
          <w:trHeight w:val="199"/>
        </w:trPr>
        <w:tc>
          <w:tcPr>
            <w:tcW w:w="1720" w:type="dxa"/>
            <w:tcBorders>
              <w:top w:val="nil"/>
              <w:left w:val="nil"/>
              <w:bottom w:val="nil"/>
              <w:right w:val="nil"/>
            </w:tcBorders>
            <w:shd w:val="clear" w:color="auto" w:fill="auto"/>
            <w:noWrap/>
            <w:vAlign w:val="bottom"/>
            <w:hideMark/>
          </w:tcPr>
          <w:p w14:paraId="3AEC066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0BBEA13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w:t>
            </w:r>
          </w:p>
        </w:tc>
        <w:tc>
          <w:tcPr>
            <w:tcW w:w="704" w:type="dxa"/>
            <w:tcBorders>
              <w:top w:val="nil"/>
              <w:left w:val="nil"/>
              <w:bottom w:val="nil"/>
              <w:right w:val="nil"/>
            </w:tcBorders>
            <w:shd w:val="clear" w:color="auto" w:fill="auto"/>
            <w:noWrap/>
            <w:vAlign w:val="bottom"/>
            <w:hideMark/>
          </w:tcPr>
          <w:p w14:paraId="2B3BA83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w:t>
            </w:r>
          </w:p>
        </w:tc>
        <w:tc>
          <w:tcPr>
            <w:tcW w:w="1054" w:type="dxa"/>
            <w:tcBorders>
              <w:top w:val="nil"/>
              <w:left w:val="nil"/>
              <w:bottom w:val="nil"/>
              <w:right w:val="nil"/>
            </w:tcBorders>
            <w:shd w:val="clear" w:color="auto" w:fill="auto"/>
            <w:noWrap/>
            <w:vAlign w:val="bottom"/>
            <w:hideMark/>
          </w:tcPr>
          <w:p w14:paraId="2AB18C7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Aa3</w:t>
            </w:r>
          </w:p>
        </w:tc>
        <w:tc>
          <w:tcPr>
            <w:tcW w:w="960" w:type="dxa"/>
            <w:tcBorders>
              <w:top w:val="nil"/>
              <w:left w:val="nil"/>
              <w:bottom w:val="nil"/>
              <w:right w:val="nil"/>
            </w:tcBorders>
            <w:shd w:val="clear" w:color="auto" w:fill="auto"/>
            <w:noWrap/>
            <w:vAlign w:val="bottom"/>
            <w:hideMark/>
          </w:tcPr>
          <w:p w14:paraId="7866916F"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11E6583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34</w:t>
            </w:r>
          </w:p>
        </w:tc>
        <w:tc>
          <w:tcPr>
            <w:tcW w:w="835" w:type="dxa"/>
            <w:tcBorders>
              <w:top w:val="nil"/>
              <w:left w:val="nil"/>
              <w:bottom w:val="nil"/>
              <w:right w:val="nil"/>
            </w:tcBorders>
            <w:shd w:val="clear" w:color="auto" w:fill="auto"/>
            <w:noWrap/>
            <w:vAlign w:val="bottom"/>
            <w:hideMark/>
          </w:tcPr>
          <w:p w14:paraId="4CD330C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41</w:t>
            </w:r>
          </w:p>
        </w:tc>
        <w:tc>
          <w:tcPr>
            <w:tcW w:w="1251" w:type="dxa"/>
            <w:tcBorders>
              <w:top w:val="nil"/>
              <w:left w:val="nil"/>
              <w:bottom w:val="nil"/>
              <w:right w:val="nil"/>
            </w:tcBorders>
            <w:shd w:val="clear" w:color="auto" w:fill="auto"/>
            <w:noWrap/>
            <w:vAlign w:val="bottom"/>
            <w:hideMark/>
          </w:tcPr>
          <w:p w14:paraId="5D03840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35</w:t>
            </w:r>
          </w:p>
        </w:tc>
        <w:tc>
          <w:tcPr>
            <w:tcW w:w="1180" w:type="dxa"/>
            <w:tcBorders>
              <w:top w:val="nil"/>
              <w:left w:val="nil"/>
              <w:bottom w:val="nil"/>
              <w:right w:val="nil"/>
            </w:tcBorders>
            <w:shd w:val="clear" w:color="auto" w:fill="auto"/>
            <w:noWrap/>
            <w:hideMark/>
          </w:tcPr>
          <w:p w14:paraId="6AEE02A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18</w:t>
            </w:r>
          </w:p>
        </w:tc>
      </w:tr>
      <w:tr w:rsidR="0039612B" w:rsidRPr="0076192F" w14:paraId="6FACC225"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3BB3E180"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7EDED14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450E77B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57137DD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21D0BE69"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6025994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835" w:type="dxa"/>
            <w:tcBorders>
              <w:top w:val="nil"/>
              <w:left w:val="nil"/>
              <w:bottom w:val="single" w:sz="4" w:space="0" w:color="auto"/>
              <w:right w:val="nil"/>
            </w:tcBorders>
            <w:shd w:val="clear" w:color="auto" w:fill="auto"/>
            <w:noWrap/>
            <w:vAlign w:val="bottom"/>
            <w:hideMark/>
          </w:tcPr>
          <w:p w14:paraId="1D7668E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251" w:type="dxa"/>
            <w:tcBorders>
              <w:top w:val="nil"/>
              <w:left w:val="nil"/>
              <w:bottom w:val="single" w:sz="4" w:space="0" w:color="auto"/>
              <w:right w:val="nil"/>
            </w:tcBorders>
            <w:shd w:val="clear" w:color="auto" w:fill="auto"/>
            <w:noWrap/>
            <w:vAlign w:val="bottom"/>
            <w:hideMark/>
          </w:tcPr>
          <w:p w14:paraId="62A22DA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180" w:type="dxa"/>
            <w:tcBorders>
              <w:top w:val="nil"/>
              <w:left w:val="nil"/>
              <w:bottom w:val="single" w:sz="4" w:space="0" w:color="auto"/>
              <w:right w:val="nil"/>
            </w:tcBorders>
            <w:shd w:val="clear" w:color="auto" w:fill="auto"/>
            <w:noWrap/>
            <w:hideMark/>
          </w:tcPr>
          <w:p w14:paraId="02BEE03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17.67</w:t>
            </w:r>
          </w:p>
        </w:tc>
      </w:tr>
      <w:tr w:rsidR="0039612B" w:rsidRPr="0076192F" w14:paraId="598A25CB" w14:textId="77777777" w:rsidTr="00B21634">
        <w:trPr>
          <w:trHeight w:val="199"/>
        </w:trPr>
        <w:tc>
          <w:tcPr>
            <w:tcW w:w="1720" w:type="dxa"/>
            <w:tcBorders>
              <w:top w:val="nil"/>
              <w:left w:val="nil"/>
              <w:bottom w:val="nil"/>
              <w:right w:val="nil"/>
            </w:tcBorders>
            <w:shd w:val="clear" w:color="auto" w:fill="auto"/>
            <w:noWrap/>
            <w:vAlign w:val="bottom"/>
            <w:hideMark/>
          </w:tcPr>
          <w:p w14:paraId="51A104A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293D1560"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2769C404"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1F919383"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2ED4DC1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370B12A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835" w:type="dxa"/>
            <w:tcBorders>
              <w:top w:val="nil"/>
              <w:left w:val="nil"/>
              <w:bottom w:val="nil"/>
              <w:right w:val="nil"/>
            </w:tcBorders>
            <w:shd w:val="clear" w:color="auto" w:fill="auto"/>
            <w:noWrap/>
            <w:vAlign w:val="bottom"/>
            <w:hideMark/>
          </w:tcPr>
          <w:p w14:paraId="3ED6628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251" w:type="dxa"/>
            <w:tcBorders>
              <w:top w:val="nil"/>
              <w:left w:val="nil"/>
              <w:bottom w:val="nil"/>
              <w:right w:val="nil"/>
            </w:tcBorders>
            <w:shd w:val="clear" w:color="auto" w:fill="auto"/>
            <w:noWrap/>
            <w:vAlign w:val="bottom"/>
            <w:hideMark/>
          </w:tcPr>
          <w:p w14:paraId="418EF68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c>
          <w:tcPr>
            <w:tcW w:w="1180" w:type="dxa"/>
            <w:tcBorders>
              <w:top w:val="nil"/>
              <w:left w:val="nil"/>
              <w:bottom w:val="nil"/>
              <w:right w:val="nil"/>
            </w:tcBorders>
            <w:shd w:val="clear" w:color="auto" w:fill="auto"/>
            <w:noWrap/>
            <w:hideMark/>
          </w:tcPr>
          <w:p w14:paraId="2493EA2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17.33</w:t>
            </w:r>
          </w:p>
        </w:tc>
      </w:tr>
      <w:tr w:rsidR="0039612B" w:rsidRPr="0076192F" w14:paraId="344962FB" w14:textId="77777777" w:rsidTr="00B21634">
        <w:trPr>
          <w:trHeight w:val="199"/>
        </w:trPr>
        <w:tc>
          <w:tcPr>
            <w:tcW w:w="1720" w:type="dxa"/>
            <w:tcBorders>
              <w:top w:val="nil"/>
              <w:left w:val="nil"/>
              <w:bottom w:val="nil"/>
              <w:right w:val="nil"/>
            </w:tcBorders>
            <w:shd w:val="clear" w:color="auto" w:fill="auto"/>
            <w:noWrap/>
            <w:vAlign w:val="bottom"/>
            <w:hideMark/>
          </w:tcPr>
          <w:p w14:paraId="23D8B7D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4C1247F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w:t>
            </w:r>
          </w:p>
        </w:tc>
        <w:tc>
          <w:tcPr>
            <w:tcW w:w="704" w:type="dxa"/>
            <w:tcBorders>
              <w:top w:val="nil"/>
              <w:left w:val="nil"/>
              <w:bottom w:val="nil"/>
              <w:right w:val="nil"/>
            </w:tcBorders>
            <w:shd w:val="clear" w:color="auto" w:fill="auto"/>
            <w:noWrap/>
            <w:vAlign w:val="bottom"/>
            <w:hideMark/>
          </w:tcPr>
          <w:p w14:paraId="745FAEC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w:t>
            </w:r>
          </w:p>
        </w:tc>
        <w:tc>
          <w:tcPr>
            <w:tcW w:w="1054" w:type="dxa"/>
            <w:tcBorders>
              <w:top w:val="nil"/>
              <w:left w:val="nil"/>
              <w:bottom w:val="nil"/>
              <w:right w:val="nil"/>
            </w:tcBorders>
            <w:shd w:val="clear" w:color="auto" w:fill="auto"/>
            <w:noWrap/>
            <w:vAlign w:val="bottom"/>
            <w:hideMark/>
          </w:tcPr>
          <w:p w14:paraId="15C14FF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A1</w:t>
            </w:r>
          </w:p>
        </w:tc>
        <w:tc>
          <w:tcPr>
            <w:tcW w:w="960" w:type="dxa"/>
            <w:tcBorders>
              <w:top w:val="nil"/>
              <w:left w:val="nil"/>
              <w:bottom w:val="nil"/>
              <w:right w:val="nil"/>
            </w:tcBorders>
            <w:shd w:val="clear" w:color="auto" w:fill="auto"/>
            <w:noWrap/>
            <w:vAlign w:val="bottom"/>
            <w:hideMark/>
          </w:tcPr>
          <w:p w14:paraId="34260682"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1D4772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57</w:t>
            </w:r>
          </w:p>
        </w:tc>
        <w:tc>
          <w:tcPr>
            <w:tcW w:w="835" w:type="dxa"/>
            <w:tcBorders>
              <w:top w:val="nil"/>
              <w:left w:val="nil"/>
              <w:bottom w:val="nil"/>
              <w:right w:val="nil"/>
            </w:tcBorders>
            <w:shd w:val="clear" w:color="auto" w:fill="auto"/>
            <w:noWrap/>
            <w:vAlign w:val="bottom"/>
            <w:hideMark/>
          </w:tcPr>
          <w:p w14:paraId="3EEBE96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38</w:t>
            </w:r>
          </w:p>
        </w:tc>
        <w:tc>
          <w:tcPr>
            <w:tcW w:w="1251" w:type="dxa"/>
            <w:tcBorders>
              <w:top w:val="nil"/>
              <w:left w:val="nil"/>
              <w:bottom w:val="nil"/>
              <w:right w:val="nil"/>
            </w:tcBorders>
            <w:shd w:val="clear" w:color="auto" w:fill="auto"/>
            <w:noWrap/>
            <w:vAlign w:val="bottom"/>
            <w:hideMark/>
          </w:tcPr>
          <w:p w14:paraId="7B663D9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65</w:t>
            </w:r>
          </w:p>
        </w:tc>
        <w:tc>
          <w:tcPr>
            <w:tcW w:w="1180" w:type="dxa"/>
            <w:tcBorders>
              <w:top w:val="nil"/>
              <w:left w:val="nil"/>
              <w:bottom w:val="nil"/>
              <w:right w:val="nil"/>
            </w:tcBorders>
            <w:shd w:val="clear" w:color="auto" w:fill="auto"/>
            <w:noWrap/>
            <w:hideMark/>
          </w:tcPr>
          <w:p w14:paraId="1C5642B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17</w:t>
            </w:r>
          </w:p>
        </w:tc>
      </w:tr>
      <w:tr w:rsidR="0039612B" w:rsidRPr="0076192F" w14:paraId="0D642341" w14:textId="77777777" w:rsidTr="00B21634">
        <w:trPr>
          <w:trHeight w:val="199"/>
        </w:trPr>
        <w:tc>
          <w:tcPr>
            <w:tcW w:w="1720" w:type="dxa"/>
            <w:tcBorders>
              <w:top w:val="nil"/>
              <w:left w:val="nil"/>
              <w:bottom w:val="nil"/>
              <w:right w:val="nil"/>
            </w:tcBorders>
            <w:shd w:val="clear" w:color="auto" w:fill="auto"/>
            <w:noWrap/>
            <w:vAlign w:val="bottom"/>
            <w:hideMark/>
          </w:tcPr>
          <w:p w14:paraId="7E67197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449B63D"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2AE1164E"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18218781"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5958192F"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23CAF83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835" w:type="dxa"/>
            <w:tcBorders>
              <w:top w:val="nil"/>
              <w:left w:val="nil"/>
              <w:bottom w:val="nil"/>
              <w:right w:val="nil"/>
            </w:tcBorders>
            <w:shd w:val="clear" w:color="auto" w:fill="auto"/>
            <w:noWrap/>
            <w:vAlign w:val="bottom"/>
            <w:hideMark/>
          </w:tcPr>
          <w:p w14:paraId="3CA03AA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251" w:type="dxa"/>
            <w:tcBorders>
              <w:top w:val="nil"/>
              <w:left w:val="nil"/>
              <w:bottom w:val="nil"/>
              <w:right w:val="nil"/>
            </w:tcBorders>
            <w:shd w:val="clear" w:color="auto" w:fill="auto"/>
            <w:noWrap/>
            <w:vAlign w:val="bottom"/>
            <w:hideMark/>
          </w:tcPr>
          <w:p w14:paraId="69F7041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180" w:type="dxa"/>
            <w:tcBorders>
              <w:top w:val="nil"/>
              <w:left w:val="nil"/>
              <w:bottom w:val="nil"/>
              <w:right w:val="nil"/>
            </w:tcBorders>
            <w:shd w:val="clear" w:color="auto" w:fill="auto"/>
            <w:noWrap/>
            <w:hideMark/>
          </w:tcPr>
          <w:p w14:paraId="4465B88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16.67</w:t>
            </w:r>
          </w:p>
        </w:tc>
      </w:tr>
      <w:tr w:rsidR="0039612B" w:rsidRPr="0076192F" w14:paraId="4B525E01" w14:textId="77777777" w:rsidTr="00B21634">
        <w:trPr>
          <w:trHeight w:val="199"/>
        </w:trPr>
        <w:tc>
          <w:tcPr>
            <w:tcW w:w="1720" w:type="dxa"/>
            <w:tcBorders>
              <w:top w:val="nil"/>
              <w:left w:val="nil"/>
              <w:bottom w:val="nil"/>
              <w:right w:val="nil"/>
            </w:tcBorders>
            <w:shd w:val="clear" w:color="auto" w:fill="auto"/>
            <w:noWrap/>
            <w:vAlign w:val="bottom"/>
            <w:hideMark/>
          </w:tcPr>
          <w:p w14:paraId="55A927C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5684C8B"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1D4D5A5F"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3B90BB3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3A6BED0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596FEAA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13</w:t>
            </w:r>
          </w:p>
        </w:tc>
        <w:tc>
          <w:tcPr>
            <w:tcW w:w="835" w:type="dxa"/>
            <w:tcBorders>
              <w:top w:val="nil"/>
              <w:left w:val="nil"/>
              <w:bottom w:val="nil"/>
              <w:right w:val="nil"/>
            </w:tcBorders>
            <w:shd w:val="clear" w:color="auto" w:fill="auto"/>
            <w:noWrap/>
            <w:vAlign w:val="bottom"/>
            <w:hideMark/>
          </w:tcPr>
          <w:p w14:paraId="358AA1E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251" w:type="dxa"/>
            <w:tcBorders>
              <w:top w:val="nil"/>
              <w:left w:val="nil"/>
              <w:bottom w:val="nil"/>
              <w:right w:val="nil"/>
            </w:tcBorders>
            <w:shd w:val="clear" w:color="auto" w:fill="auto"/>
            <w:noWrap/>
            <w:vAlign w:val="bottom"/>
            <w:hideMark/>
          </w:tcPr>
          <w:p w14:paraId="2270DC9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180" w:type="dxa"/>
            <w:tcBorders>
              <w:top w:val="nil"/>
              <w:left w:val="nil"/>
              <w:bottom w:val="nil"/>
              <w:right w:val="nil"/>
            </w:tcBorders>
            <w:shd w:val="clear" w:color="auto" w:fill="auto"/>
            <w:noWrap/>
            <w:hideMark/>
          </w:tcPr>
          <w:p w14:paraId="5ECBCBB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16.33</w:t>
            </w:r>
          </w:p>
        </w:tc>
      </w:tr>
      <w:tr w:rsidR="0039612B" w:rsidRPr="0076192F" w14:paraId="54316B01" w14:textId="77777777" w:rsidTr="00B21634">
        <w:trPr>
          <w:trHeight w:val="199"/>
        </w:trPr>
        <w:tc>
          <w:tcPr>
            <w:tcW w:w="1720" w:type="dxa"/>
            <w:tcBorders>
              <w:top w:val="nil"/>
              <w:left w:val="nil"/>
              <w:bottom w:val="nil"/>
              <w:right w:val="nil"/>
            </w:tcBorders>
            <w:shd w:val="clear" w:color="auto" w:fill="auto"/>
            <w:noWrap/>
            <w:vAlign w:val="bottom"/>
            <w:hideMark/>
          </w:tcPr>
          <w:p w14:paraId="31ED2D3F"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xml:space="preserve">Strong payment </w:t>
            </w:r>
          </w:p>
        </w:tc>
        <w:tc>
          <w:tcPr>
            <w:tcW w:w="663" w:type="dxa"/>
            <w:tcBorders>
              <w:top w:val="nil"/>
              <w:left w:val="nil"/>
              <w:bottom w:val="nil"/>
              <w:right w:val="nil"/>
            </w:tcBorders>
            <w:shd w:val="clear" w:color="auto" w:fill="auto"/>
            <w:noWrap/>
            <w:vAlign w:val="bottom"/>
            <w:hideMark/>
          </w:tcPr>
          <w:p w14:paraId="72ED9E6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w:t>
            </w:r>
          </w:p>
        </w:tc>
        <w:tc>
          <w:tcPr>
            <w:tcW w:w="704" w:type="dxa"/>
            <w:tcBorders>
              <w:top w:val="nil"/>
              <w:left w:val="nil"/>
              <w:bottom w:val="nil"/>
              <w:right w:val="nil"/>
            </w:tcBorders>
            <w:shd w:val="clear" w:color="auto" w:fill="auto"/>
            <w:noWrap/>
            <w:vAlign w:val="bottom"/>
            <w:hideMark/>
          </w:tcPr>
          <w:p w14:paraId="20E2D16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w:t>
            </w:r>
          </w:p>
        </w:tc>
        <w:tc>
          <w:tcPr>
            <w:tcW w:w="1054" w:type="dxa"/>
            <w:tcBorders>
              <w:top w:val="nil"/>
              <w:left w:val="nil"/>
              <w:bottom w:val="nil"/>
              <w:right w:val="nil"/>
            </w:tcBorders>
            <w:shd w:val="clear" w:color="auto" w:fill="auto"/>
            <w:noWrap/>
            <w:vAlign w:val="bottom"/>
            <w:hideMark/>
          </w:tcPr>
          <w:p w14:paraId="38890DC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A2</w:t>
            </w:r>
          </w:p>
        </w:tc>
        <w:tc>
          <w:tcPr>
            <w:tcW w:w="960" w:type="dxa"/>
            <w:tcBorders>
              <w:top w:val="nil"/>
              <w:left w:val="nil"/>
              <w:bottom w:val="nil"/>
              <w:right w:val="nil"/>
            </w:tcBorders>
            <w:shd w:val="clear" w:color="auto" w:fill="auto"/>
            <w:noWrap/>
            <w:vAlign w:val="bottom"/>
            <w:hideMark/>
          </w:tcPr>
          <w:p w14:paraId="7CE15FB4"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6D217E3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45</w:t>
            </w:r>
          </w:p>
        </w:tc>
        <w:tc>
          <w:tcPr>
            <w:tcW w:w="835" w:type="dxa"/>
            <w:tcBorders>
              <w:top w:val="nil"/>
              <w:left w:val="nil"/>
              <w:bottom w:val="nil"/>
              <w:right w:val="nil"/>
            </w:tcBorders>
            <w:shd w:val="clear" w:color="auto" w:fill="auto"/>
            <w:noWrap/>
            <w:vAlign w:val="bottom"/>
            <w:hideMark/>
          </w:tcPr>
          <w:p w14:paraId="38F4E21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66</w:t>
            </w:r>
          </w:p>
        </w:tc>
        <w:tc>
          <w:tcPr>
            <w:tcW w:w="1251" w:type="dxa"/>
            <w:tcBorders>
              <w:top w:val="nil"/>
              <w:left w:val="nil"/>
              <w:bottom w:val="nil"/>
              <w:right w:val="nil"/>
            </w:tcBorders>
            <w:shd w:val="clear" w:color="auto" w:fill="auto"/>
            <w:noWrap/>
            <w:vAlign w:val="bottom"/>
            <w:hideMark/>
          </w:tcPr>
          <w:p w14:paraId="259391C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54</w:t>
            </w:r>
          </w:p>
        </w:tc>
        <w:tc>
          <w:tcPr>
            <w:tcW w:w="1180" w:type="dxa"/>
            <w:tcBorders>
              <w:top w:val="nil"/>
              <w:left w:val="nil"/>
              <w:bottom w:val="nil"/>
              <w:right w:val="nil"/>
            </w:tcBorders>
            <w:shd w:val="clear" w:color="auto" w:fill="auto"/>
            <w:noWrap/>
            <w:hideMark/>
          </w:tcPr>
          <w:p w14:paraId="294B98C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16</w:t>
            </w:r>
          </w:p>
        </w:tc>
      </w:tr>
      <w:tr w:rsidR="0039612B" w:rsidRPr="0076192F" w14:paraId="7F75D925" w14:textId="77777777" w:rsidTr="00B21634">
        <w:trPr>
          <w:trHeight w:val="199"/>
        </w:trPr>
        <w:tc>
          <w:tcPr>
            <w:tcW w:w="1720" w:type="dxa"/>
            <w:tcBorders>
              <w:top w:val="nil"/>
              <w:left w:val="nil"/>
              <w:bottom w:val="nil"/>
              <w:right w:val="nil"/>
            </w:tcBorders>
            <w:shd w:val="clear" w:color="auto" w:fill="auto"/>
            <w:noWrap/>
            <w:vAlign w:val="bottom"/>
            <w:hideMark/>
          </w:tcPr>
          <w:p w14:paraId="06E2D53E"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capacity</w:t>
            </w:r>
          </w:p>
        </w:tc>
        <w:tc>
          <w:tcPr>
            <w:tcW w:w="663" w:type="dxa"/>
            <w:tcBorders>
              <w:top w:val="nil"/>
              <w:left w:val="nil"/>
              <w:bottom w:val="nil"/>
              <w:right w:val="nil"/>
            </w:tcBorders>
            <w:shd w:val="clear" w:color="auto" w:fill="auto"/>
            <w:noWrap/>
            <w:vAlign w:val="bottom"/>
            <w:hideMark/>
          </w:tcPr>
          <w:p w14:paraId="471B50C3"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p>
        </w:tc>
        <w:tc>
          <w:tcPr>
            <w:tcW w:w="704" w:type="dxa"/>
            <w:tcBorders>
              <w:top w:val="nil"/>
              <w:left w:val="nil"/>
              <w:bottom w:val="nil"/>
              <w:right w:val="nil"/>
            </w:tcBorders>
            <w:shd w:val="clear" w:color="auto" w:fill="auto"/>
            <w:noWrap/>
            <w:vAlign w:val="bottom"/>
            <w:hideMark/>
          </w:tcPr>
          <w:p w14:paraId="7DF62D3E"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68328CA5"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764A9025"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2588E57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835" w:type="dxa"/>
            <w:tcBorders>
              <w:top w:val="nil"/>
              <w:left w:val="nil"/>
              <w:bottom w:val="nil"/>
              <w:right w:val="nil"/>
            </w:tcBorders>
            <w:shd w:val="clear" w:color="auto" w:fill="auto"/>
            <w:noWrap/>
            <w:vAlign w:val="bottom"/>
            <w:hideMark/>
          </w:tcPr>
          <w:p w14:paraId="0FD7A9D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1251" w:type="dxa"/>
            <w:tcBorders>
              <w:top w:val="nil"/>
              <w:left w:val="nil"/>
              <w:bottom w:val="nil"/>
              <w:right w:val="nil"/>
            </w:tcBorders>
            <w:shd w:val="clear" w:color="auto" w:fill="auto"/>
            <w:noWrap/>
            <w:vAlign w:val="bottom"/>
            <w:hideMark/>
          </w:tcPr>
          <w:p w14:paraId="5F9AC1D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180" w:type="dxa"/>
            <w:tcBorders>
              <w:top w:val="nil"/>
              <w:left w:val="nil"/>
              <w:bottom w:val="nil"/>
              <w:right w:val="nil"/>
            </w:tcBorders>
            <w:shd w:val="clear" w:color="auto" w:fill="auto"/>
            <w:noWrap/>
            <w:hideMark/>
          </w:tcPr>
          <w:p w14:paraId="4F0B4C2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15.67</w:t>
            </w:r>
          </w:p>
        </w:tc>
      </w:tr>
      <w:tr w:rsidR="0039612B" w:rsidRPr="0076192F" w14:paraId="2FD1B9DC" w14:textId="77777777" w:rsidTr="00B21634">
        <w:trPr>
          <w:trHeight w:val="199"/>
        </w:trPr>
        <w:tc>
          <w:tcPr>
            <w:tcW w:w="1720" w:type="dxa"/>
            <w:tcBorders>
              <w:top w:val="nil"/>
              <w:left w:val="nil"/>
              <w:bottom w:val="nil"/>
              <w:right w:val="nil"/>
            </w:tcBorders>
            <w:shd w:val="clear" w:color="auto" w:fill="auto"/>
            <w:noWrap/>
            <w:vAlign w:val="bottom"/>
            <w:hideMark/>
          </w:tcPr>
          <w:p w14:paraId="6718643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2DCA657B"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48A3FA0C"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55BC7A72"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3AB24A5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64D9FCA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835" w:type="dxa"/>
            <w:tcBorders>
              <w:top w:val="nil"/>
              <w:left w:val="nil"/>
              <w:bottom w:val="nil"/>
              <w:right w:val="nil"/>
            </w:tcBorders>
            <w:shd w:val="clear" w:color="auto" w:fill="auto"/>
            <w:noWrap/>
            <w:vAlign w:val="bottom"/>
            <w:hideMark/>
          </w:tcPr>
          <w:p w14:paraId="19BDD2A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251" w:type="dxa"/>
            <w:tcBorders>
              <w:top w:val="nil"/>
              <w:left w:val="nil"/>
              <w:bottom w:val="nil"/>
              <w:right w:val="nil"/>
            </w:tcBorders>
            <w:shd w:val="clear" w:color="auto" w:fill="auto"/>
            <w:noWrap/>
            <w:vAlign w:val="bottom"/>
            <w:hideMark/>
          </w:tcPr>
          <w:p w14:paraId="2248326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14</w:t>
            </w:r>
          </w:p>
        </w:tc>
        <w:tc>
          <w:tcPr>
            <w:tcW w:w="1180" w:type="dxa"/>
            <w:tcBorders>
              <w:top w:val="nil"/>
              <w:left w:val="nil"/>
              <w:bottom w:val="nil"/>
              <w:right w:val="nil"/>
            </w:tcBorders>
            <w:shd w:val="clear" w:color="auto" w:fill="auto"/>
            <w:noWrap/>
            <w:hideMark/>
          </w:tcPr>
          <w:p w14:paraId="46C2876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15.33</w:t>
            </w:r>
          </w:p>
        </w:tc>
      </w:tr>
      <w:tr w:rsidR="0039612B" w:rsidRPr="0076192F" w14:paraId="05A4F464" w14:textId="77777777" w:rsidTr="00B21634">
        <w:trPr>
          <w:trHeight w:val="199"/>
        </w:trPr>
        <w:tc>
          <w:tcPr>
            <w:tcW w:w="1720" w:type="dxa"/>
            <w:tcBorders>
              <w:top w:val="nil"/>
              <w:left w:val="nil"/>
              <w:bottom w:val="nil"/>
              <w:right w:val="nil"/>
            </w:tcBorders>
            <w:shd w:val="clear" w:color="auto" w:fill="auto"/>
            <w:noWrap/>
            <w:vAlign w:val="bottom"/>
            <w:hideMark/>
          </w:tcPr>
          <w:p w14:paraId="1BD40A4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309B526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w:t>
            </w:r>
          </w:p>
        </w:tc>
        <w:tc>
          <w:tcPr>
            <w:tcW w:w="704" w:type="dxa"/>
            <w:tcBorders>
              <w:top w:val="nil"/>
              <w:left w:val="nil"/>
              <w:bottom w:val="nil"/>
              <w:right w:val="nil"/>
            </w:tcBorders>
            <w:shd w:val="clear" w:color="auto" w:fill="auto"/>
            <w:noWrap/>
            <w:vAlign w:val="bottom"/>
            <w:hideMark/>
          </w:tcPr>
          <w:p w14:paraId="51B643D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w:t>
            </w:r>
          </w:p>
        </w:tc>
        <w:tc>
          <w:tcPr>
            <w:tcW w:w="1054" w:type="dxa"/>
            <w:tcBorders>
              <w:top w:val="nil"/>
              <w:left w:val="nil"/>
              <w:bottom w:val="nil"/>
              <w:right w:val="nil"/>
            </w:tcBorders>
            <w:shd w:val="clear" w:color="auto" w:fill="auto"/>
            <w:noWrap/>
            <w:vAlign w:val="bottom"/>
            <w:hideMark/>
          </w:tcPr>
          <w:p w14:paraId="58556EF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A3</w:t>
            </w:r>
          </w:p>
        </w:tc>
        <w:tc>
          <w:tcPr>
            <w:tcW w:w="960" w:type="dxa"/>
            <w:tcBorders>
              <w:top w:val="nil"/>
              <w:left w:val="nil"/>
              <w:bottom w:val="nil"/>
              <w:right w:val="nil"/>
            </w:tcBorders>
            <w:shd w:val="clear" w:color="auto" w:fill="auto"/>
            <w:noWrap/>
            <w:vAlign w:val="bottom"/>
            <w:hideMark/>
          </w:tcPr>
          <w:p w14:paraId="608DD33D"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BEDB42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58</w:t>
            </w:r>
          </w:p>
        </w:tc>
        <w:tc>
          <w:tcPr>
            <w:tcW w:w="835" w:type="dxa"/>
            <w:tcBorders>
              <w:top w:val="nil"/>
              <w:left w:val="nil"/>
              <w:bottom w:val="nil"/>
              <w:right w:val="nil"/>
            </w:tcBorders>
            <w:shd w:val="clear" w:color="auto" w:fill="auto"/>
            <w:noWrap/>
            <w:vAlign w:val="bottom"/>
            <w:hideMark/>
          </w:tcPr>
          <w:p w14:paraId="2924688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64</w:t>
            </w:r>
          </w:p>
        </w:tc>
        <w:tc>
          <w:tcPr>
            <w:tcW w:w="1251" w:type="dxa"/>
            <w:tcBorders>
              <w:top w:val="nil"/>
              <w:left w:val="nil"/>
              <w:bottom w:val="nil"/>
              <w:right w:val="nil"/>
            </w:tcBorders>
            <w:shd w:val="clear" w:color="auto" w:fill="auto"/>
            <w:noWrap/>
            <w:vAlign w:val="bottom"/>
            <w:hideMark/>
          </w:tcPr>
          <w:p w14:paraId="74CBA7C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45</w:t>
            </w:r>
          </w:p>
        </w:tc>
        <w:tc>
          <w:tcPr>
            <w:tcW w:w="1180" w:type="dxa"/>
            <w:tcBorders>
              <w:top w:val="nil"/>
              <w:left w:val="nil"/>
              <w:bottom w:val="nil"/>
              <w:right w:val="nil"/>
            </w:tcBorders>
            <w:shd w:val="clear" w:color="auto" w:fill="auto"/>
            <w:noWrap/>
            <w:hideMark/>
          </w:tcPr>
          <w:p w14:paraId="43F0BD8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w:t>
            </w:r>
          </w:p>
        </w:tc>
      </w:tr>
      <w:tr w:rsidR="0039612B" w:rsidRPr="0076192F" w14:paraId="756A7BFB"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244040D9"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5004983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5B50C94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45468B5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3E5BC386"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6168B36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835" w:type="dxa"/>
            <w:tcBorders>
              <w:top w:val="nil"/>
              <w:left w:val="nil"/>
              <w:bottom w:val="single" w:sz="4" w:space="0" w:color="auto"/>
              <w:right w:val="nil"/>
            </w:tcBorders>
            <w:shd w:val="clear" w:color="auto" w:fill="auto"/>
            <w:noWrap/>
            <w:vAlign w:val="bottom"/>
            <w:hideMark/>
          </w:tcPr>
          <w:p w14:paraId="08B6B04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w:t>
            </w:r>
          </w:p>
        </w:tc>
        <w:tc>
          <w:tcPr>
            <w:tcW w:w="1251" w:type="dxa"/>
            <w:tcBorders>
              <w:top w:val="nil"/>
              <w:left w:val="nil"/>
              <w:bottom w:val="single" w:sz="4" w:space="0" w:color="auto"/>
              <w:right w:val="nil"/>
            </w:tcBorders>
            <w:shd w:val="clear" w:color="auto" w:fill="auto"/>
            <w:noWrap/>
            <w:vAlign w:val="bottom"/>
            <w:hideMark/>
          </w:tcPr>
          <w:p w14:paraId="6395B9C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1180" w:type="dxa"/>
            <w:tcBorders>
              <w:top w:val="nil"/>
              <w:left w:val="nil"/>
              <w:bottom w:val="single" w:sz="4" w:space="0" w:color="auto"/>
              <w:right w:val="nil"/>
            </w:tcBorders>
            <w:shd w:val="clear" w:color="auto" w:fill="auto"/>
            <w:noWrap/>
            <w:hideMark/>
          </w:tcPr>
          <w:p w14:paraId="02042E2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14.67</w:t>
            </w:r>
          </w:p>
        </w:tc>
      </w:tr>
      <w:tr w:rsidR="0039612B" w:rsidRPr="0076192F" w14:paraId="1312504B" w14:textId="77777777" w:rsidTr="00B21634">
        <w:trPr>
          <w:trHeight w:val="199"/>
        </w:trPr>
        <w:tc>
          <w:tcPr>
            <w:tcW w:w="1720" w:type="dxa"/>
            <w:tcBorders>
              <w:top w:val="nil"/>
              <w:left w:val="nil"/>
              <w:bottom w:val="nil"/>
              <w:right w:val="nil"/>
            </w:tcBorders>
            <w:shd w:val="clear" w:color="auto" w:fill="auto"/>
            <w:noWrap/>
            <w:vAlign w:val="bottom"/>
            <w:hideMark/>
          </w:tcPr>
          <w:p w14:paraId="11233DC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005D3F0"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4AA04D18"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02BA6053"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430DF20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090A878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w:t>
            </w:r>
          </w:p>
        </w:tc>
        <w:tc>
          <w:tcPr>
            <w:tcW w:w="835" w:type="dxa"/>
            <w:tcBorders>
              <w:top w:val="nil"/>
              <w:left w:val="nil"/>
              <w:bottom w:val="nil"/>
              <w:right w:val="nil"/>
            </w:tcBorders>
            <w:shd w:val="clear" w:color="auto" w:fill="auto"/>
            <w:noWrap/>
            <w:vAlign w:val="bottom"/>
            <w:hideMark/>
          </w:tcPr>
          <w:p w14:paraId="73FF25F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251" w:type="dxa"/>
            <w:tcBorders>
              <w:top w:val="nil"/>
              <w:left w:val="nil"/>
              <w:bottom w:val="nil"/>
              <w:right w:val="nil"/>
            </w:tcBorders>
            <w:shd w:val="clear" w:color="auto" w:fill="auto"/>
            <w:noWrap/>
            <w:vAlign w:val="bottom"/>
            <w:hideMark/>
          </w:tcPr>
          <w:p w14:paraId="1E60EE6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w:t>
            </w:r>
          </w:p>
        </w:tc>
        <w:tc>
          <w:tcPr>
            <w:tcW w:w="1180" w:type="dxa"/>
            <w:tcBorders>
              <w:top w:val="nil"/>
              <w:left w:val="nil"/>
              <w:bottom w:val="nil"/>
              <w:right w:val="nil"/>
            </w:tcBorders>
            <w:shd w:val="clear" w:color="auto" w:fill="auto"/>
            <w:noWrap/>
            <w:hideMark/>
          </w:tcPr>
          <w:p w14:paraId="07A654D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14.33</w:t>
            </w:r>
          </w:p>
        </w:tc>
      </w:tr>
      <w:tr w:rsidR="0039612B" w:rsidRPr="0076192F" w14:paraId="4A80B52E" w14:textId="77777777" w:rsidTr="00B21634">
        <w:trPr>
          <w:trHeight w:val="199"/>
        </w:trPr>
        <w:tc>
          <w:tcPr>
            <w:tcW w:w="1720" w:type="dxa"/>
            <w:tcBorders>
              <w:top w:val="nil"/>
              <w:left w:val="nil"/>
              <w:bottom w:val="nil"/>
              <w:right w:val="nil"/>
            </w:tcBorders>
            <w:shd w:val="clear" w:color="auto" w:fill="auto"/>
            <w:noWrap/>
            <w:vAlign w:val="bottom"/>
            <w:hideMark/>
          </w:tcPr>
          <w:p w14:paraId="409F14F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31F3A7F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BBB+</w:t>
            </w:r>
          </w:p>
        </w:tc>
        <w:tc>
          <w:tcPr>
            <w:tcW w:w="704" w:type="dxa"/>
            <w:tcBorders>
              <w:top w:val="nil"/>
              <w:left w:val="nil"/>
              <w:bottom w:val="nil"/>
              <w:right w:val="nil"/>
            </w:tcBorders>
            <w:shd w:val="clear" w:color="auto" w:fill="auto"/>
            <w:noWrap/>
            <w:vAlign w:val="bottom"/>
            <w:hideMark/>
          </w:tcPr>
          <w:p w14:paraId="6B7F619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BBB+</w:t>
            </w:r>
          </w:p>
        </w:tc>
        <w:tc>
          <w:tcPr>
            <w:tcW w:w="1054" w:type="dxa"/>
            <w:tcBorders>
              <w:top w:val="nil"/>
              <w:left w:val="nil"/>
              <w:bottom w:val="nil"/>
              <w:right w:val="nil"/>
            </w:tcBorders>
            <w:shd w:val="clear" w:color="auto" w:fill="auto"/>
            <w:noWrap/>
            <w:vAlign w:val="bottom"/>
            <w:hideMark/>
          </w:tcPr>
          <w:p w14:paraId="10D05DF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Baa1</w:t>
            </w:r>
          </w:p>
        </w:tc>
        <w:tc>
          <w:tcPr>
            <w:tcW w:w="960" w:type="dxa"/>
            <w:tcBorders>
              <w:top w:val="nil"/>
              <w:left w:val="nil"/>
              <w:bottom w:val="nil"/>
              <w:right w:val="nil"/>
            </w:tcBorders>
            <w:shd w:val="clear" w:color="auto" w:fill="auto"/>
            <w:noWrap/>
            <w:vAlign w:val="bottom"/>
            <w:hideMark/>
          </w:tcPr>
          <w:p w14:paraId="24B17A83"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47B5CCC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49</w:t>
            </w:r>
          </w:p>
        </w:tc>
        <w:tc>
          <w:tcPr>
            <w:tcW w:w="835" w:type="dxa"/>
            <w:tcBorders>
              <w:top w:val="nil"/>
              <w:left w:val="nil"/>
              <w:bottom w:val="nil"/>
              <w:right w:val="nil"/>
            </w:tcBorders>
            <w:shd w:val="clear" w:color="auto" w:fill="auto"/>
            <w:noWrap/>
            <w:vAlign w:val="bottom"/>
            <w:hideMark/>
          </w:tcPr>
          <w:p w14:paraId="247CE7C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42</w:t>
            </w:r>
          </w:p>
        </w:tc>
        <w:tc>
          <w:tcPr>
            <w:tcW w:w="1251" w:type="dxa"/>
            <w:tcBorders>
              <w:top w:val="nil"/>
              <w:left w:val="nil"/>
              <w:bottom w:val="nil"/>
              <w:right w:val="nil"/>
            </w:tcBorders>
            <w:shd w:val="clear" w:color="auto" w:fill="auto"/>
            <w:noWrap/>
            <w:vAlign w:val="bottom"/>
            <w:hideMark/>
          </w:tcPr>
          <w:p w14:paraId="66D5553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57</w:t>
            </w:r>
          </w:p>
        </w:tc>
        <w:tc>
          <w:tcPr>
            <w:tcW w:w="1180" w:type="dxa"/>
            <w:tcBorders>
              <w:top w:val="nil"/>
              <w:left w:val="nil"/>
              <w:bottom w:val="nil"/>
              <w:right w:val="nil"/>
            </w:tcBorders>
            <w:shd w:val="clear" w:color="auto" w:fill="auto"/>
            <w:noWrap/>
            <w:hideMark/>
          </w:tcPr>
          <w:p w14:paraId="21335CE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14</w:t>
            </w:r>
          </w:p>
        </w:tc>
      </w:tr>
      <w:tr w:rsidR="0039612B" w:rsidRPr="0076192F" w14:paraId="33E22BF1" w14:textId="77777777" w:rsidTr="00B21634">
        <w:trPr>
          <w:trHeight w:val="199"/>
        </w:trPr>
        <w:tc>
          <w:tcPr>
            <w:tcW w:w="1720" w:type="dxa"/>
            <w:tcBorders>
              <w:top w:val="nil"/>
              <w:left w:val="nil"/>
              <w:bottom w:val="nil"/>
              <w:right w:val="nil"/>
            </w:tcBorders>
            <w:shd w:val="clear" w:color="auto" w:fill="auto"/>
            <w:noWrap/>
            <w:vAlign w:val="bottom"/>
            <w:hideMark/>
          </w:tcPr>
          <w:p w14:paraId="46B391A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71E8B698"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07B1E52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4EAFB27F"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455FA2FB"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00FC3FC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17</w:t>
            </w:r>
          </w:p>
        </w:tc>
        <w:tc>
          <w:tcPr>
            <w:tcW w:w="835" w:type="dxa"/>
            <w:tcBorders>
              <w:top w:val="nil"/>
              <w:left w:val="nil"/>
              <w:bottom w:val="nil"/>
              <w:right w:val="nil"/>
            </w:tcBorders>
            <w:shd w:val="clear" w:color="auto" w:fill="auto"/>
            <w:noWrap/>
            <w:vAlign w:val="bottom"/>
            <w:hideMark/>
          </w:tcPr>
          <w:p w14:paraId="6828029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c>
          <w:tcPr>
            <w:tcW w:w="1251" w:type="dxa"/>
            <w:tcBorders>
              <w:top w:val="nil"/>
              <w:left w:val="nil"/>
              <w:bottom w:val="nil"/>
              <w:right w:val="nil"/>
            </w:tcBorders>
            <w:shd w:val="clear" w:color="auto" w:fill="auto"/>
            <w:noWrap/>
            <w:vAlign w:val="bottom"/>
            <w:hideMark/>
          </w:tcPr>
          <w:p w14:paraId="61F875B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1180" w:type="dxa"/>
            <w:tcBorders>
              <w:top w:val="nil"/>
              <w:left w:val="nil"/>
              <w:bottom w:val="nil"/>
              <w:right w:val="nil"/>
            </w:tcBorders>
            <w:shd w:val="clear" w:color="auto" w:fill="auto"/>
            <w:noWrap/>
            <w:hideMark/>
          </w:tcPr>
          <w:p w14:paraId="13C97D8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13.67</w:t>
            </w:r>
          </w:p>
        </w:tc>
      </w:tr>
      <w:tr w:rsidR="0039612B" w:rsidRPr="0076192F" w14:paraId="31C3DB8B" w14:textId="77777777" w:rsidTr="00B21634">
        <w:trPr>
          <w:trHeight w:val="199"/>
        </w:trPr>
        <w:tc>
          <w:tcPr>
            <w:tcW w:w="1720" w:type="dxa"/>
            <w:tcBorders>
              <w:top w:val="nil"/>
              <w:left w:val="nil"/>
              <w:bottom w:val="nil"/>
              <w:right w:val="nil"/>
            </w:tcBorders>
            <w:shd w:val="clear" w:color="auto" w:fill="auto"/>
            <w:noWrap/>
            <w:vAlign w:val="bottom"/>
            <w:hideMark/>
          </w:tcPr>
          <w:p w14:paraId="06BC8C5A"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Adequate payment</w:t>
            </w:r>
          </w:p>
        </w:tc>
        <w:tc>
          <w:tcPr>
            <w:tcW w:w="663" w:type="dxa"/>
            <w:tcBorders>
              <w:top w:val="nil"/>
              <w:left w:val="nil"/>
              <w:bottom w:val="nil"/>
              <w:right w:val="nil"/>
            </w:tcBorders>
            <w:shd w:val="clear" w:color="auto" w:fill="auto"/>
            <w:noWrap/>
            <w:vAlign w:val="bottom"/>
            <w:hideMark/>
          </w:tcPr>
          <w:p w14:paraId="0A611D55"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p>
        </w:tc>
        <w:tc>
          <w:tcPr>
            <w:tcW w:w="704" w:type="dxa"/>
            <w:tcBorders>
              <w:top w:val="nil"/>
              <w:left w:val="nil"/>
              <w:bottom w:val="nil"/>
              <w:right w:val="nil"/>
            </w:tcBorders>
            <w:shd w:val="clear" w:color="auto" w:fill="auto"/>
            <w:noWrap/>
            <w:vAlign w:val="bottom"/>
            <w:hideMark/>
          </w:tcPr>
          <w:p w14:paraId="4AAF080A"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37D45062"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671C96E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4ED59A1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835" w:type="dxa"/>
            <w:tcBorders>
              <w:top w:val="nil"/>
              <w:left w:val="nil"/>
              <w:bottom w:val="nil"/>
              <w:right w:val="nil"/>
            </w:tcBorders>
            <w:shd w:val="clear" w:color="auto" w:fill="auto"/>
            <w:noWrap/>
            <w:vAlign w:val="bottom"/>
            <w:hideMark/>
          </w:tcPr>
          <w:p w14:paraId="7386635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w:t>
            </w:r>
          </w:p>
        </w:tc>
        <w:tc>
          <w:tcPr>
            <w:tcW w:w="1251" w:type="dxa"/>
            <w:tcBorders>
              <w:top w:val="nil"/>
              <w:left w:val="nil"/>
              <w:bottom w:val="nil"/>
              <w:right w:val="nil"/>
            </w:tcBorders>
            <w:shd w:val="clear" w:color="auto" w:fill="auto"/>
            <w:noWrap/>
            <w:vAlign w:val="bottom"/>
            <w:hideMark/>
          </w:tcPr>
          <w:p w14:paraId="059CDBE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180" w:type="dxa"/>
            <w:tcBorders>
              <w:top w:val="nil"/>
              <w:left w:val="nil"/>
              <w:bottom w:val="nil"/>
              <w:right w:val="nil"/>
            </w:tcBorders>
            <w:shd w:val="clear" w:color="auto" w:fill="auto"/>
            <w:noWrap/>
            <w:hideMark/>
          </w:tcPr>
          <w:p w14:paraId="6DAD708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13.33</w:t>
            </w:r>
          </w:p>
        </w:tc>
      </w:tr>
      <w:tr w:rsidR="0039612B" w:rsidRPr="0076192F" w14:paraId="3330BCCE" w14:textId="77777777" w:rsidTr="00B21634">
        <w:trPr>
          <w:trHeight w:val="199"/>
        </w:trPr>
        <w:tc>
          <w:tcPr>
            <w:tcW w:w="1720" w:type="dxa"/>
            <w:tcBorders>
              <w:top w:val="nil"/>
              <w:left w:val="nil"/>
              <w:bottom w:val="nil"/>
              <w:right w:val="nil"/>
            </w:tcBorders>
            <w:shd w:val="clear" w:color="auto" w:fill="auto"/>
            <w:noWrap/>
            <w:vAlign w:val="bottom"/>
            <w:hideMark/>
          </w:tcPr>
          <w:p w14:paraId="41CA22F6"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capacity</w:t>
            </w:r>
          </w:p>
        </w:tc>
        <w:tc>
          <w:tcPr>
            <w:tcW w:w="663" w:type="dxa"/>
            <w:tcBorders>
              <w:top w:val="nil"/>
              <w:left w:val="nil"/>
              <w:bottom w:val="nil"/>
              <w:right w:val="nil"/>
            </w:tcBorders>
            <w:shd w:val="clear" w:color="auto" w:fill="auto"/>
            <w:noWrap/>
            <w:vAlign w:val="bottom"/>
            <w:hideMark/>
          </w:tcPr>
          <w:p w14:paraId="02AC0B7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BBB</w:t>
            </w:r>
          </w:p>
        </w:tc>
        <w:tc>
          <w:tcPr>
            <w:tcW w:w="704" w:type="dxa"/>
            <w:tcBorders>
              <w:top w:val="nil"/>
              <w:left w:val="nil"/>
              <w:bottom w:val="nil"/>
              <w:right w:val="nil"/>
            </w:tcBorders>
            <w:shd w:val="clear" w:color="auto" w:fill="auto"/>
            <w:noWrap/>
            <w:vAlign w:val="bottom"/>
            <w:hideMark/>
          </w:tcPr>
          <w:p w14:paraId="1D3F99E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BBB</w:t>
            </w:r>
          </w:p>
        </w:tc>
        <w:tc>
          <w:tcPr>
            <w:tcW w:w="1054" w:type="dxa"/>
            <w:tcBorders>
              <w:top w:val="nil"/>
              <w:left w:val="nil"/>
              <w:bottom w:val="nil"/>
              <w:right w:val="nil"/>
            </w:tcBorders>
            <w:shd w:val="clear" w:color="auto" w:fill="auto"/>
            <w:noWrap/>
            <w:vAlign w:val="bottom"/>
            <w:hideMark/>
          </w:tcPr>
          <w:p w14:paraId="2BFF56E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Baa2</w:t>
            </w:r>
          </w:p>
        </w:tc>
        <w:tc>
          <w:tcPr>
            <w:tcW w:w="960" w:type="dxa"/>
            <w:tcBorders>
              <w:top w:val="nil"/>
              <w:left w:val="nil"/>
              <w:bottom w:val="nil"/>
              <w:right w:val="nil"/>
            </w:tcBorders>
            <w:shd w:val="clear" w:color="auto" w:fill="auto"/>
            <w:noWrap/>
            <w:vAlign w:val="bottom"/>
            <w:hideMark/>
          </w:tcPr>
          <w:p w14:paraId="7DB5F106"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47EC5ED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58</w:t>
            </w:r>
          </w:p>
        </w:tc>
        <w:tc>
          <w:tcPr>
            <w:tcW w:w="835" w:type="dxa"/>
            <w:tcBorders>
              <w:top w:val="nil"/>
              <w:left w:val="nil"/>
              <w:bottom w:val="nil"/>
              <w:right w:val="nil"/>
            </w:tcBorders>
            <w:shd w:val="clear" w:color="auto" w:fill="auto"/>
            <w:noWrap/>
            <w:vAlign w:val="bottom"/>
            <w:hideMark/>
          </w:tcPr>
          <w:p w14:paraId="51FFABC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57</w:t>
            </w:r>
          </w:p>
        </w:tc>
        <w:tc>
          <w:tcPr>
            <w:tcW w:w="1251" w:type="dxa"/>
            <w:tcBorders>
              <w:top w:val="nil"/>
              <w:left w:val="nil"/>
              <w:bottom w:val="nil"/>
              <w:right w:val="nil"/>
            </w:tcBorders>
            <w:shd w:val="clear" w:color="auto" w:fill="auto"/>
            <w:noWrap/>
            <w:vAlign w:val="bottom"/>
            <w:hideMark/>
          </w:tcPr>
          <w:p w14:paraId="586E08A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43</w:t>
            </w:r>
          </w:p>
        </w:tc>
        <w:tc>
          <w:tcPr>
            <w:tcW w:w="1180" w:type="dxa"/>
            <w:tcBorders>
              <w:top w:val="nil"/>
              <w:left w:val="nil"/>
              <w:bottom w:val="nil"/>
              <w:right w:val="nil"/>
            </w:tcBorders>
            <w:shd w:val="clear" w:color="auto" w:fill="auto"/>
            <w:noWrap/>
            <w:hideMark/>
          </w:tcPr>
          <w:p w14:paraId="104E9ED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13</w:t>
            </w:r>
          </w:p>
        </w:tc>
      </w:tr>
      <w:tr w:rsidR="0039612B" w:rsidRPr="0076192F" w14:paraId="4C63B7D0" w14:textId="77777777" w:rsidTr="00B21634">
        <w:trPr>
          <w:trHeight w:val="199"/>
        </w:trPr>
        <w:tc>
          <w:tcPr>
            <w:tcW w:w="1720" w:type="dxa"/>
            <w:tcBorders>
              <w:top w:val="nil"/>
              <w:left w:val="nil"/>
              <w:bottom w:val="nil"/>
              <w:right w:val="nil"/>
            </w:tcBorders>
            <w:shd w:val="clear" w:color="auto" w:fill="auto"/>
            <w:noWrap/>
            <w:vAlign w:val="bottom"/>
            <w:hideMark/>
          </w:tcPr>
          <w:p w14:paraId="6FC7F9B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65C48566"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3F3E8DAB"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5DCDBD6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38E6E710"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0D3B2CD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835" w:type="dxa"/>
            <w:tcBorders>
              <w:top w:val="nil"/>
              <w:left w:val="nil"/>
              <w:bottom w:val="nil"/>
              <w:right w:val="nil"/>
            </w:tcBorders>
            <w:shd w:val="clear" w:color="auto" w:fill="auto"/>
            <w:noWrap/>
            <w:vAlign w:val="bottom"/>
            <w:hideMark/>
          </w:tcPr>
          <w:p w14:paraId="3233769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w:t>
            </w:r>
          </w:p>
        </w:tc>
        <w:tc>
          <w:tcPr>
            <w:tcW w:w="1251" w:type="dxa"/>
            <w:tcBorders>
              <w:top w:val="nil"/>
              <w:left w:val="nil"/>
              <w:bottom w:val="nil"/>
              <w:right w:val="nil"/>
            </w:tcBorders>
            <w:shd w:val="clear" w:color="auto" w:fill="auto"/>
            <w:noWrap/>
            <w:vAlign w:val="bottom"/>
            <w:hideMark/>
          </w:tcPr>
          <w:p w14:paraId="7B5953D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1180" w:type="dxa"/>
            <w:tcBorders>
              <w:top w:val="nil"/>
              <w:left w:val="nil"/>
              <w:bottom w:val="nil"/>
              <w:right w:val="nil"/>
            </w:tcBorders>
            <w:shd w:val="clear" w:color="auto" w:fill="auto"/>
            <w:noWrap/>
            <w:hideMark/>
          </w:tcPr>
          <w:p w14:paraId="2CF19EB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12.67</w:t>
            </w:r>
          </w:p>
        </w:tc>
      </w:tr>
      <w:tr w:rsidR="0039612B" w:rsidRPr="0076192F" w14:paraId="67F134A4" w14:textId="77777777" w:rsidTr="00B21634">
        <w:trPr>
          <w:trHeight w:val="199"/>
        </w:trPr>
        <w:tc>
          <w:tcPr>
            <w:tcW w:w="1720" w:type="dxa"/>
            <w:tcBorders>
              <w:top w:val="nil"/>
              <w:left w:val="nil"/>
              <w:bottom w:val="nil"/>
              <w:right w:val="nil"/>
            </w:tcBorders>
            <w:shd w:val="clear" w:color="auto" w:fill="auto"/>
            <w:noWrap/>
            <w:vAlign w:val="bottom"/>
            <w:hideMark/>
          </w:tcPr>
          <w:p w14:paraId="288F89C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25A510ED"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48871D14"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02735EF6"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1F0EBCE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137223A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835" w:type="dxa"/>
            <w:tcBorders>
              <w:top w:val="nil"/>
              <w:left w:val="nil"/>
              <w:bottom w:val="nil"/>
              <w:right w:val="nil"/>
            </w:tcBorders>
            <w:shd w:val="clear" w:color="auto" w:fill="auto"/>
            <w:noWrap/>
            <w:vAlign w:val="bottom"/>
            <w:hideMark/>
          </w:tcPr>
          <w:p w14:paraId="1CCF2C9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251" w:type="dxa"/>
            <w:tcBorders>
              <w:top w:val="nil"/>
              <w:left w:val="nil"/>
              <w:bottom w:val="nil"/>
              <w:right w:val="nil"/>
            </w:tcBorders>
            <w:shd w:val="clear" w:color="auto" w:fill="auto"/>
            <w:noWrap/>
            <w:vAlign w:val="bottom"/>
            <w:hideMark/>
          </w:tcPr>
          <w:p w14:paraId="52EF668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28</w:t>
            </w:r>
          </w:p>
        </w:tc>
        <w:tc>
          <w:tcPr>
            <w:tcW w:w="1180" w:type="dxa"/>
            <w:tcBorders>
              <w:top w:val="nil"/>
              <w:left w:val="nil"/>
              <w:bottom w:val="nil"/>
              <w:right w:val="nil"/>
            </w:tcBorders>
            <w:shd w:val="clear" w:color="auto" w:fill="auto"/>
            <w:noWrap/>
            <w:hideMark/>
          </w:tcPr>
          <w:p w14:paraId="453D9E5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12.33</w:t>
            </w:r>
          </w:p>
        </w:tc>
      </w:tr>
      <w:tr w:rsidR="0039612B" w:rsidRPr="0076192F" w14:paraId="5834FEDF" w14:textId="77777777" w:rsidTr="00B21634">
        <w:trPr>
          <w:trHeight w:val="199"/>
        </w:trPr>
        <w:tc>
          <w:tcPr>
            <w:tcW w:w="1720" w:type="dxa"/>
            <w:tcBorders>
              <w:top w:val="nil"/>
              <w:left w:val="nil"/>
              <w:bottom w:val="nil"/>
              <w:right w:val="nil"/>
            </w:tcBorders>
            <w:shd w:val="clear" w:color="auto" w:fill="auto"/>
            <w:noWrap/>
            <w:vAlign w:val="bottom"/>
            <w:hideMark/>
          </w:tcPr>
          <w:p w14:paraId="2B7D762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0729C82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BBB-</w:t>
            </w:r>
          </w:p>
        </w:tc>
        <w:tc>
          <w:tcPr>
            <w:tcW w:w="704" w:type="dxa"/>
            <w:tcBorders>
              <w:top w:val="nil"/>
              <w:left w:val="nil"/>
              <w:bottom w:val="nil"/>
              <w:right w:val="nil"/>
            </w:tcBorders>
            <w:shd w:val="clear" w:color="auto" w:fill="auto"/>
            <w:noWrap/>
            <w:vAlign w:val="bottom"/>
            <w:hideMark/>
          </w:tcPr>
          <w:p w14:paraId="68F1274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BBB-</w:t>
            </w:r>
          </w:p>
        </w:tc>
        <w:tc>
          <w:tcPr>
            <w:tcW w:w="1054" w:type="dxa"/>
            <w:tcBorders>
              <w:top w:val="nil"/>
              <w:left w:val="nil"/>
              <w:bottom w:val="nil"/>
              <w:right w:val="nil"/>
            </w:tcBorders>
            <w:shd w:val="clear" w:color="auto" w:fill="auto"/>
            <w:noWrap/>
            <w:vAlign w:val="bottom"/>
            <w:hideMark/>
          </w:tcPr>
          <w:p w14:paraId="067DEE0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Baa3</w:t>
            </w:r>
          </w:p>
        </w:tc>
        <w:tc>
          <w:tcPr>
            <w:tcW w:w="960" w:type="dxa"/>
            <w:tcBorders>
              <w:top w:val="nil"/>
              <w:left w:val="nil"/>
              <w:bottom w:val="nil"/>
              <w:right w:val="nil"/>
            </w:tcBorders>
            <w:shd w:val="clear" w:color="auto" w:fill="auto"/>
            <w:noWrap/>
            <w:vAlign w:val="bottom"/>
            <w:hideMark/>
          </w:tcPr>
          <w:p w14:paraId="28220EDD"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DA0F93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83</w:t>
            </w:r>
          </w:p>
        </w:tc>
        <w:tc>
          <w:tcPr>
            <w:tcW w:w="835" w:type="dxa"/>
            <w:tcBorders>
              <w:top w:val="nil"/>
              <w:left w:val="nil"/>
              <w:bottom w:val="nil"/>
              <w:right w:val="nil"/>
            </w:tcBorders>
            <w:shd w:val="clear" w:color="auto" w:fill="auto"/>
            <w:noWrap/>
            <w:vAlign w:val="bottom"/>
            <w:hideMark/>
          </w:tcPr>
          <w:p w14:paraId="6385B76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59</w:t>
            </w:r>
          </w:p>
        </w:tc>
        <w:tc>
          <w:tcPr>
            <w:tcW w:w="1251" w:type="dxa"/>
            <w:tcBorders>
              <w:top w:val="nil"/>
              <w:left w:val="nil"/>
              <w:bottom w:val="nil"/>
              <w:right w:val="nil"/>
            </w:tcBorders>
            <w:shd w:val="clear" w:color="auto" w:fill="auto"/>
            <w:noWrap/>
            <w:vAlign w:val="bottom"/>
            <w:hideMark/>
          </w:tcPr>
          <w:p w14:paraId="1BD8DC8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64</w:t>
            </w:r>
          </w:p>
        </w:tc>
        <w:tc>
          <w:tcPr>
            <w:tcW w:w="1180" w:type="dxa"/>
            <w:tcBorders>
              <w:top w:val="nil"/>
              <w:left w:val="nil"/>
              <w:bottom w:val="nil"/>
              <w:right w:val="nil"/>
            </w:tcBorders>
            <w:shd w:val="clear" w:color="auto" w:fill="auto"/>
            <w:noWrap/>
            <w:hideMark/>
          </w:tcPr>
          <w:p w14:paraId="699019A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r>
      <w:tr w:rsidR="0039612B" w:rsidRPr="0076192F" w14:paraId="26A8D8ED"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04229DBD"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3F09FE4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7D6CC07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502134F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24F961AA"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0E24754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18</w:t>
            </w:r>
          </w:p>
        </w:tc>
        <w:tc>
          <w:tcPr>
            <w:tcW w:w="835" w:type="dxa"/>
            <w:tcBorders>
              <w:top w:val="nil"/>
              <w:left w:val="nil"/>
              <w:bottom w:val="single" w:sz="4" w:space="0" w:color="auto"/>
              <w:right w:val="nil"/>
            </w:tcBorders>
            <w:shd w:val="clear" w:color="auto" w:fill="auto"/>
            <w:noWrap/>
            <w:vAlign w:val="bottom"/>
            <w:hideMark/>
          </w:tcPr>
          <w:p w14:paraId="27B2DE7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23</w:t>
            </w:r>
          </w:p>
        </w:tc>
        <w:tc>
          <w:tcPr>
            <w:tcW w:w="1251" w:type="dxa"/>
            <w:tcBorders>
              <w:top w:val="nil"/>
              <w:left w:val="nil"/>
              <w:bottom w:val="single" w:sz="4" w:space="0" w:color="auto"/>
              <w:right w:val="nil"/>
            </w:tcBorders>
            <w:shd w:val="clear" w:color="auto" w:fill="auto"/>
            <w:noWrap/>
            <w:vAlign w:val="bottom"/>
            <w:hideMark/>
          </w:tcPr>
          <w:p w14:paraId="140D0FE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21</w:t>
            </w:r>
          </w:p>
        </w:tc>
        <w:tc>
          <w:tcPr>
            <w:tcW w:w="1180" w:type="dxa"/>
            <w:tcBorders>
              <w:top w:val="nil"/>
              <w:left w:val="nil"/>
              <w:bottom w:val="single" w:sz="4" w:space="0" w:color="auto"/>
              <w:right w:val="nil"/>
            </w:tcBorders>
            <w:shd w:val="clear" w:color="auto" w:fill="auto"/>
            <w:noWrap/>
            <w:hideMark/>
          </w:tcPr>
          <w:p w14:paraId="54283C9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11.67</w:t>
            </w:r>
          </w:p>
        </w:tc>
      </w:tr>
      <w:tr w:rsidR="0039612B" w:rsidRPr="0076192F" w14:paraId="4903E5D9" w14:textId="77777777" w:rsidTr="00B21634">
        <w:trPr>
          <w:trHeight w:val="199"/>
        </w:trPr>
        <w:tc>
          <w:tcPr>
            <w:tcW w:w="1720" w:type="dxa"/>
            <w:tcBorders>
              <w:top w:val="nil"/>
              <w:left w:val="nil"/>
              <w:bottom w:val="nil"/>
              <w:right w:val="nil"/>
            </w:tcBorders>
            <w:shd w:val="clear" w:color="auto" w:fill="auto"/>
            <w:noWrap/>
            <w:vAlign w:val="bottom"/>
            <w:hideMark/>
          </w:tcPr>
          <w:p w14:paraId="3696C9C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1C87ECF"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13B5B407"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3CC82871"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65C43DD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3485ED5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c>
          <w:tcPr>
            <w:tcW w:w="835" w:type="dxa"/>
            <w:tcBorders>
              <w:top w:val="nil"/>
              <w:left w:val="nil"/>
              <w:bottom w:val="nil"/>
              <w:right w:val="nil"/>
            </w:tcBorders>
            <w:shd w:val="clear" w:color="auto" w:fill="auto"/>
            <w:noWrap/>
            <w:vAlign w:val="bottom"/>
            <w:hideMark/>
          </w:tcPr>
          <w:p w14:paraId="10EF53A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14</w:t>
            </w:r>
          </w:p>
        </w:tc>
        <w:tc>
          <w:tcPr>
            <w:tcW w:w="1251" w:type="dxa"/>
            <w:tcBorders>
              <w:top w:val="nil"/>
              <w:left w:val="nil"/>
              <w:bottom w:val="nil"/>
              <w:right w:val="nil"/>
            </w:tcBorders>
            <w:shd w:val="clear" w:color="auto" w:fill="auto"/>
            <w:noWrap/>
            <w:vAlign w:val="bottom"/>
            <w:hideMark/>
          </w:tcPr>
          <w:p w14:paraId="48695C8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15</w:t>
            </w:r>
          </w:p>
        </w:tc>
        <w:tc>
          <w:tcPr>
            <w:tcW w:w="1180" w:type="dxa"/>
            <w:tcBorders>
              <w:top w:val="nil"/>
              <w:left w:val="nil"/>
              <w:bottom w:val="nil"/>
              <w:right w:val="nil"/>
            </w:tcBorders>
            <w:shd w:val="clear" w:color="auto" w:fill="auto"/>
            <w:noWrap/>
            <w:hideMark/>
          </w:tcPr>
          <w:p w14:paraId="0D10651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11.33</w:t>
            </w:r>
          </w:p>
        </w:tc>
      </w:tr>
      <w:tr w:rsidR="0039612B" w:rsidRPr="0076192F" w14:paraId="1CF4904F" w14:textId="77777777" w:rsidTr="00B21634">
        <w:trPr>
          <w:trHeight w:val="199"/>
        </w:trPr>
        <w:tc>
          <w:tcPr>
            <w:tcW w:w="1720" w:type="dxa"/>
            <w:tcBorders>
              <w:top w:val="nil"/>
              <w:left w:val="nil"/>
              <w:bottom w:val="nil"/>
              <w:right w:val="nil"/>
            </w:tcBorders>
            <w:shd w:val="clear" w:color="auto" w:fill="auto"/>
            <w:noWrap/>
            <w:vAlign w:val="bottom"/>
            <w:hideMark/>
          </w:tcPr>
          <w:p w14:paraId="3595874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447399A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w:t>
            </w:r>
          </w:p>
        </w:tc>
        <w:tc>
          <w:tcPr>
            <w:tcW w:w="704" w:type="dxa"/>
            <w:tcBorders>
              <w:top w:val="nil"/>
              <w:left w:val="nil"/>
              <w:bottom w:val="nil"/>
              <w:right w:val="nil"/>
            </w:tcBorders>
            <w:shd w:val="clear" w:color="auto" w:fill="auto"/>
            <w:noWrap/>
            <w:vAlign w:val="bottom"/>
            <w:hideMark/>
          </w:tcPr>
          <w:p w14:paraId="21DA032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w:t>
            </w:r>
          </w:p>
        </w:tc>
        <w:tc>
          <w:tcPr>
            <w:tcW w:w="1054" w:type="dxa"/>
            <w:tcBorders>
              <w:top w:val="nil"/>
              <w:left w:val="nil"/>
              <w:bottom w:val="nil"/>
              <w:right w:val="nil"/>
            </w:tcBorders>
            <w:shd w:val="clear" w:color="auto" w:fill="auto"/>
            <w:noWrap/>
            <w:vAlign w:val="bottom"/>
            <w:hideMark/>
          </w:tcPr>
          <w:p w14:paraId="43B8534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Ba1</w:t>
            </w:r>
          </w:p>
        </w:tc>
        <w:tc>
          <w:tcPr>
            <w:tcW w:w="960" w:type="dxa"/>
            <w:tcBorders>
              <w:top w:val="nil"/>
              <w:left w:val="nil"/>
              <w:bottom w:val="nil"/>
              <w:right w:val="nil"/>
            </w:tcBorders>
            <w:shd w:val="clear" w:color="auto" w:fill="auto"/>
            <w:noWrap/>
            <w:vAlign w:val="bottom"/>
            <w:hideMark/>
          </w:tcPr>
          <w:p w14:paraId="115E94CC"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747F01B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46</w:t>
            </w:r>
          </w:p>
        </w:tc>
        <w:tc>
          <w:tcPr>
            <w:tcW w:w="835" w:type="dxa"/>
            <w:tcBorders>
              <w:top w:val="nil"/>
              <w:left w:val="nil"/>
              <w:bottom w:val="nil"/>
              <w:right w:val="nil"/>
            </w:tcBorders>
            <w:shd w:val="clear" w:color="auto" w:fill="auto"/>
            <w:noWrap/>
            <w:vAlign w:val="bottom"/>
            <w:hideMark/>
          </w:tcPr>
          <w:p w14:paraId="4771BEB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35</w:t>
            </w:r>
          </w:p>
        </w:tc>
        <w:tc>
          <w:tcPr>
            <w:tcW w:w="1251" w:type="dxa"/>
            <w:tcBorders>
              <w:top w:val="nil"/>
              <w:left w:val="nil"/>
              <w:bottom w:val="nil"/>
              <w:right w:val="nil"/>
            </w:tcBorders>
            <w:shd w:val="clear" w:color="auto" w:fill="auto"/>
            <w:noWrap/>
            <w:vAlign w:val="bottom"/>
            <w:hideMark/>
          </w:tcPr>
          <w:p w14:paraId="71AF633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52</w:t>
            </w:r>
          </w:p>
        </w:tc>
        <w:tc>
          <w:tcPr>
            <w:tcW w:w="1180" w:type="dxa"/>
            <w:tcBorders>
              <w:top w:val="nil"/>
              <w:left w:val="nil"/>
              <w:bottom w:val="nil"/>
              <w:right w:val="nil"/>
            </w:tcBorders>
            <w:shd w:val="clear" w:color="auto" w:fill="auto"/>
            <w:noWrap/>
            <w:hideMark/>
          </w:tcPr>
          <w:p w14:paraId="707D961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r>
      <w:tr w:rsidR="0039612B" w:rsidRPr="0076192F" w14:paraId="77D383CB" w14:textId="77777777" w:rsidTr="00B21634">
        <w:trPr>
          <w:trHeight w:val="199"/>
        </w:trPr>
        <w:tc>
          <w:tcPr>
            <w:tcW w:w="1720" w:type="dxa"/>
            <w:tcBorders>
              <w:top w:val="nil"/>
              <w:left w:val="nil"/>
              <w:bottom w:val="nil"/>
              <w:right w:val="nil"/>
            </w:tcBorders>
            <w:shd w:val="clear" w:color="auto" w:fill="auto"/>
            <w:noWrap/>
            <w:vAlign w:val="bottom"/>
            <w:hideMark/>
          </w:tcPr>
          <w:p w14:paraId="6D50DBF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213BEEA"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5A9000BB"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6178EB16"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76DF8D12"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7933E2D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16</w:t>
            </w:r>
          </w:p>
        </w:tc>
        <w:tc>
          <w:tcPr>
            <w:tcW w:w="835" w:type="dxa"/>
            <w:tcBorders>
              <w:top w:val="nil"/>
              <w:left w:val="nil"/>
              <w:bottom w:val="nil"/>
              <w:right w:val="nil"/>
            </w:tcBorders>
            <w:shd w:val="clear" w:color="auto" w:fill="auto"/>
            <w:noWrap/>
            <w:vAlign w:val="bottom"/>
            <w:hideMark/>
          </w:tcPr>
          <w:p w14:paraId="5691991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16</w:t>
            </w:r>
          </w:p>
        </w:tc>
        <w:tc>
          <w:tcPr>
            <w:tcW w:w="1251" w:type="dxa"/>
            <w:tcBorders>
              <w:top w:val="nil"/>
              <w:left w:val="nil"/>
              <w:bottom w:val="nil"/>
              <w:right w:val="nil"/>
            </w:tcBorders>
            <w:shd w:val="clear" w:color="auto" w:fill="auto"/>
            <w:noWrap/>
            <w:vAlign w:val="bottom"/>
            <w:hideMark/>
          </w:tcPr>
          <w:p w14:paraId="2AAAB22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20</w:t>
            </w:r>
          </w:p>
        </w:tc>
        <w:tc>
          <w:tcPr>
            <w:tcW w:w="1180" w:type="dxa"/>
            <w:tcBorders>
              <w:top w:val="nil"/>
              <w:left w:val="nil"/>
              <w:bottom w:val="nil"/>
              <w:right w:val="nil"/>
            </w:tcBorders>
            <w:shd w:val="clear" w:color="auto" w:fill="auto"/>
            <w:noWrap/>
            <w:hideMark/>
          </w:tcPr>
          <w:p w14:paraId="7180DE0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10.67</w:t>
            </w:r>
          </w:p>
        </w:tc>
      </w:tr>
      <w:tr w:rsidR="0039612B" w:rsidRPr="0076192F" w14:paraId="6A5CE47D" w14:textId="77777777" w:rsidTr="00B21634">
        <w:trPr>
          <w:trHeight w:val="199"/>
        </w:trPr>
        <w:tc>
          <w:tcPr>
            <w:tcW w:w="1720" w:type="dxa"/>
            <w:tcBorders>
              <w:top w:val="nil"/>
              <w:left w:val="nil"/>
              <w:bottom w:val="nil"/>
              <w:right w:val="nil"/>
            </w:tcBorders>
            <w:shd w:val="clear" w:color="auto" w:fill="auto"/>
            <w:noWrap/>
            <w:vAlign w:val="bottom"/>
            <w:hideMark/>
          </w:tcPr>
          <w:p w14:paraId="0873F251"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Likely to fulfil</w:t>
            </w:r>
          </w:p>
        </w:tc>
        <w:tc>
          <w:tcPr>
            <w:tcW w:w="663" w:type="dxa"/>
            <w:tcBorders>
              <w:top w:val="nil"/>
              <w:left w:val="nil"/>
              <w:bottom w:val="nil"/>
              <w:right w:val="nil"/>
            </w:tcBorders>
            <w:shd w:val="clear" w:color="auto" w:fill="auto"/>
            <w:noWrap/>
            <w:vAlign w:val="bottom"/>
            <w:hideMark/>
          </w:tcPr>
          <w:p w14:paraId="6323D2BC"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p>
        </w:tc>
        <w:tc>
          <w:tcPr>
            <w:tcW w:w="704" w:type="dxa"/>
            <w:tcBorders>
              <w:top w:val="nil"/>
              <w:left w:val="nil"/>
              <w:bottom w:val="nil"/>
              <w:right w:val="nil"/>
            </w:tcBorders>
            <w:shd w:val="clear" w:color="auto" w:fill="auto"/>
            <w:noWrap/>
            <w:vAlign w:val="bottom"/>
            <w:hideMark/>
          </w:tcPr>
          <w:p w14:paraId="705850CF"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0720FF3A"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17EC087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550CD5F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835" w:type="dxa"/>
            <w:tcBorders>
              <w:top w:val="nil"/>
              <w:left w:val="nil"/>
              <w:bottom w:val="nil"/>
              <w:right w:val="nil"/>
            </w:tcBorders>
            <w:shd w:val="clear" w:color="auto" w:fill="auto"/>
            <w:noWrap/>
            <w:vAlign w:val="bottom"/>
            <w:hideMark/>
          </w:tcPr>
          <w:p w14:paraId="6879CC7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19</w:t>
            </w:r>
          </w:p>
        </w:tc>
        <w:tc>
          <w:tcPr>
            <w:tcW w:w="1251" w:type="dxa"/>
            <w:tcBorders>
              <w:top w:val="nil"/>
              <w:left w:val="nil"/>
              <w:bottom w:val="nil"/>
              <w:right w:val="nil"/>
            </w:tcBorders>
            <w:shd w:val="clear" w:color="auto" w:fill="auto"/>
            <w:noWrap/>
            <w:vAlign w:val="bottom"/>
            <w:hideMark/>
          </w:tcPr>
          <w:p w14:paraId="23A683C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180" w:type="dxa"/>
            <w:tcBorders>
              <w:top w:val="nil"/>
              <w:left w:val="nil"/>
              <w:bottom w:val="nil"/>
              <w:right w:val="nil"/>
            </w:tcBorders>
            <w:shd w:val="clear" w:color="auto" w:fill="auto"/>
            <w:noWrap/>
            <w:hideMark/>
          </w:tcPr>
          <w:p w14:paraId="4619E46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10.33</w:t>
            </w:r>
          </w:p>
        </w:tc>
      </w:tr>
      <w:tr w:rsidR="0039612B" w:rsidRPr="0076192F" w14:paraId="23B66C3D" w14:textId="77777777" w:rsidTr="00B21634">
        <w:trPr>
          <w:trHeight w:val="199"/>
        </w:trPr>
        <w:tc>
          <w:tcPr>
            <w:tcW w:w="1720" w:type="dxa"/>
            <w:tcBorders>
              <w:top w:val="nil"/>
              <w:left w:val="nil"/>
              <w:bottom w:val="nil"/>
              <w:right w:val="nil"/>
            </w:tcBorders>
            <w:shd w:val="clear" w:color="auto" w:fill="auto"/>
            <w:noWrap/>
            <w:vAlign w:val="bottom"/>
            <w:hideMark/>
          </w:tcPr>
          <w:p w14:paraId="08B686C6"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obligations, ongoing</w:t>
            </w:r>
          </w:p>
        </w:tc>
        <w:tc>
          <w:tcPr>
            <w:tcW w:w="663" w:type="dxa"/>
            <w:tcBorders>
              <w:top w:val="nil"/>
              <w:left w:val="nil"/>
              <w:bottom w:val="nil"/>
              <w:right w:val="nil"/>
            </w:tcBorders>
            <w:shd w:val="clear" w:color="auto" w:fill="auto"/>
            <w:noWrap/>
            <w:vAlign w:val="bottom"/>
            <w:hideMark/>
          </w:tcPr>
          <w:p w14:paraId="5D5D1AF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w:t>
            </w:r>
          </w:p>
        </w:tc>
        <w:tc>
          <w:tcPr>
            <w:tcW w:w="704" w:type="dxa"/>
            <w:tcBorders>
              <w:top w:val="nil"/>
              <w:left w:val="nil"/>
              <w:bottom w:val="nil"/>
              <w:right w:val="nil"/>
            </w:tcBorders>
            <w:shd w:val="clear" w:color="auto" w:fill="auto"/>
            <w:noWrap/>
            <w:vAlign w:val="bottom"/>
            <w:hideMark/>
          </w:tcPr>
          <w:p w14:paraId="57E0690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w:t>
            </w:r>
          </w:p>
        </w:tc>
        <w:tc>
          <w:tcPr>
            <w:tcW w:w="1054" w:type="dxa"/>
            <w:tcBorders>
              <w:top w:val="nil"/>
              <w:left w:val="nil"/>
              <w:bottom w:val="nil"/>
              <w:right w:val="nil"/>
            </w:tcBorders>
            <w:shd w:val="clear" w:color="auto" w:fill="auto"/>
            <w:noWrap/>
            <w:vAlign w:val="bottom"/>
            <w:hideMark/>
          </w:tcPr>
          <w:p w14:paraId="572AB9B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Ba2</w:t>
            </w:r>
          </w:p>
        </w:tc>
        <w:tc>
          <w:tcPr>
            <w:tcW w:w="960" w:type="dxa"/>
            <w:tcBorders>
              <w:top w:val="nil"/>
              <w:left w:val="nil"/>
              <w:bottom w:val="nil"/>
              <w:right w:val="nil"/>
            </w:tcBorders>
            <w:shd w:val="clear" w:color="auto" w:fill="auto"/>
            <w:noWrap/>
            <w:vAlign w:val="bottom"/>
            <w:hideMark/>
          </w:tcPr>
          <w:p w14:paraId="1D247356"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1A695E6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37</w:t>
            </w:r>
          </w:p>
        </w:tc>
        <w:tc>
          <w:tcPr>
            <w:tcW w:w="835" w:type="dxa"/>
            <w:tcBorders>
              <w:top w:val="nil"/>
              <w:left w:val="nil"/>
              <w:bottom w:val="nil"/>
              <w:right w:val="nil"/>
            </w:tcBorders>
            <w:shd w:val="clear" w:color="auto" w:fill="auto"/>
            <w:noWrap/>
            <w:vAlign w:val="bottom"/>
            <w:hideMark/>
          </w:tcPr>
          <w:p w14:paraId="57570C5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52</w:t>
            </w:r>
          </w:p>
        </w:tc>
        <w:tc>
          <w:tcPr>
            <w:tcW w:w="1251" w:type="dxa"/>
            <w:tcBorders>
              <w:top w:val="nil"/>
              <w:left w:val="nil"/>
              <w:bottom w:val="nil"/>
              <w:right w:val="nil"/>
            </w:tcBorders>
            <w:shd w:val="clear" w:color="auto" w:fill="auto"/>
            <w:noWrap/>
            <w:vAlign w:val="bottom"/>
            <w:hideMark/>
          </w:tcPr>
          <w:p w14:paraId="4181B35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23</w:t>
            </w:r>
          </w:p>
        </w:tc>
        <w:tc>
          <w:tcPr>
            <w:tcW w:w="1180" w:type="dxa"/>
            <w:tcBorders>
              <w:top w:val="nil"/>
              <w:left w:val="nil"/>
              <w:bottom w:val="nil"/>
              <w:right w:val="nil"/>
            </w:tcBorders>
            <w:shd w:val="clear" w:color="auto" w:fill="auto"/>
            <w:noWrap/>
            <w:hideMark/>
          </w:tcPr>
          <w:p w14:paraId="27CAA20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r>
      <w:tr w:rsidR="0039612B" w:rsidRPr="0076192F" w14:paraId="3AF039B7" w14:textId="77777777" w:rsidTr="00B21634">
        <w:trPr>
          <w:trHeight w:val="199"/>
        </w:trPr>
        <w:tc>
          <w:tcPr>
            <w:tcW w:w="1720" w:type="dxa"/>
            <w:tcBorders>
              <w:top w:val="nil"/>
              <w:left w:val="nil"/>
              <w:bottom w:val="nil"/>
              <w:right w:val="nil"/>
            </w:tcBorders>
            <w:shd w:val="clear" w:color="auto" w:fill="auto"/>
            <w:noWrap/>
            <w:vAlign w:val="bottom"/>
            <w:hideMark/>
          </w:tcPr>
          <w:p w14:paraId="28633282"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uncertainty</w:t>
            </w:r>
          </w:p>
        </w:tc>
        <w:tc>
          <w:tcPr>
            <w:tcW w:w="663" w:type="dxa"/>
            <w:tcBorders>
              <w:top w:val="nil"/>
              <w:left w:val="nil"/>
              <w:bottom w:val="nil"/>
              <w:right w:val="nil"/>
            </w:tcBorders>
            <w:shd w:val="clear" w:color="auto" w:fill="auto"/>
            <w:noWrap/>
            <w:vAlign w:val="bottom"/>
            <w:hideMark/>
          </w:tcPr>
          <w:p w14:paraId="0095709C"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p>
        </w:tc>
        <w:tc>
          <w:tcPr>
            <w:tcW w:w="704" w:type="dxa"/>
            <w:tcBorders>
              <w:top w:val="nil"/>
              <w:left w:val="nil"/>
              <w:bottom w:val="nil"/>
              <w:right w:val="nil"/>
            </w:tcBorders>
            <w:shd w:val="clear" w:color="auto" w:fill="auto"/>
            <w:noWrap/>
            <w:vAlign w:val="bottom"/>
            <w:hideMark/>
          </w:tcPr>
          <w:p w14:paraId="000DB9D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299E0954"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2ED8934D"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4597ABA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c>
          <w:tcPr>
            <w:tcW w:w="835" w:type="dxa"/>
            <w:tcBorders>
              <w:top w:val="nil"/>
              <w:left w:val="nil"/>
              <w:bottom w:val="nil"/>
              <w:right w:val="nil"/>
            </w:tcBorders>
            <w:shd w:val="clear" w:color="auto" w:fill="auto"/>
            <w:noWrap/>
            <w:vAlign w:val="bottom"/>
            <w:hideMark/>
          </w:tcPr>
          <w:p w14:paraId="66A204F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23</w:t>
            </w:r>
          </w:p>
        </w:tc>
        <w:tc>
          <w:tcPr>
            <w:tcW w:w="1251" w:type="dxa"/>
            <w:tcBorders>
              <w:top w:val="nil"/>
              <w:left w:val="nil"/>
              <w:bottom w:val="nil"/>
              <w:right w:val="nil"/>
            </w:tcBorders>
            <w:shd w:val="clear" w:color="auto" w:fill="auto"/>
            <w:noWrap/>
            <w:vAlign w:val="bottom"/>
            <w:hideMark/>
          </w:tcPr>
          <w:p w14:paraId="70A57CA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1180" w:type="dxa"/>
            <w:tcBorders>
              <w:top w:val="nil"/>
              <w:left w:val="nil"/>
              <w:bottom w:val="nil"/>
              <w:right w:val="nil"/>
            </w:tcBorders>
            <w:shd w:val="clear" w:color="auto" w:fill="auto"/>
            <w:noWrap/>
            <w:hideMark/>
          </w:tcPr>
          <w:p w14:paraId="17ABF55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9.67</w:t>
            </w:r>
          </w:p>
        </w:tc>
      </w:tr>
      <w:tr w:rsidR="0039612B" w:rsidRPr="0076192F" w14:paraId="24F9C3C1" w14:textId="77777777" w:rsidTr="00B21634">
        <w:trPr>
          <w:trHeight w:val="199"/>
        </w:trPr>
        <w:tc>
          <w:tcPr>
            <w:tcW w:w="1720" w:type="dxa"/>
            <w:tcBorders>
              <w:top w:val="nil"/>
              <w:left w:val="nil"/>
              <w:bottom w:val="nil"/>
              <w:right w:val="nil"/>
            </w:tcBorders>
            <w:shd w:val="clear" w:color="auto" w:fill="auto"/>
            <w:noWrap/>
            <w:vAlign w:val="bottom"/>
            <w:hideMark/>
          </w:tcPr>
          <w:p w14:paraId="2CE2E7E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7E7CBF6"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32884893"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31550FB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2747961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0055272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16</w:t>
            </w:r>
          </w:p>
        </w:tc>
        <w:tc>
          <w:tcPr>
            <w:tcW w:w="835" w:type="dxa"/>
            <w:tcBorders>
              <w:top w:val="nil"/>
              <w:left w:val="nil"/>
              <w:bottom w:val="nil"/>
              <w:right w:val="nil"/>
            </w:tcBorders>
            <w:shd w:val="clear" w:color="auto" w:fill="auto"/>
            <w:noWrap/>
            <w:vAlign w:val="bottom"/>
            <w:hideMark/>
          </w:tcPr>
          <w:p w14:paraId="5DCBCB3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1251" w:type="dxa"/>
            <w:tcBorders>
              <w:top w:val="nil"/>
              <w:left w:val="nil"/>
              <w:bottom w:val="nil"/>
              <w:right w:val="nil"/>
            </w:tcBorders>
            <w:shd w:val="clear" w:color="auto" w:fill="auto"/>
            <w:noWrap/>
            <w:vAlign w:val="bottom"/>
            <w:hideMark/>
          </w:tcPr>
          <w:p w14:paraId="6E41260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1180" w:type="dxa"/>
            <w:tcBorders>
              <w:top w:val="nil"/>
              <w:left w:val="nil"/>
              <w:bottom w:val="nil"/>
              <w:right w:val="nil"/>
            </w:tcBorders>
            <w:shd w:val="clear" w:color="auto" w:fill="auto"/>
            <w:noWrap/>
            <w:hideMark/>
          </w:tcPr>
          <w:p w14:paraId="545D93B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9.33</w:t>
            </w:r>
          </w:p>
        </w:tc>
      </w:tr>
      <w:tr w:rsidR="0039612B" w:rsidRPr="0076192F" w14:paraId="1F32122A" w14:textId="77777777" w:rsidTr="00B21634">
        <w:trPr>
          <w:trHeight w:val="199"/>
        </w:trPr>
        <w:tc>
          <w:tcPr>
            <w:tcW w:w="1720" w:type="dxa"/>
            <w:tcBorders>
              <w:top w:val="nil"/>
              <w:left w:val="nil"/>
              <w:bottom w:val="nil"/>
              <w:right w:val="nil"/>
            </w:tcBorders>
            <w:shd w:val="clear" w:color="auto" w:fill="auto"/>
            <w:noWrap/>
            <w:vAlign w:val="bottom"/>
            <w:hideMark/>
          </w:tcPr>
          <w:p w14:paraId="1CD793E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5513DF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w:t>
            </w:r>
          </w:p>
        </w:tc>
        <w:tc>
          <w:tcPr>
            <w:tcW w:w="704" w:type="dxa"/>
            <w:tcBorders>
              <w:top w:val="nil"/>
              <w:left w:val="nil"/>
              <w:bottom w:val="nil"/>
              <w:right w:val="nil"/>
            </w:tcBorders>
            <w:shd w:val="clear" w:color="auto" w:fill="auto"/>
            <w:noWrap/>
            <w:vAlign w:val="bottom"/>
            <w:hideMark/>
          </w:tcPr>
          <w:p w14:paraId="68C2DFA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BB-</w:t>
            </w:r>
          </w:p>
        </w:tc>
        <w:tc>
          <w:tcPr>
            <w:tcW w:w="1054" w:type="dxa"/>
            <w:tcBorders>
              <w:top w:val="nil"/>
              <w:left w:val="nil"/>
              <w:bottom w:val="nil"/>
              <w:right w:val="nil"/>
            </w:tcBorders>
            <w:shd w:val="clear" w:color="auto" w:fill="auto"/>
            <w:noWrap/>
            <w:vAlign w:val="bottom"/>
            <w:hideMark/>
          </w:tcPr>
          <w:p w14:paraId="170C03D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Ba3</w:t>
            </w:r>
          </w:p>
        </w:tc>
        <w:tc>
          <w:tcPr>
            <w:tcW w:w="960" w:type="dxa"/>
            <w:tcBorders>
              <w:top w:val="nil"/>
              <w:left w:val="nil"/>
              <w:bottom w:val="nil"/>
              <w:right w:val="nil"/>
            </w:tcBorders>
            <w:shd w:val="clear" w:color="auto" w:fill="auto"/>
            <w:noWrap/>
            <w:vAlign w:val="bottom"/>
            <w:hideMark/>
          </w:tcPr>
          <w:p w14:paraId="42FBD241"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51BDD33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34</w:t>
            </w:r>
          </w:p>
        </w:tc>
        <w:tc>
          <w:tcPr>
            <w:tcW w:w="835" w:type="dxa"/>
            <w:tcBorders>
              <w:top w:val="nil"/>
              <w:left w:val="nil"/>
              <w:bottom w:val="nil"/>
              <w:right w:val="nil"/>
            </w:tcBorders>
            <w:shd w:val="clear" w:color="auto" w:fill="auto"/>
            <w:noWrap/>
            <w:vAlign w:val="bottom"/>
            <w:hideMark/>
          </w:tcPr>
          <w:p w14:paraId="7A5CC96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45</w:t>
            </w:r>
          </w:p>
        </w:tc>
        <w:tc>
          <w:tcPr>
            <w:tcW w:w="1251" w:type="dxa"/>
            <w:tcBorders>
              <w:top w:val="nil"/>
              <w:left w:val="nil"/>
              <w:bottom w:val="nil"/>
              <w:right w:val="nil"/>
            </w:tcBorders>
            <w:shd w:val="clear" w:color="auto" w:fill="auto"/>
            <w:noWrap/>
            <w:vAlign w:val="bottom"/>
            <w:hideMark/>
          </w:tcPr>
          <w:p w14:paraId="54A69DB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28</w:t>
            </w:r>
          </w:p>
        </w:tc>
        <w:tc>
          <w:tcPr>
            <w:tcW w:w="1180" w:type="dxa"/>
            <w:tcBorders>
              <w:top w:val="nil"/>
              <w:left w:val="nil"/>
              <w:bottom w:val="nil"/>
              <w:right w:val="nil"/>
            </w:tcBorders>
            <w:shd w:val="clear" w:color="auto" w:fill="auto"/>
            <w:noWrap/>
            <w:hideMark/>
          </w:tcPr>
          <w:p w14:paraId="16FDBC6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r>
      <w:tr w:rsidR="0039612B" w:rsidRPr="0076192F" w14:paraId="4933BE25"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5EEF9F10"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29B5FF6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4614F7E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2D7723B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4EA14824"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1C597D2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w:t>
            </w:r>
          </w:p>
        </w:tc>
        <w:tc>
          <w:tcPr>
            <w:tcW w:w="835" w:type="dxa"/>
            <w:tcBorders>
              <w:top w:val="nil"/>
              <w:left w:val="nil"/>
              <w:bottom w:val="single" w:sz="4" w:space="0" w:color="auto"/>
              <w:right w:val="nil"/>
            </w:tcBorders>
            <w:shd w:val="clear" w:color="auto" w:fill="auto"/>
            <w:noWrap/>
            <w:vAlign w:val="bottom"/>
            <w:hideMark/>
          </w:tcPr>
          <w:p w14:paraId="3023D0A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251" w:type="dxa"/>
            <w:tcBorders>
              <w:top w:val="nil"/>
              <w:left w:val="nil"/>
              <w:bottom w:val="single" w:sz="4" w:space="0" w:color="auto"/>
              <w:right w:val="nil"/>
            </w:tcBorders>
            <w:shd w:val="clear" w:color="auto" w:fill="auto"/>
            <w:noWrap/>
            <w:vAlign w:val="bottom"/>
            <w:hideMark/>
          </w:tcPr>
          <w:p w14:paraId="6907B3E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w:t>
            </w:r>
          </w:p>
        </w:tc>
        <w:tc>
          <w:tcPr>
            <w:tcW w:w="1180" w:type="dxa"/>
            <w:tcBorders>
              <w:top w:val="nil"/>
              <w:left w:val="nil"/>
              <w:bottom w:val="single" w:sz="4" w:space="0" w:color="auto"/>
              <w:right w:val="nil"/>
            </w:tcBorders>
            <w:shd w:val="clear" w:color="auto" w:fill="auto"/>
            <w:noWrap/>
            <w:hideMark/>
          </w:tcPr>
          <w:p w14:paraId="678DE26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8.67</w:t>
            </w:r>
          </w:p>
        </w:tc>
      </w:tr>
      <w:tr w:rsidR="0039612B" w:rsidRPr="0076192F" w14:paraId="73B1CD3F" w14:textId="77777777" w:rsidTr="00B21634">
        <w:trPr>
          <w:trHeight w:val="199"/>
        </w:trPr>
        <w:tc>
          <w:tcPr>
            <w:tcW w:w="1720" w:type="dxa"/>
            <w:tcBorders>
              <w:top w:val="nil"/>
              <w:left w:val="nil"/>
              <w:bottom w:val="nil"/>
              <w:right w:val="nil"/>
            </w:tcBorders>
            <w:shd w:val="clear" w:color="auto" w:fill="auto"/>
            <w:noWrap/>
            <w:vAlign w:val="bottom"/>
            <w:hideMark/>
          </w:tcPr>
          <w:p w14:paraId="61126FC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B56F312"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71B7C1D8"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3194602C"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243A569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6D19D50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835" w:type="dxa"/>
            <w:tcBorders>
              <w:top w:val="nil"/>
              <w:left w:val="nil"/>
              <w:bottom w:val="nil"/>
              <w:right w:val="nil"/>
            </w:tcBorders>
            <w:shd w:val="clear" w:color="auto" w:fill="auto"/>
            <w:noWrap/>
            <w:vAlign w:val="bottom"/>
            <w:hideMark/>
          </w:tcPr>
          <w:p w14:paraId="130F0B8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12</w:t>
            </w:r>
          </w:p>
        </w:tc>
        <w:tc>
          <w:tcPr>
            <w:tcW w:w="1251" w:type="dxa"/>
            <w:tcBorders>
              <w:top w:val="nil"/>
              <w:left w:val="nil"/>
              <w:bottom w:val="nil"/>
              <w:right w:val="nil"/>
            </w:tcBorders>
            <w:shd w:val="clear" w:color="auto" w:fill="auto"/>
            <w:noWrap/>
            <w:vAlign w:val="bottom"/>
            <w:hideMark/>
          </w:tcPr>
          <w:p w14:paraId="433AB9C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180" w:type="dxa"/>
            <w:tcBorders>
              <w:top w:val="nil"/>
              <w:left w:val="nil"/>
              <w:bottom w:val="nil"/>
              <w:right w:val="nil"/>
            </w:tcBorders>
            <w:shd w:val="clear" w:color="auto" w:fill="auto"/>
            <w:noWrap/>
            <w:hideMark/>
          </w:tcPr>
          <w:p w14:paraId="3EF5B87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8.33</w:t>
            </w:r>
          </w:p>
        </w:tc>
      </w:tr>
      <w:tr w:rsidR="0039612B" w:rsidRPr="0076192F" w14:paraId="470E5395" w14:textId="77777777" w:rsidTr="00B21634">
        <w:trPr>
          <w:trHeight w:val="199"/>
        </w:trPr>
        <w:tc>
          <w:tcPr>
            <w:tcW w:w="1720" w:type="dxa"/>
            <w:tcBorders>
              <w:top w:val="nil"/>
              <w:left w:val="nil"/>
              <w:bottom w:val="nil"/>
              <w:right w:val="nil"/>
            </w:tcBorders>
            <w:shd w:val="clear" w:color="auto" w:fill="auto"/>
            <w:noWrap/>
            <w:vAlign w:val="bottom"/>
            <w:hideMark/>
          </w:tcPr>
          <w:p w14:paraId="071BCFF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105135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w:t>
            </w:r>
          </w:p>
        </w:tc>
        <w:tc>
          <w:tcPr>
            <w:tcW w:w="704" w:type="dxa"/>
            <w:tcBorders>
              <w:top w:val="nil"/>
              <w:left w:val="nil"/>
              <w:bottom w:val="nil"/>
              <w:right w:val="nil"/>
            </w:tcBorders>
            <w:shd w:val="clear" w:color="auto" w:fill="auto"/>
            <w:noWrap/>
            <w:vAlign w:val="bottom"/>
            <w:hideMark/>
          </w:tcPr>
          <w:p w14:paraId="4AC2B7D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w:t>
            </w:r>
          </w:p>
        </w:tc>
        <w:tc>
          <w:tcPr>
            <w:tcW w:w="1054" w:type="dxa"/>
            <w:tcBorders>
              <w:top w:val="nil"/>
              <w:left w:val="nil"/>
              <w:bottom w:val="nil"/>
              <w:right w:val="nil"/>
            </w:tcBorders>
            <w:shd w:val="clear" w:color="auto" w:fill="auto"/>
            <w:noWrap/>
            <w:vAlign w:val="bottom"/>
            <w:hideMark/>
          </w:tcPr>
          <w:p w14:paraId="2B13431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B1</w:t>
            </w:r>
          </w:p>
        </w:tc>
        <w:tc>
          <w:tcPr>
            <w:tcW w:w="960" w:type="dxa"/>
            <w:tcBorders>
              <w:top w:val="nil"/>
              <w:left w:val="nil"/>
              <w:bottom w:val="nil"/>
              <w:right w:val="nil"/>
            </w:tcBorders>
            <w:shd w:val="clear" w:color="auto" w:fill="auto"/>
            <w:noWrap/>
            <w:vAlign w:val="bottom"/>
            <w:hideMark/>
          </w:tcPr>
          <w:p w14:paraId="1D00B11B"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E9708B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24</w:t>
            </w:r>
          </w:p>
        </w:tc>
        <w:tc>
          <w:tcPr>
            <w:tcW w:w="835" w:type="dxa"/>
            <w:tcBorders>
              <w:top w:val="nil"/>
              <w:left w:val="nil"/>
              <w:bottom w:val="nil"/>
              <w:right w:val="nil"/>
            </w:tcBorders>
            <w:shd w:val="clear" w:color="auto" w:fill="auto"/>
            <w:noWrap/>
            <w:vAlign w:val="bottom"/>
            <w:hideMark/>
          </w:tcPr>
          <w:p w14:paraId="4335246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32</w:t>
            </w:r>
          </w:p>
        </w:tc>
        <w:tc>
          <w:tcPr>
            <w:tcW w:w="1251" w:type="dxa"/>
            <w:tcBorders>
              <w:top w:val="nil"/>
              <w:left w:val="nil"/>
              <w:bottom w:val="nil"/>
              <w:right w:val="nil"/>
            </w:tcBorders>
            <w:shd w:val="clear" w:color="auto" w:fill="auto"/>
            <w:noWrap/>
            <w:vAlign w:val="bottom"/>
            <w:hideMark/>
          </w:tcPr>
          <w:p w14:paraId="68C23C7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39</w:t>
            </w:r>
          </w:p>
        </w:tc>
        <w:tc>
          <w:tcPr>
            <w:tcW w:w="1180" w:type="dxa"/>
            <w:tcBorders>
              <w:top w:val="nil"/>
              <w:left w:val="nil"/>
              <w:bottom w:val="nil"/>
              <w:right w:val="nil"/>
            </w:tcBorders>
            <w:shd w:val="clear" w:color="auto" w:fill="auto"/>
            <w:noWrap/>
            <w:hideMark/>
          </w:tcPr>
          <w:p w14:paraId="7E95774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r>
      <w:tr w:rsidR="0039612B" w:rsidRPr="0076192F" w14:paraId="3F71589D" w14:textId="77777777" w:rsidTr="00B21634">
        <w:trPr>
          <w:trHeight w:val="199"/>
        </w:trPr>
        <w:tc>
          <w:tcPr>
            <w:tcW w:w="1720" w:type="dxa"/>
            <w:tcBorders>
              <w:top w:val="nil"/>
              <w:left w:val="nil"/>
              <w:bottom w:val="nil"/>
              <w:right w:val="nil"/>
            </w:tcBorders>
            <w:shd w:val="clear" w:color="auto" w:fill="auto"/>
            <w:noWrap/>
            <w:vAlign w:val="bottom"/>
            <w:hideMark/>
          </w:tcPr>
          <w:p w14:paraId="0BA9652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7C9A63D4"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49F4B3FA"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4BA95051"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397B0CBE"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40A49C4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835" w:type="dxa"/>
            <w:tcBorders>
              <w:top w:val="nil"/>
              <w:left w:val="nil"/>
              <w:bottom w:val="nil"/>
              <w:right w:val="nil"/>
            </w:tcBorders>
            <w:shd w:val="clear" w:color="auto" w:fill="auto"/>
            <w:noWrap/>
            <w:vAlign w:val="bottom"/>
            <w:hideMark/>
          </w:tcPr>
          <w:p w14:paraId="060C460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w:t>
            </w:r>
          </w:p>
        </w:tc>
        <w:tc>
          <w:tcPr>
            <w:tcW w:w="1251" w:type="dxa"/>
            <w:tcBorders>
              <w:top w:val="nil"/>
              <w:left w:val="nil"/>
              <w:bottom w:val="nil"/>
              <w:right w:val="nil"/>
            </w:tcBorders>
            <w:shd w:val="clear" w:color="auto" w:fill="auto"/>
            <w:noWrap/>
            <w:vAlign w:val="bottom"/>
            <w:hideMark/>
          </w:tcPr>
          <w:p w14:paraId="1FE76C8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180" w:type="dxa"/>
            <w:tcBorders>
              <w:top w:val="nil"/>
              <w:left w:val="nil"/>
              <w:bottom w:val="nil"/>
              <w:right w:val="nil"/>
            </w:tcBorders>
            <w:shd w:val="clear" w:color="auto" w:fill="auto"/>
            <w:noWrap/>
            <w:hideMark/>
          </w:tcPr>
          <w:p w14:paraId="0C3A9BA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7.67</w:t>
            </w:r>
          </w:p>
        </w:tc>
      </w:tr>
      <w:tr w:rsidR="0039612B" w:rsidRPr="0076192F" w14:paraId="68739F7B" w14:textId="77777777" w:rsidTr="00B21634">
        <w:trPr>
          <w:trHeight w:val="199"/>
        </w:trPr>
        <w:tc>
          <w:tcPr>
            <w:tcW w:w="1720" w:type="dxa"/>
            <w:tcBorders>
              <w:top w:val="nil"/>
              <w:left w:val="nil"/>
              <w:bottom w:val="nil"/>
              <w:right w:val="nil"/>
            </w:tcBorders>
            <w:shd w:val="clear" w:color="auto" w:fill="auto"/>
            <w:noWrap/>
            <w:vAlign w:val="bottom"/>
            <w:hideMark/>
          </w:tcPr>
          <w:p w14:paraId="7A6152C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02B28587"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15B933AF"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7D00776C"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15F2599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0D63599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835" w:type="dxa"/>
            <w:tcBorders>
              <w:top w:val="nil"/>
              <w:left w:val="nil"/>
              <w:bottom w:val="nil"/>
              <w:right w:val="nil"/>
            </w:tcBorders>
            <w:shd w:val="clear" w:color="auto" w:fill="auto"/>
            <w:noWrap/>
            <w:vAlign w:val="bottom"/>
            <w:hideMark/>
          </w:tcPr>
          <w:p w14:paraId="37717D2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11</w:t>
            </w:r>
          </w:p>
        </w:tc>
        <w:tc>
          <w:tcPr>
            <w:tcW w:w="1251" w:type="dxa"/>
            <w:tcBorders>
              <w:top w:val="nil"/>
              <w:left w:val="nil"/>
              <w:bottom w:val="nil"/>
              <w:right w:val="nil"/>
            </w:tcBorders>
            <w:shd w:val="clear" w:color="auto" w:fill="auto"/>
            <w:noWrap/>
            <w:vAlign w:val="bottom"/>
            <w:hideMark/>
          </w:tcPr>
          <w:p w14:paraId="17DB25F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1180" w:type="dxa"/>
            <w:tcBorders>
              <w:top w:val="nil"/>
              <w:left w:val="nil"/>
              <w:bottom w:val="nil"/>
              <w:right w:val="nil"/>
            </w:tcBorders>
            <w:shd w:val="clear" w:color="auto" w:fill="auto"/>
            <w:noWrap/>
            <w:hideMark/>
          </w:tcPr>
          <w:p w14:paraId="4D4B9A8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7.33</w:t>
            </w:r>
          </w:p>
        </w:tc>
      </w:tr>
      <w:tr w:rsidR="0039612B" w:rsidRPr="0076192F" w14:paraId="1D091D57" w14:textId="77777777" w:rsidTr="00B21634">
        <w:trPr>
          <w:trHeight w:val="199"/>
        </w:trPr>
        <w:tc>
          <w:tcPr>
            <w:tcW w:w="1720" w:type="dxa"/>
            <w:tcBorders>
              <w:top w:val="nil"/>
              <w:left w:val="nil"/>
              <w:bottom w:val="nil"/>
              <w:right w:val="nil"/>
            </w:tcBorders>
            <w:shd w:val="clear" w:color="auto" w:fill="auto"/>
            <w:noWrap/>
            <w:vAlign w:val="bottom"/>
            <w:hideMark/>
          </w:tcPr>
          <w:p w14:paraId="36BA103E"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High credit  risk</w:t>
            </w:r>
          </w:p>
        </w:tc>
        <w:tc>
          <w:tcPr>
            <w:tcW w:w="663" w:type="dxa"/>
            <w:tcBorders>
              <w:top w:val="nil"/>
              <w:left w:val="nil"/>
              <w:bottom w:val="nil"/>
              <w:right w:val="nil"/>
            </w:tcBorders>
            <w:shd w:val="clear" w:color="auto" w:fill="auto"/>
            <w:noWrap/>
            <w:vAlign w:val="bottom"/>
            <w:hideMark/>
          </w:tcPr>
          <w:p w14:paraId="1B0DFD3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w:t>
            </w:r>
          </w:p>
        </w:tc>
        <w:tc>
          <w:tcPr>
            <w:tcW w:w="704" w:type="dxa"/>
            <w:tcBorders>
              <w:top w:val="nil"/>
              <w:left w:val="nil"/>
              <w:bottom w:val="nil"/>
              <w:right w:val="nil"/>
            </w:tcBorders>
            <w:shd w:val="clear" w:color="auto" w:fill="auto"/>
            <w:noWrap/>
            <w:vAlign w:val="bottom"/>
            <w:hideMark/>
          </w:tcPr>
          <w:p w14:paraId="02B7963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w:t>
            </w:r>
          </w:p>
        </w:tc>
        <w:tc>
          <w:tcPr>
            <w:tcW w:w="1054" w:type="dxa"/>
            <w:tcBorders>
              <w:top w:val="nil"/>
              <w:left w:val="nil"/>
              <w:bottom w:val="nil"/>
              <w:right w:val="nil"/>
            </w:tcBorders>
            <w:shd w:val="clear" w:color="auto" w:fill="auto"/>
            <w:noWrap/>
            <w:vAlign w:val="bottom"/>
            <w:hideMark/>
          </w:tcPr>
          <w:p w14:paraId="5809E1F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B2</w:t>
            </w:r>
          </w:p>
        </w:tc>
        <w:tc>
          <w:tcPr>
            <w:tcW w:w="960" w:type="dxa"/>
            <w:tcBorders>
              <w:top w:val="nil"/>
              <w:left w:val="nil"/>
              <w:bottom w:val="nil"/>
              <w:right w:val="nil"/>
            </w:tcBorders>
            <w:shd w:val="clear" w:color="auto" w:fill="auto"/>
            <w:noWrap/>
            <w:vAlign w:val="bottom"/>
            <w:hideMark/>
          </w:tcPr>
          <w:p w14:paraId="0E2FA159"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544D962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27</w:t>
            </w:r>
          </w:p>
        </w:tc>
        <w:tc>
          <w:tcPr>
            <w:tcW w:w="835" w:type="dxa"/>
            <w:tcBorders>
              <w:top w:val="nil"/>
              <w:left w:val="nil"/>
              <w:bottom w:val="nil"/>
              <w:right w:val="nil"/>
            </w:tcBorders>
            <w:shd w:val="clear" w:color="auto" w:fill="auto"/>
            <w:noWrap/>
            <w:vAlign w:val="bottom"/>
            <w:hideMark/>
          </w:tcPr>
          <w:p w14:paraId="3F86CA5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26</w:t>
            </w:r>
          </w:p>
        </w:tc>
        <w:tc>
          <w:tcPr>
            <w:tcW w:w="1251" w:type="dxa"/>
            <w:tcBorders>
              <w:top w:val="nil"/>
              <w:left w:val="nil"/>
              <w:bottom w:val="nil"/>
              <w:right w:val="nil"/>
            </w:tcBorders>
            <w:shd w:val="clear" w:color="auto" w:fill="auto"/>
            <w:noWrap/>
            <w:vAlign w:val="bottom"/>
            <w:hideMark/>
          </w:tcPr>
          <w:p w14:paraId="310E03F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24</w:t>
            </w:r>
          </w:p>
        </w:tc>
        <w:tc>
          <w:tcPr>
            <w:tcW w:w="1180" w:type="dxa"/>
            <w:tcBorders>
              <w:top w:val="nil"/>
              <w:left w:val="nil"/>
              <w:bottom w:val="nil"/>
              <w:right w:val="nil"/>
            </w:tcBorders>
            <w:shd w:val="clear" w:color="auto" w:fill="auto"/>
            <w:noWrap/>
            <w:hideMark/>
          </w:tcPr>
          <w:p w14:paraId="01BBCF3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r>
      <w:tr w:rsidR="0039612B" w:rsidRPr="0076192F" w14:paraId="7BC9E99D" w14:textId="77777777" w:rsidTr="00B21634">
        <w:trPr>
          <w:trHeight w:val="199"/>
        </w:trPr>
        <w:tc>
          <w:tcPr>
            <w:tcW w:w="1720" w:type="dxa"/>
            <w:tcBorders>
              <w:top w:val="nil"/>
              <w:left w:val="nil"/>
              <w:bottom w:val="nil"/>
              <w:right w:val="nil"/>
            </w:tcBorders>
            <w:shd w:val="clear" w:color="auto" w:fill="auto"/>
            <w:noWrap/>
            <w:vAlign w:val="bottom"/>
            <w:hideMark/>
          </w:tcPr>
          <w:p w14:paraId="01B75A7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72165920"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5E660EEC"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0C574CAE"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0C2553A1"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0F06059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835" w:type="dxa"/>
            <w:tcBorders>
              <w:top w:val="nil"/>
              <w:left w:val="nil"/>
              <w:bottom w:val="nil"/>
              <w:right w:val="nil"/>
            </w:tcBorders>
            <w:shd w:val="clear" w:color="auto" w:fill="auto"/>
            <w:noWrap/>
            <w:vAlign w:val="bottom"/>
            <w:hideMark/>
          </w:tcPr>
          <w:p w14:paraId="7511D50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1251" w:type="dxa"/>
            <w:tcBorders>
              <w:top w:val="nil"/>
              <w:left w:val="nil"/>
              <w:bottom w:val="nil"/>
              <w:right w:val="nil"/>
            </w:tcBorders>
            <w:shd w:val="clear" w:color="auto" w:fill="auto"/>
            <w:noWrap/>
            <w:vAlign w:val="bottom"/>
            <w:hideMark/>
          </w:tcPr>
          <w:p w14:paraId="4826B04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180" w:type="dxa"/>
            <w:tcBorders>
              <w:top w:val="nil"/>
              <w:left w:val="nil"/>
              <w:bottom w:val="nil"/>
              <w:right w:val="nil"/>
            </w:tcBorders>
            <w:shd w:val="clear" w:color="auto" w:fill="auto"/>
            <w:noWrap/>
            <w:hideMark/>
          </w:tcPr>
          <w:p w14:paraId="0F45974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6.67</w:t>
            </w:r>
          </w:p>
        </w:tc>
      </w:tr>
      <w:tr w:rsidR="0039612B" w:rsidRPr="0076192F" w14:paraId="1851642B" w14:textId="77777777" w:rsidTr="00B21634">
        <w:trPr>
          <w:trHeight w:val="199"/>
        </w:trPr>
        <w:tc>
          <w:tcPr>
            <w:tcW w:w="1720" w:type="dxa"/>
            <w:tcBorders>
              <w:top w:val="nil"/>
              <w:left w:val="nil"/>
              <w:bottom w:val="nil"/>
              <w:right w:val="nil"/>
            </w:tcBorders>
            <w:shd w:val="clear" w:color="auto" w:fill="auto"/>
            <w:noWrap/>
            <w:vAlign w:val="bottom"/>
            <w:hideMark/>
          </w:tcPr>
          <w:p w14:paraId="0C14364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7E732093"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21B59EF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4FA125DA"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7436032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5723924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835" w:type="dxa"/>
            <w:tcBorders>
              <w:top w:val="nil"/>
              <w:left w:val="nil"/>
              <w:bottom w:val="nil"/>
              <w:right w:val="nil"/>
            </w:tcBorders>
            <w:shd w:val="clear" w:color="auto" w:fill="auto"/>
            <w:noWrap/>
            <w:vAlign w:val="bottom"/>
            <w:hideMark/>
          </w:tcPr>
          <w:p w14:paraId="0AB0C1E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1251" w:type="dxa"/>
            <w:tcBorders>
              <w:top w:val="nil"/>
              <w:left w:val="nil"/>
              <w:bottom w:val="nil"/>
              <w:right w:val="nil"/>
            </w:tcBorders>
            <w:shd w:val="clear" w:color="auto" w:fill="auto"/>
            <w:noWrap/>
            <w:vAlign w:val="bottom"/>
            <w:hideMark/>
          </w:tcPr>
          <w:p w14:paraId="3A0AC52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w:t>
            </w:r>
          </w:p>
        </w:tc>
        <w:tc>
          <w:tcPr>
            <w:tcW w:w="1180" w:type="dxa"/>
            <w:tcBorders>
              <w:top w:val="nil"/>
              <w:left w:val="nil"/>
              <w:bottom w:val="nil"/>
              <w:right w:val="nil"/>
            </w:tcBorders>
            <w:shd w:val="clear" w:color="auto" w:fill="auto"/>
            <w:noWrap/>
            <w:hideMark/>
          </w:tcPr>
          <w:p w14:paraId="4A396E8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6.33</w:t>
            </w:r>
          </w:p>
        </w:tc>
      </w:tr>
      <w:tr w:rsidR="0039612B" w:rsidRPr="0076192F" w14:paraId="0585B0DF" w14:textId="77777777" w:rsidTr="00B21634">
        <w:trPr>
          <w:trHeight w:val="199"/>
        </w:trPr>
        <w:tc>
          <w:tcPr>
            <w:tcW w:w="1720" w:type="dxa"/>
            <w:tcBorders>
              <w:top w:val="nil"/>
              <w:left w:val="nil"/>
              <w:bottom w:val="nil"/>
              <w:right w:val="nil"/>
            </w:tcBorders>
            <w:shd w:val="clear" w:color="auto" w:fill="auto"/>
            <w:noWrap/>
            <w:vAlign w:val="bottom"/>
            <w:hideMark/>
          </w:tcPr>
          <w:p w14:paraId="057C918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6E79B9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w:t>
            </w:r>
          </w:p>
        </w:tc>
        <w:tc>
          <w:tcPr>
            <w:tcW w:w="704" w:type="dxa"/>
            <w:tcBorders>
              <w:top w:val="nil"/>
              <w:left w:val="nil"/>
              <w:bottom w:val="nil"/>
              <w:right w:val="nil"/>
            </w:tcBorders>
            <w:shd w:val="clear" w:color="auto" w:fill="auto"/>
            <w:noWrap/>
            <w:vAlign w:val="bottom"/>
            <w:hideMark/>
          </w:tcPr>
          <w:p w14:paraId="4E48EED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w:t>
            </w:r>
          </w:p>
        </w:tc>
        <w:tc>
          <w:tcPr>
            <w:tcW w:w="1054" w:type="dxa"/>
            <w:tcBorders>
              <w:top w:val="nil"/>
              <w:left w:val="nil"/>
              <w:bottom w:val="nil"/>
              <w:right w:val="nil"/>
            </w:tcBorders>
            <w:shd w:val="clear" w:color="auto" w:fill="auto"/>
            <w:noWrap/>
            <w:vAlign w:val="bottom"/>
            <w:hideMark/>
          </w:tcPr>
          <w:p w14:paraId="5F00433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B3</w:t>
            </w:r>
          </w:p>
        </w:tc>
        <w:tc>
          <w:tcPr>
            <w:tcW w:w="960" w:type="dxa"/>
            <w:tcBorders>
              <w:top w:val="nil"/>
              <w:left w:val="nil"/>
              <w:bottom w:val="nil"/>
              <w:right w:val="nil"/>
            </w:tcBorders>
            <w:shd w:val="clear" w:color="auto" w:fill="auto"/>
            <w:noWrap/>
            <w:vAlign w:val="bottom"/>
            <w:hideMark/>
          </w:tcPr>
          <w:p w14:paraId="281E7D67"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4BDA0A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24</w:t>
            </w:r>
          </w:p>
        </w:tc>
        <w:tc>
          <w:tcPr>
            <w:tcW w:w="835" w:type="dxa"/>
            <w:tcBorders>
              <w:top w:val="nil"/>
              <w:left w:val="nil"/>
              <w:bottom w:val="nil"/>
              <w:right w:val="nil"/>
            </w:tcBorders>
            <w:shd w:val="clear" w:color="auto" w:fill="auto"/>
            <w:noWrap/>
            <w:vAlign w:val="bottom"/>
            <w:hideMark/>
          </w:tcPr>
          <w:p w14:paraId="69C8DE0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42</w:t>
            </w:r>
          </w:p>
        </w:tc>
        <w:tc>
          <w:tcPr>
            <w:tcW w:w="1251" w:type="dxa"/>
            <w:tcBorders>
              <w:top w:val="nil"/>
              <w:left w:val="nil"/>
              <w:bottom w:val="nil"/>
              <w:right w:val="nil"/>
            </w:tcBorders>
            <w:shd w:val="clear" w:color="auto" w:fill="auto"/>
            <w:noWrap/>
            <w:vAlign w:val="bottom"/>
            <w:hideMark/>
          </w:tcPr>
          <w:p w14:paraId="59FB086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36</w:t>
            </w:r>
          </w:p>
        </w:tc>
        <w:tc>
          <w:tcPr>
            <w:tcW w:w="1180" w:type="dxa"/>
            <w:tcBorders>
              <w:top w:val="nil"/>
              <w:left w:val="nil"/>
              <w:bottom w:val="nil"/>
              <w:right w:val="nil"/>
            </w:tcBorders>
            <w:shd w:val="clear" w:color="auto" w:fill="auto"/>
            <w:noWrap/>
            <w:hideMark/>
          </w:tcPr>
          <w:p w14:paraId="0E7DA73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6</w:t>
            </w:r>
          </w:p>
        </w:tc>
      </w:tr>
      <w:tr w:rsidR="0039612B" w:rsidRPr="0076192F" w14:paraId="74F1BD9B"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74DF0917"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2B6CAC6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031E6E0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41705D2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0EB3AEF8"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1E4C10E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835" w:type="dxa"/>
            <w:tcBorders>
              <w:top w:val="nil"/>
              <w:left w:val="nil"/>
              <w:bottom w:val="single" w:sz="4" w:space="0" w:color="auto"/>
              <w:right w:val="nil"/>
            </w:tcBorders>
            <w:shd w:val="clear" w:color="auto" w:fill="auto"/>
            <w:noWrap/>
            <w:vAlign w:val="bottom"/>
            <w:hideMark/>
          </w:tcPr>
          <w:p w14:paraId="67301E5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251" w:type="dxa"/>
            <w:tcBorders>
              <w:top w:val="nil"/>
              <w:left w:val="nil"/>
              <w:bottom w:val="single" w:sz="4" w:space="0" w:color="auto"/>
              <w:right w:val="nil"/>
            </w:tcBorders>
            <w:shd w:val="clear" w:color="auto" w:fill="auto"/>
            <w:noWrap/>
            <w:vAlign w:val="bottom"/>
            <w:hideMark/>
          </w:tcPr>
          <w:p w14:paraId="3C09D07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180" w:type="dxa"/>
            <w:tcBorders>
              <w:top w:val="nil"/>
              <w:left w:val="nil"/>
              <w:bottom w:val="single" w:sz="4" w:space="0" w:color="auto"/>
              <w:right w:val="nil"/>
            </w:tcBorders>
            <w:shd w:val="clear" w:color="auto" w:fill="auto"/>
            <w:noWrap/>
            <w:hideMark/>
          </w:tcPr>
          <w:p w14:paraId="5F8E662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5.67</w:t>
            </w:r>
          </w:p>
        </w:tc>
      </w:tr>
      <w:tr w:rsidR="0039612B" w:rsidRPr="0076192F" w14:paraId="6267CFCA" w14:textId="77777777" w:rsidTr="00B21634">
        <w:trPr>
          <w:trHeight w:val="199"/>
        </w:trPr>
        <w:tc>
          <w:tcPr>
            <w:tcW w:w="1720" w:type="dxa"/>
            <w:tcBorders>
              <w:top w:val="nil"/>
              <w:left w:val="nil"/>
              <w:bottom w:val="nil"/>
              <w:right w:val="nil"/>
            </w:tcBorders>
            <w:shd w:val="clear" w:color="auto" w:fill="auto"/>
            <w:noWrap/>
            <w:vAlign w:val="bottom"/>
            <w:hideMark/>
          </w:tcPr>
          <w:p w14:paraId="7903E28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25168C18"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6D0944F7"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17A7A62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159EDC4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0A76222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710A1EF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251" w:type="dxa"/>
            <w:tcBorders>
              <w:top w:val="nil"/>
              <w:left w:val="nil"/>
              <w:bottom w:val="nil"/>
              <w:right w:val="nil"/>
            </w:tcBorders>
            <w:shd w:val="clear" w:color="auto" w:fill="auto"/>
            <w:noWrap/>
            <w:vAlign w:val="bottom"/>
            <w:hideMark/>
          </w:tcPr>
          <w:p w14:paraId="2C53DFC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180" w:type="dxa"/>
            <w:tcBorders>
              <w:top w:val="nil"/>
              <w:left w:val="nil"/>
              <w:bottom w:val="nil"/>
              <w:right w:val="nil"/>
            </w:tcBorders>
            <w:shd w:val="clear" w:color="auto" w:fill="auto"/>
            <w:noWrap/>
            <w:hideMark/>
          </w:tcPr>
          <w:p w14:paraId="28BC7F2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5.33</w:t>
            </w:r>
          </w:p>
        </w:tc>
      </w:tr>
      <w:tr w:rsidR="0039612B" w:rsidRPr="0076192F" w14:paraId="40863E37" w14:textId="77777777" w:rsidTr="00B21634">
        <w:trPr>
          <w:trHeight w:val="199"/>
        </w:trPr>
        <w:tc>
          <w:tcPr>
            <w:tcW w:w="1720" w:type="dxa"/>
            <w:tcBorders>
              <w:top w:val="nil"/>
              <w:left w:val="nil"/>
              <w:bottom w:val="nil"/>
              <w:right w:val="nil"/>
            </w:tcBorders>
            <w:shd w:val="clear" w:color="auto" w:fill="auto"/>
            <w:noWrap/>
            <w:vAlign w:val="bottom"/>
            <w:hideMark/>
          </w:tcPr>
          <w:p w14:paraId="439B6E8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3CECB57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CCC+</w:t>
            </w:r>
          </w:p>
        </w:tc>
        <w:tc>
          <w:tcPr>
            <w:tcW w:w="704" w:type="dxa"/>
            <w:tcBorders>
              <w:top w:val="nil"/>
              <w:left w:val="nil"/>
              <w:bottom w:val="nil"/>
              <w:right w:val="nil"/>
            </w:tcBorders>
            <w:shd w:val="clear" w:color="auto" w:fill="auto"/>
            <w:noWrap/>
            <w:vAlign w:val="bottom"/>
            <w:hideMark/>
          </w:tcPr>
          <w:p w14:paraId="5FFB8B4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CCC+</w:t>
            </w:r>
          </w:p>
        </w:tc>
        <w:tc>
          <w:tcPr>
            <w:tcW w:w="1054" w:type="dxa"/>
            <w:tcBorders>
              <w:top w:val="nil"/>
              <w:left w:val="nil"/>
              <w:bottom w:val="nil"/>
              <w:right w:val="nil"/>
            </w:tcBorders>
            <w:shd w:val="clear" w:color="auto" w:fill="auto"/>
            <w:noWrap/>
            <w:vAlign w:val="bottom"/>
            <w:hideMark/>
          </w:tcPr>
          <w:p w14:paraId="501BCB5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Caa1</w:t>
            </w:r>
          </w:p>
        </w:tc>
        <w:tc>
          <w:tcPr>
            <w:tcW w:w="960" w:type="dxa"/>
            <w:tcBorders>
              <w:top w:val="nil"/>
              <w:left w:val="nil"/>
              <w:bottom w:val="nil"/>
              <w:right w:val="nil"/>
            </w:tcBorders>
            <w:shd w:val="clear" w:color="auto" w:fill="auto"/>
            <w:noWrap/>
            <w:vAlign w:val="bottom"/>
            <w:hideMark/>
          </w:tcPr>
          <w:p w14:paraId="55555FB6"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4745BA6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835" w:type="dxa"/>
            <w:tcBorders>
              <w:top w:val="nil"/>
              <w:left w:val="nil"/>
              <w:bottom w:val="nil"/>
              <w:right w:val="nil"/>
            </w:tcBorders>
            <w:shd w:val="clear" w:color="auto" w:fill="auto"/>
            <w:noWrap/>
            <w:vAlign w:val="bottom"/>
            <w:hideMark/>
          </w:tcPr>
          <w:p w14:paraId="590D1A3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18</w:t>
            </w:r>
          </w:p>
        </w:tc>
        <w:tc>
          <w:tcPr>
            <w:tcW w:w="1251" w:type="dxa"/>
            <w:tcBorders>
              <w:top w:val="nil"/>
              <w:left w:val="nil"/>
              <w:bottom w:val="nil"/>
              <w:right w:val="nil"/>
            </w:tcBorders>
            <w:shd w:val="clear" w:color="auto" w:fill="auto"/>
            <w:noWrap/>
            <w:vAlign w:val="bottom"/>
            <w:hideMark/>
          </w:tcPr>
          <w:p w14:paraId="66B2D80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13</w:t>
            </w:r>
          </w:p>
        </w:tc>
        <w:tc>
          <w:tcPr>
            <w:tcW w:w="1180" w:type="dxa"/>
            <w:tcBorders>
              <w:top w:val="nil"/>
              <w:left w:val="nil"/>
              <w:bottom w:val="nil"/>
              <w:right w:val="nil"/>
            </w:tcBorders>
            <w:shd w:val="clear" w:color="auto" w:fill="auto"/>
            <w:noWrap/>
            <w:hideMark/>
          </w:tcPr>
          <w:p w14:paraId="7615E1D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5</w:t>
            </w:r>
          </w:p>
        </w:tc>
      </w:tr>
      <w:tr w:rsidR="0039612B" w:rsidRPr="0076192F" w14:paraId="2F9F8A10" w14:textId="77777777" w:rsidTr="00B21634">
        <w:trPr>
          <w:trHeight w:val="199"/>
        </w:trPr>
        <w:tc>
          <w:tcPr>
            <w:tcW w:w="1720" w:type="dxa"/>
            <w:tcBorders>
              <w:top w:val="nil"/>
              <w:left w:val="nil"/>
              <w:bottom w:val="nil"/>
              <w:right w:val="nil"/>
            </w:tcBorders>
            <w:shd w:val="clear" w:color="auto" w:fill="auto"/>
            <w:noWrap/>
            <w:vAlign w:val="bottom"/>
            <w:hideMark/>
          </w:tcPr>
          <w:p w14:paraId="790D8B8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7AEF285"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2D9A9396"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1E1CAEF8"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4D7132E4"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0ABA23A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w:t>
            </w:r>
          </w:p>
        </w:tc>
        <w:tc>
          <w:tcPr>
            <w:tcW w:w="835" w:type="dxa"/>
            <w:tcBorders>
              <w:top w:val="nil"/>
              <w:left w:val="nil"/>
              <w:bottom w:val="nil"/>
              <w:right w:val="nil"/>
            </w:tcBorders>
            <w:shd w:val="clear" w:color="auto" w:fill="auto"/>
            <w:noWrap/>
            <w:vAlign w:val="bottom"/>
            <w:hideMark/>
          </w:tcPr>
          <w:p w14:paraId="21F69AC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251" w:type="dxa"/>
            <w:tcBorders>
              <w:top w:val="nil"/>
              <w:left w:val="nil"/>
              <w:bottom w:val="nil"/>
              <w:right w:val="nil"/>
            </w:tcBorders>
            <w:shd w:val="clear" w:color="auto" w:fill="auto"/>
            <w:noWrap/>
            <w:vAlign w:val="bottom"/>
            <w:hideMark/>
          </w:tcPr>
          <w:p w14:paraId="0C9DA23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9</w:t>
            </w:r>
          </w:p>
        </w:tc>
        <w:tc>
          <w:tcPr>
            <w:tcW w:w="1180" w:type="dxa"/>
            <w:tcBorders>
              <w:top w:val="nil"/>
              <w:left w:val="nil"/>
              <w:bottom w:val="nil"/>
              <w:right w:val="nil"/>
            </w:tcBorders>
            <w:shd w:val="clear" w:color="auto" w:fill="auto"/>
            <w:noWrap/>
            <w:hideMark/>
          </w:tcPr>
          <w:p w14:paraId="1664AF2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4.67</w:t>
            </w:r>
          </w:p>
        </w:tc>
      </w:tr>
      <w:tr w:rsidR="0039612B" w:rsidRPr="0076192F" w14:paraId="5581F280" w14:textId="77777777" w:rsidTr="00B21634">
        <w:trPr>
          <w:trHeight w:val="199"/>
        </w:trPr>
        <w:tc>
          <w:tcPr>
            <w:tcW w:w="1720" w:type="dxa"/>
            <w:tcBorders>
              <w:top w:val="nil"/>
              <w:left w:val="nil"/>
              <w:bottom w:val="nil"/>
              <w:right w:val="nil"/>
            </w:tcBorders>
            <w:shd w:val="clear" w:color="auto" w:fill="auto"/>
            <w:noWrap/>
            <w:vAlign w:val="bottom"/>
            <w:hideMark/>
          </w:tcPr>
          <w:p w14:paraId="1680521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3D9303D"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4E1C7AB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359D71B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741F3C4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6D58A41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7C9B219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251" w:type="dxa"/>
            <w:tcBorders>
              <w:top w:val="nil"/>
              <w:left w:val="nil"/>
              <w:bottom w:val="nil"/>
              <w:right w:val="nil"/>
            </w:tcBorders>
            <w:shd w:val="clear" w:color="auto" w:fill="auto"/>
            <w:noWrap/>
            <w:vAlign w:val="bottom"/>
            <w:hideMark/>
          </w:tcPr>
          <w:p w14:paraId="6663F8E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180" w:type="dxa"/>
            <w:tcBorders>
              <w:top w:val="nil"/>
              <w:left w:val="nil"/>
              <w:bottom w:val="nil"/>
              <w:right w:val="nil"/>
            </w:tcBorders>
            <w:shd w:val="clear" w:color="auto" w:fill="auto"/>
            <w:noWrap/>
            <w:hideMark/>
          </w:tcPr>
          <w:p w14:paraId="2451143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4.33</w:t>
            </w:r>
          </w:p>
        </w:tc>
      </w:tr>
      <w:tr w:rsidR="0039612B" w:rsidRPr="0076192F" w14:paraId="0F8704F6" w14:textId="77777777" w:rsidTr="00B21634">
        <w:trPr>
          <w:trHeight w:val="199"/>
        </w:trPr>
        <w:tc>
          <w:tcPr>
            <w:tcW w:w="1720" w:type="dxa"/>
            <w:tcBorders>
              <w:top w:val="nil"/>
              <w:left w:val="nil"/>
              <w:bottom w:val="nil"/>
              <w:right w:val="nil"/>
            </w:tcBorders>
            <w:shd w:val="clear" w:color="auto" w:fill="auto"/>
            <w:noWrap/>
            <w:vAlign w:val="bottom"/>
            <w:hideMark/>
          </w:tcPr>
          <w:p w14:paraId="7540F4E2"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Very high credit</w:t>
            </w:r>
          </w:p>
        </w:tc>
        <w:tc>
          <w:tcPr>
            <w:tcW w:w="663" w:type="dxa"/>
            <w:tcBorders>
              <w:top w:val="nil"/>
              <w:left w:val="nil"/>
              <w:bottom w:val="nil"/>
              <w:right w:val="nil"/>
            </w:tcBorders>
            <w:shd w:val="clear" w:color="auto" w:fill="auto"/>
            <w:noWrap/>
            <w:vAlign w:val="bottom"/>
            <w:hideMark/>
          </w:tcPr>
          <w:p w14:paraId="57FF80E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CCC</w:t>
            </w:r>
          </w:p>
        </w:tc>
        <w:tc>
          <w:tcPr>
            <w:tcW w:w="704" w:type="dxa"/>
            <w:tcBorders>
              <w:top w:val="nil"/>
              <w:left w:val="nil"/>
              <w:bottom w:val="nil"/>
              <w:right w:val="nil"/>
            </w:tcBorders>
            <w:shd w:val="clear" w:color="auto" w:fill="auto"/>
            <w:noWrap/>
            <w:vAlign w:val="bottom"/>
            <w:hideMark/>
          </w:tcPr>
          <w:p w14:paraId="00001E7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CCC</w:t>
            </w:r>
          </w:p>
        </w:tc>
        <w:tc>
          <w:tcPr>
            <w:tcW w:w="1054" w:type="dxa"/>
            <w:tcBorders>
              <w:top w:val="nil"/>
              <w:left w:val="nil"/>
              <w:bottom w:val="nil"/>
              <w:right w:val="nil"/>
            </w:tcBorders>
            <w:shd w:val="clear" w:color="auto" w:fill="auto"/>
            <w:noWrap/>
            <w:vAlign w:val="bottom"/>
            <w:hideMark/>
          </w:tcPr>
          <w:p w14:paraId="1F9D963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Caa2</w:t>
            </w:r>
          </w:p>
        </w:tc>
        <w:tc>
          <w:tcPr>
            <w:tcW w:w="960" w:type="dxa"/>
            <w:tcBorders>
              <w:top w:val="nil"/>
              <w:left w:val="nil"/>
              <w:bottom w:val="nil"/>
              <w:right w:val="nil"/>
            </w:tcBorders>
            <w:shd w:val="clear" w:color="auto" w:fill="auto"/>
            <w:noWrap/>
            <w:vAlign w:val="bottom"/>
            <w:hideMark/>
          </w:tcPr>
          <w:p w14:paraId="7B97C345"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082B242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835" w:type="dxa"/>
            <w:tcBorders>
              <w:top w:val="nil"/>
              <w:left w:val="nil"/>
              <w:bottom w:val="nil"/>
              <w:right w:val="nil"/>
            </w:tcBorders>
            <w:shd w:val="clear" w:color="auto" w:fill="auto"/>
            <w:noWrap/>
            <w:vAlign w:val="bottom"/>
            <w:hideMark/>
          </w:tcPr>
          <w:p w14:paraId="7A16D03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251" w:type="dxa"/>
            <w:tcBorders>
              <w:top w:val="nil"/>
              <w:left w:val="nil"/>
              <w:bottom w:val="nil"/>
              <w:right w:val="nil"/>
            </w:tcBorders>
            <w:shd w:val="clear" w:color="auto" w:fill="auto"/>
            <w:noWrap/>
            <w:vAlign w:val="bottom"/>
            <w:hideMark/>
          </w:tcPr>
          <w:p w14:paraId="583DFAC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180" w:type="dxa"/>
            <w:tcBorders>
              <w:top w:val="nil"/>
              <w:left w:val="nil"/>
              <w:bottom w:val="nil"/>
              <w:right w:val="nil"/>
            </w:tcBorders>
            <w:shd w:val="clear" w:color="auto" w:fill="auto"/>
            <w:noWrap/>
            <w:hideMark/>
          </w:tcPr>
          <w:p w14:paraId="5CCBBFB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r>
      <w:tr w:rsidR="0039612B" w:rsidRPr="0076192F" w14:paraId="733750D3" w14:textId="77777777" w:rsidTr="00B21634">
        <w:trPr>
          <w:trHeight w:val="199"/>
        </w:trPr>
        <w:tc>
          <w:tcPr>
            <w:tcW w:w="1720" w:type="dxa"/>
            <w:tcBorders>
              <w:top w:val="nil"/>
              <w:left w:val="nil"/>
              <w:bottom w:val="nil"/>
              <w:right w:val="nil"/>
            </w:tcBorders>
            <w:shd w:val="clear" w:color="auto" w:fill="auto"/>
            <w:noWrap/>
            <w:vAlign w:val="bottom"/>
            <w:hideMark/>
          </w:tcPr>
          <w:p w14:paraId="49D6024C"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risk</w:t>
            </w:r>
          </w:p>
        </w:tc>
        <w:tc>
          <w:tcPr>
            <w:tcW w:w="663" w:type="dxa"/>
            <w:tcBorders>
              <w:top w:val="nil"/>
              <w:left w:val="nil"/>
              <w:bottom w:val="nil"/>
              <w:right w:val="nil"/>
            </w:tcBorders>
            <w:shd w:val="clear" w:color="auto" w:fill="auto"/>
            <w:noWrap/>
            <w:vAlign w:val="bottom"/>
            <w:hideMark/>
          </w:tcPr>
          <w:p w14:paraId="3222E88A"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p>
        </w:tc>
        <w:tc>
          <w:tcPr>
            <w:tcW w:w="704" w:type="dxa"/>
            <w:tcBorders>
              <w:top w:val="nil"/>
              <w:left w:val="nil"/>
              <w:bottom w:val="nil"/>
              <w:right w:val="nil"/>
            </w:tcBorders>
            <w:shd w:val="clear" w:color="auto" w:fill="auto"/>
            <w:noWrap/>
            <w:vAlign w:val="bottom"/>
            <w:hideMark/>
          </w:tcPr>
          <w:p w14:paraId="003FC230"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29096CE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69A4907F"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nil"/>
              <w:right w:val="nil"/>
            </w:tcBorders>
            <w:shd w:val="clear" w:color="auto" w:fill="auto"/>
            <w:noWrap/>
            <w:vAlign w:val="bottom"/>
            <w:hideMark/>
          </w:tcPr>
          <w:p w14:paraId="69483C8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1347634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1251" w:type="dxa"/>
            <w:tcBorders>
              <w:top w:val="nil"/>
              <w:left w:val="nil"/>
              <w:bottom w:val="nil"/>
              <w:right w:val="nil"/>
            </w:tcBorders>
            <w:shd w:val="clear" w:color="auto" w:fill="auto"/>
            <w:noWrap/>
            <w:vAlign w:val="bottom"/>
            <w:hideMark/>
          </w:tcPr>
          <w:p w14:paraId="34B7AEB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180" w:type="dxa"/>
            <w:tcBorders>
              <w:top w:val="nil"/>
              <w:left w:val="nil"/>
              <w:bottom w:val="nil"/>
              <w:right w:val="nil"/>
            </w:tcBorders>
            <w:shd w:val="clear" w:color="auto" w:fill="auto"/>
            <w:noWrap/>
            <w:hideMark/>
          </w:tcPr>
          <w:p w14:paraId="05B7B21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3.67</w:t>
            </w:r>
          </w:p>
        </w:tc>
      </w:tr>
      <w:tr w:rsidR="0039612B" w:rsidRPr="0076192F" w14:paraId="0C1A4906" w14:textId="77777777" w:rsidTr="00B21634">
        <w:trPr>
          <w:trHeight w:val="199"/>
        </w:trPr>
        <w:tc>
          <w:tcPr>
            <w:tcW w:w="1720" w:type="dxa"/>
            <w:tcBorders>
              <w:top w:val="nil"/>
              <w:left w:val="nil"/>
              <w:bottom w:val="nil"/>
              <w:right w:val="nil"/>
            </w:tcBorders>
            <w:shd w:val="clear" w:color="auto" w:fill="auto"/>
            <w:noWrap/>
            <w:vAlign w:val="bottom"/>
            <w:hideMark/>
          </w:tcPr>
          <w:p w14:paraId="2C24AB4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15CADF84" w14:textId="77777777" w:rsidR="0039612B" w:rsidRPr="0076192F" w:rsidRDefault="0039612B" w:rsidP="00B21634">
            <w:pPr>
              <w:spacing w:after="0" w:line="240" w:lineRule="auto"/>
              <w:rPr>
                <w:rFonts w:ascii="Cambria Math" w:eastAsia="Times New Roman" w:hAnsi="Cambria Math" w:cstheme="majorHAnsi"/>
                <w:sz w:val="16"/>
                <w:szCs w:val="20"/>
                <w:lang w:eastAsia="en-GB"/>
              </w:rPr>
            </w:pPr>
          </w:p>
        </w:tc>
        <w:tc>
          <w:tcPr>
            <w:tcW w:w="704" w:type="dxa"/>
            <w:tcBorders>
              <w:top w:val="nil"/>
              <w:left w:val="nil"/>
              <w:bottom w:val="nil"/>
              <w:right w:val="nil"/>
            </w:tcBorders>
            <w:shd w:val="clear" w:color="auto" w:fill="auto"/>
            <w:noWrap/>
            <w:vAlign w:val="bottom"/>
            <w:hideMark/>
          </w:tcPr>
          <w:p w14:paraId="22ED8AF2"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054" w:type="dxa"/>
            <w:tcBorders>
              <w:top w:val="nil"/>
              <w:left w:val="nil"/>
              <w:bottom w:val="nil"/>
              <w:right w:val="nil"/>
            </w:tcBorders>
            <w:shd w:val="clear" w:color="auto" w:fill="auto"/>
            <w:noWrap/>
            <w:vAlign w:val="bottom"/>
            <w:hideMark/>
          </w:tcPr>
          <w:p w14:paraId="0DF81E0A"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960" w:type="dxa"/>
            <w:tcBorders>
              <w:top w:val="nil"/>
              <w:left w:val="nil"/>
              <w:bottom w:val="nil"/>
              <w:right w:val="nil"/>
            </w:tcBorders>
            <w:shd w:val="clear" w:color="auto" w:fill="auto"/>
            <w:noWrap/>
            <w:vAlign w:val="bottom"/>
            <w:hideMark/>
          </w:tcPr>
          <w:p w14:paraId="02A51AF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Positive</w:t>
            </w:r>
          </w:p>
        </w:tc>
        <w:tc>
          <w:tcPr>
            <w:tcW w:w="734" w:type="dxa"/>
            <w:tcBorders>
              <w:top w:val="nil"/>
              <w:left w:val="nil"/>
              <w:bottom w:val="nil"/>
              <w:right w:val="nil"/>
            </w:tcBorders>
            <w:shd w:val="clear" w:color="auto" w:fill="auto"/>
            <w:noWrap/>
            <w:vAlign w:val="bottom"/>
            <w:hideMark/>
          </w:tcPr>
          <w:p w14:paraId="1308F59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59C3472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251" w:type="dxa"/>
            <w:tcBorders>
              <w:top w:val="nil"/>
              <w:left w:val="nil"/>
              <w:bottom w:val="nil"/>
              <w:right w:val="nil"/>
            </w:tcBorders>
            <w:shd w:val="clear" w:color="auto" w:fill="auto"/>
            <w:noWrap/>
            <w:vAlign w:val="bottom"/>
            <w:hideMark/>
          </w:tcPr>
          <w:p w14:paraId="338C853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180" w:type="dxa"/>
            <w:tcBorders>
              <w:top w:val="nil"/>
              <w:left w:val="nil"/>
              <w:bottom w:val="nil"/>
              <w:right w:val="nil"/>
            </w:tcBorders>
            <w:shd w:val="clear" w:color="auto" w:fill="auto"/>
            <w:noWrap/>
            <w:hideMark/>
          </w:tcPr>
          <w:p w14:paraId="30DF931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3.33</w:t>
            </w:r>
          </w:p>
        </w:tc>
      </w:tr>
      <w:tr w:rsidR="0039612B" w:rsidRPr="0076192F" w14:paraId="542796A4" w14:textId="77777777" w:rsidTr="00B21634">
        <w:trPr>
          <w:trHeight w:val="199"/>
        </w:trPr>
        <w:tc>
          <w:tcPr>
            <w:tcW w:w="1720" w:type="dxa"/>
            <w:tcBorders>
              <w:top w:val="nil"/>
              <w:left w:val="nil"/>
              <w:bottom w:val="nil"/>
              <w:right w:val="nil"/>
            </w:tcBorders>
            <w:shd w:val="clear" w:color="auto" w:fill="auto"/>
            <w:noWrap/>
            <w:vAlign w:val="bottom"/>
            <w:hideMark/>
          </w:tcPr>
          <w:p w14:paraId="67702E1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663" w:type="dxa"/>
            <w:tcBorders>
              <w:top w:val="nil"/>
              <w:left w:val="nil"/>
              <w:bottom w:val="nil"/>
              <w:right w:val="nil"/>
            </w:tcBorders>
            <w:shd w:val="clear" w:color="auto" w:fill="auto"/>
            <w:noWrap/>
            <w:vAlign w:val="bottom"/>
            <w:hideMark/>
          </w:tcPr>
          <w:p w14:paraId="55A50A1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CCC-</w:t>
            </w:r>
          </w:p>
        </w:tc>
        <w:tc>
          <w:tcPr>
            <w:tcW w:w="704" w:type="dxa"/>
            <w:tcBorders>
              <w:top w:val="nil"/>
              <w:left w:val="nil"/>
              <w:bottom w:val="nil"/>
              <w:right w:val="nil"/>
            </w:tcBorders>
            <w:shd w:val="clear" w:color="auto" w:fill="auto"/>
            <w:noWrap/>
            <w:vAlign w:val="bottom"/>
            <w:hideMark/>
          </w:tcPr>
          <w:p w14:paraId="377FDC4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CCC-</w:t>
            </w:r>
          </w:p>
        </w:tc>
        <w:tc>
          <w:tcPr>
            <w:tcW w:w="1054" w:type="dxa"/>
            <w:tcBorders>
              <w:top w:val="nil"/>
              <w:left w:val="nil"/>
              <w:bottom w:val="nil"/>
              <w:right w:val="nil"/>
            </w:tcBorders>
            <w:shd w:val="clear" w:color="auto" w:fill="auto"/>
            <w:noWrap/>
            <w:vAlign w:val="bottom"/>
            <w:hideMark/>
          </w:tcPr>
          <w:p w14:paraId="3F319EA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Caa3</w:t>
            </w:r>
          </w:p>
        </w:tc>
        <w:tc>
          <w:tcPr>
            <w:tcW w:w="960" w:type="dxa"/>
            <w:tcBorders>
              <w:top w:val="nil"/>
              <w:left w:val="nil"/>
              <w:bottom w:val="nil"/>
              <w:right w:val="nil"/>
            </w:tcBorders>
            <w:shd w:val="clear" w:color="auto" w:fill="auto"/>
            <w:noWrap/>
            <w:vAlign w:val="bottom"/>
            <w:hideMark/>
          </w:tcPr>
          <w:p w14:paraId="6DA03BDD"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Stable</w:t>
            </w:r>
          </w:p>
        </w:tc>
        <w:tc>
          <w:tcPr>
            <w:tcW w:w="734" w:type="dxa"/>
            <w:tcBorders>
              <w:top w:val="nil"/>
              <w:left w:val="nil"/>
              <w:bottom w:val="nil"/>
              <w:right w:val="nil"/>
            </w:tcBorders>
            <w:shd w:val="clear" w:color="auto" w:fill="auto"/>
            <w:noWrap/>
            <w:vAlign w:val="bottom"/>
            <w:hideMark/>
          </w:tcPr>
          <w:p w14:paraId="37258D4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36A9267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251" w:type="dxa"/>
            <w:tcBorders>
              <w:top w:val="nil"/>
              <w:left w:val="nil"/>
              <w:bottom w:val="nil"/>
              <w:right w:val="nil"/>
            </w:tcBorders>
            <w:shd w:val="clear" w:color="auto" w:fill="auto"/>
            <w:noWrap/>
            <w:vAlign w:val="bottom"/>
            <w:hideMark/>
          </w:tcPr>
          <w:p w14:paraId="1235AF5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7</w:t>
            </w:r>
          </w:p>
        </w:tc>
        <w:tc>
          <w:tcPr>
            <w:tcW w:w="1180" w:type="dxa"/>
            <w:tcBorders>
              <w:top w:val="nil"/>
              <w:left w:val="nil"/>
              <w:bottom w:val="nil"/>
              <w:right w:val="nil"/>
            </w:tcBorders>
            <w:shd w:val="clear" w:color="auto" w:fill="auto"/>
            <w:noWrap/>
            <w:hideMark/>
          </w:tcPr>
          <w:p w14:paraId="3094B66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r>
      <w:tr w:rsidR="0039612B" w:rsidRPr="0076192F" w14:paraId="05624799"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0DCAF503"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3E2628F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04" w:type="dxa"/>
            <w:tcBorders>
              <w:top w:val="nil"/>
              <w:left w:val="nil"/>
              <w:bottom w:val="single" w:sz="4" w:space="0" w:color="auto"/>
              <w:right w:val="nil"/>
            </w:tcBorders>
            <w:shd w:val="clear" w:color="auto" w:fill="auto"/>
            <w:noWrap/>
            <w:vAlign w:val="bottom"/>
            <w:hideMark/>
          </w:tcPr>
          <w:p w14:paraId="58FF54E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566886A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03023D4A" w14:textId="77777777" w:rsidR="0039612B" w:rsidRPr="0076192F" w:rsidRDefault="0039612B" w:rsidP="00B21634">
            <w:pPr>
              <w:spacing w:after="0" w:line="240" w:lineRule="auto"/>
              <w:jc w:val="center"/>
              <w:rPr>
                <w:rFonts w:ascii="Cambria Math" w:eastAsia="Times New Roman" w:hAnsi="Cambria Math" w:cstheme="majorHAnsi"/>
                <w:sz w:val="16"/>
                <w:szCs w:val="16"/>
                <w:lang w:eastAsia="en-GB"/>
              </w:rPr>
            </w:pPr>
            <w:r w:rsidRPr="0076192F">
              <w:rPr>
                <w:rFonts w:ascii="Cambria Math" w:eastAsia="Times New Roman" w:hAnsi="Cambria Math" w:cstheme="majorHAnsi"/>
                <w:sz w:val="16"/>
                <w:szCs w:val="16"/>
                <w:lang w:eastAsia="en-GB"/>
              </w:rPr>
              <w:t>Negative</w:t>
            </w:r>
          </w:p>
        </w:tc>
        <w:tc>
          <w:tcPr>
            <w:tcW w:w="734" w:type="dxa"/>
            <w:tcBorders>
              <w:top w:val="nil"/>
              <w:left w:val="nil"/>
              <w:bottom w:val="single" w:sz="4" w:space="0" w:color="auto"/>
              <w:right w:val="nil"/>
            </w:tcBorders>
            <w:shd w:val="clear" w:color="auto" w:fill="auto"/>
            <w:noWrap/>
            <w:vAlign w:val="bottom"/>
            <w:hideMark/>
          </w:tcPr>
          <w:p w14:paraId="07F5EF1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single" w:sz="4" w:space="0" w:color="auto"/>
              <w:right w:val="nil"/>
            </w:tcBorders>
            <w:shd w:val="clear" w:color="auto" w:fill="auto"/>
            <w:noWrap/>
            <w:vAlign w:val="bottom"/>
            <w:hideMark/>
          </w:tcPr>
          <w:p w14:paraId="00E20979"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1251" w:type="dxa"/>
            <w:tcBorders>
              <w:top w:val="nil"/>
              <w:left w:val="nil"/>
              <w:bottom w:val="single" w:sz="4" w:space="0" w:color="auto"/>
              <w:right w:val="nil"/>
            </w:tcBorders>
            <w:shd w:val="clear" w:color="auto" w:fill="auto"/>
            <w:noWrap/>
            <w:vAlign w:val="bottom"/>
            <w:hideMark/>
          </w:tcPr>
          <w:p w14:paraId="7A920F5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c>
          <w:tcPr>
            <w:tcW w:w="1180" w:type="dxa"/>
            <w:tcBorders>
              <w:top w:val="nil"/>
              <w:left w:val="nil"/>
              <w:bottom w:val="single" w:sz="4" w:space="0" w:color="auto"/>
              <w:right w:val="nil"/>
            </w:tcBorders>
            <w:shd w:val="clear" w:color="auto" w:fill="auto"/>
            <w:noWrap/>
            <w:hideMark/>
          </w:tcPr>
          <w:p w14:paraId="50631D2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2.66</w:t>
            </w:r>
          </w:p>
        </w:tc>
      </w:tr>
      <w:tr w:rsidR="0039612B" w:rsidRPr="0076192F" w14:paraId="0E147C6E" w14:textId="77777777" w:rsidTr="00B21634">
        <w:trPr>
          <w:trHeight w:val="199"/>
        </w:trPr>
        <w:tc>
          <w:tcPr>
            <w:tcW w:w="1720" w:type="dxa"/>
            <w:tcBorders>
              <w:top w:val="nil"/>
              <w:left w:val="nil"/>
              <w:bottom w:val="nil"/>
              <w:right w:val="nil"/>
            </w:tcBorders>
            <w:shd w:val="clear" w:color="auto" w:fill="auto"/>
            <w:noWrap/>
            <w:vAlign w:val="bottom"/>
            <w:hideMark/>
          </w:tcPr>
          <w:p w14:paraId="266177AC"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Non default with</w:t>
            </w:r>
          </w:p>
        </w:tc>
        <w:tc>
          <w:tcPr>
            <w:tcW w:w="663" w:type="dxa"/>
            <w:tcBorders>
              <w:top w:val="nil"/>
              <w:left w:val="nil"/>
              <w:bottom w:val="nil"/>
              <w:right w:val="nil"/>
            </w:tcBorders>
            <w:shd w:val="clear" w:color="auto" w:fill="auto"/>
            <w:noWrap/>
            <w:vAlign w:val="bottom"/>
            <w:hideMark/>
          </w:tcPr>
          <w:p w14:paraId="0438D91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w:t>
            </w:r>
          </w:p>
        </w:tc>
        <w:tc>
          <w:tcPr>
            <w:tcW w:w="704" w:type="dxa"/>
            <w:tcBorders>
              <w:top w:val="nil"/>
              <w:left w:val="nil"/>
              <w:bottom w:val="nil"/>
              <w:right w:val="nil"/>
            </w:tcBorders>
            <w:shd w:val="clear" w:color="auto" w:fill="auto"/>
            <w:noWrap/>
            <w:vAlign w:val="bottom"/>
            <w:hideMark/>
          </w:tcPr>
          <w:p w14:paraId="13EC94B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CC</w:t>
            </w:r>
          </w:p>
        </w:tc>
        <w:tc>
          <w:tcPr>
            <w:tcW w:w="1054" w:type="dxa"/>
            <w:tcBorders>
              <w:top w:val="nil"/>
              <w:left w:val="nil"/>
              <w:bottom w:val="nil"/>
              <w:right w:val="nil"/>
            </w:tcBorders>
            <w:shd w:val="clear" w:color="auto" w:fill="auto"/>
            <w:noWrap/>
            <w:vAlign w:val="bottom"/>
            <w:hideMark/>
          </w:tcPr>
          <w:p w14:paraId="76119F52"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Ca</w:t>
            </w:r>
          </w:p>
        </w:tc>
        <w:tc>
          <w:tcPr>
            <w:tcW w:w="960" w:type="dxa"/>
            <w:tcBorders>
              <w:top w:val="nil"/>
              <w:left w:val="nil"/>
              <w:bottom w:val="nil"/>
              <w:right w:val="nil"/>
            </w:tcBorders>
            <w:shd w:val="clear" w:color="auto" w:fill="auto"/>
            <w:noWrap/>
            <w:vAlign w:val="bottom"/>
            <w:hideMark/>
          </w:tcPr>
          <w:p w14:paraId="1D19F62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34" w:type="dxa"/>
            <w:tcBorders>
              <w:top w:val="nil"/>
              <w:left w:val="nil"/>
              <w:bottom w:val="nil"/>
              <w:right w:val="nil"/>
            </w:tcBorders>
            <w:shd w:val="clear" w:color="auto" w:fill="auto"/>
            <w:noWrap/>
            <w:vAlign w:val="bottom"/>
            <w:hideMark/>
          </w:tcPr>
          <w:p w14:paraId="0804858B"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835" w:type="dxa"/>
            <w:tcBorders>
              <w:top w:val="nil"/>
              <w:left w:val="nil"/>
              <w:bottom w:val="nil"/>
              <w:right w:val="nil"/>
            </w:tcBorders>
            <w:shd w:val="clear" w:color="auto" w:fill="auto"/>
            <w:noWrap/>
            <w:vAlign w:val="bottom"/>
            <w:hideMark/>
          </w:tcPr>
          <w:p w14:paraId="3083DD6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251" w:type="dxa"/>
            <w:tcBorders>
              <w:top w:val="nil"/>
              <w:left w:val="nil"/>
              <w:bottom w:val="nil"/>
              <w:right w:val="nil"/>
            </w:tcBorders>
            <w:shd w:val="clear" w:color="auto" w:fill="auto"/>
            <w:noWrap/>
            <w:vAlign w:val="bottom"/>
            <w:hideMark/>
          </w:tcPr>
          <w:p w14:paraId="4DD1328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w:t>
            </w:r>
          </w:p>
        </w:tc>
        <w:tc>
          <w:tcPr>
            <w:tcW w:w="1180" w:type="dxa"/>
            <w:tcBorders>
              <w:top w:val="nil"/>
              <w:left w:val="nil"/>
              <w:bottom w:val="nil"/>
              <w:right w:val="nil"/>
            </w:tcBorders>
            <w:shd w:val="clear" w:color="auto" w:fill="auto"/>
            <w:noWrap/>
            <w:hideMark/>
          </w:tcPr>
          <w:p w14:paraId="6D8B24E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2.33</w:t>
            </w:r>
          </w:p>
        </w:tc>
      </w:tr>
      <w:tr w:rsidR="0039612B" w:rsidRPr="0076192F" w14:paraId="191852AC"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42F643D4"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xml:space="preserve">possibility of recovery </w:t>
            </w:r>
          </w:p>
        </w:tc>
        <w:tc>
          <w:tcPr>
            <w:tcW w:w="663" w:type="dxa"/>
            <w:tcBorders>
              <w:top w:val="nil"/>
              <w:left w:val="nil"/>
              <w:bottom w:val="single" w:sz="4" w:space="0" w:color="auto"/>
              <w:right w:val="nil"/>
            </w:tcBorders>
            <w:shd w:val="clear" w:color="auto" w:fill="auto"/>
            <w:noWrap/>
            <w:vAlign w:val="bottom"/>
            <w:hideMark/>
          </w:tcPr>
          <w:p w14:paraId="7C94FAD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w:t>
            </w:r>
          </w:p>
        </w:tc>
        <w:tc>
          <w:tcPr>
            <w:tcW w:w="704" w:type="dxa"/>
            <w:tcBorders>
              <w:top w:val="nil"/>
              <w:left w:val="nil"/>
              <w:bottom w:val="single" w:sz="4" w:space="0" w:color="auto"/>
              <w:right w:val="nil"/>
            </w:tcBorders>
            <w:shd w:val="clear" w:color="auto" w:fill="auto"/>
            <w:noWrap/>
            <w:vAlign w:val="bottom"/>
            <w:hideMark/>
          </w:tcPr>
          <w:p w14:paraId="7A693B9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321EFB9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69A5FE6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34" w:type="dxa"/>
            <w:tcBorders>
              <w:top w:val="nil"/>
              <w:left w:val="nil"/>
              <w:bottom w:val="single" w:sz="4" w:space="0" w:color="auto"/>
              <w:right w:val="nil"/>
            </w:tcBorders>
            <w:shd w:val="clear" w:color="auto" w:fill="auto"/>
            <w:noWrap/>
            <w:vAlign w:val="bottom"/>
            <w:hideMark/>
          </w:tcPr>
          <w:p w14:paraId="201DCAF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835" w:type="dxa"/>
            <w:tcBorders>
              <w:top w:val="nil"/>
              <w:left w:val="nil"/>
              <w:bottom w:val="single" w:sz="4" w:space="0" w:color="auto"/>
              <w:right w:val="nil"/>
            </w:tcBorders>
            <w:shd w:val="clear" w:color="auto" w:fill="auto"/>
            <w:noWrap/>
            <w:vAlign w:val="bottom"/>
            <w:hideMark/>
          </w:tcPr>
          <w:p w14:paraId="3200A19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3</w:t>
            </w:r>
          </w:p>
        </w:tc>
        <w:tc>
          <w:tcPr>
            <w:tcW w:w="1251" w:type="dxa"/>
            <w:tcBorders>
              <w:top w:val="nil"/>
              <w:left w:val="nil"/>
              <w:bottom w:val="single" w:sz="4" w:space="0" w:color="auto"/>
              <w:right w:val="nil"/>
            </w:tcBorders>
            <w:shd w:val="clear" w:color="auto" w:fill="auto"/>
            <w:noWrap/>
            <w:vAlign w:val="bottom"/>
            <w:hideMark/>
          </w:tcPr>
          <w:p w14:paraId="5D436C8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4</w:t>
            </w:r>
          </w:p>
        </w:tc>
        <w:tc>
          <w:tcPr>
            <w:tcW w:w="1180" w:type="dxa"/>
            <w:tcBorders>
              <w:top w:val="nil"/>
              <w:left w:val="nil"/>
              <w:bottom w:val="single" w:sz="4" w:space="0" w:color="auto"/>
              <w:right w:val="nil"/>
            </w:tcBorders>
            <w:shd w:val="clear" w:color="auto" w:fill="auto"/>
            <w:noWrap/>
            <w:hideMark/>
          </w:tcPr>
          <w:p w14:paraId="7EA8497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2</w:t>
            </w:r>
          </w:p>
        </w:tc>
      </w:tr>
      <w:tr w:rsidR="0039612B" w:rsidRPr="0076192F" w14:paraId="2C79B3B7" w14:textId="77777777" w:rsidTr="00B21634">
        <w:trPr>
          <w:trHeight w:val="199"/>
        </w:trPr>
        <w:tc>
          <w:tcPr>
            <w:tcW w:w="1720" w:type="dxa"/>
            <w:tcBorders>
              <w:top w:val="nil"/>
              <w:left w:val="nil"/>
              <w:bottom w:val="nil"/>
              <w:right w:val="nil"/>
            </w:tcBorders>
            <w:shd w:val="clear" w:color="auto" w:fill="auto"/>
            <w:noWrap/>
            <w:vAlign w:val="bottom"/>
            <w:hideMark/>
          </w:tcPr>
          <w:p w14:paraId="5528598A"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Default</w:t>
            </w:r>
          </w:p>
        </w:tc>
        <w:tc>
          <w:tcPr>
            <w:tcW w:w="663" w:type="dxa"/>
            <w:tcBorders>
              <w:top w:val="nil"/>
              <w:left w:val="nil"/>
              <w:bottom w:val="nil"/>
              <w:right w:val="nil"/>
            </w:tcBorders>
            <w:shd w:val="clear" w:color="auto" w:fill="auto"/>
            <w:noWrap/>
            <w:vAlign w:val="bottom"/>
            <w:hideMark/>
          </w:tcPr>
          <w:p w14:paraId="07FFE0CC"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DDD</w:t>
            </w:r>
          </w:p>
        </w:tc>
        <w:tc>
          <w:tcPr>
            <w:tcW w:w="704" w:type="dxa"/>
            <w:tcBorders>
              <w:top w:val="nil"/>
              <w:left w:val="nil"/>
              <w:bottom w:val="nil"/>
              <w:right w:val="nil"/>
            </w:tcBorders>
            <w:shd w:val="clear" w:color="auto" w:fill="auto"/>
            <w:noWrap/>
            <w:vAlign w:val="bottom"/>
            <w:hideMark/>
          </w:tcPr>
          <w:p w14:paraId="7E5FA788"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SD</w:t>
            </w:r>
          </w:p>
        </w:tc>
        <w:tc>
          <w:tcPr>
            <w:tcW w:w="1054" w:type="dxa"/>
            <w:tcBorders>
              <w:top w:val="nil"/>
              <w:left w:val="nil"/>
              <w:bottom w:val="nil"/>
              <w:right w:val="nil"/>
            </w:tcBorders>
            <w:shd w:val="clear" w:color="auto" w:fill="auto"/>
            <w:noWrap/>
            <w:vAlign w:val="bottom"/>
            <w:hideMark/>
          </w:tcPr>
          <w:p w14:paraId="36AAF9CD"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C</w:t>
            </w:r>
          </w:p>
        </w:tc>
        <w:tc>
          <w:tcPr>
            <w:tcW w:w="960" w:type="dxa"/>
            <w:tcBorders>
              <w:top w:val="nil"/>
              <w:left w:val="nil"/>
              <w:bottom w:val="nil"/>
              <w:right w:val="nil"/>
            </w:tcBorders>
            <w:shd w:val="clear" w:color="auto" w:fill="auto"/>
            <w:noWrap/>
            <w:vAlign w:val="bottom"/>
            <w:hideMark/>
          </w:tcPr>
          <w:p w14:paraId="583E0EC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734" w:type="dxa"/>
            <w:tcBorders>
              <w:top w:val="nil"/>
              <w:left w:val="nil"/>
              <w:bottom w:val="nil"/>
              <w:right w:val="nil"/>
            </w:tcBorders>
            <w:shd w:val="clear" w:color="auto" w:fill="auto"/>
            <w:noWrap/>
            <w:vAlign w:val="bottom"/>
            <w:hideMark/>
          </w:tcPr>
          <w:p w14:paraId="5FCACCC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835" w:type="dxa"/>
            <w:tcBorders>
              <w:top w:val="nil"/>
              <w:left w:val="nil"/>
              <w:bottom w:val="nil"/>
              <w:right w:val="nil"/>
            </w:tcBorders>
            <w:shd w:val="clear" w:color="auto" w:fill="auto"/>
            <w:noWrap/>
            <w:vAlign w:val="bottom"/>
            <w:hideMark/>
          </w:tcPr>
          <w:p w14:paraId="021FB7C2"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251" w:type="dxa"/>
            <w:tcBorders>
              <w:top w:val="nil"/>
              <w:left w:val="nil"/>
              <w:bottom w:val="nil"/>
              <w:right w:val="nil"/>
            </w:tcBorders>
            <w:shd w:val="clear" w:color="auto" w:fill="auto"/>
            <w:noWrap/>
            <w:vAlign w:val="bottom"/>
            <w:hideMark/>
          </w:tcPr>
          <w:p w14:paraId="15D93471"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1180" w:type="dxa"/>
            <w:tcBorders>
              <w:top w:val="nil"/>
              <w:left w:val="nil"/>
              <w:bottom w:val="nil"/>
              <w:right w:val="nil"/>
            </w:tcBorders>
            <w:shd w:val="clear" w:color="auto" w:fill="auto"/>
            <w:noWrap/>
            <w:hideMark/>
          </w:tcPr>
          <w:p w14:paraId="48BD97E9"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r>
      <w:tr w:rsidR="0039612B" w:rsidRPr="0076192F" w14:paraId="03168B44" w14:textId="77777777" w:rsidTr="00B21634">
        <w:trPr>
          <w:trHeight w:val="199"/>
        </w:trPr>
        <w:tc>
          <w:tcPr>
            <w:tcW w:w="1720" w:type="dxa"/>
            <w:tcBorders>
              <w:top w:val="nil"/>
              <w:left w:val="nil"/>
              <w:bottom w:val="nil"/>
              <w:right w:val="nil"/>
            </w:tcBorders>
            <w:shd w:val="clear" w:color="auto" w:fill="auto"/>
            <w:noWrap/>
            <w:vAlign w:val="bottom"/>
            <w:hideMark/>
          </w:tcPr>
          <w:p w14:paraId="53F046CD"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663" w:type="dxa"/>
            <w:tcBorders>
              <w:top w:val="nil"/>
              <w:left w:val="nil"/>
              <w:bottom w:val="nil"/>
              <w:right w:val="nil"/>
            </w:tcBorders>
            <w:shd w:val="clear" w:color="auto" w:fill="auto"/>
            <w:noWrap/>
            <w:vAlign w:val="bottom"/>
            <w:hideMark/>
          </w:tcPr>
          <w:p w14:paraId="43D8FFB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DD</w:t>
            </w:r>
          </w:p>
        </w:tc>
        <w:tc>
          <w:tcPr>
            <w:tcW w:w="704" w:type="dxa"/>
            <w:tcBorders>
              <w:top w:val="nil"/>
              <w:left w:val="nil"/>
              <w:bottom w:val="nil"/>
              <w:right w:val="nil"/>
            </w:tcBorders>
            <w:shd w:val="clear" w:color="auto" w:fill="auto"/>
            <w:noWrap/>
            <w:vAlign w:val="bottom"/>
            <w:hideMark/>
          </w:tcPr>
          <w:p w14:paraId="76D6CFC4"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D</w:t>
            </w:r>
          </w:p>
        </w:tc>
        <w:tc>
          <w:tcPr>
            <w:tcW w:w="1054" w:type="dxa"/>
            <w:tcBorders>
              <w:top w:val="nil"/>
              <w:left w:val="nil"/>
              <w:bottom w:val="nil"/>
              <w:right w:val="nil"/>
            </w:tcBorders>
            <w:shd w:val="clear" w:color="auto" w:fill="auto"/>
            <w:noWrap/>
            <w:vAlign w:val="bottom"/>
            <w:hideMark/>
          </w:tcPr>
          <w:p w14:paraId="29ED8C90"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9363B9E" w14:textId="77777777" w:rsidR="0039612B" w:rsidRPr="0076192F" w:rsidRDefault="0039612B" w:rsidP="00B21634">
            <w:pPr>
              <w:spacing w:after="0" w:line="240" w:lineRule="auto"/>
              <w:jc w:val="center"/>
              <w:rPr>
                <w:rFonts w:ascii="Cambria Math" w:eastAsia="Times New Roman" w:hAnsi="Cambria Math" w:cstheme="majorHAnsi"/>
                <w:sz w:val="16"/>
                <w:szCs w:val="20"/>
                <w:lang w:eastAsia="en-GB"/>
              </w:rPr>
            </w:pPr>
          </w:p>
        </w:tc>
        <w:tc>
          <w:tcPr>
            <w:tcW w:w="734" w:type="dxa"/>
            <w:tcBorders>
              <w:top w:val="nil"/>
              <w:left w:val="nil"/>
              <w:bottom w:val="nil"/>
              <w:right w:val="nil"/>
            </w:tcBorders>
            <w:shd w:val="clear" w:color="auto" w:fill="auto"/>
            <w:noWrap/>
            <w:vAlign w:val="bottom"/>
            <w:hideMark/>
          </w:tcPr>
          <w:p w14:paraId="5099E4E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8</w:t>
            </w:r>
          </w:p>
        </w:tc>
        <w:tc>
          <w:tcPr>
            <w:tcW w:w="835" w:type="dxa"/>
            <w:tcBorders>
              <w:top w:val="nil"/>
              <w:left w:val="nil"/>
              <w:bottom w:val="nil"/>
              <w:right w:val="nil"/>
            </w:tcBorders>
            <w:shd w:val="clear" w:color="auto" w:fill="auto"/>
            <w:noWrap/>
            <w:vAlign w:val="bottom"/>
            <w:hideMark/>
          </w:tcPr>
          <w:p w14:paraId="3AF051B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10</w:t>
            </w:r>
          </w:p>
        </w:tc>
        <w:tc>
          <w:tcPr>
            <w:tcW w:w="1251" w:type="dxa"/>
            <w:tcBorders>
              <w:top w:val="nil"/>
              <w:left w:val="nil"/>
              <w:bottom w:val="nil"/>
              <w:right w:val="nil"/>
            </w:tcBorders>
            <w:shd w:val="clear" w:color="auto" w:fill="auto"/>
            <w:noWrap/>
            <w:vAlign w:val="bottom"/>
            <w:hideMark/>
          </w:tcPr>
          <w:p w14:paraId="307B5F0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w:t>
            </w:r>
          </w:p>
        </w:tc>
        <w:tc>
          <w:tcPr>
            <w:tcW w:w="1180" w:type="dxa"/>
            <w:tcBorders>
              <w:top w:val="nil"/>
              <w:left w:val="nil"/>
              <w:bottom w:val="nil"/>
              <w:right w:val="nil"/>
            </w:tcBorders>
            <w:shd w:val="clear" w:color="auto" w:fill="auto"/>
            <w:noWrap/>
            <w:hideMark/>
          </w:tcPr>
          <w:p w14:paraId="07F953F5"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1</w:t>
            </w:r>
          </w:p>
        </w:tc>
      </w:tr>
      <w:tr w:rsidR="0039612B" w:rsidRPr="0076192F" w14:paraId="292B3B2C" w14:textId="77777777" w:rsidTr="00B21634">
        <w:trPr>
          <w:trHeight w:val="199"/>
        </w:trPr>
        <w:tc>
          <w:tcPr>
            <w:tcW w:w="1720" w:type="dxa"/>
            <w:tcBorders>
              <w:top w:val="nil"/>
              <w:left w:val="nil"/>
              <w:bottom w:val="single" w:sz="4" w:space="0" w:color="auto"/>
              <w:right w:val="nil"/>
            </w:tcBorders>
            <w:shd w:val="clear" w:color="auto" w:fill="auto"/>
            <w:noWrap/>
            <w:vAlign w:val="bottom"/>
            <w:hideMark/>
          </w:tcPr>
          <w:p w14:paraId="12E95818" w14:textId="77777777" w:rsidR="0039612B" w:rsidRPr="0076192F" w:rsidRDefault="0039612B" w:rsidP="00B21634">
            <w:pPr>
              <w:spacing w:after="0" w:line="240" w:lineRule="auto"/>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663" w:type="dxa"/>
            <w:tcBorders>
              <w:top w:val="nil"/>
              <w:left w:val="nil"/>
              <w:bottom w:val="single" w:sz="4" w:space="0" w:color="auto"/>
              <w:right w:val="nil"/>
            </w:tcBorders>
            <w:shd w:val="clear" w:color="auto" w:fill="auto"/>
            <w:noWrap/>
            <w:vAlign w:val="bottom"/>
            <w:hideMark/>
          </w:tcPr>
          <w:p w14:paraId="1CE54087"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D</w:t>
            </w:r>
          </w:p>
        </w:tc>
        <w:tc>
          <w:tcPr>
            <w:tcW w:w="704" w:type="dxa"/>
            <w:tcBorders>
              <w:top w:val="nil"/>
              <w:left w:val="nil"/>
              <w:bottom w:val="single" w:sz="4" w:space="0" w:color="auto"/>
              <w:right w:val="nil"/>
            </w:tcBorders>
            <w:shd w:val="clear" w:color="auto" w:fill="auto"/>
            <w:noWrap/>
            <w:vAlign w:val="bottom"/>
            <w:hideMark/>
          </w:tcPr>
          <w:p w14:paraId="21E9412E"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054" w:type="dxa"/>
            <w:tcBorders>
              <w:top w:val="nil"/>
              <w:left w:val="nil"/>
              <w:bottom w:val="single" w:sz="4" w:space="0" w:color="auto"/>
              <w:right w:val="nil"/>
            </w:tcBorders>
            <w:shd w:val="clear" w:color="auto" w:fill="auto"/>
            <w:noWrap/>
            <w:vAlign w:val="bottom"/>
            <w:hideMark/>
          </w:tcPr>
          <w:p w14:paraId="0C7635C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960" w:type="dxa"/>
            <w:tcBorders>
              <w:top w:val="nil"/>
              <w:left w:val="nil"/>
              <w:bottom w:val="single" w:sz="4" w:space="0" w:color="auto"/>
              <w:right w:val="nil"/>
            </w:tcBorders>
            <w:shd w:val="clear" w:color="auto" w:fill="auto"/>
            <w:noWrap/>
            <w:vAlign w:val="bottom"/>
            <w:hideMark/>
          </w:tcPr>
          <w:p w14:paraId="2DFA4313"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734" w:type="dxa"/>
            <w:tcBorders>
              <w:top w:val="nil"/>
              <w:left w:val="nil"/>
              <w:bottom w:val="single" w:sz="4" w:space="0" w:color="auto"/>
              <w:right w:val="nil"/>
            </w:tcBorders>
            <w:shd w:val="clear" w:color="auto" w:fill="auto"/>
            <w:noWrap/>
            <w:vAlign w:val="bottom"/>
            <w:hideMark/>
          </w:tcPr>
          <w:p w14:paraId="74EC0EAF"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835" w:type="dxa"/>
            <w:tcBorders>
              <w:top w:val="nil"/>
              <w:left w:val="nil"/>
              <w:bottom w:val="single" w:sz="4" w:space="0" w:color="auto"/>
              <w:right w:val="nil"/>
            </w:tcBorders>
            <w:shd w:val="clear" w:color="auto" w:fill="auto"/>
            <w:noWrap/>
            <w:vAlign w:val="bottom"/>
            <w:hideMark/>
          </w:tcPr>
          <w:p w14:paraId="1EFC472A"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251" w:type="dxa"/>
            <w:tcBorders>
              <w:top w:val="nil"/>
              <w:left w:val="nil"/>
              <w:bottom w:val="single" w:sz="4" w:space="0" w:color="auto"/>
              <w:right w:val="nil"/>
            </w:tcBorders>
            <w:shd w:val="clear" w:color="auto" w:fill="auto"/>
            <w:noWrap/>
            <w:vAlign w:val="bottom"/>
            <w:hideMark/>
          </w:tcPr>
          <w:p w14:paraId="4F42C5D6"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c>
          <w:tcPr>
            <w:tcW w:w="1180" w:type="dxa"/>
            <w:tcBorders>
              <w:top w:val="nil"/>
              <w:left w:val="nil"/>
              <w:bottom w:val="single" w:sz="4" w:space="0" w:color="auto"/>
              <w:right w:val="nil"/>
            </w:tcBorders>
            <w:shd w:val="clear" w:color="auto" w:fill="auto"/>
            <w:noWrap/>
            <w:hideMark/>
          </w:tcPr>
          <w:p w14:paraId="4FAC89B1" w14:textId="77777777" w:rsidR="0039612B" w:rsidRPr="0076192F" w:rsidRDefault="0039612B" w:rsidP="00B21634">
            <w:pPr>
              <w:spacing w:after="0" w:line="240" w:lineRule="auto"/>
              <w:jc w:val="center"/>
              <w:rPr>
                <w:rFonts w:ascii="Cambria Math" w:eastAsia="Times New Roman" w:hAnsi="Cambria Math" w:cstheme="majorHAnsi"/>
                <w:color w:val="000000"/>
                <w:sz w:val="16"/>
                <w:szCs w:val="16"/>
                <w:lang w:eastAsia="en-GB"/>
              </w:rPr>
            </w:pPr>
            <w:r w:rsidRPr="0076192F">
              <w:rPr>
                <w:rFonts w:ascii="Cambria Math" w:eastAsia="Times New Roman" w:hAnsi="Cambria Math" w:cstheme="majorHAnsi"/>
                <w:color w:val="000000"/>
                <w:sz w:val="16"/>
                <w:szCs w:val="16"/>
                <w:lang w:eastAsia="en-GB"/>
              </w:rPr>
              <w:t> </w:t>
            </w:r>
          </w:p>
        </w:tc>
      </w:tr>
    </w:tbl>
    <w:p w14:paraId="0494716D" w14:textId="0E1E3223" w:rsidR="003C40E6" w:rsidRDefault="003C40E6" w:rsidP="003B5C23">
      <w:pPr>
        <w:spacing w:line="240" w:lineRule="auto"/>
        <w:rPr>
          <w:rFonts w:ascii="Cambria Math" w:hAnsi="Cambria Math"/>
          <w:b/>
          <w:sz w:val="24"/>
        </w:rPr>
      </w:pPr>
      <w:r w:rsidRPr="0076192F">
        <w:rPr>
          <w:rFonts w:ascii="Cambria Math" w:hAnsi="Cambria Math"/>
          <w:b/>
          <w:sz w:val="24"/>
        </w:rPr>
        <w:br w:type="page"/>
      </w:r>
    </w:p>
    <w:p w14:paraId="26B3A0F2" w14:textId="12BA3A64" w:rsidR="005931C9" w:rsidRPr="0076192F" w:rsidRDefault="005931C9" w:rsidP="005931C9">
      <w:pPr>
        <w:spacing w:line="240" w:lineRule="auto"/>
        <w:rPr>
          <w:rFonts w:ascii="Cambria Math" w:hAnsi="Cambria Math"/>
          <w:b/>
          <w:sz w:val="24"/>
        </w:rPr>
      </w:pPr>
      <w:r w:rsidRPr="0076192F">
        <w:rPr>
          <w:rFonts w:ascii="Cambria Math" w:hAnsi="Cambria Math"/>
          <w:b/>
          <w:sz w:val="24"/>
        </w:rPr>
        <w:lastRenderedPageBreak/>
        <w:t xml:space="preserve">Table </w:t>
      </w:r>
      <w:r>
        <w:rPr>
          <w:rFonts w:ascii="Cambria Math" w:hAnsi="Cambria Math"/>
          <w:b/>
          <w:sz w:val="24"/>
        </w:rPr>
        <w:t>2</w:t>
      </w:r>
      <w:r w:rsidRPr="0076192F">
        <w:rPr>
          <w:rFonts w:ascii="Cambria Math" w:hAnsi="Cambria Math"/>
          <w:b/>
          <w:sz w:val="24"/>
        </w:rPr>
        <w:t>: Data definitions and sources</w:t>
      </w:r>
    </w:p>
    <w:tbl>
      <w:tblPr>
        <w:tblW w:w="10048" w:type="dxa"/>
        <w:tblLook w:val="04A0" w:firstRow="1" w:lastRow="0" w:firstColumn="1" w:lastColumn="0" w:noHBand="0" w:noVBand="1"/>
      </w:tblPr>
      <w:tblGrid>
        <w:gridCol w:w="2124"/>
        <w:gridCol w:w="5494"/>
        <w:gridCol w:w="2430"/>
      </w:tblGrid>
      <w:tr w:rsidR="00A30FC9" w:rsidRPr="00A30FC9" w14:paraId="2820A115" w14:textId="77777777" w:rsidTr="00EF1C4D">
        <w:trPr>
          <w:trHeight w:val="298"/>
        </w:trPr>
        <w:tc>
          <w:tcPr>
            <w:tcW w:w="2124" w:type="dxa"/>
            <w:tcBorders>
              <w:top w:val="nil"/>
              <w:left w:val="nil"/>
              <w:bottom w:val="single" w:sz="4" w:space="0" w:color="auto"/>
              <w:right w:val="nil"/>
            </w:tcBorders>
            <w:shd w:val="clear" w:color="auto" w:fill="auto"/>
            <w:noWrap/>
            <w:vAlign w:val="bottom"/>
            <w:hideMark/>
          </w:tcPr>
          <w:p w14:paraId="66BA5979"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Data Definitions</w:t>
            </w:r>
          </w:p>
        </w:tc>
        <w:tc>
          <w:tcPr>
            <w:tcW w:w="5494" w:type="dxa"/>
            <w:tcBorders>
              <w:top w:val="nil"/>
              <w:left w:val="nil"/>
              <w:bottom w:val="nil"/>
              <w:right w:val="nil"/>
            </w:tcBorders>
            <w:shd w:val="clear" w:color="auto" w:fill="auto"/>
            <w:noWrap/>
            <w:vAlign w:val="bottom"/>
            <w:hideMark/>
          </w:tcPr>
          <w:p w14:paraId="1607730B"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p>
        </w:tc>
        <w:tc>
          <w:tcPr>
            <w:tcW w:w="2430" w:type="dxa"/>
            <w:tcBorders>
              <w:top w:val="nil"/>
              <w:left w:val="nil"/>
              <w:bottom w:val="single" w:sz="4" w:space="0" w:color="auto"/>
              <w:right w:val="nil"/>
            </w:tcBorders>
            <w:shd w:val="clear" w:color="auto" w:fill="auto"/>
            <w:noWrap/>
            <w:vAlign w:val="center"/>
            <w:hideMark/>
          </w:tcPr>
          <w:p w14:paraId="36D518AE"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 </w:t>
            </w:r>
          </w:p>
        </w:tc>
      </w:tr>
      <w:tr w:rsidR="00A30FC9" w:rsidRPr="00A30FC9" w14:paraId="0636B2C3" w14:textId="77777777" w:rsidTr="00EF1C4D">
        <w:trPr>
          <w:trHeight w:val="298"/>
        </w:trPr>
        <w:tc>
          <w:tcPr>
            <w:tcW w:w="2124" w:type="dxa"/>
            <w:tcBorders>
              <w:top w:val="nil"/>
              <w:left w:val="nil"/>
              <w:bottom w:val="single" w:sz="4" w:space="0" w:color="auto"/>
              <w:right w:val="nil"/>
            </w:tcBorders>
            <w:shd w:val="clear" w:color="auto" w:fill="auto"/>
            <w:noWrap/>
            <w:vAlign w:val="bottom"/>
            <w:hideMark/>
          </w:tcPr>
          <w:p w14:paraId="06D05C41"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Variable Name</w:t>
            </w:r>
          </w:p>
        </w:tc>
        <w:tc>
          <w:tcPr>
            <w:tcW w:w="5494" w:type="dxa"/>
            <w:tcBorders>
              <w:top w:val="single" w:sz="4" w:space="0" w:color="auto"/>
              <w:left w:val="nil"/>
              <w:bottom w:val="single" w:sz="4" w:space="0" w:color="auto"/>
              <w:right w:val="nil"/>
            </w:tcBorders>
            <w:shd w:val="clear" w:color="auto" w:fill="auto"/>
            <w:noWrap/>
            <w:vAlign w:val="bottom"/>
            <w:hideMark/>
          </w:tcPr>
          <w:p w14:paraId="026FD0E1"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Definition</w:t>
            </w:r>
          </w:p>
        </w:tc>
        <w:tc>
          <w:tcPr>
            <w:tcW w:w="2430" w:type="dxa"/>
            <w:tcBorders>
              <w:top w:val="nil"/>
              <w:left w:val="nil"/>
              <w:bottom w:val="single" w:sz="4" w:space="0" w:color="auto"/>
              <w:right w:val="nil"/>
            </w:tcBorders>
            <w:shd w:val="clear" w:color="auto" w:fill="auto"/>
            <w:noWrap/>
            <w:vAlign w:val="center"/>
            <w:hideMark/>
          </w:tcPr>
          <w:p w14:paraId="16AD021C"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Source</w:t>
            </w:r>
          </w:p>
        </w:tc>
      </w:tr>
      <w:tr w:rsidR="00A30FC9" w:rsidRPr="00A30FC9" w14:paraId="13A60470" w14:textId="77777777" w:rsidTr="00EF1C4D">
        <w:trPr>
          <w:trHeight w:val="298"/>
        </w:trPr>
        <w:tc>
          <w:tcPr>
            <w:tcW w:w="2124" w:type="dxa"/>
            <w:tcBorders>
              <w:top w:val="nil"/>
              <w:left w:val="nil"/>
              <w:bottom w:val="nil"/>
              <w:right w:val="nil"/>
            </w:tcBorders>
            <w:shd w:val="clear" w:color="auto" w:fill="auto"/>
            <w:noWrap/>
            <w:vAlign w:val="bottom"/>
            <w:hideMark/>
          </w:tcPr>
          <w:p w14:paraId="7B748B00"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Fitch rating</w:t>
            </w:r>
          </w:p>
        </w:tc>
        <w:tc>
          <w:tcPr>
            <w:tcW w:w="5494" w:type="dxa"/>
            <w:tcBorders>
              <w:top w:val="nil"/>
              <w:left w:val="nil"/>
              <w:bottom w:val="nil"/>
              <w:right w:val="nil"/>
            </w:tcBorders>
            <w:shd w:val="clear" w:color="auto" w:fill="auto"/>
            <w:noWrap/>
            <w:vAlign w:val="bottom"/>
            <w:hideMark/>
          </w:tcPr>
          <w:p w14:paraId="410566A0"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Sovereign rating attributed at 31st  December of each year</w:t>
            </w:r>
          </w:p>
        </w:tc>
        <w:tc>
          <w:tcPr>
            <w:tcW w:w="2430" w:type="dxa"/>
            <w:tcBorders>
              <w:top w:val="nil"/>
              <w:left w:val="nil"/>
              <w:bottom w:val="nil"/>
              <w:right w:val="nil"/>
            </w:tcBorders>
            <w:shd w:val="clear" w:color="auto" w:fill="auto"/>
            <w:noWrap/>
            <w:vAlign w:val="center"/>
            <w:hideMark/>
          </w:tcPr>
          <w:p w14:paraId="073EEA0F"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Fitch</w:t>
            </w:r>
          </w:p>
        </w:tc>
      </w:tr>
      <w:tr w:rsidR="00A30FC9" w:rsidRPr="00A30FC9" w14:paraId="188AC492" w14:textId="77777777" w:rsidTr="00EF1C4D">
        <w:trPr>
          <w:trHeight w:val="298"/>
        </w:trPr>
        <w:tc>
          <w:tcPr>
            <w:tcW w:w="2124" w:type="dxa"/>
            <w:tcBorders>
              <w:top w:val="nil"/>
              <w:left w:val="nil"/>
              <w:bottom w:val="nil"/>
              <w:right w:val="nil"/>
            </w:tcBorders>
            <w:shd w:val="clear" w:color="auto" w:fill="auto"/>
            <w:noWrap/>
            <w:vAlign w:val="bottom"/>
            <w:hideMark/>
          </w:tcPr>
          <w:p w14:paraId="6304FEFF"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S&amp;P's rating</w:t>
            </w:r>
          </w:p>
        </w:tc>
        <w:tc>
          <w:tcPr>
            <w:tcW w:w="5494" w:type="dxa"/>
            <w:tcBorders>
              <w:top w:val="nil"/>
              <w:left w:val="nil"/>
              <w:bottom w:val="nil"/>
              <w:right w:val="nil"/>
            </w:tcBorders>
            <w:shd w:val="clear" w:color="auto" w:fill="auto"/>
            <w:noWrap/>
            <w:vAlign w:val="bottom"/>
            <w:hideMark/>
          </w:tcPr>
          <w:p w14:paraId="51B77353"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Sovereign rating attributed at 31st  December of each year</w:t>
            </w:r>
          </w:p>
        </w:tc>
        <w:tc>
          <w:tcPr>
            <w:tcW w:w="2430" w:type="dxa"/>
            <w:tcBorders>
              <w:top w:val="nil"/>
              <w:left w:val="nil"/>
              <w:bottom w:val="nil"/>
              <w:right w:val="nil"/>
            </w:tcBorders>
            <w:shd w:val="clear" w:color="auto" w:fill="auto"/>
            <w:noWrap/>
            <w:vAlign w:val="center"/>
            <w:hideMark/>
          </w:tcPr>
          <w:p w14:paraId="05D00635"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S&amp;P's</w:t>
            </w:r>
          </w:p>
        </w:tc>
      </w:tr>
      <w:tr w:rsidR="00A30FC9" w:rsidRPr="00A30FC9" w14:paraId="5C9495A0" w14:textId="77777777" w:rsidTr="00EF1C4D">
        <w:trPr>
          <w:trHeight w:val="298"/>
        </w:trPr>
        <w:tc>
          <w:tcPr>
            <w:tcW w:w="2124" w:type="dxa"/>
            <w:tcBorders>
              <w:top w:val="nil"/>
              <w:left w:val="nil"/>
              <w:bottom w:val="nil"/>
              <w:right w:val="nil"/>
            </w:tcBorders>
            <w:shd w:val="clear" w:color="auto" w:fill="auto"/>
            <w:noWrap/>
            <w:vAlign w:val="bottom"/>
            <w:hideMark/>
          </w:tcPr>
          <w:p w14:paraId="1EA3DA0D"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Moody's rating</w:t>
            </w:r>
          </w:p>
        </w:tc>
        <w:tc>
          <w:tcPr>
            <w:tcW w:w="5494" w:type="dxa"/>
            <w:tcBorders>
              <w:top w:val="nil"/>
              <w:left w:val="nil"/>
              <w:bottom w:val="nil"/>
              <w:right w:val="nil"/>
            </w:tcBorders>
            <w:shd w:val="clear" w:color="auto" w:fill="auto"/>
            <w:noWrap/>
            <w:vAlign w:val="bottom"/>
            <w:hideMark/>
          </w:tcPr>
          <w:p w14:paraId="0EF0E35E"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Sovereign rating attributed at 31st  December of each year</w:t>
            </w:r>
          </w:p>
        </w:tc>
        <w:tc>
          <w:tcPr>
            <w:tcW w:w="2430" w:type="dxa"/>
            <w:tcBorders>
              <w:top w:val="nil"/>
              <w:left w:val="nil"/>
              <w:bottom w:val="nil"/>
              <w:right w:val="nil"/>
            </w:tcBorders>
            <w:shd w:val="clear" w:color="auto" w:fill="auto"/>
            <w:noWrap/>
            <w:vAlign w:val="center"/>
            <w:hideMark/>
          </w:tcPr>
          <w:p w14:paraId="4A4F3AEE"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Moody's</w:t>
            </w:r>
          </w:p>
        </w:tc>
      </w:tr>
      <w:tr w:rsidR="00A30FC9" w:rsidRPr="00A30FC9" w14:paraId="6A946C50" w14:textId="77777777" w:rsidTr="00EF1C4D">
        <w:trPr>
          <w:trHeight w:val="298"/>
        </w:trPr>
        <w:tc>
          <w:tcPr>
            <w:tcW w:w="2124" w:type="dxa"/>
            <w:tcBorders>
              <w:top w:val="nil"/>
              <w:left w:val="nil"/>
              <w:bottom w:val="nil"/>
              <w:right w:val="nil"/>
            </w:tcBorders>
            <w:shd w:val="clear" w:color="auto" w:fill="auto"/>
            <w:noWrap/>
            <w:vAlign w:val="bottom"/>
            <w:hideMark/>
          </w:tcPr>
          <w:p w14:paraId="4B3CFACF"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Uncertainty</w:t>
            </w:r>
          </w:p>
        </w:tc>
        <w:tc>
          <w:tcPr>
            <w:tcW w:w="5494" w:type="dxa"/>
            <w:tcBorders>
              <w:top w:val="nil"/>
              <w:left w:val="nil"/>
              <w:bottom w:val="nil"/>
              <w:right w:val="nil"/>
            </w:tcBorders>
            <w:shd w:val="clear" w:color="auto" w:fill="auto"/>
            <w:noWrap/>
            <w:vAlign w:val="bottom"/>
            <w:hideMark/>
          </w:tcPr>
          <w:p w14:paraId="7D6EAF50"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Volatility of Stock Price Index</w:t>
            </w:r>
          </w:p>
        </w:tc>
        <w:tc>
          <w:tcPr>
            <w:tcW w:w="2430" w:type="dxa"/>
            <w:tcBorders>
              <w:top w:val="nil"/>
              <w:left w:val="nil"/>
              <w:bottom w:val="nil"/>
              <w:right w:val="nil"/>
            </w:tcBorders>
            <w:shd w:val="clear" w:color="auto" w:fill="auto"/>
            <w:noWrap/>
            <w:vAlign w:val="center"/>
            <w:hideMark/>
          </w:tcPr>
          <w:p w14:paraId="1A488148" w14:textId="77777777" w:rsidR="00A30FC9" w:rsidRPr="00A30FC9" w:rsidRDefault="00A30FC9" w:rsidP="00A30FC9">
            <w:pPr>
              <w:spacing w:after="0" w:line="240" w:lineRule="auto"/>
              <w:rPr>
                <w:rFonts w:ascii="Calibri" w:eastAsia="Times New Roman" w:hAnsi="Calibri" w:cs="Calibri"/>
                <w:sz w:val="20"/>
                <w:szCs w:val="20"/>
                <w:lang w:eastAsia="en-GB"/>
              </w:rPr>
            </w:pPr>
            <w:r w:rsidRPr="00A30FC9">
              <w:rPr>
                <w:rFonts w:ascii="Calibri" w:eastAsia="Times New Roman" w:hAnsi="Calibri" w:cs="Calibri"/>
                <w:sz w:val="20"/>
                <w:szCs w:val="20"/>
                <w:lang w:eastAsia="en-GB"/>
              </w:rPr>
              <w:t>FRED</w:t>
            </w:r>
          </w:p>
        </w:tc>
      </w:tr>
      <w:tr w:rsidR="00A30FC9" w:rsidRPr="00A30FC9" w14:paraId="4570060A" w14:textId="77777777" w:rsidTr="00EF1C4D">
        <w:trPr>
          <w:trHeight w:val="298"/>
        </w:trPr>
        <w:tc>
          <w:tcPr>
            <w:tcW w:w="2124" w:type="dxa"/>
            <w:tcBorders>
              <w:top w:val="nil"/>
              <w:left w:val="nil"/>
              <w:bottom w:val="nil"/>
              <w:right w:val="nil"/>
            </w:tcBorders>
            <w:shd w:val="clear" w:color="auto" w:fill="auto"/>
            <w:noWrap/>
            <w:vAlign w:val="bottom"/>
            <w:hideMark/>
          </w:tcPr>
          <w:p w14:paraId="5B0C2C00"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GDP growth rate</w:t>
            </w:r>
          </w:p>
        </w:tc>
        <w:tc>
          <w:tcPr>
            <w:tcW w:w="5494" w:type="dxa"/>
            <w:tcBorders>
              <w:top w:val="nil"/>
              <w:left w:val="nil"/>
              <w:bottom w:val="nil"/>
              <w:right w:val="nil"/>
            </w:tcBorders>
            <w:shd w:val="clear" w:color="auto" w:fill="auto"/>
            <w:noWrap/>
            <w:vAlign w:val="bottom"/>
            <w:hideMark/>
          </w:tcPr>
          <w:p w14:paraId="7D00EE43"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Gross domestic product, constant prices Percent change</w:t>
            </w:r>
          </w:p>
        </w:tc>
        <w:tc>
          <w:tcPr>
            <w:tcW w:w="2430" w:type="dxa"/>
            <w:tcBorders>
              <w:top w:val="nil"/>
              <w:left w:val="nil"/>
              <w:bottom w:val="nil"/>
              <w:right w:val="nil"/>
            </w:tcBorders>
            <w:shd w:val="clear" w:color="auto" w:fill="auto"/>
            <w:noWrap/>
            <w:vAlign w:val="center"/>
            <w:hideMark/>
          </w:tcPr>
          <w:p w14:paraId="27C1809E"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IMF WEO April 2017</w:t>
            </w:r>
          </w:p>
        </w:tc>
      </w:tr>
      <w:tr w:rsidR="00A30FC9" w:rsidRPr="00A30FC9" w14:paraId="37C92C77" w14:textId="77777777" w:rsidTr="00EF1C4D">
        <w:trPr>
          <w:trHeight w:val="298"/>
        </w:trPr>
        <w:tc>
          <w:tcPr>
            <w:tcW w:w="2124" w:type="dxa"/>
            <w:tcBorders>
              <w:top w:val="nil"/>
              <w:left w:val="nil"/>
              <w:bottom w:val="nil"/>
              <w:right w:val="nil"/>
            </w:tcBorders>
            <w:shd w:val="clear" w:color="auto" w:fill="auto"/>
            <w:noWrap/>
            <w:vAlign w:val="bottom"/>
            <w:hideMark/>
          </w:tcPr>
          <w:p w14:paraId="75A482E6"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Investments</w:t>
            </w:r>
          </w:p>
        </w:tc>
        <w:tc>
          <w:tcPr>
            <w:tcW w:w="5494" w:type="dxa"/>
            <w:tcBorders>
              <w:top w:val="nil"/>
              <w:left w:val="nil"/>
              <w:bottom w:val="nil"/>
              <w:right w:val="nil"/>
            </w:tcBorders>
            <w:shd w:val="clear" w:color="auto" w:fill="auto"/>
            <w:noWrap/>
            <w:vAlign w:val="bottom"/>
            <w:hideMark/>
          </w:tcPr>
          <w:p w14:paraId="433EA685"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Total investments as a percent of GDP</w:t>
            </w:r>
          </w:p>
        </w:tc>
        <w:tc>
          <w:tcPr>
            <w:tcW w:w="2430" w:type="dxa"/>
            <w:tcBorders>
              <w:top w:val="nil"/>
              <w:left w:val="nil"/>
              <w:bottom w:val="nil"/>
              <w:right w:val="nil"/>
            </w:tcBorders>
            <w:shd w:val="clear" w:color="auto" w:fill="auto"/>
            <w:noWrap/>
            <w:vAlign w:val="center"/>
            <w:hideMark/>
          </w:tcPr>
          <w:p w14:paraId="5587049F"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IMF WEO April 2017</w:t>
            </w:r>
          </w:p>
        </w:tc>
      </w:tr>
      <w:tr w:rsidR="00A30FC9" w:rsidRPr="00A30FC9" w14:paraId="4967AFEE" w14:textId="77777777" w:rsidTr="00EF1C4D">
        <w:trPr>
          <w:trHeight w:val="298"/>
        </w:trPr>
        <w:tc>
          <w:tcPr>
            <w:tcW w:w="2124" w:type="dxa"/>
            <w:tcBorders>
              <w:top w:val="nil"/>
              <w:left w:val="nil"/>
              <w:bottom w:val="nil"/>
              <w:right w:val="nil"/>
            </w:tcBorders>
            <w:shd w:val="clear" w:color="auto" w:fill="auto"/>
            <w:noWrap/>
            <w:vAlign w:val="bottom"/>
            <w:hideMark/>
          </w:tcPr>
          <w:p w14:paraId="3BBBAFDE"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Government debt</w:t>
            </w:r>
          </w:p>
        </w:tc>
        <w:tc>
          <w:tcPr>
            <w:tcW w:w="5494" w:type="dxa"/>
            <w:tcBorders>
              <w:top w:val="nil"/>
              <w:left w:val="nil"/>
              <w:bottom w:val="nil"/>
              <w:right w:val="nil"/>
            </w:tcBorders>
            <w:shd w:val="clear" w:color="auto" w:fill="auto"/>
            <w:noWrap/>
            <w:vAlign w:val="bottom"/>
            <w:hideMark/>
          </w:tcPr>
          <w:p w14:paraId="2A569AF0" w14:textId="25136563" w:rsidR="00A30FC9" w:rsidRPr="00A30FC9" w:rsidRDefault="00A30FC9" w:rsidP="00A30FC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government gross deb</w:t>
            </w:r>
            <w:r w:rsidRPr="00A30FC9">
              <w:rPr>
                <w:rFonts w:ascii="Calibri" w:eastAsia="Times New Roman" w:hAnsi="Calibri" w:cs="Calibri"/>
                <w:color w:val="000000"/>
                <w:sz w:val="20"/>
                <w:szCs w:val="20"/>
                <w:lang w:eastAsia="en-GB"/>
              </w:rPr>
              <w:t>t as a percent of GDP</w:t>
            </w:r>
          </w:p>
        </w:tc>
        <w:tc>
          <w:tcPr>
            <w:tcW w:w="2430" w:type="dxa"/>
            <w:tcBorders>
              <w:top w:val="nil"/>
              <w:left w:val="nil"/>
              <w:bottom w:val="nil"/>
              <w:right w:val="nil"/>
            </w:tcBorders>
            <w:shd w:val="clear" w:color="auto" w:fill="auto"/>
            <w:noWrap/>
            <w:vAlign w:val="center"/>
            <w:hideMark/>
          </w:tcPr>
          <w:p w14:paraId="5782A102"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IMF WEO April 2017</w:t>
            </w:r>
          </w:p>
        </w:tc>
      </w:tr>
      <w:tr w:rsidR="00A30FC9" w:rsidRPr="00A30FC9" w14:paraId="590AFF09" w14:textId="77777777" w:rsidTr="00EF1C4D">
        <w:trPr>
          <w:trHeight w:val="298"/>
        </w:trPr>
        <w:tc>
          <w:tcPr>
            <w:tcW w:w="2124" w:type="dxa"/>
            <w:tcBorders>
              <w:top w:val="nil"/>
              <w:left w:val="nil"/>
              <w:bottom w:val="nil"/>
              <w:right w:val="nil"/>
            </w:tcBorders>
            <w:shd w:val="clear" w:color="auto" w:fill="auto"/>
            <w:noWrap/>
            <w:vAlign w:val="bottom"/>
            <w:hideMark/>
          </w:tcPr>
          <w:p w14:paraId="29D50E03"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Fiscal Balance</w:t>
            </w:r>
          </w:p>
        </w:tc>
        <w:tc>
          <w:tcPr>
            <w:tcW w:w="5494" w:type="dxa"/>
            <w:tcBorders>
              <w:top w:val="nil"/>
              <w:left w:val="nil"/>
              <w:bottom w:val="nil"/>
              <w:right w:val="nil"/>
            </w:tcBorders>
            <w:shd w:val="clear" w:color="auto" w:fill="auto"/>
            <w:noWrap/>
            <w:vAlign w:val="bottom"/>
            <w:hideMark/>
          </w:tcPr>
          <w:p w14:paraId="6D8746AE"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General government net lending/borrowing as a percent of GDP</w:t>
            </w:r>
          </w:p>
        </w:tc>
        <w:tc>
          <w:tcPr>
            <w:tcW w:w="2430" w:type="dxa"/>
            <w:tcBorders>
              <w:top w:val="nil"/>
              <w:left w:val="nil"/>
              <w:bottom w:val="nil"/>
              <w:right w:val="nil"/>
            </w:tcBorders>
            <w:shd w:val="clear" w:color="auto" w:fill="auto"/>
            <w:noWrap/>
            <w:vAlign w:val="bottom"/>
            <w:hideMark/>
          </w:tcPr>
          <w:p w14:paraId="79AF66E3"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IMF WEO April 2017</w:t>
            </w:r>
          </w:p>
        </w:tc>
      </w:tr>
      <w:tr w:rsidR="00A30FC9" w:rsidRPr="00A30FC9" w14:paraId="34713ED5" w14:textId="77777777" w:rsidTr="00EF1C4D">
        <w:trPr>
          <w:trHeight w:val="298"/>
        </w:trPr>
        <w:tc>
          <w:tcPr>
            <w:tcW w:w="2124" w:type="dxa"/>
            <w:tcBorders>
              <w:top w:val="nil"/>
              <w:left w:val="nil"/>
              <w:bottom w:val="single" w:sz="4" w:space="0" w:color="auto"/>
              <w:right w:val="nil"/>
            </w:tcBorders>
            <w:shd w:val="clear" w:color="auto" w:fill="auto"/>
            <w:noWrap/>
            <w:vAlign w:val="bottom"/>
            <w:hideMark/>
          </w:tcPr>
          <w:p w14:paraId="15E6DDC1"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Non-performing loans</w:t>
            </w:r>
          </w:p>
        </w:tc>
        <w:tc>
          <w:tcPr>
            <w:tcW w:w="5494" w:type="dxa"/>
            <w:tcBorders>
              <w:top w:val="nil"/>
              <w:left w:val="nil"/>
              <w:bottom w:val="single" w:sz="4" w:space="0" w:color="auto"/>
              <w:right w:val="nil"/>
            </w:tcBorders>
            <w:shd w:val="clear" w:color="auto" w:fill="auto"/>
            <w:noWrap/>
            <w:vAlign w:val="bottom"/>
            <w:hideMark/>
          </w:tcPr>
          <w:p w14:paraId="54D5F4A7" w14:textId="543147DC" w:rsidR="00A30FC9" w:rsidRPr="00A30FC9" w:rsidRDefault="00A30FC9" w:rsidP="00A30FC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Non-</w:t>
            </w:r>
            <w:r w:rsidRPr="00A30FC9">
              <w:rPr>
                <w:rFonts w:ascii="Calibri" w:eastAsia="Times New Roman" w:hAnsi="Calibri" w:cs="Calibri"/>
                <w:color w:val="000000"/>
                <w:sz w:val="20"/>
                <w:szCs w:val="20"/>
                <w:lang w:eastAsia="en-GB"/>
              </w:rPr>
              <w:t>performing loans as a percent of total gross loans</w:t>
            </w:r>
          </w:p>
        </w:tc>
        <w:tc>
          <w:tcPr>
            <w:tcW w:w="2430" w:type="dxa"/>
            <w:tcBorders>
              <w:top w:val="nil"/>
              <w:left w:val="nil"/>
              <w:bottom w:val="single" w:sz="4" w:space="0" w:color="auto"/>
              <w:right w:val="nil"/>
            </w:tcBorders>
            <w:shd w:val="clear" w:color="auto" w:fill="auto"/>
            <w:noWrap/>
            <w:vAlign w:val="center"/>
            <w:hideMark/>
          </w:tcPr>
          <w:p w14:paraId="2F1785B5" w14:textId="77777777" w:rsidR="00A30FC9" w:rsidRPr="00A30FC9" w:rsidRDefault="00A30FC9" w:rsidP="00A30FC9">
            <w:pPr>
              <w:spacing w:after="0" w:line="240" w:lineRule="auto"/>
              <w:rPr>
                <w:rFonts w:ascii="Calibri" w:eastAsia="Times New Roman" w:hAnsi="Calibri" w:cs="Calibri"/>
                <w:color w:val="000000"/>
                <w:sz w:val="20"/>
                <w:szCs w:val="20"/>
                <w:lang w:eastAsia="en-GB"/>
              </w:rPr>
            </w:pPr>
            <w:r w:rsidRPr="00A30FC9">
              <w:rPr>
                <w:rFonts w:ascii="Calibri" w:eastAsia="Times New Roman" w:hAnsi="Calibri" w:cs="Calibri"/>
                <w:color w:val="000000"/>
                <w:sz w:val="20"/>
                <w:szCs w:val="20"/>
                <w:lang w:eastAsia="en-GB"/>
              </w:rPr>
              <w:t>World Bank; FRED; IMF IFS</w:t>
            </w:r>
          </w:p>
        </w:tc>
      </w:tr>
    </w:tbl>
    <w:p w14:paraId="54322C5E" w14:textId="77777777" w:rsidR="005931C9" w:rsidRPr="0076192F" w:rsidRDefault="005931C9" w:rsidP="005931C9">
      <w:pPr>
        <w:spacing w:line="240" w:lineRule="auto"/>
        <w:rPr>
          <w:rFonts w:ascii="Cambria Math" w:hAnsi="Cambria Math"/>
          <w:sz w:val="24"/>
        </w:rPr>
      </w:pPr>
    </w:p>
    <w:p w14:paraId="23DD04CA" w14:textId="112AC59F" w:rsidR="005931C9" w:rsidRDefault="005931C9" w:rsidP="005931C9">
      <w:pPr>
        <w:spacing w:line="240" w:lineRule="auto"/>
        <w:rPr>
          <w:rFonts w:ascii="Cambria Math" w:hAnsi="Cambria Math"/>
          <w:b/>
          <w:sz w:val="24"/>
        </w:rPr>
      </w:pPr>
      <w:r w:rsidRPr="0076192F">
        <w:rPr>
          <w:rFonts w:ascii="Cambria Math" w:hAnsi="Cambria Math"/>
          <w:b/>
          <w:sz w:val="24"/>
        </w:rPr>
        <w:t xml:space="preserve">Table </w:t>
      </w:r>
      <w:r>
        <w:rPr>
          <w:rFonts w:ascii="Cambria Math" w:hAnsi="Cambria Math"/>
          <w:b/>
          <w:sz w:val="24"/>
        </w:rPr>
        <w:t>3</w:t>
      </w:r>
      <w:r w:rsidRPr="0076192F">
        <w:rPr>
          <w:rFonts w:ascii="Cambria Math" w:hAnsi="Cambria Math"/>
          <w:b/>
          <w:sz w:val="24"/>
        </w:rPr>
        <w:t>: Summary statistics of the data variables</w:t>
      </w:r>
    </w:p>
    <w:tbl>
      <w:tblPr>
        <w:tblW w:w="9040" w:type="dxa"/>
        <w:tblLook w:val="04A0" w:firstRow="1" w:lastRow="0" w:firstColumn="1" w:lastColumn="0" w:noHBand="0" w:noVBand="1"/>
      </w:tblPr>
      <w:tblGrid>
        <w:gridCol w:w="1217"/>
        <w:gridCol w:w="1460"/>
        <w:gridCol w:w="860"/>
        <w:gridCol w:w="1060"/>
        <w:gridCol w:w="1000"/>
        <w:gridCol w:w="920"/>
        <w:gridCol w:w="1120"/>
        <w:gridCol w:w="774"/>
        <w:gridCol w:w="672"/>
      </w:tblGrid>
      <w:tr w:rsidR="00EF1C4D" w:rsidRPr="00EF1C4D" w14:paraId="215F9DCE" w14:textId="77777777" w:rsidTr="00EF1C4D">
        <w:trPr>
          <w:trHeight w:val="300"/>
        </w:trPr>
        <w:tc>
          <w:tcPr>
            <w:tcW w:w="1200" w:type="dxa"/>
            <w:tcBorders>
              <w:top w:val="nil"/>
              <w:left w:val="nil"/>
              <w:bottom w:val="single" w:sz="4" w:space="0" w:color="000000"/>
              <w:right w:val="nil"/>
            </w:tcBorders>
            <w:shd w:val="clear" w:color="auto" w:fill="auto"/>
            <w:noWrap/>
            <w:vAlign w:val="bottom"/>
            <w:hideMark/>
          </w:tcPr>
          <w:p w14:paraId="37D4CA97"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Variable</w:t>
            </w:r>
          </w:p>
        </w:tc>
        <w:tc>
          <w:tcPr>
            <w:tcW w:w="1460" w:type="dxa"/>
            <w:tcBorders>
              <w:top w:val="nil"/>
              <w:left w:val="nil"/>
              <w:bottom w:val="single" w:sz="4" w:space="0" w:color="000000"/>
              <w:right w:val="nil"/>
            </w:tcBorders>
            <w:shd w:val="clear" w:color="auto" w:fill="auto"/>
            <w:noWrap/>
            <w:vAlign w:val="bottom"/>
            <w:hideMark/>
          </w:tcPr>
          <w:p w14:paraId="796CD041"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 </w:t>
            </w:r>
          </w:p>
        </w:tc>
        <w:tc>
          <w:tcPr>
            <w:tcW w:w="860" w:type="dxa"/>
            <w:tcBorders>
              <w:top w:val="nil"/>
              <w:left w:val="nil"/>
              <w:bottom w:val="single" w:sz="4" w:space="0" w:color="000000"/>
              <w:right w:val="nil"/>
            </w:tcBorders>
            <w:shd w:val="clear" w:color="auto" w:fill="auto"/>
            <w:noWrap/>
            <w:vAlign w:val="bottom"/>
            <w:hideMark/>
          </w:tcPr>
          <w:p w14:paraId="5E7E3FCD"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 xml:space="preserve">Min.  </w:t>
            </w:r>
          </w:p>
        </w:tc>
        <w:tc>
          <w:tcPr>
            <w:tcW w:w="1060" w:type="dxa"/>
            <w:tcBorders>
              <w:top w:val="nil"/>
              <w:left w:val="nil"/>
              <w:bottom w:val="single" w:sz="4" w:space="0" w:color="000000"/>
              <w:right w:val="nil"/>
            </w:tcBorders>
            <w:shd w:val="clear" w:color="auto" w:fill="auto"/>
            <w:noWrap/>
            <w:vAlign w:val="bottom"/>
            <w:hideMark/>
          </w:tcPr>
          <w:p w14:paraId="2C6294C8"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1st Quartile</w:t>
            </w:r>
          </w:p>
        </w:tc>
        <w:tc>
          <w:tcPr>
            <w:tcW w:w="1000" w:type="dxa"/>
            <w:tcBorders>
              <w:top w:val="nil"/>
              <w:left w:val="nil"/>
              <w:bottom w:val="single" w:sz="4" w:space="0" w:color="000000"/>
              <w:right w:val="nil"/>
            </w:tcBorders>
            <w:shd w:val="clear" w:color="auto" w:fill="auto"/>
            <w:noWrap/>
            <w:vAlign w:val="bottom"/>
            <w:hideMark/>
          </w:tcPr>
          <w:p w14:paraId="5CF2996B"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 xml:space="preserve"> Median</w:t>
            </w:r>
          </w:p>
        </w:tc>
        <w:tc>
          <w:tcPr>
            <w:tcW w:w="920" w:type="dxa"/>
            <w:tcBorders>
              <w:top w:val="nil"/>
              <w:left w:val="nil"/>
              <w:bottom w:val="single" w:sz="4" w:space="0" w:color="000000"/>
              <w:right w:val="nil"/>
            </w:tcBorders>
            <w:shd w:val="clear" w:color="auto" w:fill="auto"/>
            <w:noWrap/>
            <w:vAlign w:val="bottom"/>
            <w:hideMark/>
          </w:tcPr>
          <w:p w14:paraId="61F472C3"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 xml:space="preserve"> Mean</w:t>
            </w:r>
          </w:p>
        </w:tc>
        <w:tc>
          <w:tcPr>
            <w:tcW w:w="1120" w:type="dxa"/>
            <w:tcBorders>
              <w:top w:val="nil"/>
              <w:left w:val="nil"/>
              <w:bottom w:val="single" w:sz="4" w:space="0" w:color="000000"/>
              <w:right w:val="nil"/>
            </w:tcBorders>
            <w:shd w:val="clear" w:color="auto" w:fill="auto"/>
            <w:noWrap/>
            <w:vAlign w:val="bottom"/>
            <w:hideMark/>
          </w:tcPr>
          <w:p w14:paraId="79E39B5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 xml:space="preserve"> 3rd Quartile</w:t>
            </w:r>
          </w:p>
        </w:tc>
        <w:tc>
          <w:tcPr>
            <w:tcW w:w="760" w:type="dxa"/>
            <w:tcBorders>
              <w:top w:val="nil"/>
              <w:left w:val="nil"/>
              <w:bottom w:val="single" w:sz="4" w:space="0" w:color="000000"/>
              <w:right w:val="nil"/>
            </w:tcBorders>
            <w:shd w:val="clear" w:color="auto" w:fill="auto"/>
            <w:noWrap/>
            <w:vAlign w:val="bottom"/>
            <w:hideMark/>
          </w:tcPr>
          <w:p w14:paraId="2BCA9BFD"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Max.</w:t>
            </w:r>
          </w:p>
        </w:tc>
        <w:tc>
          <w:tcPr>
            <w:tcW w:w="660" w:type="dxa"/>
            <w:tcBorders>
              <w:top w:val="nil"/>
              <w:left w:val="nil"/>
              <w:bottom w:val="single" w:sz="4" w:space="0" w:color="000000"/>
              <w:right w:val="nil"/>
            </w:tcBorders>
            <w:shd w:val="clear" w:color="auto" w:fill="auto"/>
            <w:noWrap/>
            <w:vAlign w:val="bottom"/>
            <w:hideMark/>
          </w:tcPr>
          <w:p w14:paraId="16CF14DA"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St. Dev.</w:t>
            </w:r>
          </w:p>
        </w:tc>
      </w:tr>
      <w:tr w:rsidR="00EF1C4D" w:rsidRPr="00EF1C4D" w14:paraId="71364700" w14:textId="77777777" w:rsidTr="00EF1C4D">
        <w:trPr>
          <w:trHeight w:val="300"/>
        </w:trPr>
        <w:tc>
          <w:tcPr>
            <w:tcW w:w="2660" w:type="dxa"/>
            <w:gridSpan w:val="2"/>
            <w:tcBorders>
              <w:top w:val="nil"/>
              <w:left w:val="nil"/>
              <w:bottom w:val="nil"/>
              <w:right w:val="nil"/>
            </w:tcBorders>
            <w:shd w:val="clear" w:color="auto" w:fill="auto"/>
            <w:noWrap/>
            <w:vAlign w:val="bottom"/>
            <w:hideMark/>
          </w:tcPr>
          <w:p w14:paraId="6C359A8F"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Moody's ratings</w:t>
            </w:r>
          </w:p>
        </w:tc>
        <w:tc>
          <w:tcPr>
            <w:tcW w:w="860" w:type="dxa"/>
            <w:tcBorders>
              <w:top w:val="nil"/>
              <w:left w:val="nil"/>
              <w:bottom w:val="nil"/>
              <w:right w:val="nil"/>
            </w:tcBorders>
            <w:shd w:val="clear" w:color="auto" w:fill="auto"/>
            <w:noWrap/>
            <w:vAlign w:val="bottom"/>
            <w:hideMark/>
          </w:tcPr>
          <w:p w14:paraId="5F775F07"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w:t>
            </w:r>
          </w:p>
        </w:tc>
        <w:tc>
          <w:tcPr>
            <w:tcW w:w="1060" w:type="dxa"/>
            <w:tcBorders>
              <w:top w:val="nil"/>
              <w:left w:val="nil"/>
              <w:bottom w:val="nil"/>
              <w:right w:val="nil"/>
            </w:tcBorders>
            <w:shd w:val="clear" w:color="auto" w:fill="auto"/>
            <w:noWrap/>
            <w:vAlign w:val="bottom"/>
            <w:hideMark/>
          </w:tcPr>
          <w:p w14:paraId="01856BC9"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11</w:t>
            </w:r>
          </w:p>
        </w:tc>
        <w:tc>
          <w:tcPr>
            <w:tcW w:w="1000" w:type="dxa"/>
            <w:tcBorders>
              <w:top w:val="nil"/>
              <w:left w:val="nil"/>
              <w:bottom w:val="nil"/>
              <w:right w:val="nil"/>
            </w:tcBorders>
            <w:shd w:val="clear" w:color="auto" w:fill="auto"/>
            <w:noWrap/>
            <w:vAlign w:val="bottom"/>
            <w:hideMark/>
          </w:tcPr>
          <w:p w14:paraId="7684A22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15</w:t>
            </w:r>
          </w:p>
        </w:tc>
        <w:tc>
          <w:tcPr>
            <w:tcW w:w="920" w:type="dxa"/>
            <w:tcBorders>
              <w:top w:val="nil"/>
              <w:left w:val="nil"/>
              <w:bottom w:val="nil"/>
              <w:right w:val="nil"/>
            </w:tcBorders>
            <w:shd w:val="clear" w:color="auto" w:fill="auto"/>
            <w:noWrap/>
            <w:vAlign w:val="bottom"/>
            <w:hideMark/>
          </w:tcPr>
          <w:p w14:paraId="594CE15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14.84</w:t>
            </w:r>
          </w:p>
        </w:tc>
        <w:tc>
          <w:tcPr>
            <w:tcW w:w="1120" w:type="dxa"/>
            <w:tcBorders>
              <w:top w:val="nil"/>
              <w:left w:val="nil"/>
              <w:bottom w:val="nil"/>
              <w:right w:val="nil"/>
            </w:tcBorders>
            <w:shd w:val="clear" w:color="auto" w:fill="auto"/>
            <w:noWrap/>
            <w:vAlign w:val="bottom"/>
            <w:hideMark/>
          </w:tcPr>
          <w:p w14:paraId="756CEC9D"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20</w:t>
            </w:r>
          </w:p>
        </w:tc>
        <w:tc>
          <w:tcPr>
            <w:tcW w:w="760" w:type="dxa"/>
            <w:tcBorders>
              <w:top w:val="nil"/>
              <w:left w:val="nil"/>
              <w:bottom w:val="nil"/>
              <w:right w:val="nil"/>
            </w:tcBorders>
            <w:shd w:val="clear" w:color="auto" w:fill="auto"/>
            <w:noWrap/>
            <w:vAlign w:val="bottom"/>
            <w:hideMark/>
          </w:tcPr>
          <w:p w14:paraId="6EBE3D77"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21</w:t>
            </w:r>
          </w:p>
        </w:tc>
        <w:tc>
          <w:tcPr>
            <w:tcW w:w="660" w:type="dxa"/>
            <w:tcBorders>
              <w:top w:val="nil"/>
              <w:left w:val="nil"/>
              <w:bottom w:val="nil"/>
              <w:right w:val="nil"/>
            </w:tcBorders>
            <w:shd w:val="clear" w:color="auto" w:fill="auto"/>
            <w:noWrap/>
            <w:vAlign w:val="bottom"/>
            <w:hideMark/>
          </w:tcPr>
          <w:p w14:paraId="1348F6F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5.10</w:t>
            </w:r>
          </w:p>
        </w:tc>
      </w:tr>
      <w:tr w:rsidR="00EF1C4D" w:rsidRPr="00EF1C4D" w14:paraId="58914744" w14:textId="77777777" w:rsidTr="00EF1C4D">
        <w:trPr>
          <w:trHeight w:val="300"/>
        </w:trPr>
        <w:tc>
          <w:tcPr>
            <w:tcW w:w="1200" w:type="dxa"/>
            <w:tcBorders>
              <w:top w:val="nil"/>
              <w:left w:val="nil"/>
              <w:bottom w:val="nil"/>
              <w:right w:val="nil"/>
            </w:tcBorders>
            <w:shd w:val="clear" w:color="auto" w:fill="auto"/>
            <w:noWrap/>
            <w:vAlign w:val="bottom"/>
            <w:hideMark/>
          </w:tcPr>
          <w:p w14:paraId="4A4EC7D5"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S&amp;P's ratings</w:t>
            </w:r>
          </w:p>
        </w:tc>
        <w:tc>
          <w:tcPr>
            <w:tcW w:w="1460" w:type="dxa"/>
            <w:tcBorders>
              <w:top w:val="nil"/>
              <w:left w:val="nil"/>
              <w:bottom w:val="nil"/>
              <w:right w:val="nil"/>
            </w:tcBorders>
            <w:shd w:val="clear" w:color="auto" w:fill="auto"/>
            <w:noWrap/>
            <w:vAlign w:val="bottom"/>
            <w:hideMark/>
          </w:tcPr>
          <w:p w14:paraId="4B550188"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p>
        </w:tc>
        <w:tc>
          <w:tcPr>
            <w:tcW w:w="860" w:type="dxa"/>
            <w:tcBorders>
              <w:top w:val="nil"/>
              <w:left w:val="nil"/>
              <w:bottom w:val="nil"/>
              <w:right w:val="nil"/>
            </w:tcBorders>
            <w:shd w:val="clear" w:color="auto" w:fill="auto"/>
            <w:noWrap/>
            <w:vAlign w:val="bottom"/>
            <w:hideMark/>
          </w:tcPr>
          <w:p w14:paraId="17289F5E"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w:t>
            </w:r>
          </w:p>
        </w:tc>
        <w:tc>
          <w:tcPr>
            <w:tcW w:w="1060" w:type="dxa"/>
            <w:tcBorders>
              <w:top w:val="nil"/>
              <w:left w:val="nil"/>
              <w:bottom w:val="nil"/>
              <w:right w:val="nil"/>
            </w:tcBorders>
            <w:shd w:val="clear" w:color="auto" w:fill="auto"/>
            <w:noWrap/>
            <w:vAlign w:val="bottom"/>
            <w:hideMark/>
          </w:tcPr>
          <w:p w14:paraId="0C768E47"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10.33</w:t>
            </w:r>
          </w:p>
        </w:tc>
        <w:tc>
          <w:tcPr>
            <w:tcW w:w="1000" w:type="dxa"/>
            <w:tcBorders>
              <w:top w:val="nil"/>
              <w:left w:val="nil"/>
              <w:bottom w:val="nil"/>
              <w:right w:val="nil"/>
            </w:tcBorders>
            <w:shd w:val="clear" w:color="auto" w:fill="auto"/>
            <w:noWrap/>
            <w:vAlign w:val="bottom"/>
            <w:hideMark/>
          </w:tcPr>
          <w:p w14:paraId="3B3CE4F4"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15</w:t>
            </w:r>
          </w:p>
        </w:tc>
        <w:tc>
          <w:tcPr>
            <w:tcW w:w="920" w:type="dxa"/>
            <w:tcBorders>
              <w:top w:val="nil"/>
              <w:left w:val="nil"/>
              <w:bottom w:val="nil"/>
              <w:right w:val="nil"/>
            </w:tcBorders>
            <w:shd w:val="clear" w:color="auto" w:fill="auto"/>
            <w:noWrap/>
            <w:vAlign w:val="bottom"/>
            <w:hideMark/>
          </w:tcPr>
          <w:p w14:paraId="2A283018"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14.46</w:t>
            </w:r>
          </w:p>
        </w:tc>
        <w:tc>
          <w:tcPr>
            <w:tcW w:w="1120" w:type="dxa"/>
            <w:tcBorders>
              <w:top w:val="nil"/>
              <w:left w:val="nil"/>
              <w:bottom w:val="nil"/>
              <w:right w:val="nil"/>
            </w:tcBorders>
            <w:shd w:val="clear" w:color="auto" w:fill="auto"/>
            <w:noWrap/>
            <w:vAlign w:val="bottom"/>
            <w:hideMark/>
          </w:tcPr>
          <w:p w14:paraId="62C9DF2F"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19.67</w:t>
            </w:r>
          </w:p>
        </w:tc>
        <w:tc>
          <w:tcPr>
            <w:tcW w:w="760" w:type="dxa"/>
            <w:tcBorders>
              <w:top w:val="nil"/>
              <w:left w:val="nil"/>
              <w:bottom w:val="nil"/>
              <w:right w:val="nil"/>
            </w:tcBorders>
            <w:shd w:val="clear" w:color="auto" w:fill="auto"/>
            <w:noWrap/>
            <w:vAlign w:val="bottom"/>
            <w:hideMark/>
          </w:tcPr>
          <w:p w14:paraId="7583FF70"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21</w:t>
            </w:r>
          </w:p>
        </w:tc>
        <w:tc>
          <w:tcPr>
            <w:tcW w:w="660" w:type="dxa"/>
            <w:tcBorders>
              <w:top w:val="nil"/>
              <w:left w:val="nil"/>
              <w:bottom w:val="nil"/>
              <w:right w:val="nil"/>
            </w:tcBorders>
            <w:shd w:val="clear" w:color="auto" w:fill="auto"/>
            <w:noWrap/>
            <w:vAlign w:val="bottom"/>
            <w:hideMark/>
          </w:tcPr>
          <w:p w14:paraId="63EB651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5.12</w:t>
            </w:r>
          </w:p>
        </w:tc>
      </w:tr>
      <w:tr w:rsidR="00EF1C4D" w:rsidRPr="00EF1C4D" w14:paraId="0C8A6F70" w14:textId="77777777" w:rsidTr="00EF1C4D">
        <w:trPr>
          <w:trHeight w:val="300"/>
        </w:trPr>
        <w:tc>
          <w:tcPr>
            <w:tcW w:w="1200" w:type="dxa"/>
            <w:tcBorders>
              <w:top w:val="nil"/>
              <w:left w:val="nil"/>
              <w:bottom w:val="nil"/>
              <w:right w:val="nil"/>
            </w:tcBorders>
            <w:shd w:val="clear" w:color="auto" w:fill="auto"/>
            <w:noWrap/>
            <w:vAlign w:val="bottom"/>
            <w:hideMark/>
          </w:tcPr>
          <w:p w14:paraId="5867F2D7"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Fitch ratings</w:t>
            </w:r>
          </w:p>
        </w:tc>
        <w:tc>
          <w:tcPr>
            <w:tcW w:w="1460" w:type="dxa"/>
            <w:tcBorders>
              <w:top w:val="nil"/>
              <w:left w:val="nil"/>
              <w:bottom w:val="nil"/>
              <w:right w:val="nil"/>
            </w:tcBorders>
            <w:shd w:val="clear" w:color="auto" w:fill="auto"/>
            <w:noWrap/>
            <w:vAlign w:val="bottom"/>
            <w:hideMark/>
          </w:tcPr>
          <w:p w14:paraId="26DBF49A"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p>
        </w:tc>
        <w:tc>
          <w:tcPr>
            <w:tcW w:w="860" w:type="dxa"/>
            <w:tcBorders>
              <w:top w:val="nil"/>
              <w:left w:val="nil"/>
              <w:bottom w:val="nil"/>
              <w:right w:val="nil"/>
            </w:tcBorders>
            <w:shd w:val="clear" w:color="auto" w:fill="auto"/>
            <w:noWrap/>
            <w:vAlign w:val="bottom"/>
            <w:hideMark/>
          </w:tcPr>
          <w:p w14:paraId="5F43914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w:t>
            </w:r>
          </w:p>
        </w:tc>
        <w:tc>
          <w:tcPr>
            <w:tcW w:w="1060" w:type="dxa"/>
            <w:tcBorders>
              <w:top w:val="nil"/>
              <w:left w:val="nil"/>
              <w:bottom w:val="nil"/>
              <w:right w:val="nil"/>
            </w:tcBorders>
            <w:shd w:val="clear" w:color="auto" w:fill="auto"/>
            <w:noWrap/>
            <w:vAlign w:val="bottom"/>
            <w:hideMark/>
          </w:tcPr>
          <w:p w14:paraId="3E287E99"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11</w:t>
            </w:r>
          </w:p>
        </w:tc>
        <w:tc>
          <w:tcPr>
            <w:tcW w:w="1000" w:type="dxa"/>
            <w:tcBorders>
              <w:top w:val="nil"/>
              <w:left w:val="nil"/>
              <w:bottom w:val="nil"/>
              <w:right w:val="nil"/>
            </w:tcBorders>
            <w:shd w:val="clear" w:color="auto" w:fill="auto"/>
            <w:noWrap/>
            <w:vAlign w:val="bottom"/>
            <w:hideMark/>
          </w:tcPr>
          <w:p w14:paraId="328D8375"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15</w:t>
            </w:r>
          </w:p>
        </w:tc>
        <w:tc>
          <w:tcPr>
            <w:tcW w:w="920" w:type="dxa"/>
            <w:tcBorders>
              <w:top w:val="nil"/>
              <w:left w:val="nil"/>
              <w:bottom w:val="nil"/>
              <w:right w:val="nil"/>
            </w:tcBorders>
            <w:shd w:val="clear" w:color="auto" w:fill="auto"/>
            <w:noWrap/>
            <w:vAlign w:val="bottom"/>
            <w:hideMark/>
          </w:tcPr>
          <w:p w14:paraId="79F8EB1A"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14.87</w:t>
            </w:r>
          </w:p>
        </w:tc>
        <w:tc>
          <w:tcPr>
            <w:tcW w:w="1120" w:type="dxa"/>
            <w:tcBorders>
              <w:top w:val="nil"/>
              <w:left w:val="nil"/>
              <w:bottom w:val="nil"/>
              <w:right w:val="nil"/>
            </w:tcBorders>
            <w:shd w:val="clear" w:color="auto" w:fill="auto"/>
            <w:noWrap/>
            <w:vAlign w:val="bottom"/>
            <w:hideMark/>
          </w:tcPr>
          <w:p w14:paraId="5D604F36"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20</w:t>
            </w:r>
          </w:p>
        </w:tc>
        <w:tc>
          <w:tcPr>
            <w:tcW w:w="760" w:type="dxa"/>
            <w:tcBorders>
              <w:top w:val="nil"/>
              <w:left w:val="nil"/>
              <w:bottom w:val="nil"/>
              <w:right w:val="nil"/>
            </w:tcBorders>
            <w:shd w:val="clear" w:color="auto" w:fill="auto"/>
            <w:noWrap/>
            <w:vAlign w:val="bottom"/>
            <w:hideMark/>
          </w:tcPr>
          <w:p w14:paraId="52CBB3BE"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21</w:t>
            </w:r>
          </w:p>
        </w:tc>
        <w:tc>
          <w:tcPr>
            <w:tcW w:w="660" w:type="dxa"/>
            <w:tcBorders>
              <w:top w:val="nil"/>
              <w:left w:val="nil"/>
              <w:bottom w:val="nil"/>
              <w:right w:val="nil"/>
            </w:tcBorders>
            <w:shd w:val="clear" w:color="auto" w:fill="auto"/>
            <w:noWrap/>
            <w:vAlign w:val="bottom"/>
            <w:hideMark/>
          </w:tcPr>
          <w:p w14:paraId="6BBB53CA"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4.90</w:t>
            </w:r>
          </w:p>
        </w:tc>
      </w:tr>
      <w:tr w:rsidR="00EF1C4D" w:rsidRPr="00EF1C4D" w14:paraId="15A81071" w14:textId="77777777" w:rsidTr="00EF1C4D">
        <w:trPr>
          <w:trHeight w:val="300"/>
        </w:trPr>
        <w:tc>
          <w:tcPr>
            <w:tcW w:w="1200" w:type="dxa"/>
            <w:tcBorders>
              <w:top w:val="nil"/>
              <w:left w:val="nil"/>
              <w:bottom w:val="nil"/>
              <w:right w:val="nil"/>
            </w:tcBorders>
            <w:shd w:val="clear" w:color="auto" w:fill="auto"/>
            <w:noWrap/>
            <w:vAlign w:val="bottom"/>
            <w:hideMark/>
          </w:tcPr>
          <w:p w14:paraId="35E1C353"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Uncertainty</w:t>
            </w:r>
          </w:p>
        </w:tc>
        <w:tc>
          <w:tcPr>
            <w:tcW w:w="1460" w:type="dxa"/>
            <w:tcBorders>
              <w:top w:val="nil"/>
              <w:left w:val="nil"/>
              <w:bottom w:val="nil"/>
              <w:right w:val="nil"/>
            </w:tcBorders>
            <w:shd w:val="clear" w:color="auto" w:fill="auto"/>
            <w:noWrap/>
            <w:vAlign w:val="bottom"/>
            <w:hideMark/>
          </w:tcPr>
          <w:p w14:paraId="310F245D"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p>
        </w:tc>
        <w:tc>
          <w:tcPr>
            <w:tcW w:w="860" w:type="dxa"/>
            <w:tcBorders>
              <w:top w:val="nil"/>
              <w:left w:val="nil"/>
              <w:bottom w:val="nil"/>
              <w:right w:val="nil"/>
            </w:tcBorders>
            <w:shd w:val="clear" w:color="auto" w:fill="auto"/>
            <w:noWrap/>
            <w:vAlign w:val="bottom"/>
            <w:hideMark/>
          </w:tcPr>
          <w:p w14:paraId="2CF2DC2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5.91</w:t>
            </w:r>
          </w:p>
        </w:tc>
        <w:tc>
          <w:tcPr>
            <w:tcW w:w="1060" w:type="dxa"/>
            <w:tcBorders>
              <w:top w:val="nil"/>
              <w:left w:val="nil"/>
              <w:bottom w:val="nil"/>
              <w:right w:val="nil"/>
            </w:tcBorders>
            <w:shd w:val="clear" w:color="auto" w:fill="auto"/>
            <w:noWrap/>
            <w:vAlign w:val="bottom"/>
            <w:hideMark/>
          </w:tcPr>
          <w:p w14:paraId="7BF3976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15.02</w:t>
            </w:r>
          </w:p>
        </w:tc>
        <w:tc>
          <w:tcPr>
            <w:tcW w:w="1000" w:type="dxa"/>
            <w:tcBorders>
              <w:top w:val="nil"/>
              <w:left w:val="nil"/>
              <w:bottom w:val="nil"/>
              <w:right w:val="nil"/>
            </w:tcBorders>
            <w:shd w:val="clear" w:color="auto" w:fill="auto"/>
            <w:noWrap/>
            <w:vAlign w:val="bottom"/>
            <w:hideMark/>
          </w:tcPr>
          <w:p w14:paraId="4B0369AF"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20.41</w:t>
            </w:r>
          </w:p>
        </w:tc>
        <w:tc>
          <w:tcPr>
            <w:tcW w:w="920" w:type="dxa"/>
            <w:tcBorders>
              <w:top w:val="nil"/>
              <w:left w:val="nil"/>
              <w:bottom w:val="nil"/>
              <w:right w:val="nil"/>
            </w:tcBorders>
            <w:shd w:val="clear" w:color="auto" w:fill="auto"/>
            <w:noWrap/>
            <w:vAlign w:val="bottom"/>
            <w:hideMark/>
          </w:tcPr>
          <w:p w14:paraId="5CFA4BBE"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22.42</w:t>
            </w:r>
          </w:p>
        </w:tc>
        <w:tc>
          <w:tcPr>
            <w:tcW w:w="1120" w:type="dxa"/>
            <w:tcBorders>
              <w:top w:val="nil"/>
              <w:left w:val="nil"/>
              <w:bottom w:val="nil"/>
              <w:right w:val="nil"/>
            </w:tcBorders>
            <w:shd w:val="clear" w:color="auto" w:fill="auto"/>
            <w:noWrap/>
            <w:vAlign w:val="bottom"/>
            <w:hideMark/>
          </w:tcPr>
          <w:p w14:paraId="0938AAD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26.71</w:t>
            </w:r>
          </w:p>
        </w:tc>
        <w:tc>
          <w:tcPr>
            <w:tcW w:w="760" w:type="dxa"/>
            <w:tcBorders>
              <w:top w:val="nil"/>
              <w:left w:val="nil"/>
              <w:bottom w:val="nil"/>
              <w:right w:val="nil"/>
            </w:tcBorders>
            <w:shd w:val="clear" w:color="auto" w:fill="auto"/>
            <w:noWrap/>
            <w:vAlign w:val="bottom"/>
            <w:hideMark/>
          </w:tcPr>
          <w:p w14:paraId="5DFDD1E4"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99.03</w:t>
            </w:r>
          </w:p>
        </w:tc>
        <w:tc>
          <w:tcPr>
            <w:tcW w:w="660" w:type="dxa"/>
            <w:tcBorders>
              <w:top w:val="nil"/>
              <w:left w:val="nil"/>
              <w:bottom w:val="nil"/>
              <w:right w:val="nil"/>
            </w:tcBorders>
            <w:shd w:val="clear" w:color="auto" w:fill="auto"/>
            <w:noWrap/>
            <w:vAlign w:val="bottom"/>
            <w:hideMark/>
          </w:tcPr>
          <w:p w14:paraId="6D69F9FB"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10.73</w:t>
            </w:r>
          </w:p>
        </w:tc>
      </w:tr>
      <w:tr w:rsidR="00EF1C4D" w:rsidRPr="00EF1C4D" w14:paraId="2CE6E731" w14:textId="77777777" w:rsidTr="00EF1C4D">
        <w:trPr>
          <w:trHeight w:val="300"/>
        </w:trPr>
        <w:tc>
          <w:tcPr>
            <w:tcW w:w="2660" w:type="dxa"/>
            <w:gridSpan w:val="2"/>
            <w:tcBorders>
              <w:top w:val="nil"/>
              <w:left w:val="nil"/>
              <w:bottom w:val="nil"/>
              <w:right w:val="nil"/>
            </w:tcBorders>
            <w:shd w:val="clear" w:color="auto" w:fill="auto"/>
            <w:noWrap/>
            <w:vAlign w:val="bottom"/>
            <w:hideMark/>
          </w:tcPr>
          <w:p w14:paraId="6B8B7512"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GDP growth rate</w:t>
            </w:r>
          </w:p>
        </w:tc>
        <w:tc>
          <w:tcPr>
            <w:tcW w:w="860" w:type="dxa"/>
            <w:tcBorders>
              <w:top w:val="nil"/>
              <w:left w:val="nil"/>
              <w:bottom w:val="nil"/>
              <w:right w:val="nil"/>
            </w:tcBorders>
            <w:shd w:val="clear" w:color="auto" w:fill="auto"/>
            <w:noWrap/>
            <w:vAlign w:val="bottom"/>
            <w:hideMark/>
          </w:tcPr>
          <w:p w14:paraId="6017325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-15.14</w:t>
            </w:r>
          </w:p>
        </w:tc>
        <w:tc>
          <w:tcPr>
            <w:tcW w:w="1060" w:type="dxa"/>
            <w:tcBorders>
              <w:top w:val="nil"/>
              <w:left w:val="nil"/>
              <w:bottom w:val="nil"/>
              <w:right w:val="nil"/>
            </w:tcBorders>
            <w:shd w:val="clear" w:color="auto" w:fill="auto"/>
            <w:noWrap/>
            <w:vAlign w:val="bottom"/>
            <w:hideMark/>
          </w:tcPr>
          <w:p w14:paraId="74F23426"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1.51</w:t>
            </w:r>
          </w:p>
        </w:tc>
        <w:tc>
          <w:tcPr>
            <w:tcW w:w="1000" w:type="dxa"/>
            <w:tcBorders>
              <w:top w:val="nil"/>
              <w:left w:val="nil"/>
              <w:bottom w:val="nil"/>
              <w:right w:val="nil"/>
            </w:tcBorders>
            <w:shd w:val="clear" w:color="auto" w:fill="auto"/>
            <w:noWrap/>
            <w:vAlign w:val="bottom"/>
            <w:hideMark/>
          </w:tcPr>
          <w:p w14:paraId="0AC7972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3.31</w:t>
            </w:r>
          </w:p>
        </w:tc>
        <w:tc>
          <w:tcPr>
            <w:tcW w:w="920" w:type="dxa"/>
            <w:tcBorders>
              <w:top w:val="nil"/>
              <w:left w:val="nil"/>
              <w:bottom w:val="nil"/>
              <w:right w:val="nil"/>
            </w:tcBorders>
            <w:shd w:val="clear" w:color="auto" w:fill="auto"/>
            <w:noWrap/>
            <w:vAlign w:val="bottom"/>
            <w:hideMark/>
          </w:tcPr>
          <w:p w14:paraId="25FDBA9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3.22</w:t>
            </w:r>
          </w:p>
        </w:tc>
        <w:tc>
          <w:tcPr>
            <w:tcW w:w="1120" w:type="dxa"/>
            <w:tcBorders>
              <w:top w:val="nil"/>
              <w:left w:val="nil"/>
              <w:bottom w:val="nil"/>
              <w:right w:val="nil"/>
            </w:tcBorders>
            <w:shd w:val="clear" w:color="auto" w:fill="auto"/>
            <w:noWrap/>
            <w:vAlign w:val="bottom"/>
            <w:hideMark/>
          </w:tcPr>
          <w:p w14:paraId="11ECC28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5.14</w:t>
            </w:r>
          </w:p>
        </w:tc>
        <w:tc>
          <w:tcPr>
            <w:tcW w:w="760" w:type="dxa"/>
            <w:tcBorders>
              <w:top w:val="nil"/>
              <w:left w:val="nil"/>
              <w:bottom w:val="nil"/>
              <w:right w:val="nil"/>
            </w:tcBorders>
            <w:shd w:val="clear" w:color="auto" w:fill="auto"/>
            <w:noWrap/>
            <w:vAlign w:val="bottom"/>
            <w:hideMark/>
          </w:tcPr>
          <w:p w14:paraId="42F04076"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26.26</w:t>
            </w:r>
          </w:p>
        </w:tc>
        <w:tc>
          <w:tcPr>
            <w:tcW w:w="660" w:type="dxa"/>
            <w:tcBorders>
              <w:top w:val="nil"/>
              <w:left w:val="nil"/>
              <w:bottom w:val="nil"/>
              <w:right w:val="nil"/>
            </w:tcBorders>
            <w:shd w:val="clear" w:color="auto" w:fill="auto"/>
            <w:noWrap/>
            <w:vAlign w:val="bottom"/>
            <w:hideMark/>
          </w:tcPr>
          <w:p w14:paraId="15E5D346"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3.69</w:t>
            </w:r>
          </w:p>
        </w:tc>
      </w:tr>
      <w:tr w:rsidR="00EF1C4D" w:rsidRPr="00EF1C4D" w14:paraId="78FDB52E" w14:textId="77777777" w:rsidTr="00EF1C4D">
        <w:trPr>
          <w:trHeight w:val="300"/>
        </w:trPr>
        <w:tc>
          <w:tcPr>
            <w:tcW w:w="1200" w:type="dxa"/>
            <w:tcBorders>
              <w:top w:val="nil"/>
              <w:left w:val="nil"/>
              <w:bottom w:val="nil"/>
              <w:right w:val="nil"/>
            </w:tcBorders>
            <w:shd w:val="clear" w:color="auto" w:fill="auto"/>
            <w:noWrap/>
            <w:vAlign w:val="bottom"/>
            <w:hideMark/>
          </w:tcPr>
          <w:p w14:paraId="31401692"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Investments</w:t>
            </w:r>
          </w:p>
        </w:tc>
        <w:tc>
          <w:tcPr>
            <w:tcW w:w="1460" w:type="dxa"/>
            <w:tcBorders>
              <w:top w:val="nil"/>
              <w:left w:val="nil"/>
              <w:bottom w:val="nil"/>
              <w:right w:val="nil"/>
            </w:tcBorders>
            <w:shd w:val="clear" w:color="auto" w:fill="auto"/>
            <w:noWrap/>
            <w:vAlign w:val="bottom"/>
            <w:hideMark/>
          </w:tcPr>
          <w:p w14:paraId="02AEBBBB"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p>
        </w:tc>
        <w:tc>
          <w:tcPr>
            <w:tcW w:w="860" w:type="dxa"/>
            <w:tcBorders>
              <w:top w:val="nil"/>
              <w:left w:val="nil"/>
              <w:bottom w:val="nil"/>
              <w:right w:val="nil"/>
            </w:tcBorders>
            <w:shd w:val="clear" w:color="auto" w:fill="auto"/>
            <w:noWrap/>
            <w:vAlign w:val="bottom"/>
            <w:hideMark/>
          </w:tcPr>
          <w:p w14:paraId="04649C80"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4.31</w:t>
            </w:r>
          </w:p>
        </w:tc>
        <w:tc>
          <w:tcPr>
            <w:tcW w:w="1060" w:type="dxa"/>
            <w:tcBorders>
              <w:top w:val="nil"/>
              <w:left w:val="nil"/>
              <w:bottom w:val="nil"/>
              <w:right w:val="nil"/>
            </w:tcBorders>
            <w:shd w:val="clear" w:color="auto" w:fill="auto"/>
            <w:noWrap/>
            <w:vAlign w:val="bottom"/>
            <w:hideMark/>
          </w:tcPr>
          <w:p w14:paraId="22D48A6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20.06</w:t>
            </w:r>
          </w:p>
        </w:tc>
        <w:tc>
          <w:tcPr>
            <w:tcW w:w="1000" w:type="dxa"/>
            <w:tcBorders>
              <w:top w:val="nil"/>
              <w:left w:val="nil"/>
              <w:bottom w:val="nil"/>
              <w:right w:val="nil"/>
            </w:tcBorders>
            <w:shd w:val="clear" w:color="auto" w:fill="auto"/>
            <w:noWrap/>
            <w:vAlign w:val="bottom"/>
            <w:hideMark/>
          </w:tcPr>
          <w:p w14:paraId="4ECD9EB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22.81</w:t>
            </w:r>
          </w:p>
        </w:tc>
        <w:tc>
          <w:tcPr>
            <w:tcW w:w="920" w:type="dxa"/>
            <w:tcBorders>
              <w:top w:val="nil"/>
              <w:left w:val="nil"/>
              <w:bottom w:val="nil"/>
              <w:right w:val="nil"/>
            </w:tcBorders>
            <w:shd w:val="clear" w:color="auto" w:fill="auto"/>
            <w:noWrap/>
            <w:vAlign w:val="bottom"/>
            <w:hideMark/>
          </w:tcPr>
          <w:p w14:paraId="414DD9B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23.51</w:t>
            </w:r>
          </w:p>
        </w:tc>
        <w:tc>
          <w:tcPr>
            <w:tcW w:w="1120" w:type="dxa"/>
            <w:tcBorders>
              <w:top w:val="nil"/>
              <w:left w:val="nil"/>
              <w:bottom w:val="nil"/>
              <w:right w:val="nil"/>
            </w:tcBorders>
            <w:shd w:val="clear" w:color="auto" w:fill="auto"/>
            <w:noWrap/>
            <w:vAlign w:val="bottom"/>
            <w:hideMark/>
          </w:tcPr>
          <w:p w14:paraId="62A6D2F8"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26.08</w:t>
            </w:r>
          </w:p>
        </w:tc>
        <w:tc>
          <w:tcPr>
            <w:tcW w:w="760" w:type="dxa"/>
            <w:tcBorders>
              <w:top w:val="nil"/>
              <w:left w:val="nil"/>
              <w:bottom w:val="nil"/>
              <w:right w:val="nil"/>
            </w:tcBorders>
            <w:shd w:val="clear" w:color="auto" w:fill="auto"/>
            <w:noWrap/>
            <w:vAlign w:val="bottom"/>
            <w:hideMark/>
          </w:tcPr>
          <w:p w14:paraId="34F84D7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48.01</w:t>
            </w:r>
          </w:p>
        </w:tc>
        <w:tc>
          <w:tcPr>
            <w:tcW w:w="660" w:type="dxa"/>
            <w:tcBorders>
              <w:top w:val="nil"/>
              <w:left w:val="nil"/>
              <w:bottom w:val="nil"/>
              <w:right w:val="nil"/>
            </w:tcBorders>
            <w:shd w:val="clear" w:color="auto" w:fill="auto"/>
            <w:noWrap/>
            <w:vAlign w:val="bottom"/>
            <w:hideMark/>
          </w:tcPr>
          <w:p w14:paraId="34C15C46"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5.37</w:t>
            </w:r>
          </w:p>
        </w:tc>
      </w:tr>
      <w:tr w:rsidR="00EF1C4D" w:rsidRPr="00EF1C4D" w14:paraId="21D4D246" w14:textId="77777777" w:rsidTr="00EF1C4D">
        <w:trPr>
          <w:trHeight w:val="300"/>
        </w:trPr>
        <w:tc>
          <w:tcPr>
            <w:tcW w:w="2660" w:type="dxa"/>
            <w:gridSpan w:val="2"/>
            <w:tcBorders>
              <w:top w:val="nil"/>
              <w:left w:val="nil"/>
              <w:bottom w:val="nil"/>
              <w:right w:val="nil"/>
            </w:tcBorders>
            <w:shd w:val="clear" w:color="auto" w:fill="auto"/>
            <w:noWrap/>
            <w:vAlign w:val="bottom"/>
            <w:hideMark/>
          </w:tcPr>
          <w:p w14:paraId="381C980D"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Government debt</w:t>
            </w:r>
          </w:p>
        </w:tc>
        <w:tc>
          <w:tcPr>
            <w:tcW w:w="860" w:type="dxa"/>
            <w:tcBorders>
              <w:top w:val="nil"/>
              <w:left w:val="nil"/>
              <w:bottom w:val="nil"/>
              <w:right w:val="nil"/>
            </w:tcBorders>
            <w:shd w:val="clear" w:color="auto" w:fill="auto"/>
            <w:noWrap/>
            <w:vAlign w:val="bottom"/>
            <w:hideMark/>
          </w:tcPr>
          <w:p w14:paraId="3C020BC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0.06</w:t>
            </w:r>
          </w:p>
        </w:tc>
        <w:tc>
          <w:tcPr>
            <w:tcW w:w="1060" w:type="dxa"/>
            <w:tcBorders>
              <w:top w:val="nil"/>
              <w:left w:val="nil"/>
              <w:bottom w:val="nil"/>
              <w:right w:val="nil"/>
            </w:tcBorders>
            <w:shd w:val="clear" w:color="auto" w:fill="auto"/>
            <w:noWrap/>
            <w:vAlign w:val="bottom"/>
            <w:hideMark/>
          </w:tcPr>
          <w:p w14:paraId="3589CD9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29.48</w:t>
            </w:r>
          </w:p>
        </w:tc>
        <w:tc>
          <w:tcPr>
            <w:tcW w:w="1000" w:type="dxa"/>
            <w:tcBorders>
              <w:top w:val="nil"/>
              <w:left w:val="nil"/>
              <w:bottom w:val="nil"/>
              <w:right w:val="nil"/>
            </w:tcBorders>
            <w:shd w:val="clear" w:color="auto" w:fill="auto"/>
            <w:noWrap/>
            <w:vAlign w:val="bottom"/>
            <w:hideMark/>
          </w:tcPr>
          <w:p w14:paraId="02A0277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44.13</w:t>
            </w:r>
          </w:p>
        </w:tc>
        <w:tc>
          <w:tcPr>
            <w:tcW w:w="920" w:type="dxa"/>
            <w:tcBorders>
              <w:top w:val="nil"/>
              <w:left w:val="nil"/>
              <w:bottom w:val="nil"/>
              <w:right w:val="nil"/>
            </w:tcBorders>
            <w:shd w:val="clear" w:color="auto" w:fill="auto"/>
            <w:noWrap/>
            <w:vAlign w:val="bottom"/>
            <w:hideMark/>
          </w:tcPr>
          <w:p w14:paraId="5515E5E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51.48</w:t>
            </w:r>
          </w:p>
        </w:tc>
        <w:tc>
          <w:tcPr>
            <w:tcW w:w="1120" w:type="dxa"/>
            <w:tcBorders>
              <w:top w:val="nil"/>
              <w:left w:val="nil"/>
              <w:bottom w:val="nil"/>
              <w:right w:val="nil"/>
            </w:tcBorders>
            <w:shd w:val="clear" w:color="auto" w:fill="auto"/>
            <w:noWrap/>
            <w:vAlign w:val="bottom"/>
            <w:hideMark/>
          </w:tcPr>
          <w:p w14:paraId="4420BBB0"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66.89</w:t>
            </w:r>
          </w:p>
        </w:tc>
        <w:tc>
          <w:tcPr>
            <w:tcW w:w="760" w:type="dxa"/>
            <w:tcBorders>
              <w:top w:val="nil"/>
              <w:left w:val="nil"/>
              <w:bottom w:val="nil"/>
              <w:right w:val="nil"/>
            </w:tcBorders>
            <w:shd w:val="clear" w:color="auto" w:fill="auto"/>
            <w:noWrap/>
            <w:vAlign w:val="bottom"/>
            <w:hideMark/>
          </w:tcPr>
          <w:p w14:paraId="36CD1C57"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242.11</w:t>
            </w:r>
          </w:p>
        </w:tc>
        <w:tc>
          <w:tcPr>
            <w:tcW w:w="660" w:type="dxa"/>
            <w:tcBorders>
              <w:top w:val="nil"/>
              <w:left w:val="nil"/>
              <w:bottom w:val="nil"/>
              <w:right w:val="nil"/>
            </w:tcBorders>
            <w:shd w:val="clear" w:color="auto" w:fill="auto"/>
            <w:noWrap/>
            <w:vAlign w:val="bottom"/>
            <w:hideMark/>
          </w:tcPr>
          <w:p w14:paraId="75C5016E"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33.51</w:t>
            </w:r>
          </w:p>
        </w:tc>
      </w:tr>
      <w:tr w:rsidR="00EF1C4D" w:rsidRPr="00EF1C4D" w14:paraId="5B15E74A" w14:textId="77777777" w:rsidTr="00EF1C4D">
        <w:trPr>
          <w:trHeight w:val="300"/>
        </w:trPr>
        <w:tc>
          <w:tcPr>
            <w:tcW w:w="2660" w:type="dxa"/>
            <w:gridSpan w:val="2"/>
            <w:tcBorders>
              <w:top w:val="nil"/>
              <w:left w:val="nil"/>
              <w:bottom w:val="nil"/>
              <w:right w:val="nil"/>
            </w:tcBorders>
            <w:shd w:val="clear" w:color="auto" w:fill="auto"/>
            <w:noWrap/>
            <w:vAlign w:val="bottom"/>
            <w:hideMark/>
          </w:tcPr>
          <w:p w14:paraId="7C937DE6"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Fiscal Balance</w:t>
            </w:r>
          </w:p>
        </w:tc>
        <w:tc>
          <w:tcPr>
            <w:tcW w:w="860" w:type="dxa"/>
            <w:tcBorders>
              <w:top w:val="nil"/>
              <w:left w:val="nil"/>
              <w:bottom w:val="nil"/>
              <w:right w:val="nil"/>
            </w:tcBorders>
            <w:shd w:val="clear" w:color="auto" w:fill="auto"/>
            <w:noWrap/>
            <w:vAlign w:val="bottom"/>
            <w:hideMark/>
          </w:tcPr>
          <w:p w14:paraId="4151E2C8"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-32.13</w:t>
            </w:r>
          </w:p>
        </w:tc>
        <w:tc>
          <w:tcPr>
            <w:tcW w:w="1060" w:type="dxa"/>
            <w:tcBorders>
              <w:top w:val="nil"/>
              <w:left w:val="nil"/>
              <w:bottom w:val="nil"/>
              <w:right w:val="nil"/>
            </w:tcBorders>
            <w:shd w:val="clear" w:color="auto" w:fill="auto"/>
            <w:noWrap/>
            <w:vAlign w:val="bottom"/>
            <w:hideMark/>
          </w:tcPr>
          <w:p w14:paraId="7D75E0CE"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-4.09</w:t>
            </w:r>
          </w:p>
        </w:tc>
        <w:tc>
          <w:tcPr>
            <w:tcW w:w="1000" w:type="dxa"/>
            <w:tcBorders>
              <w:top w:val="nil"/>
              <w:left w:val="nil"/>
              <w:bottom w:val="nil"/>
              <w:right w:val="nil"/>
            </w:tcBorders>
            <w:shd w:val="clear" w:color="auto" w:fill="auto"/>
            <w:noWrap/>
            <w:vAlign w:val="bottom"/>
            <w:hideMark/>
          </w:tcPr>
          <w:p w14:paraId="2E3E29F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-2.21</w:t>
            </w:r>
          </w:p>
        </w:tc>
        <w:tc>
          <w:tcPr>
            <w:tcW w:w="920" w:type="dxa"/>
            <w:tcBorders>
              <w:top w:val="nil"/>
              <w:left w:val="nil"/>
              <w:bottom w:val="nil"/>
              <w:right w:val="nil"/>
            </w:tcBorders>
            <w:shd w:val="clear" w:color="auto" w:fill="auto"/>
            <w:noWrap/>
            <w:vAlign w:val="bottom"/>
            <w:hideMark/>
          </w:tcPr>
          <w:p w14:paraId="21DD78C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-1.81</w:t>
            </w:r>
          </w:p>
        </w:tc>
        <w:tc>
          <w:tcPr>
            <w:tcW w:w="1120" w:type="dxa"/>
            <w:tcBorders>
              <w:top w:val="nil"/>
              <w:left w:val="nil"/>
              <w:bottom w:val="nil"/>
              <w:right w:val="nil"/>
            </w:tcBorders>
            <w:shd w:val="clear" w:color="auto" w:fill="auto"/>
            <w:noWrap/>
            <w:vAlign w:val="bottom"/>
            <w:hideMark/>
          </w:tcPr>
          <w:p w14:paraId="486FF231"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0.04</w:t>
            </w:r>
          </w:p>
        </w:tc>
        <w:tc>
          <w:tcPr>
            <w:tcW w:w="760" w:type="dxa"/>
            <w:tcBorders>
              <w:top w:val="nil"/>
              <w:left w:val="nil"/>
              <w:bottom w:val="nil"/>
              <w:right w:val="nil"/>
            </w:tcBorders>
            <w:shd w:val="clear" w:color="auto" w:fill="auto"/>
            <w:noWrap/>
            <w:vAlign w:val="bottom"/>
            <w:hideMark/>
          </w:tcPr>
          <w:p w14:paraId="09AB119A"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29.80</w:t>
            </w:r>
          </w:p>
        </w:tc>
        <w:tc>
          <w:tcPr>
            <w:tcW w:w="660" w:type="dxa"/>
            <w:tcBorders>
              <w:top w:val="nil"/>
              <w:left w:val="nil"/>
              <w:bottom w:val="nil"/>
              <w:right w:val="nil"/>
            </w:tcBorders>
            <w:shd w:val="clear" w:color="auto" w:fill="auto"/>
            <w:noWrap/>
            <w:vAlign w:val="bottom"/>
            <w:hideMark/>
          </w:tcPr>
          <w:p w14:paraId="02CF0595"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4.53</w:t>
            </w:r>
          </w:p>
        </w:tc>
      </w:tr>
      <w:tr w:rsidR="00EF1C4D" w:rsidRPr="00EF1C4D" w14:paraId="1CD40972" w14:textId="77777777" w:rsidTr="00EF1C4D">
        <w:trPr>
          <w:trHeight w:val="300"/>
        </w:trPr>
        <w:tc>
          <w:tcPr>
            <w:tcW w:w="2660" w:type="dxa"/>
            <w:gridSpan w:val="2"/>
            <w:tcBorders>
              <w:top w:val="nil"/>
              <w:left w:val="nil"/>
              <w:bottom w:val="single" w:sz="4" w:space="0" w:color="auto"/>
              <w:right w:val="nil"/>
            </w:tcBorders>
            <w:shd w:val="clear" w:color="auto" w:fill="auto"/>
            <w:noWrap/>
            <w:vAlign w:val="bottom"/>
            <w:hideMark/>
          </w:tcPr>
          <w:p w14:paraId="7256EAA2" w14:textId="77777777" w:rsidR="00EF1C4D" w:rsidRPr="00EF1C4D" w:rsidRDefault="00EF1C4D" w:rsidP="00EF1C4D">
            <w:pPr>
              <w:spacing w:after="0" w:line="240" w:lineRule="auto"/>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Non-performing loans</w:t>
            </w:r>
          </w:p>
        </w:tc>
        <w:tc>
          <w:tcPr>
            <w:tcW w:w="860" w:type="dxa"/>
            <w:tcBorders>
              <w:top w:val="nil"/>
              <w:left w:val="nil"/>
              <w:bottom w:val="single" w:sz="4" w:space="0" w:color="auto"/>
              <w:right w:val="nil"/>
            </w:tcBorders>
            <w:shd w:val="clear" w:color="auto" w:fill="auto"/>
            <w:noWrap/>
            <w:vAlign w:val="bottom"/>
            <w:hideMark/>
          </w:tcPr>
          <w:p w14:paraId="0B743726"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0.08</w:t>
            </w:r>
          </w:p>
        </w:tc>
        <w:tc>
          <w:tcPr>
            <w:tcW w:w="1060" w:type="dxa"/>
            <w:tcBorders>
              <w:top w:val="nil"/>
              <w:left w:val="nil"/>
              <w:bottom w:val="single" w:sz="4" w:space="0" w:color="auto"/>
              <w:right w:val="nil"/>
            </w:tcBorders>
            <w:shd w:val="clear" w:color="auto" w:fill="auto"/>
            <w:noWrap/>
            <w:vAlign w:val="bottom"/>
            <w:hideMark/>
          </w:tcPr>
          <w:p w14:paraId="04746EAC"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1.79</w:t>
            </w:r>
          </w:p>
        </w:tc>
        <w:tc>
          <w:tcPr>
            <w:tcW w:w="1000" w:type="dxa"/>
            <w:tcBorders>
              <w:top w:val="nil"/>
              <w:left w:val="nil"/>
              <w:bottom w:val="single" w:sz="4" w:space="0" w:color="auto"/>
              <w:right w:val="nil"/>
            </w:tcBorders>
            <w:shd w:val="clear" w:color="auto" w:fill="auto"/>
            <w:noWrap/>
            <w:vAlign w:val="bottom"/>
            <w:hideMark/>
          </w:tcPr>
          <w:p w14:paraId="01C66300"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3.61</w:t>
            </w:r>
          </w:p>
        </w:tc>
        <w:tc>
          <w:tcPr>
            <w:tcW w:w="920" w:type="dxa"/>
            <w:tcBorders>
              <w:top w:val="nil"/>
              <w:left w:val="nil"/>
              <w:bottom w:val="single" w:sz="4" w:space="0" w:color="auto"/>
              <w:right w:val="nil"/>
            </w:tcBorders>
            <w:shd w:val="clear" w:color="auto" w:fill="auto"/>
            <w:noWrap/>
            <w:vAlign w:val="bottom"/>
            <w:hideMark/>
          </w:tcPr>
          <w:p w14:paraId="32D0B86A"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6.61</w:t>
            </w:r>
          </w:p>
        </w:tc>
        <w:tc>
          <w:tcPr>
            <w:tcW w:w="1120" w:type="dxa"/>
            <w:tcBorders>
              <w:top w:val="nil"/>
              <w:left w:val="nil"/>
              <w:bottom w:val="single" w:sz="4" w:space="0" w:color="auto"/>
              <w:right w:val="nil"/>
            </w:tcBorders>
            <w:shd w:val="clear" w:color="auto" w:fill="auto"/>
            <w:noWrap/>
            <w:vAlign w:val="bottom"/>
            <w:hideMark/>
          </w:tcPr>
          <w:p w14:paraId="0C3F83F2"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8.60</w:t>
            </w:r>
          </w:p>
        </w:tc>
        <w:tc>
          <w:tcPr>
            <w:tcW w:w="760" w:type="dxa"/>
            <w:tcBorders>
              <w:top w:val="nil"/>
              <w:left w:val="nil"/>
              <w:bottom w:val="single" w:sz="4" w:space="0" w:color="auto"/>
              <w:right w:val="nil"/>
            </w:tcBorders>
            <w:shd w:val="clear" w:color="auto" w:fill="auto"/>
            <w:noWrap/>
            <w:vAlign w:val="bottom"/>
            <w:hideMark/>
          </w:tcPr>
          <w:p w14:paraId="7BB57F53"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71.70</w:t>
            </w:r>
          </w:p>
        </w:tc>
        <w:tc>
          <w:tcPr>
            <w:tcW w:w="660" w:type="dxa"/>
            <w:tcBorders>
              <w:top w:val="nil"/>
              <w:left w:val="nil"/>
              <w:bottom w:val="single" w:sz="4" w:space="0" w:color="auto"/>
              <w:right w:val="nil"/>
            </w:tcBorders>
            <w:shd w:val="clear" w:color="auto" w:fill="auto"/>
            <w:noWrap/>
            <w:vAlign w:val="bottom"/>
            <w:hideMark/>
          </w:tcPr>
          <w:p w14:paraId="7CE29DFE" w14:textId="77777777" w:rsidR="00EF1C4D" w:rsidRPr="00EF1C4D" w:rsidRDefault="00EF1C4D" w:rsidP="00EF1C4D">
            <w:pPr>
              <w:spacing w:after="0" w:line="240" w:lineRule="auto"/>
              <w:jc w:val="center"/>
              <w:rPr>
                <w:rFonts w:ascii="Calibri" w:eastAsia="Times New Roman" w:hAnsi="Calibri" w:cs="Calibri"/>
                <w:color w:val="000000"/>
                <w:sz w:val="20"/>
                <w:szCs w:val="20"/>
                <w:lang w:eastAsia="en-GB"/>
              </w:rPr>
            </w:pPr>
            <w:r w:rsidRPr="00EF1C4D">
              <w:rPr>
                <w:rFonts w:ascii="Calibri" w:eastAsia="Times New Roman" w:hAnsi="Calibri" w:cs="Calibri"/>
                <w:color w:val="000000"/>
                <w:sz w:val="20"/>
                <w:szCs w:val="20"/>
                <w:lang w:eastAsia="en-GB"/>
              </w:rPr>
              <w:t>7.81</w:t>
            </w:r>
          </w:p>
        </w:tc>
      </w:tr>
    </w:tbl>
    <w:p w14:paraId="11D387F2" w14:textId="77777777" w:rsidR="005931C9" w:rsidRDefault="005931C9" w:rsidP="00784717">
      <w:pPr>
        <w:spacing w:line="240" w:lineRule="auto"/>
        <w:rPr>
          <w:rFonts w:ascii="Cambria Math" w:hAnsi="Cambria Math"/>
          <w:b/>
          <w:sz w:val="24"/>
        </w:rPr>
      </w:pPr>
    </w:p>
    <w:p w14:paraId="7B131904" w14:textId="77777777" w:rsidR="005931C9" w:rsidRDefault="005931C9" w:rsidP="00784717">
      <w:pPr>
        <w:spacing w:line="240" w:lineRule="auto"/>
        <w:rPr>
          <w:rFonts w:ascii="Cambria Math" w:hAnsi="Cambria Math"/>
          <w:b/>
          <w:sz w:val="24"/>
        </w:rPr>
      </w:pPr>
    </w:p>
    <w:p w14:paraId="30EC2893" w14:textId="77777777" w:rsidR="005931C9" w:rsidRDefault="005931C9" w:rsidP="00784717">
      <w:pPr>
        <w:spacing w:line="240" w:lineRule="auto"/>
        <w:rPr>
          <w:rFonts w:ascii="Cambria Math" w:hAnsi="Cambria Math"/>
          <w:b/>
          <w:sz w:val="24"/>
        </w:rPr>
      </w:pPr>
    </w:p>
    <w:p w14:paraId="6EDD51A3" w14:textId="77777777" w:rsidR="005931C9" w:rsidRDefault="005931C9" w:rsidP="00784717">
      <w:pPr>
        <w:spacing w:line="240" w:lineRule="auto"/>
        <w:rPr>
          <w:rFonts w:ascii="Cambria Math" w:hAnsi="Cambria Math"/>
          <w:b/>
          <w:sz w:val="24"/>
        </w:rPr>
      </w:pPr>
    </w:p>
    <w:p w14:paraId="3B91C9EF" w14:textId="77777777" w:rsidR="005931C9" w:rsidRDefault="005931C9" w:rsidP="00784717">
      <w:pPr>
        <w:spacing w:line="240" w:lineRule="auto"/>
        <w:rPr>
          <w:rFonts w:ascii="Cambria Math" w:hAnsi="Cambria Math"/>
          <w:b/>
          <w:sz w:val="24"/>
        </w:rPr>
      </w:pPr>
    </w:p>
    <w:p w14:paraId="62FCA911" w14:textId="77777777" w:rsidR="005931C9" w:rsidRDefault="005931C9" w:rsidP="00784717">
      <w:pPr>
        <w:spacing w:line="240" w:lineRule="auto"/>
        <w:rPr>
          <w:rFonts w:ascii="Cambria Math" w:hAnsi="Cambria Math"/>
          <w:b/>
          <w:sz w:val="24"/>
        </w:rPr>
      </w:pPr>
    </w:p>
    <w:p w14:paraId="11EEE9D0" w14:textId="77777777" w:rsidR="005931C9" w:rsidRDefault="005931C9" w:rsidP="00784717">
      <w:pPr>
        <w:spacing w:line="240" w:lineRule="auto"/>
        <w:rPr>
          <w:rFonts w:ascii="Cambria Math" w:hAnsi="Cambria Math"/>
          <w:b/>
          <w:sz w:val="24"/>
        </w:rPr>
      </w:pPr>
    </w:p>
    <w:p w14:paraId="158C94FA" w14:textId="77777777" w:rsidR="005931C9" w:rsidRDefault="005931C9" w:rsidP="00784717">
      <w:pPr>
        <w:spacing w:line="240" w:lineRule="auto"/>
        <w:rPr>
          <w:rFonts w:ascii="Cambria Math" w:hAnsi="Cambria Math"/>
          <w:b/>
          <w:sz w:val="24"/>
        </w:rPr>
      </w:pPr>
    </w:p>
    <w:p w14:paraId="4D3BE814" w14:textId="77777777" w:rsidR="005931C9" w:rsidRDefault="005931C9" w:rsidP="00784717">
      <w:pPr>
        <w:spacing w:line="240" w:lineRule="auto"/>
        <w:rPr>
          <w:rFonts w:ascii="Cambria Math" w:hAnsi="Cambria Math"/>
          <w:b/>
          <w:sz w:val="24"/>
        </w:rPr>
      </w:pPr>
    </w:p>
    <w:p w14:paraId="0E431605" w14:textId="77777777" w:rsidR="005931C9" w:rsidRDefault="005931C9" w:rsidP="00784717">
      <w:pPr>
        <w:spacing w:line="240" w:lineRule="auto"/>
        <w:rPr>
          <w:rFonts w:ascii="Cambria Math" w:hAnsi="Cambria Math"/>
          <w:b/>
          <w:sz w:val="24"/>
        </w:rPr>
      </w:pPr>
    </w:p>
    <w:p w14:paraId="3EB06D9F" w14:textId="77777777" w:rsidR="005931C9" w:rsidRDefault="005931C9" w:rsidP="00784717">
      <w:pPr>
        <w:spacing w:line="240" w:lineRule="auto"/>
        <w:rPr>
          <w:rFonts w:ascii="Cambria Math" w:hAnsi="Cambria Math"/>
          <w:b/>
          <w:sz w:val="24"/>
        </w:rPr>
      </w:pPr>
    </w:p>
    <w:p w14:paraId="116A4242" w14:textId="77777777" w:rsidR="005931C9" w:rsidRDefault="005931C9" w:rsidP="00784717">
      <w:pPr>
        <w:spacing w:line="240" w:lineRule="auto"/>
        <w:rPr>
          <w:rFonts w:ascii="Cambria Math" w:hAnsi="Cambria Math"/>
          <w:b/>
          <w:sz w:val="24"/>
        </w:rPr>
      </w:pPr>
    </w:p>
    <w:p w14:paraId="347C9B1E" w14:textId="77777777" w:rsidR="005931C9" w:rsidRDefault="005931C9" w:rsidP="00784717">
      <w:pPr>
        <w:spacing w:line="240" w:lineRule="auto"/>
        <w:rPr>
          <w:rFonts w:ascii="Cambria Math" w:hAnsi="Cambria Math"/>
          <w:b/>
          <w:sz w:val="24"/>
        </w:rPr>
      </w:pPr>
    </w:p>
    <w:p w14:paraId="2B57B022" w14:textId="77777777" w:rsidR="005931C9" w:rsidRDefault="005931C9" w:rsidP="00784717">
      <w:pPr>
        <w:spacing w:line="240" w:lineRule="auto"/>
        <w:rPr>
          <w:rFonts w:ascii="Cambria Math" w:hAnsi="Cambria Math"/>
          <w:b/>
          <w:sz w:val="24"/>
        </w:rPr>
      </w:pPr>
    </w:p>
    <w:p w14:paraId="694AA7AA" w14:textId="77777777" w:rsidR="005931C9" w:rsidRDefault="005931C9" w:rsidP="00784717">
      <w:pPr>
        <w:spacing w:line="240" w:lineRule="auto"/>
        <w:rPr>
          <w:rFonts w:ascii="Cambria Math" w:hAnsi="Cambria Math"/>
          <w:b/>
          <w:sz w:val="24"/>
        </w:rPr>
      </w:pPr>
    </w:p>
    <w:p w14:paraId="285D5D4F" w14:textId="2FCA0E28" w:rsidR="00531C3E" w:rsidRPr="0076192F" w:rsidRDefault="002B5A8E" w:rsidP="00784717">
      <w:pPr>
        <w:spacing w:line="240" w:lineRule="auto"/>
        <w:rPr>
          <w:rFonts w:ascii="Cambria Math" w:hAnsi="Cambria Math"/>
          <w:b/>
          <w:sz w:val="24"/>
        </w:rPr>
      </w:pPr>
      <w:r>
        <w:rPr>
          <w:rFonts w:ascii="Cambria Math" w:hAnsi="Cambria Math"/>
          <w:b/>
          <w:sz w:val="24"/>
        </w:rPr>
        <w:lastRenderedPageBreak/>
        <w:t>Figure 1</w:t>
      </w:r>
      <w:r w:rsidR="00C86526" w:rsidRPr="0076192F">
        <w:rPr>
          <w:rFonts w:ascii="Cambria Math" w:hAnsi="Cambria Math"/>
          <w:b/>
          <w:sz w:val="24"/>
        </w:rPr>
        <w:t xml:space="preserve">: </w:t>
      </w:r>
      <w:r w:rsidR="0064309A" w:rsidRPr="0076192F">
        <w:rPr>
          <w:rFonts w:ascii="Cambria Math" w:hAnsi="Cambria Math"/>
          <w:b/>
          <w:sz w:val="24"/>
        </w:rPr>
        <w:t xml:space="preserve">Generalized impulse response functions </w:t>
      </w:r>
      <w:r w:rsidR="00531C3E" w:rsidRPr="0076192F">
        <w:rPr>
          <w:rFonts w:ascii="Cambria Math" w:hAnsi="Cambria Math"/>
          <w:b/>
          <w:sz w:val="24"/>
        </w:rPr>
        <w:t>for Moody’s</w:t>
      </w:r>
      <w:r w:rsidR="00E437AE" w:rsidRPr="0076192F">
        <w:rPr>
          <w:rFonts w:ascii="Cambria Math" w:hAnsi="Cambria Math"/>
          <w:b/>
          <w:sz w:val="24"/>
        </w:rPr>
        <w:t xml:space="preserve"> using first difference transformation</w:t>
      </w:r>
    </w:p>
    <w:p w14:paraId="74EBBE71" w14:textId="034739E6" w:rsidR="001404A4" w:rsidRPr="0076192F" w:rsidRDefault="002B5A8E" w:rsidP="00784717">
      <w:pPr>
        <w:spacing w:line="240" w:lineRule="auto"/>
        <w:rPr>
          <w:rFonts w:ascii="Cambria Math" w:hAnsi="Cambria Math"/>
        </w:rPr>
      </w:pPr>
      <w:r w:rsidRPr="002B5A8E">
        <w:rPr>
          <w:rFonts w:ascii="Cambria Math" w:hAnsi="Cambria Math"/>
          <w:noProof/>
          <w:lang w:eastAsia="en-GB"/>
        </w:rPr>
        <w:drawing>
          <wp:inline distT="0" distB="0" distL="0" distR="0" wp14:anchorId="542A0163" wp14:editId="49F7D0C6">
            <wp:extent cx="5731510" cy="3656996"/>
            <wp:effectExtent l="0" t="0" r="2540" b="635"/>
            <wp:docPr id="2" name="Picture 2" descr="M:\My folders\PhD\Panel VAR\IRFA revision\moodys\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My folders\PhD\Panel VAR\IRFA revision\moodys\Rplot.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3656996"/>
                    </a:xfrm>
                    <a:prstGeom prst="rect">
                      <a:avLst/>
                    </a:prstGeom>
                    <a:noFill/>
                    <a:ln>
                      <a:noFill/>
                    </a:ln>
                  </pic:spPr>
                </pic:pic>
              </a:graphicData>
            </a:graphic>
          </wp:inline>
        </w:drawing>
      </w:r>
    </w:p>
    <w:p w14:paraId="12F5ED64" w14:textId="108CEBB2" w:rsidR="00784717" w:rsidRPr="0076192F" w:rsidRDefault="002B5A8E" w:rsidP="00784717">
      <w:pPr>
        <w:spacing w:line="240" w:lineRule="auto"/>
        <w:rPr>
          <w:rFonts w:ascii="Cambria Math" w:hAnsi="Cambria Math"/>
        </w:rPr>
      </w:pPr>
      <w:r w:rsidRPr="002B5A8E">
        <w:rPr>
          <w:rFonts w:ascii="Cambria Math" w:hAnsi="Cambria Math"/>
          <w:noProof/>
          <w:lang w:eastAsia="en-GB"/>
        </w:rPr>
        <w:drawing>
          <wp:inline distT="0" distB="0" distL="0" distR="0" wp14:anchorId="394009FF" wp14:editId="06E86DEF">
            <wp:extent cx="5731461" cy="3895725"/>
            <wp:effectExtent l="0" t="0" r="3175" b="0"/>
            <wp:docPr id="4" name="Picture 4" descr="M:\My folders\PhD\Panel VAR\IRFA revision\moodys\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My folders\PhD\Panel VAR\IRFA revision\moodys\Rplot0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7372" cy="3899742"/>
                    </a:xfrm>
                    <a:prstGeom prst="rect">
                      <a:avLst/>
                    </a:prstGeom>
                    <a:noFill/>
                    <a:ln>
                      <a:noFill/>
                    </a:ln>
                  </pic:spPr>
                </pic:pic>
              </a:graphicData>
            </a:graphic>
          </wp:inline>
        </w:drawing>
      </w:r>
    </w:p>
    <w:p w14:paraId="2067E436" w14:textId="77777777" w:rsidR="00784717" w:rsidRPr="0076192F" w:rsidRDefault="00784717">
      <w:pPr>
        <w:rPr>
          <w:rFonts w:ascii="Cambria Math" w:hAnsi="Cambria Math"/>
        </w:rPr>
      </w:pPr>
      <w:r w:rsidRPr="0076192F">
        <w:rPr>
          <w:rFonts w:ascii="Cambria Math" w:hAnsi="Cambria Math"/>
        </w:rPr>
        <w:br w:type="page"/>
      </w:r>
    </w:p>
    <w:p w14:paraId="1F2BD0D5" w14:textId="5FAE3350" w:rsidR="001404A4" w:rsidRPr="0076192F" w:rsidRDefault="002B5A8E" w:rsidP="00784717">
      <w:pPr>
        <w:spacing w:line="240" w:lineRule="auto"/>
        <w:rPr>
          <w:rFonts w:ascii="Cambria Math" w:hAnsi="Cambria Math"/>
        </w:rPr>
      </w:pPr>
      <w:r>
        <w:rPr>
          <w:rFonts w:ascii="Cambria Math" w:hAnsi="Cambria Math"/>
          <w:b/>
          <w:sz w:val="24"/>
        </w:rPr>
        <w:lastRenderedPageBreak/>
        <w:t>Figure 1</w:t>
      </w:r>
      <w:r w:rsidR="00784717" w:rsidRPr="0076192F">
        <w:rPr>
          <w:rFonts w:ascii="Cambria Math" w:hAnsi="Cambria Math"/>
          <w:b/>
          <w:sz w:val="24"/>
        </w:rPr>
        <w:t xml:space="preserve"> (continued): Generalized impulse response functions for Moody’s using first difference transformation</w:t>
      </w:r>
    </w:p>
    <w:p w14:paraId="2FC42198" w14:textId="3BF422E1" w:rsidR="001404A4" w:rsidRPr="002B5A8E" w:rsidRDefault="002B5A8E" w:rsidP="00784717">
      <w:pPr>
        <w:spacing w:line="240" w:lineRule="auto"/>
        <w:rPr>
          <w:rFonts w:ascii="Cambria Math" w:hAnsi="Cambria Math"/>
        </w:rPr>
      </w:pPr>
      <w:r w:rsidRPr="002B5A8E">
        <w:rPr>
          <w:rFonts w:ascii="Cambria Math" w:hAnsi="Cambria Math"/>
          <w:noProof/>
          <w:lang w:eastAsia="en-GB"/>
        </w:rPr>
        <w:drawing>
          <wp:inline distT="0" distB="0" distL="0" distR="0" wp14:anchorId="6953F959" wp14:editId="7A513317">
            <wp:extent cx="5731510" cy="3656996"/>
            <wp:effectExtent l="0" t="0" r="2540" b="635"/>
            <wp:docPr id="5" name="Picture 5" descr="M:\My folders\PhD\Panel VAR\IRFA revision\moodys\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y folders\PhD\Panel VAR\IRFA revision\moodys\Rplot0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3656996"/>
                    </a:xfrm>
                    <a:prstGeom prst="rect">
                      <a:avLst/>
                    </a:prstGeom>
                    <a:noFill/>
                    <a:ln>
                      <a:noFill/>
                    </a:ln>
                  </pic:spPr>
                </pic:pic>
              </a:graphicData>
            </a:graphic>
          </wp:inline>
        </w:drawing>
      </w:r>
    </w:p>
    <w:p w14:paraId="3DDC6CCB" w14:textId="2AE51F4C" w:rsidR="00E23730" w:rsidRPr="0076192F" w:rsidRDefault="00E437AE" w:rsidP="00E23730">
      <w:pPr>
        <w:spacing w:line="240" w:lineRule="auto"/>
        <w:jc w:val="both"/>
        <w:rPr>
          <w:rFonts w:ascii="Cambria Math" w:hAnsi="Cambria Math"/>
          <w:sz w:val="20"/>
          <w:szCs w:val="20"/>
        </w:rPr>
      </w:pPr>
      <w:bookmarkStart w:id="16" w:name="_Hlk508548372"/>
      <w:r w:rsidRPr="0076192F">
        <w:rPr>
          <w:rFonts w:ascii="Cambria Math" w:hAnsi="Cambria Math"/>
          <w:sz w:val="20"/>
          <w:szCs w:val="20"/>
        </w:rPr>
        <w:t>Note</w:t>
      </w:r>
      <w:r w:rsidR="00AC2E3A" w:rsidRPr="0076192F">
        <w:rPr>
          <w:rFonts w:ascii="Cambria Math" w:hAnsi="Cambria Math"/>
          <w:sz w:val="20"/>
          <w:szCs w:val="20"/>
        </w:rPr>
        <w:t>s</w:t>
      </w:r>
      <w:r w:rsidRPr="0076192F">
        <w:rPr>
          <w:rFonts w:ascii="Cambria Math" w:hAnsi="Cambria Math"/>
          <w:sz w:val="20"/>
          <w:szCs w:val="20"/>
        </w:rPr>
        <w:t xml:space="preserve">: </w:t>
      </w:r>
      <w:r w:rsidR="00383152" w:rsidRPr="0076192F">
        <w:rPr>
          <w:rFonts w:ascii="Cambria Math" w:hAnsi="Cambria Math"/>
          <w:sz w:val="20"/>
          <w:szCs w:val="20"/>
        </w:rPr>
        <w:t xml:space="preserve">Shaded areas refer to the </w:t>
      </w:r>
      <w:r w:rsidR="0064309A" w:rsidRPr="0076192F">
        <w:rPr>
          <w:rFonts w:ascii="Cambria Math" w:hAnsi="Cambria Math"/>
          <w:sz w:val="20"/>
          <w:szCs w:val="20"/>
        </w:rPr>
        <w:t>95% confidence interval</w:t>
      </w:r>
      <w:r w:rsidR="00383152" w:rsidRPr="0076192F">
        <w:rPr>
          <w:rFonts w:ascii="Cambria Math" w:hAnsi="Cambria Math"/>
          <w:sz w:val="20"/>
          <w:szCs w:val="20"/>
        </w:rPr>
        <w:t>s</w:t>
      </w:r>
      <w:r w:rsidR="0064309A" w:rsidRPr="0076192F">
        <w:rPr>
          <w:rFonts w:ascii="Cambria Math" w:hAnsi="Cambria Math"/>
          <w:sz w:val="20"/>
          <w:szCs w:val="20"/>
        </w:rPr>
        <w:t xml:space="preserve"> based on 500 bootstrap replications</w:t>
      </w:r>
      <w:r w:rsidR="00383152" w:rsidRPr="0076192F">
        <w:rPr>
          <w:rFonts w:ascii="Cambria Math" w:hAnsi="Cambria Math"/>
          <w:sz w:val="20"/>
          <w:szCs w:val="20"/>
        </w:rPr>
        <w:t>.</w:t>
      </w:r>
      <w:r w:rsidR="00E23730" w:rsidRPr="0076192F">
        <w:rPr>
          <w:rFonts w:ascii="Cambria Math" w:hAnsi="Cambria Math"/>
          <w:sz w:val="20"/>
          <w:szCs w:val="20"/>
        </w:rPr>
        <w:t xml:space="preserve"> </w:t>
      </w:r>
      <w:bookmarkStart w:id="17" w:name="_Hlk515391153"/>
      <w:r w:rsidR="00E23730" w:rsidRPr="0076192F">
        <w:rPr>
          <w:rFonts w:ascii="Cambria Math" w:hAnsi="Cambria Math"/>
          <w:sz w:val="20"/>
          <w:szCs w:val="20"/>
        </w:rPr>
        <w:t xml:space="preserve">Generalized impulse response functions are based on estimates of </w:t>
      </w:r>
      <w:r w:rsidR="009F6BA4" w:rsidRPr="0076192F">
        <w:rPr>
          <w:rFonts w:ascii="Cambria Math" w:hAnsi="Cambria Math"/>
          <w:sz w:val="20"/>
          <w:szCs w:val="20"/>
        </w:rPr>
        <w:t xml:space="preserve">the Panel Vector AutoRegressive (PVAR) </w:t>
      </w:r>
      <w:r w:rsidR="00E23730" w:rsidRPr="0076192F">
        <w:rPr>
          <w:rFonts w:ascii="Cambria Math" w:hAnsi="Cambria Math"/>
          <w:sz w:val="20"/>
          <w:szCs w:val="20"/>
        </w:rPr>
        <w:t xml:space="preserve">model (2) in Section 3 of the paper where the endogenous variables in our PVAR model are </w:t>
      </w:r>
    </w:p>
    <w:p w14:paraId="5E273F51" w14:textId="725E0195" w:rsidR="0056319F" w:rsidRPr="0076192F" w:rsidRDefault="00E23730" w:rsidP="00E23730">
      <w:pPr>
        <w:spacing w:line="240" w:lineRule="auto"/>
        <w:jc w:val="both"/>
        <w:rPr>
          <w:rFonts w:ascii="Cambria Math" w:hAnsi="Cambria Math"/>
          <w:sz w:val="20"/>
          <w:szCs w:val="20"/>
        </w:rPr>
      </w:pPr>
      <w:r w:rsidRPr="00233AFC">
        <w:rPr>
          <w:rFonts w:ascii="Cambria Math" w:hAnsi="Cambria Math"/>
          <w:sz w:val="20"/>
          <w:szCs w:val="20"/>
        </w:rPr>
        <w:t>y</w:t>
      </w:r>
      <w:r w:rsidRPr="0076192F">
        <w:rPr>
          <w:rFonts w:ascii="Cambria Math" w:hAnsi="Cambria Math"/>
          <w:i/>
          <w:sz w:val="20"/>
          <w:szCs w:val="20"/>
          <w:vertAlign w:val="subscript"/>
        </w:rPr>
        <w:t>i</w:t>
      </w:r>
      <w:r w:rsidRPr="0076192F">
        <w:rPr>
          <w:rFonts w:ascii="Cambria Math" w:hAnsi="Cambria Math"/>
          <w:sz w:val="20"/>
          <w:szCs w:val="20"/>
          <w:vertAlign w:val="subscript"/>
        </w:rPr>
        <w:t>,</w:t>
      </w:r>
      <w:r w:rsidRPr="0076192F">
        <w:rPr>
          <w:rFonts w:ascii="Cambria Math" w:hAnsi="Cambria Math"/>
          <w:i/>
          <w:sz w:val="20"/>
          <w:szCs w:val="20"/>
          <w:vertAlign w:val="subscript"/>
        </w:rPr>
        <w:t>t</w:t>
      </w:r>
      <w:r w:rsidRPr="0076192F">
        <w:rPr>
          <w:rFonts w:ascii="Cambria Math" w:hAnsi="Cambria Math"/>
          <w:sz w:val="20"/>
          <w:szCs w:val="20"/>
        </w:rPr>
        <w:t xml:space="preserve"> = [</w:t>
      </w:r>
      <w:r w:rsidR="0011357D" w:rsidRPr="0076192F">
        <w:rPr>
          <w:rFonts w:ascii="Cambria Math" w:hAnsi="Cambria Math"/>
          <w:sz w:val="20"/>
          <w:szCs w:val="20"/>
        </w:rPr>
        <w:t>Stock price volatility</w:t>
      </w:r>
      <w:r w:rsidRPr="0076192F">
        <w:rPr>
          <w:rFonts w:ascii="Cambria Math" w:hAnsi="Cambria Math"/>
          <w:sz w:val="20"/>
          <w:szCs w:val="20"/>
        </w:rPr>
        <w:t xml:space="preserve">, GDP growth, Investments, Debt, Fiscal Balance, NPLs, rating] using </w:t>
      </w:r>
      <w:r w:rsidR="001B7CC1" w:rsidRPr="0076192F">
        <w:rPr>
          <w:rFonts w:ascii="Cambria Math" w:hAnsi="Cambria Math"/>
          <w:sz w:val="20"/>
          <w:szCs w:val="20"/>
        </w:rPr>
        <w:t xml:space="preserve">the rating of </w:t>
      </w:r>
      <w:r w:rsidRPr="0076192F">
        <w:rPr>
          <w:rFonts w:ascii="Cambria Math" w:hAnsi="Cambria Math"/>
          <w:sz w:val="20"/>
          <w:szCs w:val="20"/>
        </w:rPr>
        <w:t>Moody’s</w:t>
      </w:r>
      <w:r w:rsidR="00D7315E" w:rsidRPr="0076192F">
        <w:rPr>
          <w:rFonts w:ascii="Cambria Math" w:hAnsi="Cambria Math"/>
          <w:sz w:val="20"/>
          <w:szCs w:val="20"/>
        </w:rPr>
        <w:t xml:space="preserve"> </w:t>
      </w:r>
      <w:bookmarkStart w:id="18" w:name="_Hlk515436964"/>
      <w:r w:rsidR="00D7315E" w:rsidRPr="0076192F">
        <w:rPr>
          <w:rFonts w:ascii="Cambria Math" w:hAnsi="Cambria Math"/>
          <w:sz w:val="20"/>
          <w:szCs w:val="20"/>
        </w:rPr>
        <w:t>and the first difference transformation</w:t>
      </w:r>
      <w:bookmarkEnd w:id="18"/>
      <w:r w:rsidRPr="0076192F">
        <w:rPr>
          <w:rFonts w:ascii="Cambria Math" w:hAnsi="Cambria Math"/>
          <w:sz w:val="20"/>
          <w:szCs w:val="20"/>
        </w:rPr>
        <w:t>.</w:t>
      </w:r>
      <w:bookmarkEnd w:id="17"/>
    </w:p>
    <w:bookmarkEnd w:id="16"/>
    <w:p w14:paraId="271A94F9" w14:textId="3C8A9BE7" w:rsidR="00E437AE" w:rsidRPr="0076192F" w:rsidRDefault="00E437AE" w:rsidP="00784717">
      <w:pPr>
        <w:spacing w:line="240" w:lineRule="auto"/>
        <w:rPr>
          <w:rFonts w:ascii="Cambria Math" w:hAnsi="Cambria Math"/>
          <w:b/>
          <w:sz w:val="24"/>
        </w:rPr>
      </w:pPr>
      <w:r w:rsidRPr="0076192F">
        <w:rPr>
          <w:rFonts w:ascii="Cambria Math" w:hAnsi="Cambria Math"/>
          <w:b/>
          <w:sz w:val="24"/>
        </w:rPr>
        <w:br w:type="page"/>
      </w:r>
    </w:p>
    <w:p w14:paraId="3E4D900E" w14:textId="7CF1232D" w:rsidR="00531C3E" w:rsidRPr="0076192F" w:rsidRDefault="002B5A8E" w:rsidP="00784717">
      <w:pPr>
        <w:spacing w:line="240" w:lineRule="auto"/>
        <w:jc w:val="both"/>
        <w:rPr>
          <w:rFonts w:ascii="Cambria Math" w:hAnsi="Cambria Math"/>
          <w:b/>
          <w:sz w:val="24"/>
        </w:rPr>
      </w:pPr>
      <w:r>
        <w:rPr>
          <w:rFonts w:ascii="Cambria Math" w:hAnsi="Cambria Math"/>
          <w:b/>
          <w:sz w:val="24"/>
        </w:rPr>
        <w:lastRenderedPageBreak/>
        <w:t>Figure 2</w:t>
      </w:r>
      <w:r w:rsidR="00E437AE" w:rsidRPr="0076192F">
        <w:rPr>
          <w:rFonts w:ascii="Cambria Math" w:hAnsi="Cambria Math"/>
          <w:b/>
          <w:sz w:val="24"/>
        </w:rPr>
        <w:t xml:space="preserve">: </w:t>
      </w:r>
      <w:r w:rsidR="0064309A" w:rsidRPr="0076192F">
        <w:rPr>
          <w:rFonts w:ascii="Cambria Math" w:hAnsi="Cambria Math"/>
          <w:b/>
          <w:sz w:val="24"/>
        </w:rPr>
        <w:t>Generalized impulse response functions</w:t>
      </w:r>
      <w:r w:rsidR="00531C3E" w:rsidRPr="0076192F">
        <w:rPr>
          <w:rFonts w:ascii="Cambria Math" w:hAnsi="Cambria Math"/>
          <w:b/>
          <w:sz w:val="24"/>
        </w:rPr>
        <w:t xml:space="preserve"> for S&amp;P’s</w:t>
      </w:r>
      <w:r w:rsidR="00E437AE" w:rsidRPr="0076192F">
        <w:rPr>
          <w:rFonts w:ascii="Cambria Math" w:hAnsi="Cambria Math"/>
          <w:b/>
          <w:sz w:val="24"/>
        </w:rPr>
        <w:t xml:space="preserve"> using first difference transformation</w:t>
      </w:r>
    </w:p>
    <w:p w14:paraId="6ADEABDB" w14:textId="6F86F77D" w:rsidR="001404A4" w:rsidRPr="0076192F" w:rsidRDefault="002B5A8E" w:rsidP="00784717">
      <w:pPr>
        <w:spacing w:line="240" w:lineRule="auto"/>
        <w:rPr>
          <w:rFonts w:ascii="Cambria Math" w:hAnsi="Cambria Math"/>
        </w:rPr>
      </w:pPr>
      <w:r w:rsidRPr="002B5A8E">
        <w:rPr>
          <w:rFonts w:ascii="Cambria Math" w:hAnsi="Cambria Math"/>
          <w:noProof/>
          <w:lang w:eastAsia="en-GB"/>
        </w:rPr>
        <w:drawing>
          <wp:inline distT="0" distB="0" distL="0" distR="0" wp14:anchorId="321F3536" wp14:editId="0E01368D">
            <wp:extent cx="5731510" cy="3656996"/>
            <wp:effectExtent l="0" t="0" r="2540" b="635"/>
            <wp:docPr id="7" name="Picture 7" descr="M:\My folders\PhD\Panel VAR\IRFA revision\sp\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My folders\PhD\Panel VAR\IRFA revision\sp\Rplot.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3656996"/>
                    </a:xfrm>
                    <a:prstGeom prst="rect">
                      <a:avLst/>
                    </a:prstGeom>
                    <a:noFill/>
                    <a:ln>
                      <a:noFill/>
                    </a:ln>
                  </pic:spPr>
                </pic:pic>
              </a:graphicData>
            </a:graphic>
          </wp:inline>
        </w:drawing>
      </w:r>
    </w:p>
    <w:p w14:paraId="5CE1EEE6" w14:textId="5E698074" w:rsidR="001404A4" w:rsidRPr="0076192F" w:rsidRDefault="002B5A8E" w:rsidP="00784717">
      <w:pPr>
        <w:spacing w:line="240" w:lineRule="auto"/>
        <w:rPr>
          <w:rFonts w:ascii="Cambria Math" w:hAnsi="Cambria Math"/>
        </w:rPr>
      </w:pPr>
      <w:r w:rsidRPr="002B5A8E">
        <w:rPr>
          <w:rFonts w:ascii="Cambria Math" w:hAnsi="Cambria Math"/>
          <w:noProof/>
          <w:lang w:eastAsia="en-GB"/>
        </w:rPr>
        <w:drawing>
          <wp:inline distT="0" distB="0" distL="0" distR="0" wp14:anchorId="607C5395" wp14:editId="76E22A81">
            <wp:extent cx="5731510" cy="3656996"/>
            <wp:effectExtent l="0" t="0" r="2540" b="635"/>
            <wp:docPr id="8" name="Picture 8" descr="M:\My folders\PhD\Panel VAR\IRFA revision\sp\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My folders\PhD\Panel VAR\IRFA revision\sp\Rplot0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3656996"/>
                    </a:xfrm>
                    <a:prstGeom prst="rect">
                      <a:avLst/>
                    </a:prstGeom>
                    <a:noFill/>
                    <a:ln>
                      <a:noFill/>
                    </a:ln>
                  </pic:spPr>
                </pic:pic>
              </a:graphicData>
            </a:graphic>
          </wp:inline>
        </w:drawing>
      </w:r>
    </w:p>
    <w:p w14:paraId="0C83D667" w14:textId="548B3D5F" w:rsidR="00784717" w:rsidRPr="0076192F" w:rsidRDefault="00784717">
      <w:pPr>
        <w:rPr>
          <w:rFonts w:ascii="Cambria Math" w:hAnsi="Cambria Math"/>
        </w:rPr>
      </w:pPr>
      <w:r w:rsidRPr="0076192F">
        <w:rPr>
          <w:rFonts w:ascii="Cambria Math" w:hAnsi="Cambria Math"/>
        </w:rPr>
        <w:br w:type="page"/>
      </w:r>
    </w:p>
    <w:p w14:paraId="7C57F993" w14:textId="1A2990F1" w:rsidR="001404A4" w:rsidRPr="0076192F" w:rsidRDefault="002B5A8E" w:rsidP="00784717">
      <w:pPr>
        <w:spacing w:line="240" w:lineRule="auto"/>
        <w:rPr>
          <w:rFonts w:ascii="Cambria Math" w:hAnsi="Cambria Math"/>
        </w:rPr>
      </w:pPr>
      <w:r>
        <w:rPr>
          <w:rFonts w:ascii="Cambria Math" w:hAnsi="Cambria Math"/>
          <w:b/>
          <w:sz w:val="24"/>
        </w:rPr>
        <w:lastRenderedPageBreak/>
        <w:t>Figure 2</w:t>
      </w:r>
      <w:r w:rsidR="00784717" w:rsidRPr="0076192F">
        <w:rPr>
          <w:rFonts w:ascii="Cambria Math" w:hAnsi="Cambria Math"/>
          <w:b/>
          <w:sz w:val="24"/>
        </w:rPr>
        <w:t xml:space="preserve"> (continued): Generalized impulse response functions for S&amp;P’s using first difference transformation</w:t>
      </w:r>
    </w:p>
    <w:p w14:paraId="38C4DC8C" w14:textId="32342340" w:rsidR="001404A4" w:rsidRPr="0076192F" w:rsidRDefault="002B5A8E" w:rsidP="00784717">
      <w:pPr>
        <w:spacing w:line="240" w:lineRule="auto"/>
        <w:rPr>
          <w:rFonts w:ascii="Cambria Math" w:hAnsi="Cambria Math"/>
        </w:rPr>
      </w:pPr>
      <w:r w:rsidRPr="002B5A8E">
        <w:rPr>
          <w:rFonts w:ascii="Cambria Math" w:hAnsi="Cambria Math"/>
          <w:noProof/>
          <w:lang w:eastAsia="en-GB"/>
        </w:rPr>
        <w:drawing>
          <wp:inline distT="0" distB="0" distL="0" distR="0" wp14:anchorId="2C257267" wp14:editId="414F67CB">
            <wp:extent cx="5731510" cy="3656996"/>
            <wp:effectExtent l="0" t="0" r="2540" b="635"/>
            <wp:docPr id="9" name="Picture 9" descr="M:\My folders\PhD\Panel VAR\IRFA revision\sp\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y folders\PhD\Panel VAR\IRFA revision\sp\Rplot0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3656996"/>
                    </a:xfrm>
                    <a:prstGeom prst="rect">
                      <a:avLst/>
                    </a:prstGeom>
                    <a:noFill/>
                    <a:ln>
                      <a:noFill/>
                    </a:ln>
                  </pic:spPr>
                </pic:pic>
              </a:graphicData>
            </a:graphic>
          </wp:inline>
        </w:drawing>
      </w:r>
    </w:p>
    <w:p w14:paraId="50F12B24" w14:textId="45BDEAF5" w:rsidR="009F6BA4" w:rsidRPr="0076192F" w:rsidRDefault="00383152" w:rsidP="009F6BA4">
      <w:pPr>
        <w:spacing w:line="240" w:lineRule="auto"/>
        <w:jc w:val="both"/>
        <w:rPr>
          <w:rFonts w:ascii="Cambria Math" w:hAnsi="Cambria Math"/>
          <w:sz w:val="20"/>
          <w:szCs w:val="20"/>
        </w:rPr>
      </w:pPr>
      <w:r w:rsidRPr="0076192F">
        <w:rPr>
          <w:rFonts w:ascii="Cambria Math" w:hAnsi="Cambria Math"/>
          <w:sz w:val="20"/>
          <w:szCs w:val="20"/>
        </w:rPr>
        <w:t>Note</w:t>
      </w:r>
      <w:r w:rsidR="00AC2E3A" w:rsidRPr="0076192F">
        <w:rPr>
          <w:rFonts w:ascii="Cambria Math" w:hAnsi="Cambria Math"/>
          <w:sz w:val="20"/>
          <w:szCs w:val="20"/>
        </w:rPr>
        <w:t>s</w:t>
      </w:r>
      <w:r w:rsidRPr="0076192F">
        <w:rPr>
          <w:rFonts w:ascii="Cambria Math" w:hAnsi="Cambria Math"/>
          <w:sz w:val="20"/>
          <w:szCs w:val="20"/>
        </w:rPr>
        <w:t>: Shaded areas refer to the 95% confidence intervals based on 500 bootstrap replications.</w:t>
      </w:r>
      <w:r w:rsidR="009F6BA4" w:rsidRPr="0076192F">
        <w:rPr>
          <w:rFonts w:ascii="Cambria Math" w:hAnsi="Cambria Math"/>
          <w:sz w:val="20"/>
          <w:szCs w:val="20"/>
        </w:rPr>
        <w:t xml:space="preserve"> Generalized impulse response functions are based on estimates of the Panel Vector AutoRegressive (PVAR) model (2) in Section 3 of the paper where the endogenous variables in our PVAR model are </w:t>
      </w:r>
    </w:p>
    <w:p w14:paraId="6E42898F" w14:textId="27ECF073" w:rsidR="00383152" w:rsidRPr="0076192F" w:rsidRDefault="009F6BA4" w:rsidP="009F6BA4">
      <w:pPr>
        <w:spacing w:line="240" w:lineRule="auto"/>
        <w:jc w:val="both"/>
        <w:rPr>
          <w:rFonts w:ascii="Cambria Math" w:hAnsi="Cambria Math"/>
          <w:sz w:val="20"/>
          <w:szCs w:val="20"/>
        </w:rPr>
      </w:pPr>
      <w:r w:rsidRPr="00233AFC">
        <w:rPr>
          <w:rFonts w:ascii="Cambria Math" w:hAnsi="Cambria Math"/>
          <w:sz w:val="20"/>
          <w:szCs w:val="20"/>
        </w:rPr>
        <w:t>y</w:t>
      </w:r>
      <w:r w:rsidRPr="0076192F">
        <w:rPr>
          <w:rFonts w:ascii="Cambria Math" w:hAnsi="Cambria Math"/>
          <w:i/>
          <w:sz w:val="20"/>
          <w:szCs w:val="20"/>
          <w:vertAlign w:val="subscript"/>
        </w:rPr>
        <w:t>i</w:t>
      </w:r>
      <w:r w:rsidRPr="0076192F">
        <w:rPr>
          <w:rFonts w:ascii="Cambria Math" w:hAnsi="Cambria Math"/>
          <w:sz w:val="20"/>
          <w:szCs w:val="20"/>
          <w:vertAlign w:val="subscript"/>
        </w:rPr>
        <w:t>,</w:t>
      </w:r>
      <w:r w:rsidRPr="0076192F">
        <w:rPr>
          <w:rFonts w:ascii="Cambria Math" w:hAnsi="Cambria Math"/>
          <w:i/>
          <w:sz w:val="20"/>
          <w:szCs w:val="20"/>
          <w:vertAlign w:val="subscript"/>
        </w:rPr>
        <w:t>t</w:t>
      </w:r>
      <w:r w:rsidRPr="0076192F">
        <w:rPr>
          <w:rFonts w:ascii="Cambria Math" w:hAnsi="Cambria Math"/>
          <w:sz w:val="20"/>
          <w:szCs w:val="20"/>
        </w:rPr>
        <w:t xml:space="preserve"> = [</w:t>
      </w:r>
      <w:r w:rsidR="0011357D" w:rsidRPr="0076192F">
        <w:rPr>
          <w:rFonts w:ascii="Cambria Math" w:hAnsi="Cambria Math"/>
          <w:sz w:val="20"/>
          <w:szCs w:val="20"/>
        </w:rPr>
        <w:t>Stock price volatility</w:t>
      </w:r>
      <w:r w:rsidRPr="0076192F">
        <w:rPr>
          <w:rFonts w:ascii="Cambria Math" w:hAnsi="Cambria Math"/>
          <w:sz w:val="20"/>
          <w:szCs w:val="20"/>
        </w:rPr>
        <w:t xml:space="preserve">, GDP growth, Investments, Debt, Fiscal Balance, NPLs, rating] using </w:t>
      </w:r>
      <w:r w:rsidR="001B7CC1" w:rsidRPr="0076192F">
        <w:rPr>
          <w:rFonts w:ascii="Cambria Math" w:hAnsi="Cambria Math"/>
          <w:sz w:val="20"/>
          <w:szCs w:val="20"/>
        </w:rPr>
        <w:t xml:space="preserve">the rating of </w:t>
      </w:r>
      <w:r w:rsidRPr="0076192F">
        <w:rPr>
          <w:rFonts w:ascii="Cambria Math" w:hAnsi="Cambria Math"/>
          <w:sz w:val="20"/>
          <w:szCs w:val="20"/>
        </w:rPr>
        <w:t>S&amp;P’s</w:t>
      </w:r>
      <w:r w:rsidR="00D7315E" w:rsidRPr="0076192F">
        <w:rPr>
          <w:rFonts w:ascii="Cambria Math" w:hAnsi="Cambria Math"/>
          <w:sz w:val="20"/>
          <w:szCs w:val="20"/>
        </w:rPr>
        <w:t xml:space="preserve"> and the first difference transformation</w:t>
      </w:r>
      <w:r w:rsidRPr="0076192F">
        <w:rPr>
          <w:rFonts w:ascii="Cambria Math" w:hAnsi="Cambria Math"/>
          <w:sz w:val="20"/>
          <w:szCs w:val="20"/>
        </w:rPr>
        <w:t>.</w:t>
      </w:r>
    </w:p>
    <w:p w14:paraId="2962458D" w14:textId="1C045BCD" w:rsidR="00E437AE" w:rsidRPr="0076192F" w:rsidRDefault="00E437AE" w:rsidP="00784717">
      <w:pPr>
        <w:spacing w:line="240" w:lineRule="auto"/>
        <w:rPr>
          <w:rFonts w:ascii="Cambria Math" w:hAnsi="Cambria Math"/>
          <w:b/>
          <w:sz w:val="24"/>
        </w:rPr>
      </w:pPr>
      <w:r w:rsidRPr="0076192F">
        <w:rPr>
          <w:rFonts w:ascii="Cambria Math" w:hAnsi="Cambria Math"/>
          <w:b/>
          <w:sz w:val="24"/>
        </w:rPr>
        <w:br w:type="page"/>
      </w:r>
    </w:p>
    <w:p w14:paraId="364BBA32" w14:textId="3B8BA0DE" w:rsidR="00531C3E" w:rsidRPr="0076192F" w:rsidRDefault="002B5A8E" w:rsidP="00784717">
      <w:pPr>
        <w:spacing w:line="240" w:lineRule="auto"/>
        <w:jc w:val="both"/>
        <w:rPr>
          <w:rFonts w:ascii="Cambria Math" w:hAnsi="Cambria Math"/>
          <w:b/>
          <w:sz w:val="24"/>
        </w:rPr>
      </w:pPr>
      <w:r>
        <w:rPr>
          <w:rFonts w:ascii="Cambria Math" w:hAnsi="Cambria Math"/>
          <w:b/>
          <w:sz w:val="24"/>
        </w:rPr>
        <w:lastRenderedPageBreak/>
        <w:t>Figure 3</w:t>
      </w:r>
      <w:r w:rsidR="00E437AE" w:rsidRPr="0076192F">
        <w:rPr>
          <w:rFonts w:ascii="Cambria Math" w:hAnsi="Cambria Math"/>
          <w:b/>
          <w:sz w:val="24"/>
        </w:rPr>
        <w:t xml:space="preserve">: </w:t>
      </w:r>
      <w:r w:rsidR="0064309A" w:rsidRPr="0076192F">
        <w:rPr>
          <w:rFonts w:ascii="Cambria Math" w:hAnsi="Cambria Math"/>
          <w:b/>
          <w:sz w:val="24"/>
        </w:rPr>
        <w:t xml:space="preserve">Generalized impulse response functions </w:t>
      </w:r>
      <w:r w:rsidR="00531C3E" w:rsidRPr="0076192F">
        <w:rPr>
          <w:rFonts w:ascii="Cambria Math" w:hAnsi="Cambria Math"/>
          <w:b/>
          <w:sz w:val="24"/>
        </w:rPr>
        <w:t>for Fitch</w:t>
      </w:r>
      <w:r w:rsidR="00E437AE" w:rsidRPr="0076192F">
        <w:rPr>
          <w:rFonts w:ascii="Cambria Math" w:hAnsi="Cambria Math"/>
          <w:b/>
          <w:sz w:val="24"/>
        </w:rPr>
        <w:t xml:space="preserve"> using first difference transformation</w:t>
      </w:r>
    </w:p>
    <w:p w14:paraId="2BBD3838" w14:textId="3B117AE2" w:rsidR="001A08A9" w:rsidRPr="0076192F" w:rsidRDefault="002B5A8E" w:rsidP="00784717">
      <w:pPr>
        <w:spacing w:line="240" w:lineRule="auto"/>
        <w:rPr>
          <w:rFonts w:ascii="Cambria Math" w:hAnsi="Cambria Math"/>
          <w:sz w:val="24"/>
        </w:rPr>
      </w:pPr>
      <w:r w:rsidRPr="002B5A8E">
        <w:rPr>
          <w:rFonts w:ascii="Cambria Math" w:hAnsi="Cambria Math"/>
          <w:noProof/>
          <w:sz w:val="24"/>
          <w:lang w:eastAsia="en-GB"/>
        </w:rPr>
        <w:drawing>
          <wp:inline distT="0" distB="0" distL="0" distR="0" wp14:anchorId="0BA75D58" wp14:editId="567AD5C0">
            <wp:extent cx="5731510" cy="3661243"/>
            <wp:effectExtent l="0" t="0" r="2540" b="0"/>
            <wp:docPr id="10" name="Picture 10" descr="M:\My folders\PhD\Panel VAR\IRFA revision\fitch\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y folders\PhD\Panel VAR\IRFA revision\fitch\Rplot.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696D3301" w14:textId="7075E918" w:rsidR="001404A4" w:rsidRPr="0076192F" w:rsidRDefault="002B5A8E" w:rsidP="00784717">
      <w:pPr>
        <w:spacing w:line="240" w:lineRule="auto"/>
        <w:rPr>
          <w:rFonts w:ascii="Cambria Math" w:hAnsi="Cambria Math"/>
          <w:sz w:val="24"/>
        </w:rPr>
      </w:pPr>
      <w:r w:rsidRPr="002B5A8E">
        <w:rPr>
          <w:rFonts w:ascii="Cambria Math" w:hAnsi="Cambria Math"/>
          <w:noProof/>
          <w:sz w:val="24"/>
          <w:lang w:eastAsia="en-GB"/>
        </w:rPr>
        <w:drawing>
          <wp:inline distT="0" distB="0" distL="0" distR="0" wp14:anchorId="49C270DF" wp14:editId="6019AE53">
            <wp:extent cx="5731510" cy="3661243"/>
            <wp:effectExtent l="0" t="0" r="2540" b="0"/>
            <wp:docPr id="11" name="Picture 11" descr="M:\My folders\PhD\Panel VAR\IRFA revision\fitch\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My folders\PhD\Panel VAR\IRFA revision\fitch\Rplot0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26E5FC19" w14:textId="60050BBE" w:rsidR="00784717" w:rsidRPr="0076192F" w:rsidRDefault="00784717">
      <w:pPr>
        <w:rPr>
          <w:rFonts w:ascii="Cambria Math" w:hAnsi="Cambria Math"/>
          <w:sz w:val="24"/>
        </w:rPr>
      </w:pPr>
      <w:r w:rsidRPr="0076192F">
        <w:rPr>
          <w:rFonts w:ascii="Cambria Math" w:hAnsi="Cambria Math"/>
          <w:sz w:val="24"/>
        </w:rPr>
        <w:br w:type="page"/>
      </w:r>
    </w:p>
    <w:p w14:paraId="3CA06EDC" w14:textId="0768C65B" w:rsidR="00784717" w:rsidRPr="0076192F" w:rsidRDefault="002B5A8E" w:rsidP="00784717">
      <w:pPr>
        <w:spacing w:line="240" w:lineRule="auto"/>
        <w:rPr>
          <w:rFonts w:ascii="Cambria Math" w:hAnsi="Cambria Math"/>
          <w:sz w:val="24"/>
        </w:rPr>
      </w:pPr>
      <w:r>
        <w:rPr>
          <w:rFonts w:ascii="Cambria Math" w:hAnsi="Cambria Math"/>
          <w:b/>
          <w:sz w:val="24"/>
        </w:rPr>
        <w:lastRenderedPageBreak/>
        <w:t>Figure 3</w:t>
      </w:r>
      <w:r w:rsidR="00784717" w:rsidRPr="0076192F">
        <w:rPr>
          <w:rFonts w:ascii="Cambria Math" w:hAnsi="Cambria Math"/>
          <w:b/>
          <w:sz w:val="24"/>
        </w:rPr>
        <w:t xml:space="preserve"> (continued): Generalized impulse response functions for Fitch using first difference transformation</w:t>
      </w:r>
    </w:p>
    <w:p w14:paraId="2C20EF9F" w14:textId="55057FCF" w:rsidR="001404A4" w:rsidRPr="0076192F" w:rsidRDefault="002B5A8E" w:rsidP="00784717">
      <w:pPr>
        <w:spacing w:line="240" w:lineRule="auto"/>
        <w:rPr>
          <w:rFonts w:ascii="Cambria Math" w:hAnsi="Cambria Math"/>
          <w:sz w:val="24"/>
        </w:rPr>
      </w:pPr>
      <w:r w:rsidRPr="002B5A8E">
        <w:rPr>
          <w:rFonts w:ascii="Cambria Math" w:hAnsi="Cambria Math"/>
          <w:noProof/>
          <w:sz w:val="24"/>
          <w:lang w:eastAsia="en-GB"/>
        </w:rPr>
        <w:drawing>
          <wp:inline distT="0" distB="0" distL="0" distR="0" wp14:anchorId="1992C3F8" wp14:editId="481CAAE2">
            <wp:extent cx="5731510" cy="3661243"/>
            <wp:effectExtent l="0" t="0" r="2540" b="0"/>
            <wp:docPr id="12" name="Picture 12" descr="M:\My folders\PhD\Panel VAR\IRFA revision\fitch\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My folders\PhD\Panel VAR\IRFA revision\fitch\Rplot0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111A5EF6" w14:textId="21EBA08F" w:rsidR="009F6BA4" w:rsidRPr="0076192F" w:rsidRDefault="00383152" w:rsidP="009F6BA4">
      <w:pPr>
        <w:spacing w:line="240" w:lineRule="auto"/>
        <w:jc w:val="both"/>
        <w:rPr>
          <w:rFonts w:ascii="Cambria Math" w:hAnsi="Cambria Math"/>
          <w:sz w:val="20"/>
          <w:szCs w:val="20"/>
        </w:rPr>
      </w:pPr>
      <w:r w:rsidRPr="0076192F">
        <w:rPr>
          <w:rFonts w:ascii="Cambria Math" w:hAnsi="Cambria Math"/>
          <w:sz w:val="20"/>
          <w:szCs w:val="20"/>
        </w:rPr>
        <w:t>Note</w:t>
      </w:r>
      <w:r w:rsidR="00AC2E3A" w:rsidRPr="0076192F">
        <w:rPr>
          <w:rFonts w:ascii="Cambria Math" w:hAnsi="Cambria Math"/>
          <w:sz w:val="20"/>
          <w:szCs w:val="20"/>
        </w:rPr>
        <w:t>s</w:t>
      </w:r>
      <w:r w:rsidRPr="0076192F">
        <w:rPr>
          <w:rFonts w:ascii="Cambria Math" w:hAnsi="Cambria Math"/>
          <w:sz w:val="20"/>
          <w:szCs w:val="20"/>
        </w:rPr>
        <w:t>: Shaded areas refer to the 95% confidence intervals based on 500 bootstrap replications.</w:t>
      </w:r>
      <w:r w:rsidR="009F6BA4" w:rsidRPr="0076192F">
        <w:rPr>
          <w:rFonts w:ascii="Cambria Math" w:hAnsi="Cambria Math"/>
          <w:sz w:val="20"/>
          <w:szCs w:val="20"/>
        </w:rPr>
        <w:t xml:space="preserve"> Generalized impulse response functions are based on estimates of the Panel Vector AutoRegressive (PVAR) model (2) in Section 3 of the paper where the endogenous variables in our PVAR model are </w:t>
      </w:r>
    </w:p>
    <w:p w14:paraId="4A2E5FE8" w14:textId="1727ABCC" w:rsidR="00383152" w:rsidRPr="0076192F" w:rsidRDefault="009F6BA4" w:rsidP="009F6BA4">
      <w:pPr>
        <w:spacing w:line="240" w:lineRule="auto"/>
        <w:jc w:val="both"/>
        <w:rPr>
          <w:rFonts w:ascii="Cambria Math" w:hAnsi="Cambria Math"/>
          <w:sz w:val="20"/>
          <w:szCs w:val="20"/>
        </w:rPr>
      </w:pPr>
      <w:r w:rsidRPr="00233AFC">
        <w:rPr>
          <w:rFonts w:ascii="Cambria Math" w:hAnsi="Cambria Math"/>
          <w:sz w:val="20"/>
          <w:szCs w:val="20"/>
        </w:rPr>
        <w:t>y</w:t>
      </w:r>
      <w:r w:rsidRPr="0076192F">
        <w:rPr>
          <w:rFonts w:ascii="Cambria Math" w:hAnsi="Cambria Math"/>
          <w:i/>
          <w:sz w:val="20"/>
          <w:szCs w:val="20"/>
          <w:vertAlign w:val="subscript"/>
        </w:rPr>
        <w:t>i</w:t>
      </w:r>
      <w:r w:rsidRPr="0076192F">
        <w:rPr>
          <w:rFonts w:ascii="Cambria Math" w:hAnsi="Cambria Math"/>
          <w:sz w:val="20"/>
          <w:szCs w:val="20"/>
          <w:vertAlign w:val="subscript"/>
        </w:rPr>
        <w:t>,</w:t>
      </w:r>
      <w:r w:rsidRPr="0076192F">
        <w:rPr>
          <w:rFonts w:ascii="Cambria Math" w:hAnsi="Cambria Math"/>
          <w:i/>
          <w:sz w:val="20"/>
          <w:szCs w:val="20"/>
          <w:vertAlign w:val="subscript"/>
        </w:rPr>
        <w:t>t</w:t>
      </w:r>
      <w:r w:rsidRPr="0076192F">
        <w:rPr>
          <w:rFonts w:ascii="Cambria Math" w:hAnsi="Cambria Math"/>
          <w:sz w:val="20"/>
          <w:szCs w:val="20"/>
        </w:rPr>
        <w:t xml:space="preserve"> = [</w:t>
      </w:r>
      <w:r w:rsidR="0011357D" w:rsidRPr="0076192F">
        <w:rPr>
          <w:rFonts w:ascii="Cambria Math" w:hAnsi="Cambria Math"/>
          <w:sz w:val="20"/>
          <w:szCs w:val="20"/>
        </w:rPr>
        <w:t>Stock price volatility</w:t>
      </w:r>
      <w:r w:rsidRPr="0076192F">
        <w:rPr>
          <w:rFonts w:ascii="Cambria Math" w:hAnsi="Cambria Math"/>
          <w:sz w:val="20"/>
          <w:szCs w:val="20"/>
        </w:rPr>
        <w:t>, GDP growth, Investments, Debt, Fiscal Balance, NPLs, rating] using the rating of Fitch</w:t>
      </w:r>
      <w:r w:rsidR="00D7315E" w:rsidRPr="0076192F">
        <w:rPr>
          <w:rFonts w:ascii="Cambria Math" w:hAnsi="Cambria Math"/>
          <w:sz w:val="20"/>
          <w:szCs w:val="20"/>
        </w:rPr>
        <w:t xml:space="preserve"> and the first difference transformation</w:t>
      </w:r>
      <w:r w:rsidRPr="0076192F">
        <w:rPr>
          <w:rFonts w:ascii="Cambria Math" w:hAnsi="Cambria Math"/>
          <w:sz w:val="20"/>
          <w:szCs w:val="20"/>
        </w:rPr>
        <w:t>.</w:t>
      </w:r>
    </w:p>
    <w:p w14:paraId="10350415" w14:textId="77777777" w:rsidR="002B5A8E" w:rsidRPr="002B5A8E" w:rsidRDefault="002B5A8E" w:rsidP="002B5A8E">
      <w:pPr>
        <w:spacing w:line="240" w:lineRule="auto"/>
        <w:rPr>
          <w:rFonts w:ascii="Cambria Math" w:hAnsi="Cambria Math"/>
          <w:b/>
          <w:sz w:val="24"/>
        </w:rPr>
      </w:pPr>
    </w:p>
    <w:p w14:paraId="7C3382B4" w14:textId="47207F9D" w:rsidR="00B21933" w:rsidRDefault="00B21933" w:rsidP="00B21933">
      <w:pPr>
        <w:spacing w:line="240" w:lineRule="auto"/>
        <w:jc w:val="both"/>
        <w:rPr>
          <w:rFonts w:ascii="Cambria Math" w:hAnsi="Cambria Math"/>
          <w:b/>
          <w:sz w:val="24"/>
        </w:rPr>
      </w:pPr>
    </w:p>
    <w:p w14:paraId="700F1E5D" w14:textId="77777777" w:rsidR="005931C9" w:rsidRDefault="005931C9" w:rsidP="00B21933">
      <w:pPr>
        <w:spacing w:line="240" w:lineRule="auto"/>
        <w:jc w:val="both"/>
        <w:rPr>
          <w:rFonts w:ascii="Cambria Math" w:hAnsi="Cambria Math"/>
          <w:b/>
          <w:sz w:val="24"/>
        </w:rPr>
      </w:pPr>
    </w:p>
    <w:p w14:paraId="0F0CCE6C" w14:textId="77777777" w:rsidR="005931C9" w:rsidRDefault="005931C9" w:rsidP="00B21933">
      <w:pPr>
        <w:spacing w:line="240" w:lineRule="auto"/>
        <w:jc w:val="both"/>
        <w:rPr>
          <w:rFonts w:ascii="Cambria Math" w:hAnsi="Cambria Math"/>
          <w:b/>
          <w:sz w:val="24"/>
        </w:rPr>
      </w:pPr>
    </w:p>
    <w:p w14:paraId="7957C9CA" w14:textId="77777777" w:rsidR="005931C9" w:rsidRDefault="005931C9" w:rsidP="00B21933">
      <w:pPr>
        <w:spacing w:line="240" w:lineRule="auto"/>
        <w:jc w:val="both"/>
        <w:rPr>
          <w:rFonts w:ascii="Cambria Math" w:hAnsi="Cambria Math"/>
          <w:b/>
          <w:sz w:val="24"/>
        </w:rPr>
      </w:pPr>
    </w:p>
    <w:p w14:paraId="37E5524E" w14:textId="77777777" w:rsidR="005931C9" w:rsidRDefault="005931C9" w:rsidP="00B21933">
      <w:pPr>
        <w:spacing w:line="240" w:lineRule="auto"/>
        <w:jc w:val="both"/>
        <w:rPr>
          <w:rFonts w:ascii="Cambria Math" w:hAnsi="Cambria Math"/>
          <w:b/>
          <w:sz w:val="24"/>
        </w:rPr>
      </w:pPr>
    </w:p>
    <w:p w14:paraId="739340FE" w14:textId="77777777" w:rsidR="005931C9" w:rsidRDefault="005931C9" w:rsidP="00B21933">
      <w:pPr>
        <w:spacing w:line="240" w:lineRule="auto"/>
        <w:jc w:val="both"/>
        <w:rPr>
          <w:rFonts w:ascii="Cambria Math" w:hAnsi="Cambria Math"/>
          <w:b/>
          <w:sz w:val="24"/>
        </w:rPr>
      </w:pPr>
    </w:p>
    <w:p w14:paraId="73313520" w14:textId="77777777" w:rsidR="005931C9" w:rsidRDefault="005931C9" w:rsidP="00B21933">
      <w:pPr>
        <w:spacing w:line="240" w:lineRule="auto"/>
        <w:jc w:val="both"/>
        <w:rPr>
          <w:rFonts w:ascii="Cambria Math" w:hAnsi="Cambria Math"/>
          <w:b/>
          <w:sz w:val="24"/>
        </w:rPr>
      </w:pPr>
    </w:p>
    <w:p w14:paraId="525277A0" w14:textId="77777777" w:rsidR="005931C9" w:rsidRDefault="005931C9" w:rsidP="00B21933">
      <w:pPr>
        <w:spacing w:line="240" w:lineRule="auto"/>
        <w:jc w:val="both"/>
        <w:rPr>
          <w:rFonts w:ascii="Cambria Math" w:hAnsi="Cambria Math"/>
          <w:b/>
          <w:sz w:val="24"/>
        </w:rPr>
      </w:pPr>
    </w:p>
    <w:p w14:paraId="40C410EA" w14:textId="77777777" w:rsidR="005931C9" w:rsidRDefault="005931C9" w:rsidP="00B21933">
      <w:pPr>
        <w:spacing w:line="240" w:lineRule="auto"/>
        <w:jc w:val="both"/>
        <w:rPr>
          <w:rFonts w:ascii="Cambria Math" w:hAnsi="Cambria Math"/>
          <w:b/>
          <w:sz w:val="24"/>
        </w:rPr>
      </w:pPr>
    </w:p>
    <w:p w14:paraId="3CC9A80A" w14:textId="77777777" w:rsidR="005931C9" w:rsidRDefault="005931C9" w:rsidP="00B21933">
      <w:pPr>
        <w:spacing w:line="240" w:lineRule="auto"/>
        <w:jc w:val="both"/>
        <w:rPr>
          <w:rFonts w:ascii="Cambria Math" w:hAnsi="Cambria Math"/>
          <w:b/>
          <w:sz w:val="24"/>
        </w:rPr>
      </w:pPr>
    </w:p>
    <w:p w14:paraId="1F4068F8" w14:textId="77777777" w:rsidR="005931C9" w:rsidRDefault="005931C9" w:rsidP="00B21933">
      <w:pPr>
        <w:spacing w:line="240" w:lineRule="auto"/>
        <w:jc w:val="both"/>
        <w:rPr>
          <w:rFonts w:ascii="Cambria Math" w:hAnsi="Cambria Math"/>
          <w:b/>
          <w:sz w:val="24"/>
        </w:rPr>
      </w:pPr>
    </w:p>
    <w:p w14:paraId="0507A3B3" w14:textId="77777777" w:rsidR="005931C9" w:rsidRDefault="005931C9" w:rsidP="00B21933">
      <w:pPr>
        <w:spacing w:line="240" w:lineRule="auto"/>
        <w:jc w:val="both"/>
        <w:rPr>
          <w:rFonts w:ascii="Cambria Math" w:hAnsi="Cambria Math"/>
          <w:b/>
          <w:sz w:val="24"/>
        </w:rPr>
      </w:pPr>
    </w:p>
    <w:p w14:paraId="111FC6F2" w14:textId="77777777" w:rsidR="005931C9" w:rsidRDefault="005931C9" w:rsidP="00B21933">
      <w:pPr>
        <w:spacing w:line="240" w:lineRule="auto"/>
        <w:jc w:val="both"/>
        <w:rPr>
          <w:rFonts w:ascii="Cambria Math" w:hAnsi="Cambria Math"/>
          <w:b/>
          <w:sz w:val="24"/>
        </w:rPr>
      </w:pPr>
    </w:p>
    <w:p w14:paraId="0B1FFF3E" w14:textId="77777777" w:rsidR="005931C9" w:rsidRDefault="005931C9" w:rsidP="00B21933">
      <w:pPr>
        <w:spacing w:line="240" w:lineRule="auto"/>
        <w:jc w:val="both"/>
        <w:rPr>
          <w:rFonts w:ascii="Cambria Math" w:hAnsi="Cambria Math"/>
          <w:b/>
          <w:sz w:val="24"/>
        </w:rPr>
      </w:pPr>
    </w:p>
    <w:p w14:paraId="20A8D8F4" w14:textId="08D55E89" w:rsidR="00107BE1" w:rsidRPr="0076192F" w:rsidRDefault="00107BE1" w:rsidP="00B21933">
      <w:pPr>
        <w:spacing w:line="240" w:lineRule="auto"/>
        <w:jc w:val="both"/>
        <w:rPr>
          <w:rFonts w:ascii="Cambria Math" w:hAnsi="Cambria Math"/>
          <w:b/>
          <w:sz w:val="24"/>
        </w:rPr>
      </w:pPr>
      <w:r w:rsidRPr="0076192F">
        <w:rPr>
          <w:rFonts w:ascii="Cambria Math" w:hAnsi="Cambria Math"/>
          <w:b/>
          <w:sz w:val="24"/>
        </w:rPr>
        <w:lastRenderedPageBreak/>
        <w:t xml:space="preserve">Figure </w:t>
      </w:r>
      <w:r w:rsidR="002B5A8E">
        <w:rPr>
          <w:rFonts w:ascii="Cambria Math" w:hAnsi="Cambria Math"/>
          <w:b/>
          <w:sz w:val="24"/>
        </w:rPr>
        <w:t>4</w:t>
      </w:r>
      <w:r w:rsidR="00E437AE" w:rsidRPr="0076192F">
        <w:rPr>
          <w:rFonts w:ascii="Cambria Math" w:hAnsi="Cambria Math"/>
          <w:b/>
          <w:sz w:val="24"/>
        </w:rPr>
        <w:t xml:space="preserve">: </w:t>
      </w:r>
      <w:r w:rsidRPr="0076192F">
        <w:rPr>
          <w:rFonts w:ascii="Cambria Math" w:hAnsi="Cambria Math"/>
          <w:b/>
          <w:sz w:val="24"/>
        </w:rPr>
        <w:t>Linear and logistic transformation of sovereign credit ratings for Moody’s</w:t>
      </w:r>
    </w:p>
    <w:p w14:paraId="636B0526" w14:textId="1BB1662A" w:rsidR="008F0F08" w:rsidRPr="0076192F" w:rsidRDefault="008F0F08" w:rsidP="00784717">
      <w:pPr>
        <w:spacing w:line="240" w:lineRule="auto"/>
        <w:rPr>
          <w:rFonts w:ascii="Cambria Math" w:hAnsi="Cambria Math"/>
          <w:b/>
          <w:sz w:val="24"/>
        </w:rPr>
      </w:pPr>
      <w:r w:rsidRPr="0076192F">
        <w:rPr>
          <w:rFonts w:ascii="Cambria Math" w:hAnsi="Cambria Math"/>
          <w:noProof/>
          <w:lang w:eastAsia="en-GB"/>
        </w:rPr>
        <w:drawing>
          <wp:inline distT="0" distB="0" distL="0" distR="0" wp14:anchorId="7FA9072F" wp14:editId="4F1864AB">
            <wp:extent cx="5274310" cy="2927350"/>
            <wp:effectExtent l="0" t="0" r="2540"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7D38BC6" w14:textId="2B20D7B0" w:rsidR="0047537E" w:rsidRPr="0076192F" w:rsidRDefault="001B3ED3" w:rsidP="00784717">
      <w:pPr>
        <w:spacing w:line="240" w:lineRule="auto"/>
        <w:rPr>
          <w:rFonts w:ascii="Cambria Math" w:hAnsi="Cambria Math"/>
          <w:b/>
          <w:sz w:val="24"/>
        </w:rPr>
      </w:pPr>
      <w:r w:rsidRPr="0076192F">
        <w:rPr>
          <w:rFonts w:ascii="Cambria Math" w:hAnsi="Cambria Math"/>
          <w:b/>
          <w:sz w:val="24"/>
        </w:rPr>
        <w:br w:type="page"/>
      </w:r>
      <w:r w:rsidR="002B5A8E">
        <w:rPr>
          <w:rFonts w:ascii="Cambria Math" w:hAnsi="Cambria Math"/>
          <w:b/>
          <w:sz w:val="24"/>
        </w:rPr>
        <w:lastRenderedPageBreak/>
        <w:t>Figure 5</w:t>
      </w:r>
      <w:r w:rsidR="00E437AE" w:rsidRPr="0076192F">
        <w:rPr>
          <w:rFonts w:ascii="Cambria Math" w:hAnsi="Cambria Math"/>
          <w:b/>
          <w:sz w:val="24"/>
        </w:rPr>
        <w:t xml:space="preserve">: </w:t>
      </w:r>
      <w:r w:rsidR="0047537E" w:rsidRPr="0076192F">
        <w:rPr>
          <w:rFonts w:ascii="Cambria Math" w:hAnsi="Cambria Math"/>
          <w:b/>
          <w:sz w:val="24"/>
        </w:rPr>
        <w:t>Generalized impulse response functions for Moody’s using logistic transformation of sovereign ratings</w:t>
      </w:r>
    </w:p>
    <w:p w14:paraId="58361B77" w14:textId="66F41A73" w:rsidR="0047537E" w:rsidRPr="0076192F" w:rsidRDefault="005931C9" w:rsidP="00784717">
      <w:pPr>
        <w:spacing w:line="240" w:lineRule="auto"/>
        <w:rPr>
          <w:rFonts w:ascii="Cambria Math" w:hAnsi="Cambria Math"/>
          <w:b/>
          <w:sz w:val="24"/>
        </w:rPr>
      </w:pPr>
      <w:r w:rsidRPr="005931C9">
        <w:rPr>
          <w:rFonts w:ascii="Cambria Math" w:hAnsi="Cambria Math"/>
          <w:b/>
          <w:noProof/>
          <w:sz w:val="24"/>
          <w:lang w:eastAsia="en-GB"/>
        </w:rPr>
        <w:drawing>
          <wp:inline distT="0" distB="0" distL="0" distR="0" wp14:anchorId="2C46EC82" wp14:editId="521AC3FD">
            <wp:extent cx="5731510" cy="3661243"/>
            <wp:effectExtent l="0" t="0" r="2540" b="0"/>
            <wp:docPr id="13" name="Picture 13" descr="M:\My folders\PhD\Panel VAR\IRFA revision\logistic\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My folders\PhD\Panel VAR\IRFA revision\logistic\Rplot.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2040AACA" w14:textId="1235CE63" w:rsidR="00E754E6" w:rsidRPr="0076192F" w:rsidRDefault="005931C9" w:rsidP="00784717">
      <w:pPr>
        <w:spacing w:line="240" w:lineRule="auto"/>
        <w:rPr>
          <w:rFonts w:ascii="Cambria Math" w:hAnsi="Cambria Math"/>
          <w:b/>
        </w:rPr>
      </w:pPr>
      <w:r w:rsidRPr="005931C9">
        <w:rPr>
          <w:rFonts w:ascii="Cambria Math" w:hAnsi="Cambria Math"/>
          <w:b/>
          <w:noProof/>
          <w:lang w:eastAsia="en-GB"/>
        </w:rPr>
        <w:drawing>
          <wp:inline distT="0" distB="0" distL="0" distR="0" wp14:anchorId="198DF139" wp14:editId="4CD34206">
            <wp:extent cx="5731510" cy="3661243"/>
            <wp:effectExtent l="0" t="0" r="2540" b="0"/>
            <wp:docPr id="22" name="Picture 22" descr="M:\My folders\PhD\Panel VAR\IRFA revision\logistic\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My folders\PhD\Panel VAR\IRFA revision\logistic\Rplot0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6ECF6BAD" w14:textId="2662C6A8" w:rsidR="00AE134E" w:rsidRPr="0076192F" w:rsidRDefault="00AE134E">
      <w:pPr>
        <w:rPr>
          <w:rFonts w:ascii="Cambria Math" w:hAnsi="Cambria Math"/>
          <w:b/>
        </w:rPr>
      </w:pPr>
      <w:r w:rsidRPr="0076192F">
        <w:rPr>
          <w:rFonts w:ascii="Cambria Math" w:hAnsi="Cambria Math"/>
          <w:b/>
        </w:rPr>
        <w:br w:type="page"/>
      </w:r>
    </w:p>
    <w:p w14:paraId="366BE9C8" w14:textId="4F6FA772" w:rsidR="00AE134E" w:rsidRPr="0076192F" w:rsidRDefault="002B5A8E" w:rsidP="00784717">
      <w:pPr>
        <w:spacing w:line="240" w:lineRule="auto"/>
        <w:rPr>
          <w:rFonts w:ascii="Cambria Math" w:hAnsi="Cambria Math"/>
          <w:b/>
        </w:rPr>
      </w:pPr>
      <w:r>
        <w:rPr>
          <w:rFonts w:ascii="Cambria Math" w:hAnsi="Cambria Math"/>
          <w:b/>
          <w:sz w:val="24"/>
        </w:rPr>
        <w:lastRenderedPageBreak/>
        <w:t>Figure 5</w:t>
      </w:r>
      <w:r w:rsidR="00AE134E" w:rsidRPr="0076192F">
        <w:rPr>
          <w:rFonts w:ascii="Cambria Math" w:hAnsi="Cambria Math"/>
          <w:b/>
          <w:sz w:val="24"/>
        </w:rPr>
        <w:t xml:space="preserve"> (continued): Generalized impulse response functions for Moody’s using logistic transformation of sovereign ratings</w:t>
      </w:r>
    </w:p>
    <w:p w14:paraId="6BE4BE9A" w14:textId="606685A0" w:rsidR="00E754E6" w:rsidRPr="0076192F" w:rsidRDefault="005931C9" w:rsidP="00784717">
      <w:pPr>
        <w:spacing w:line="240" w:lineRule="auto"/>
        <w:rPr>
          <w:rFonts w:ascii="Cambria Math" w:hAnsi="Cambria Math"/>
          <w:b/>
        </w:rPr>
      </w:pPr>
      <w:r w:rsidRPr="005931C9">
        <w:rPr>
          <w:rFonts w:ascii="Cambria Math" w:hAnsi="Cambria Math"/>
          <w:b/>
          <w:noProof/>
          <w:lang w:eastAsia="en-GB"/>
        </w:rPr>
        <w:drawing>
          <wp:inline distT="0" distB="0" distL="0" distR="0" wp14:anchorId="24B98E9F" wp14:editId="1AC0A534">
            <wp:extent cx="5731510" cy="3661243"/>
            <wp:effectExtent l="0" t="0" r="2540" b="0"/>
            <wp:docPr id="24" name="Picture 24" descr="M:\My folders\PhD\Panel VAR\IRFA revision\logistic\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My folders\PhD\Panel VAR\IRFA revision\logistic\Rplot0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77AAED08" w14:textId="0414CE42" w:rsidR="009F6BA4" w:rsidRPr="0076192F" w:rsidRDefault="00383152" w:rsidP="009F6BA4">
      <w:pPr>
        <w:spacing w:line="240" w:lineRule="auto"/>
        <w:jc w:val="both"/>
        <w:rPr>
          <w:rFonts w:ascii="Cambria Math" w:hAnsi="Cambria Math"/>
          <w:sz w:val="20"/>
          <w:szCs w:val="20"/>
        </w:rPr>
      </w:pPr>
      <w:r w:rsidRPr="0076192F">
        <w:rPr>
          <w:rFonts w:ascii="Cambria Math" w:hAnsi="Cambria Math"/>
          <w:sz w:val="20"/>
          <w:szCs w:val="20"/>
        </w:rPr>
        <w:t>Note</w:t>
      </w:r>
      <w:r w:rsidR="00AC2E3A" w:rsidRPr="0076192F">
        <w:rPr>
          <w:rFonts w:ascii="Cambria Math" w:hAnsi="Cambria Math"/>
          <w:sz w:val="20"/>
          <w:szCs w:val="20"/>
        </w:rPr>
        <w:t>s</w:t>
      </w:r>
      <w:r w:rsidRPr="0076192F">
        <w:rPr>
          <w:rFonts w:ascii="Cambria Math" w:hAnsi="Cambria Math"/>
          <w:sz w:val="20"/>
          <w:szCs w:val="20"/>
        </w:rPr>
        <w:t>: Shaded areas refer to the 95% confidence intervals based on 500 bootstrap replications.</w:t>
      </w:r>
      <w:r w:rsidR="009F6BA4" w:rsidRPr="0076192F">
        <w:rPr>
          <w:rFonts w:ascii="Cambria Math" w:hAnsi="Cambria Math"/>
          <w:sz w:val="20"/>
          <w:szCs w:val="20"/>
        </w:rPr>
        <w:t xml:space="preserve"> Generalized impulse response functions are based on estimates of the Panel Vector AutoRegressive (PVAR) model (2) in Section 3 of the paper </w:t>
      </w:r>
      <w:r w:rsidR="00BA4287" w:rsidRPr="0076192F">
        <w:rPr>
          <w:rFonts w:ascii="Cambria Math" w:hAnsi="Cambria Math"/>
          <w:sz w:val="20"/>
          <w:szCs w:val="20"/>
        </w:rPr>
        <w:t xml:space="preserve">(using the first difference transformation) </w:t>
      </w:r>
      <w:r w:rsidR="009F6BA4" w:rsidRPr="0076192F">
        <w:rPr>
          <w:rFonts w:ascii="Cambria Math" w:hAnsi="Cambria Math"/>
          <w:sz w:val="20"/>
          <w:szCs w:val="20"/>
        </w:rPr>
        <w:t xml:space="preserve">where the endogenous variables in our PVAR model are </w:t>
      </w:r>
    </w:p>
    <w:p w14:paraId="735443A4" w14:textId="7812DB1D" w:rsidR="009F6BA4" w:rsidRPr="0076192F" w:rsidRDefault="009F6BA4" w:rsidP="009F6BA4">
      <w:pPr>
        <w:spacing w:line="240" w:lineRule="auto"/>
        <w:jc w:val="both"/>
        <w:rPr>
          <w:rFonts w:ascii="Cambria Math" w:hAnsi="Cambria Math"/>
          <w:sz w:val="20"/>
          <w:szCs w:val="20"/>
        </w:rPr>
      </w:pPr>
      <w:r w:rsidRPr="00233AFC">
        <w:rPr>
          <w:rFonts w:ascii="Cambria Math" w:hAnsi="Cambria Math"/>
          <w:sz w:val="20"/>
          <w:szCs w:val="20"/>
        </w:rPr>
        <w:t>y</w:t>
      </w:r>
      <w:r w:rsidRPr="0076192F">
        <w:rPr>
          <w:rFonts w:ascii="Cambria Math" w:hAnsi="Cambria Math"/>
          <w:i/>
          <w:sz w:val="20"/>
          <w:szCs w:val="20"/>
          <w:vertAlign w:val="subscript"/>
        </w:rPr>
        <w:t>i</w:t>
      </w:r>
      <w:r w:rsidRPr="0076192F">
        <w:rPr>
          <w:rFonts w:ascii="Cambria Math" w:hAnsi="Cambria Math"/>
          <w:sz w:val="20"/>
          <w:szCs w:val="20"/>
          <w:vertAlign w:val="subscript"/>
        </w:rPr>
        <w:t>,</w:t>
      </w:r>
      <w:r w:rsidRPr="0076192F">
        <w:rPr>
          <w:rFonts w:ascii="Cambria Math" w:hAnsi="Cambria Math"/>
          <w:i/>
          <w:sz w:val="20"/>
          <w:szCs w:val="20"/>
          <w:vertAlign w:val="subscript"/>
        </w:rPr>
        <w:t>t</w:t>
      </w:r>
      <w:r w:rsidRPr="0076192F">
        <w:rPr>
          <w:rFonts w:ascii="Cambria Math" w:hAnsi="Cambria Math"/>
          <w:sz w:val="20"/>
          <w:szCs w:val="20"/>
        </w:rPr>
        <w:t xml:space="preserve"> = [</w:t>
      </w:r>
      <w:r w:rsidR="0011357D" w:rsidRPr="0076192F">
        <w:rPr>
          <w:rFonts w:ascii="Cambria Math" w:hAnsi="Cambria Math"/>
          <w:sz w:val="20"/>
          <w:szCs w:val="20"/>
        </w:rPr>
        <w:t>Stock price volatility</w:t>
      </w:r>
      <w:r w:rsidRPr="0076192F">
        <w:rPr>
          <w:rFonts w:ascii="Cambria Math" w:hAnsi="Cambria Math"/>
          <w:sz w:val="20"/>
          <w:szCs w:val="20"/>
        </w:rPr>
        <w:t xml:space="preserve">, GDP growth, Investments, Debt, Fiscal Balance, NPLs, rating] using the </w:t>
      </w:r>
      <w:r w:rsidR="00BA4287" w:rsidRPr="0076192F">
        <w:rPr>
          <w:rFonts w:ascii="Cambria Math" w:hAnsi="Cambria Math"/>
          <w:sz w:val="20"/>
          <w:szCs w:val="20"/>
        </w:rPr>
        <w:t xml:space="preserve">logistic transformation of the </w:t>
      </w:r>
      <w:r w:rsidRPr="0076192F">
        <w:rPr>
          <w:rFonts w:ascii="Cambria Math" w:hAnsi="Cambria Math"/>
          <w:sz w:val="20"/>
          <w:szCs w:val="20"/>
        </w:rPr>
        <w:t>rating of Moody’s.</w:t>
      </w:r>
    </w:p>
    <w:p w14:paraId="1BDC6C0A" w14:textId="2224C51F" w:rsidR="00E754E6" w:rsidRPr="0076192F" w:rsidRDefault="00E754E6" w:rsidP="00784717">
      <w:pPr>
        <w:spacing w:line="240" w:lineRule="auto"/>
        <w:jc w:val="both"/>
        <w:rPr>
          <w:rFonts w:ascii="Cambria Math" w:hAnsi="Cambria Math"/>
          <w:b/>
          <w:sz w:val="24"/>
          <w:szCs w:val="24"/>
        </w:rPr>
      </w:pPr>
    </w:p>
    <w:p w14:paraId="4C63B252" w14:textId="54DAA0DC" w:rsidR="00FF59F0" w:rsidRPr="002B5A8E" w:rsidRDefault="00FF59F0" w:rsidP="00784717">
      <w:pPr>
        <w:spacing w:line="240" w:lineRule="auto"/>
        <w:rPr>
          <w:rFonts w:ascii="Cambria Math" w:hAnsi="Cambria Math"/>
          <w:b/>
          <w:sz w:val="24"/>
        </w:rPr>
      </w:pPr>
    </w:p>
    <w:p w14:paraId="510036EF" w14:textId="77777777" w:rsidR="00D45201" w:rsidRPr="0076192F" w:rsidRDefault="00D45201" w:rsidP="00D45201">
      <w:pPr>
        <w:spacing w:line="240" w:lineRule="auto"/>
        <w:rPr>
          <w:rFonts w:ascii="Cambria Math" w:hAnsi="Cambria Math"/>
          <w:b/>
          <w:sz w:val="24"/>
        </w:rPr>
      </w:pPr>
    </w:p>
    <w:p w14:paraId="71C6CF24" w14:textId="77777777" w:rsidR="00D45201" w:rsidRDefault="00D45201" w:rsidP="00784717">
      <w:pPr>
        <w:spacing w:line="240" w:lineRule="auto"/>
        <w:rPr>
          <w:rFonts w:ascii="Cambria Math" w:hAnsi="Cambria Math"/>
          <w:b/>
          <w:sz w:val="28"/>
          <w:szCs w:val="28"/>
        </w:rPr>
      </w:pPr>
    </w:p>
    <w:p w14:paraId="77370453" w14:textId="2D1CAC4C" w:rsidR="00D57293" w:rsidRPr="009F745B" w:rsidRDefault="00D45201" w:rsidP="009F745B">
      <w:pPr>
        <w:rPr>
          <w:rFonts w:ascii="Cambria Math" w:hAnsi="Cambria Math"/>
          <w:b/>
          <w:sz w:val="28"/>
          <w:szCs w:val="28"/>
        </w:rPr>
      </w:pPr>
      <w:r>
        <w:rPr>
          <w:rFonts w:ascii="Cambria Math" w:hAnsi="Cambria Math"/>
          <w:b/>
          <w:sz w:val="28"/>
          <w:szCs w:val="28"/>
        </w:rPr>
        <w:br w:type="page"/>
      </w:r>
    </w:p>
    <w:p w14:paraId="161403C2" w14:textId="3930D57B" w:rsidR="00D50148" w:rsidRPr="0011357D" w:rsidRDefault="005931C9" w:rsidP="0011357D">
      <w:pPr>
        <w:pStyle w:val="NoSpacing"/>
        <w:rPr>
          <w:rFonts w:ascii="Cambria Math" w:hAnsi="Cambria Math"/>
          <w:b/>
          <w:sz w:val="24"/>
        </w:rPr>
      </w:pPr>
      <w:bookmarkStart w:id="19" w:name="_Hlk514313170"/>
      <w:r w:rsidRPr="0011357D">
        <w:rPr>
          <w:rFonts w:ascii="Cambria Math" w:hAnsi="Cambria Math"/>
          <w:b/>
          <w:sz w:val="24"/>
        </w:rPr>
        <w:lastRenderedPageBreak/>
        <w:t>Figure 6</w:t>
      </w:r>
      <w:r w:rsidR="00D50148" w:rsidRPr="0011357D">
        <w:rPr>
          <w:rFonts w:ascii="Cambria Math" w:hAnsi="Cambria Math"/>
          <w:b/>
          <w:sz w:val="24"/>
        </w:rPr>
        <w:t>: Generalized impulse response function</w:t>
      </w:r>
      <w:r w:rsidR="009F745B" w:rsidRPr="0011357D">
        <w:rPr>
          <w:rFonts w:ascii="Cambria Math" w:hAnsi="Cambria Math"/>
          <w:b/>
          <w:sz w:val="24"/>
        </w:rPr>
        <w:t xml:space="preserve">s for Moody’s using </w:t>
      </w:r>
      <w:bookmarkEnd w:id="19"/>
      <w:r w:rsidRPr="0011357D">
        <w:rPr>
          <w:rFonts w:ascii="Cambria Math" w:hAnsi="Cambria Math"/>
          <w:b/>
          <w:sz w:val="24"/>
        </w:rPr>
        <w:t>Economic Policy Uncertainty</w:t>
      </w:r>
    </w:p>
    <w:p w14:paraId="1E15DE43" w14:textId="3535F6A0" w:rsidR="002050DA" w:rsidRPr="0076192F" w:rsidRDefault="0011357D" w:rsidP="002050DA">
      <w:pPr>
        <w:rPr>
          <w:rFonts w:ascii="Cambria Math" w:hAnsi="Cambria Math"/>
        </w:rPr>
      </w:pPr>
      <w:r w:rsidRPr="0011357D">
        <w:rPr>
          <w:rFonts w:ascii="Cambria Math" w:hAnsi="Cambria Math"/>
          <w:noProof/>
          <w:lang w:eastAsia="en-GB"/>
        </w:rPr>
        <w:drawing>
          <wp:inline distT="0" distB="0" distL="0" distR="0" wp14:anchorId="5EDAA4ED" wp14:editId="08D9B9C7">
            <wp:extent cx="5731510" cy="3661243"/>
            <wp:effectExtent l="0" t="0" r="2540" b="0"/>
            <wp:docPr id="26" name="Picture 26" descr="M:\My folders\PhD\Panel VAR\IRFA revision\unc\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My folders\PhD\Panel VAR\IRFA revision\unc\Rplot.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397F8FBC" w14:textId="4E808840" w:rsidR="002050DA" w:rsidRPr="0076192F" w:rsidRDefault="0011357D" w:rsidP="002050DA">
      <w:pPr>
        <w:rPr>
          <w:rFonts w:ascii="Cambria Math" w:hAnsi="Cambria Math"/>
        </w:rPr>
      </w:pPr>
      <w:r w:rsidRPr="0011357D">
        <w:rPr>
          <w:rFonts w:ascii="Cambria Math" w:hAnsi="Cambria Math"/>
          <w:noProof/>
          <w:lang w:eastAsia="en-GB"/>
        </w:rPr>
        <w:drawing>
          <wp:inline distT="0" distB="0" distL="0" distR="0" wp14:anchorId="0EC5F84C" wp14:editId="46C28D6B">
            <wp:extent cx="5731510" cy="3661243"/>
            <wp:effectExtent l="0" t="0" r="2540" b="0"/>
            <wp:docPr id="30" name="Picture 30" descr="M:\My folders\PhD\Panel VAR\IRFA revision\unc\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My folders\PhD\Panel VAR\IRFA revision\unc\Rplot0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3CA352D0" w14:textId="77777777" w:rsidR="00013787" w:rsidRPr="0076192F" w:rsidRDefault="00013787">
      <w:pPr>
        <w:rPr>
          <w:rFonts w:ascii="Cambria Math" w:hAnsi="Cambria Math"/>
          <w:sz w:val="24"/>
          <w:szCs w:val="24"/>
        </w:rPr>
      </w:pPr>
      <w:r w:rsidRPr="0076192F">
        <w:rPr>
          <w:rFonts w:ascii="Cambria Math" w:hAnsi="Cambria Math"/>
          <w:sz w:val="24"/>
          <w:szCs w:val="24"/>
        </w:rPr>
        <w:br w:type="page"/>
      </w:r>
    </w:p>
    <w:p w14:paraId="1263C7B8" w14:textId="2947C52F" w:rsidR="002050DA" w:rsidRPr="0076192F" w:rsidRDefault="005931C9" w:rsidP="00ED506D">
      <w:pPr>
        <w:spacing w:line="240" w:lineRule="auto"/>
        <w:rPr>
          <w:rFonts w:ascii="Cambria Math" w:hAnsi="Cambria Math"/>
        </w:rPr>
      </w:pPr>
      <w:r>
        <w:rPr>
          <w:rFonts w:ascii="Cambria Math" w:hAnsi="Cambria Math"/>
          <w:b/>
          <w:sz w:val="24"/>
        </w:rPr>
        <w:lastRenderedPageBreak/>
        <w:t xml:space="preserve">Figure 6 </w:t>
      </w:r>
      <w:r w:rsidRPr="0076192F">
        <w:rPr>
          <w:rFonts w:ascii="Cambria Math" w:hAnsi="Cambria Math"/>
          <w:b/>
          <w:sz w:val="24"/>
        </w:rPr>
        <w:t>(continued):</w:t>
      </w:r>
      <w:r w:rsidR="00010792" w:rsidRPr="0076192F">
        <w:rPr>
          <w:rFonts w:ascii="Cambria Math" w:hAnsi="Cambria Math"/>
          <w:b/>
          <w:sz w:val="24"/>
        </w:rPr>
        <w:t xml:space="preserve"> Generalized impulse response functions for Moody’s using </w:t>
      </w:r>
      <w:r w:rsidRPr="005931C9">
        <w:rPr>
          <w:rFonts w:ascii="Cambria Math" w:hAnsi="Cambria Math"/>
          <w:b/>
          <w:sz w:val="24"/>
        </w:rPr>
        <w:t>Economic Policy Uncertainty</w:t>
      </w:r>
    </w:p>
    <w:p w14:paraId="0EF6A4A2" w14:textId="296280A0" w:rsidR="002050DA" w:rsidRPr="0076192F" w:rsidRDefault="0011357D" w:rsidP="00ED506D">
      <w:pPr>
        <w:spacing w:line="240" w:lineRule="auto"/>
        <w:rPr>
          <w:rFonts w:ascii="Cambria Math" w:hAnsi="Cambria Math"/>
        </w:rPr>
      </w:pPr>
      <w:r w:rsidRPr="0011357D">
        <w:rPr>
          <w:rFonts w:ascii="Cambria Math" w:hAnsi="Cambria Math"/>
          <w:noProof/>
          <w:lang w:eastAsia="en-GB"/>
        </w:rPr>
        <w:drawing>
          <wp:inline distT="0" distB="0" distL="0" distR="0" wp14:anchorId="367F499A" wp14:editId="46804669">
            <wp:extent cx="5731510" cy="3661243"/>
            <wp:effectExtent l="0" t="0" r="2540" b="0"/>
            <wp:docPr id="35" name="Picture 35" descr="M:\My folders\PhD\Panel VAR\IRFA revision\unc\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My folders\PhD\Panel VAR\IRFA revision\unc\Rplot0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5E7C2F1B" w14:textId="1122B60E" w:rsidR="009F6BA4" w:rsidRPr="0076192F" w:rsidRDefault="00010792" w:rsidP="00ED506D">
      <w:pPr>
        <w:spacing w:line="240" w:lineRule="auto"/>
        <w:jc w:val="both"/>
        <w:rPr>
          <w:rFonts w:ascii="Cambria Math" w:hAnsi="Cambria Math"/>
          <w:sz w:val="20"/>
          <w:szCs w:val="20"/>
        </w:rPr>
      </w:pPr>
      <w:r w:rsidRPr="0076192F">
        <w:rPr>
          <w:rFonts w:ascii="Cambria Math" w:hAnsi="Cambria Math"/>
          <w:sz w:val="20"/>
          <w:szCs w:val="20"/>
        </w:rPr>
        <w:t>Note</w:t>
      </w:r>
      <w:r w:rsidR="00AC2E3A" w:rsidRPr="0076192F">
        <w:rPr>
          <w:rFonts w:ascii="Cambria Math" w:hAnsi="Cambria Math"/>
          <w:sz w:val="20"/>
          <w:szCs w:val="20"/>
        </w:rPr>
        <w:t>s</w:t>
      </w:r>
      <w:r w:rsidRPr="0076192F">
        <w:rPr>
          <w:rFonts w:ascii="Cambria Math" w:hAnsi="Cambria Math"/>
          <w:sz w:val="20"/>
          <w:szCs w:val="20"/>
        </w:rPr>
        <w:t>: Shaded areas refer to the 95% confidence intervals based on 500 bootstrap replications.</w:t>
      </w:r>
      <w:r w:rsidR="009F6BA4" w:rsidRPr="0076192F">
        <w:rPr>
          <w:rFonts w:ascii="Cambria Math" w:hAnsi="Cambria Math"/>
          <w:sz w:val="20"/>
          <w:szCs w:val="20"/>
        </w:rPr>
        <w:t xml:space="preserve"> Generalized impulse response functions are based on estimates of the Panel Vector AutoRegressive (PVAR) model (2) in Section 3 of the paper where the endogenous variables in our PVAR model are </w:t>
      </w:r>
    </w:p>
    <w:p w14:paraId="5D281113" w14:textId="7E9CD11A" w:rsidR="009F6BA4" w:rsidRPr="0076192F" w:rsidRDefault="009F6BA4" w:rsidP="00ED506D">
      <w:pPr>
        <w:spacing w:line="240" w:lineRule="auto"/>
        <w:jc w:val="both"/>
        <w:rPr>
          <w:rFonts w:ascii="Cambria Math" w:hAnsi="Cambria Math"/>
          <w:sz w:val="20"/>
          <w:szCs w:val="20"/>
        </w:rPr>
      </w:pPr>
      <w:r w:rsidRPr="00233AFC">
        <w:rPr>
          <w:rFonts w:ascii="Cambria Math" w:hAnsi="Cambria Math"/>
          <w:sz w:val="20"/>
          <w:szCs w:val="20"/>
        </w:rPr>
        <w:t>y</w:t>
      </w:r>
      <w:r w:rsidRPr="0076192F">
        <w:rPr>
          <w:rFonts w:ascii="Cambria Math" w:hAnsi="Cambria Math"/>
          <w:i/>
          <w:sz w:val="20"/>
          <w:szCs w:val="20"/>
          <w:vertAlign w:val="subscript"/>
        </w:rPr>
        <w:t>i</w:t>
      </w:r>
      <w:r w:rsidRPr="0076192F">
        <w:rPr>
          <w:rFonts w:ascii="Cambria Math" w:hAnsi="Cambria Math"/>
          <w:sz w:val="20"/>
          <w:szCs w:val="20"/>
          <w:vertAlign w:val="subscript"/>
        </w:rPr>
        <w:t>,</w:t>
      </w:r>
      <w:r w:rsidRPr="0076192F">
        <w:rPr>
          <w:rFonts w:ascii="Cambria Math" w:hAnsi="Cambria Math"/>
          <w:i/>
          <w:sz w:val="20"/>
          <w:szCs w:val="20"/>
          <w:vertAlign w:val="subscript"/>
        </w:rPr>
        <w:t>t</w:t>
      </w:r>
      <w:r w:rsidRPr="0076192F">
        <w:rPr>
          <w:rFonts w:ascii="Cambria Math" w:hAnsi="Cambria Math"/>
          <w:sz w:val="20"/>
          <w:szCs w:val="20"/>
        </w:rPr>
        <w:t xml:space="preserve"> = [</w:t>
      </w:r>
      <w:r w:rsidR="005C1738">
        <w:rPr>
          <w:rFonts w:ascii="Cambria Math" w:hAnsi="Cambria Math"/>
          <w:sz w:val="20"/>
          <w:szCs w:val="20"/>
        </w:rPr>
        <w:t>Economic Policy Uncertainty</w:t>
      </w:r>
      <w:r w:rsidRPr="0076192F">
        <w:rPr>
          <w:rFonts w:ascii="Cambria Math" w:hAnsi="Cambria Math"/>
          <w:sz w:val="20"/>
          <w:szCs w:val="20"/>
        </w:rPr>
        <w:t>, GDP growth, Investments, Debt, Fiscal Balance, NPLs, rating] using the rating of Moody’s</w:t>
      </w:r>
      <w:r w:rsidR="001A75DA" w:rsidRPr="0076192F">
        <w:rPr>
          <w:rFonts w:ascii="Cambria Math" w:hAnsi="Cambria Math"/>
          <w:sz w:val="20"/>
          <w:szCs w:val="20"/>
        </w:rPr>
        <w:t xml:space="preserve"> and the first difference transformation</w:t>
      </w:r>
      <w:r w:rsidRPr="0076192F">
        <w:rPr>
          <w:rFonts w:ascii="Cambria Math" w:hAnsi="Cambria Math"/>
          <w:sz w:val="20"/>
          <w:szCs w:val="20"/>
        </w:rPr>
        <w:t>.</w:t>
      </w:r>
    </w:p>
    <w:p w14:paraId="4AE9052E" w14:textId="6330B427" w:rsidR="00D50148" w:rsidRPr="0076192F" w:rsidRDefault="00D50148" w:rsidP="00ED506D">
      <w:pPr>
        <w:spacing w:line="240" w:lineRule="auto"/>
        <w:rPr>
          <w:rFonts w:ascii="Cambria Math" w:hAnsi="Cambria Math"/>
          <w:b/>
          <w:sz w:val="24"/>
        </w:rPr>
      </w:pPr>
    </w:p>
    <w:p w14:paraId="0B945B5D" w14:textId="2E86C0B7" w:rsidR="00A901D8" w:rsidRDefault="00D50148" w:rsidP="00ED506D">
      <w:pPr>
        <w:spacing w:line="240" w:lineRule="auto"/>
        <w:rPr>
          <w:rFonts w:ascii="Cambria Math" w:hAnsi="Cambria Math"/>
          <w:b/>
          <w:sz w:val="24"/>
        </w:rPr>
      </w:pPr>
      <w:r w:rsidRPr="0076192F">
        <w:rPr>
          <w:rFonts w:ascii="Cambria Math" w:hAnsi="Cambria Math"/>
          <w:b/>
          <w:sz w:val="24"/>
        </w:rPr>
        <w:br w:type="page"/>
      </w:r>
      <w:r w:rsidR="005931C9">
        <w:rPr>
          <w:rFonts w:ascii="Cambria Math" w:hAnsi="Cambria Math"/>
          <w:b/>
          <w:sz w:val="24"/>
        </w:rPr>
        <w:lastRenderedPageBreak/>
        <w:t>Figure 7</w:t>
      </w:r>
      <w:r w:rsidR="00A901D8" w:rsidRPr="0076192F">
        <w:rPr>
          <w:rFonts w:ascii="Cambria Math" w:hAnsi="Cambria Math"/>
          <w:b/>
          <w:sz w:val="24"/>
        </w:rPr>
        <w:t xml:space="preserve">: Generalized impulse response functions for Moody’s using </w:t>
      </w:r>
      <w:r w:rsidR="00B138C1" w:rsidRPr="0076192F">
        <w:rPr>
          <w:rFonts w:ascii="Cambria Math" w:hAnsi="Cambria Math"/>
          <w:b/>
          <w:sz w:val="24"/>
        </w:rPr>
        <w:t xml:space="preserve">the </w:t>
      </w:r>
      <w:r w:rsidR="00A901D8" w:rsidRPr="0076192F">
        <w:rPr>
          <w:rFonts w:ascii="Cambria Math" w:hAnsi="Cambria Math"/>
          <w:b/>
          <w:sz w:val="24"/>
        </w:rPr>
        <w:t>bank</w:t>
      </w:r>
      <w:r w:rsidR="001A7E9F" w:rsidRPr="0076192F">
        <w:rPr>
          <w:rFonts w:ascii="Cambria Math" w:hAnsi="Cambria Math"/>
          <w:b/>
          <w:sz w:val="24"/>
        </w:rPr>
        <w:t>ing</w:t>
      </w:r>
      <w:r w:rsidR="00A901D8" w:rsidRPr="0076192F">
        <w:rPr>
          <w:rFonts w:ascii="Cambria Math" w:hAnsi="Cambria Math"/>
          <w:b/>
          <w:sz w:val="24"/>
        </w:rPr>
        <w:t xml:space="preserve"> risk factor</w:t>
      </w:r>
    </w:p>
    <w:p w14:paraId="381D0FB2" w14:textId="415E7138" w:rsidR="00A95137" w:rsidRPr="0076192F" w:rsidRDefault="0011357D" w:rsidP="00ED506D">
      <w:pPr>
        <w:spacing w:line="240" w:lineRule="auto"/>
        <w:rPr>
          <w:rFonts w:ascii="Cambria Math" w:hAnsi="Cambria Math"/>
          <w:b/>
          <w:sz w:val="24"/>
        </w:rPr>
      </w:pPr>
      <w:r w:rsidRPr="0011357D">
        <w:rPr>
          <w:rFonts w:ascii="Cambria Math" w:hAnsi="Cambria Math"/>
          <w:b/>
          <w:noProof/>
          <w:sz w:val="24"/>
          <w:lang w:eastAsia="en-GB"/>
        </w:rPr>
        <w:drawing>
          <wp:inline distT="0" distB="0" distL="0" distR="0" wp14:anchorId="2782E90E" wp14:editId="260F2838">
            <wp:extent cx="5731510" cy="3661243"/>
            <wp:effectExtent l="0" t="0" r="2540" b="0"/>
            <wp:docPr id="38" name="Picture 38" descr="M:\My folders\PhD\Panel VAR\IRFA revision\factor\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My folders\PhD\Panel VAR\IRFA revision\factor\Rplot.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3661243"/>
                    </a:xfrm>
                    <a:prstGeom prst="rect">
                      <a:avLst/>
                    </a:prstGeom>
                    <a:noFill/>
                    <a:ln>
                      <a:noFill/>
                    </a:ln>
                  </pic:spPr>
                </pic:pic>
              </a:graphicData>
            </a:graphic>
          </wp:inline>
        </w:drawing>
      </w:r>
    </w:p>
    <w:p w14:paraId="7396441C" w14:textId="1BAE1963" w:rsidR="009F6BA4" w:rsidRPr="0076192F" w:rsidRDefault="00A901D8" w:rsidP="00ED506D">
      <w:pPr>
        <w:spacing w:line="240" w:lineRule="auto"/>
        <w:jc w:val="both"/>
        <w:rPr>
          <w:rFonts w:ascii="Cambria Math" w:hAnsi="Cambria Math"/>
          <w:sz w:val="20"/>
          <w:szCs w:val="20"/>
        </w:rPr>
      </w:pPr>
      <w:r w:rsidRPr="0076192F">
        <w:rPr>
          <w:rFonts w:ascii="Cambria Math" w:hAnsi="Cambria Math"/>
          <w:sz w:val="20"/>
          <w:szCs w:val="20"/>
        </w:rPr>
        <w:t>Note</w:t>
      </w:r>
      <w:r w:rsidR="00AC2E3A" w:rsidRPr="0076192F">
        <w:rPr>
          <w:rFonts w:ascii="Cambria Math" w:hAnsi="Cambria Math"/>
          <w:sz w:val="20"/>
          <w:szCs w:val="20"/>
        </w:rPr>
        <w:t>s</w:t>
      </w:r>
      <w:r w:rsidRPr="0076192F">
        <w:rPr>
          <w:rFonts w:ascii="Cambria Math" w:hAnsi="Cambria Math"/>
          <w:sz w:val="20"/>
          <w:szCs w:val="20"/>
        </w:rPr>
        <w:t>: Shaded areas refer to the 95% confidence intervals based on 500 bootstrap replications.</w:t>
      </w:r>
      <w:r w:rsidR="009F6BA4" w:rsidRPr="0076192F">
        <w:rPr>
          <w:rFonts w:ascii="Cambria Math" w:hAnsi="Cambria Math"/>
          <w:sz w:val="20"/>
          <w:szCs w:val="20"/>
        </w:rPr>
        <w:t xml:space="preserve"> Generalized impulse response functions are based on estimates of the Panel Vector AutoRegressive (PVAR) model (2) in Section 3 of the paper where the endogenous variables in our PVAR model are </w:t>
      </w:r>
    </w:p>
    <w:p w14:paraId="66BFD6F0" w14:textId="77B0AD00" w:rsidR="009F6BA4" w:rsidRPr="0076192F" w:rsidRDefault="009F6BA4" w:rsidP="00ED506D">
      <w:pPr>
        <w:spacing w:line="240" w:lineRule="auto"/>
        <w:jc w:val="both"/>
        <w:rPr>
          <w:rFonts w:ascii="Cambria Math" w:hAnsi="Cambria Math"/>
          <w:sz w:val="20"/>
          <w:szCs w:val="20"/>
        </w:rPr>
      </w:pPr>
      <w:r w:rsidRPr="00233AFC">
        <w:rPr>
          <w:rFonts w:ascii="Cambria Math" w:hAnsi="Cambria Math"/>
          <w:sz w:val="20"/>
          <w:szCs w:val="20"/>
        </w:rPr>
        <w:t>y</w:t>
      </w:r>
      <w:r w:rsidRPr="0076192F">
        <w:rPr>
          <w:rFonts w:ascii="Cambria Math" w:hAnsi="Cambria Math"/>
          <w:i/>
          <w:sz w:val="20"/>
          <w:szCs w:val="20"/>
          <w:vertAlign w:val="subscript"/>
        </w:rPr>
        <w:t>i</w:t>
      </w:r>
      <w:r w:rsidRPr="0076192F">
        <w:rPr>
          <w:rFonts w:ascii="Cambria Math" w:hAnsi="Cambria Math"/>
          <w:sz w:val="20"/>
          <w:szCs w:val="20"/>
          <w:vertAlign w:val="subscript"/>
        </w:rPr>
        <w:t>,</w:t>
      </w:r>
      <w:r w:rsidRPr="0076192F">
        <w:rPr>
          <w:rFonts w:ascii="Cambria Math" w:hAnsi="Cambria Math"/>
          <w:i/>
          <w:sz w:val="20"/>
          <w:szCs w:val="20"/>
          <w:vertAlign w:val="subscript"/>
        </w:rPr>
        <w:t>t</w:t>
      </w:r>
      <w:r w:rsidRPr="0076192F">
        <w:rPr>
          <w:rFonts w:ascii="Cambria Math" w:hAnsi="Cambria Math"/>
          <w:sz w:val="20"/>
          <w:szCs w:val="20"/>
        </w:rPr>
        <w:t xml:space="preserve"> = [Uncertainty, GDP growth, Investments, Debt, Fiscal Balance, bank</w:t>
      </w:r>
      <w:r w:rsidR="001A7E9F" w:rsidRPr="0076192F">
        <w:rPr>
          <w:rFonts w:ascii="Cambria Math" w:hAnsi="Cambria Math"/>
          <w:sz w:val="20"/>
          <w:szCs w:val="20"/>
        </w:rPr>
        <w:t>ing</w:t>
      </w:r>
      <w:r w:rsidRPr="0076192F">
        <w:rPr>
          <w:rFonts w:ascii="Cambria Math" w:hAnsi="Cambria Math"/>
          <w:sz w:val="20"/>
          <w:szCs w:val="20"/>
        </w:rPr>
        <w:t xml:space="preserve"> risk factor, rating] using the rating of Moody’s</w:t>
      </w:r>
      <w:r w:rsidR="001A75DA" w:rsidRPr="0076192F">
        <w:rPr>
          <w:rFonts w:ascii="Cambria Math" w:hAnsi="Cambria Math"/>
          <w:sz w:val="20"/>
          <w:szCs w:val="20"/>
        </w:rPr>
        <w:t xml:space="preserve"> and the first difference transformation</w:t>
      </w:r>
      <w:r w:rsidRPr="0076192F">
        <w:rPr>
          <w:rFonts w:ascii="Cambria Math" w:hAnsi="Cambria Math"/>
          <w:sz w:val="20"/>
          <w:szCs w:val="20"/>
        </w:rPr>
        <w:t>.</w:t>
      </w:r>
    </w:p>
    <w:sectPr w:rsidR="009F6BA4" w:rsidRPr="0076192F" w:rsidSect="00C926F2">
      <w:footerReference w:type="default" r:id="rId6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B55F" w14:textId="77777777" w:rsidR="003B7DDC" w:rsidRDefault="003B7DDC" w:rsidP="00F447BD">
      <w:pPr>
        <w:spacing w:after="0" w:line="240" w:lineRule="auto"/>
      </w:pPr>
      <w:r>
        <w:separator/>
      </w:r>
    </w:p>
  </w:endnote>
  <w:endnote w:type="continuationSeparator" w:id="0">
    <w:p w14:paraId="0C2590B0" w14:textId="77777777" w:rsidR="003B7DDC" w:rsidRDefault="003B7DDC" w:rsidP="00F4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70012"/>
      <w:docPartObj>
        <w:docPartGallery w:val="Page Numbers (Bottom of Page)"/>
        <w:docPartUnique/>
      </w:docPartObj>
    </w:sdtPr>
    <w:sdtEndPr>
      <w:rPr>
        <w:noProof/>
      </w:rPr>
    </w:sdtEndPr>
    <w:sdtContent>
      <w:p w14:paraId="531D7D27" w14:textId="00C06B92" w:rsidR="00D83FA8" w:rsidRDefault="00D83FA8">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23FE807" w14:textId="77777777" w:rsidR="00D83FA8" w:rsidRDefault="00D8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CD8D" w14:textId="77777777" w:rsidR="003B7DDC" w:rsidRDefault="003B7DDC" w:rsidP="00F447BD">
      <w:pPr>
        <w:spacing w:after="0" w:line="240" w:lineRule="auto"/>
      </w:pPr>
      <w:r>
        <w:separator/>
      </w:r>
    </w:p>
  </w:footnote>
  <w:footnote w:type="continuationSeparator" w:id="0">
    <w:p w14:paraId="6063E235" w14:textId="77777777" w:rsidR="003B7DDC" w:rsidRDefault="003B7DDC" w:rsidP="00F447BD">
      <w:pPr>
        <w:spacing w:after="0" w:line="240" w:lineRule="auto"/>
      </w:pPr>
      <w:r>
        <w:continuationSeparator/>
      </w:r>
    </w:p>
  </w:footnote>
  <w:footnote w:id="1">
    <w:p w14:paraId="4D40BFFC" w14:textId="77777777" w:rsidR="00D83FA8" w:rsidRPr="003B2FAD" w:rsidRDefault="00D83FA8" w:rsidP="00122274">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See</w:t>
      </w:r>
      <w:r>
        <w:rPr>
          <w:rFonts w:ascii="Cambria Math" w:hAnsi="Cambria Math"/>
        </w:rPr>
        <w:t xml:space="preserve"> </w:t>
      </w:r>
      <w:hyperlink r:id="rId1" w:history="1">
        <w:r w:rsidRPr="00EF4717">
          <w:rPr>
            <w:rStyle w:val="Hyperlink"/>
            <w:rFonts w:ascii="Cambria Math" w:hAnsi="Cambria Math"/>
          </w:rPr>
          <w:t>https://blogs.imf.org/2019/01/21/a-weakening-global-expansion-amid-growing-risks/</w:t>
        </w:r>
      </w:hyperlink>
      <w:r>
        <w:rPr>
          <w:rFonts w:ascii="Cambria Math" w:hAnsi="Cambria Math"/>
        </w:rPr>
        <w:t xml:space="preserve">. </w:t>
      </w:r>
    </w:p>
  </w:footnote>
  <w:footnote w:id="2">
    <w:p w14:paraId="481216A4" w14:textId="7D3506D8" w:rsidR="00D83FA8" w:rsidRPr="00F9145C" w:rsidRDefault="00D83FA8" w:rsidP="00122274">
      <w:pPr>
        <w:pStyle w:val="FootnoteText"/>
        <w:jc w:val="both"/>
        <w:rPr>
          <w:rFonts w:ascii="Cambria Math" w:hAnsi="Cambria Math"/>
          <w:u w:val="single"/>
        </w:rPr>
      </w:pPr>
      <w:r w:rsidRPr="0076192F">
        <w:rPr>
          <w:rStyle w:val="FootnoteReference"/>
          <w:rFonts w:ascii="Cambria Math" w:hAnsi="Cambria Math"/>
        </w:rPr>
        <w:footnoteRef/>
      </w:r>
      <w:r w:rsidRPr="0076192F">
        <w:rPr>
          <w:rFonts w:ascii="Cambria Math" w:hAnsi="Cambria Math"/>
        </w:rPr>
        <w:t xml:space="preserve"> According to the IMF World Economic Outlook Database, general government gross debt in advanced economies, at 102.8% of Gross Domestic Product (GDP) in 2018, will remain some 32 percentage points above its pre-crisis level in 2007. General government gross debt in emerging market and developing economies, at 51% of GDP in 2018, will remain some 15 percentage points above its pre-crisis level. </w:t>
      </w:r>
    </w:p>
  </w:footnote>
  <w:footnote w:id="3">
    <w:p w14:paraId="2156F48B" w14:textId="3C3F4C33" w:rsidR="00D83FA8" w:rsidRPr="0067671D" w:rsidRDefault="00D83FA8" w:rsidP="0067671D">
      <w:pPr>
        <w:pStyle w:val="FootnoteText"/>
        <w:jc w:val="both"/>
        <w:rPr>
          <w:rFonts w:ascii="Cambria Math" w:hAnsi="Cambria Math"/>
        </w:rPr>
      </w:pPr>
      <w:r w:rsidRPr="0067671D">
        <w:rPr>
          <w:rStyle w:val="FootnoteReference"/>
          <w:rFonts w:ascii="Cambria Math" w:hAnsi="Cambria Math"/>
        </w:rPr>
        <w:footnoteRef/>
      </w:r>
      <w:r w:rsidRPr="0067671D">
        <w:rPr>
          <w:rFonts w:ascii="Cambria Math" w:hAnsi="Cambria Math"/>
        </w:rPr>
        <w:t xml:space="preserve"> </w:t>
      </w:r>
      <w:r>
        <w:rPr>
          <w:rFonts w:ascii="Cambria Math" w:hAnsi="Cambria Math"/>
        </w:rPr>
        <w:t xml:space="preserve">Herding bahavior issues are also at play. For instance, </w:t>
      </w:r>
      <w:r w:rsidRPr="0067671D">
        <w:rPr>
          <w:rFonts w:ascii="Cambria Math" w:hAnsi="Cambria Math"/>
        </w:rPr>
        <w:t>Lugo et al. (2015) assess the herding behavior of CRAs in the US Home Equity Loan market to find that since the start of the subprime crisis, rating convergence is more likely when Fitch rather than the rival (Moody’s or S&amp;P’s) has to adjust its evaluation downwards.</w:t>
      </w:r>
    </w:p>
  </w:footnote>
  <w:footnote w:id="4">
    <w:p w14:paraId="5E3D745C" w14:textId="080B02B0" w:rsidR="00D83FA8" w:rsidRPr="0076192F" w:rsidRDefault="00D83FA8" w:rsidP="00EB082A">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In January 2012, Mario Draghi told the European Parliament in Strasbourg that “we should learn to do without ratings, or at least we should learn to assess creditworthiness” adding that “certainly one needs to ask how important are these ratings for the marketplace overall, for investors”, whereas Mervyn King stressed (also in January 2012) in a parliamentary committee in London that one should “put less focus directly on what the ratings agencies say and more on what the market as a whole is saying in terms of sovereign debt” adding that “what we need to do is to move to a point, and I think markets have gone some way towards that, where they pay less attention to the verdicts of the ratings agencies”. See </w:t>
      </w:r>
      <w:hyperlink r:id="rId2" w:history="1">
        <w:r w:rsidRPr="0076192F">
          <w:rPr>
            <w:rStyle w:val="Hyperlink"/>
            <w:rFonts w:ascii="Cambria Math" w:hAnsi="Cambria Math"/>
          </w:rPr>
          <w:t>http://www.nytimes.com/2012/01/18/business/global/european-central-bankers-criticize-role-of-rating-agencies.html</w:t>
        </w:r>
      </w:hyperlink>
      <w:r w:rsidRPr="0076192F">
        <w:rPr>
          <w:rFonts w:ascii="Cambria Math" w:hAnsi="Cambria Math"/>
        </w:rPr>
        <w:t>.</w:t>
      </w:r>
    </w:p>
  </w:footnote>
  <w:footnote w:id="5">
    <w:p w14:paraId="09E4E5E2" w14:textId="5F266B69" w:rsidR="00D83FA8" w:rsidRPr="0076192F" w:rsidRDefault="00D83FA8" w:rsidP="00EB082A">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These CRAs collectively control around 95% of the market. See </w:t>
      </w:r>
      <w:hyperlink r:id="rId3" w:history="1">
        <w:r w:rsidRPr="0076192F">
          <w:rPr>
            <w:rStyle w:val="Hyperlink"/>
            <w:rFonts w:ascii="Cambria Math" w:hAnsi="Cambria Math"/>
          </w:rPr>
          <w:t>http://www.bbc.co.uk/news/business-36629099</w:t>
        </w:r>
      </w:hyperlink>
      <w:r w:rsidRPr="0076192F">
        <w:rPr>
          <w:rFonts w:ascii="Cambria Math" w:hAnsi="Cambria Math"/>
        </w:rPr>
        <w:t>.</w:t>
      </w:r>
    </w:p>
  </w:footnote>
  <w:footnote w:id="6">
    <w:p w14:paraId="4DB6105B" w14:textId="77777777" w:rsidR="00D83FA8" w:rsidRPr="0076192F" w:rsidRDefault="00D83FA8" w:rsidP="00C112C9">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These are loans where the full repayment of the principal and interest may no longer be expected. Typically, the principal or interest would be at least 90 days in arrears, although the precise definition of NPLs varies across jurisdictions.</w:t>
      </w:r>
    </w:p>
  </w:footnote>
  <w:footnote w:id="7">
    <w:p w14:paraId="3B235BDB" w14:textId="77777777" w:rsidR="00D83FA8" w:rsidRPr="0076192F" w:rsidRDefault="00D83FA8" w:rsidP="00104400">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For instance, NPLs increased from 4.67% of total gross loans in 2008 to 36.29% in 2016 in Greece and from 3.59% in 2008 to 48.67% in 2016 in Cyprus. For the Euro area NPLs increased from 2.80% in 2008 to 4.05% in 2016.</w:t>
      </w:r>
    </w:p>
  </w:footnote>
  <w:footnote w:id="8">
    <w:p w14:paraId="41330F10" w14:textId="77777777" w:rsidR="00D83FA8" w:rsidRPr="0076192F" w:rsidRDefault="00D83FA8" w:rsidP="0025261C">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See </w:t>
      </w:r>
    </w:p>
    <w:p w14:paraId="5ED5A550" w14:textId="77777777" w:rsidR="00D83FA8" w:rsidRPr="0076192F" w:rsidRDefault="003B7DDC" w:rsidP="0025261C">
      <w:pPr>
        <w:pStyle w:val="FootnoteText"/>
        <w:jc w:val="both"/>
        <w:rPr>
          <w:rFonts w:ascii="Cambria Math" w:hAnsi="Cambria Math"/>
        </w:rPr>
      </w:pPr>
      <w:hyperlink r:id="rId4" w:history="1">
        <w:r w:rsidR="00D83FA8" w:rsidRPr="0076192F">
          <w:rPr>
            <w:rStyle w:val="Hyperlink"/>
            <w:rFonts w:ascii="Cambria Math" w:hAnsi="Cambria Math"/>
          </w:rPr>
          <w:t>https://www.eba.europa.eu/documents/10180/1315397/EBA+Risk+Assessment+Report_December+2016.pdf</w:t>
        </w:r>
      </w:hyperlink>
      <w:r w:rsidR="00D83FA8" w:rsidRPr="0076192F">
        <w:rPr>
          <w:rFonts w:ascii="Cambria Math" w:hAnsi="Cambria Math"/>
        </w:rPr>
        <w:t xml:space="preserve"> and </w:t>
      </w:r>
      <w:hyperlink r:id="rId5" w:history="1">
        <w:r w:rsidR="00D83FA8" w:rsidRPr="0076192F">
          <w:rPr>
            <w:rStyle w:val="Hyperlink"/>
            <w:rFonts w:ascii="Cambria Math" w:hAnsi="Cambria Math"/>
          </w:rPr>
          <w:t>https://www.bankingsupervision.europa.eu/ecb/pub/pdf/guidance_on_npl.en.pdf</w:t>
        </w:r>
      </w:hyperlink>
      <w:r w:rsidR="00D83FA8" w:rsidRPr="0076192F">
        <w:rPr>
          <w:rFonts w:ascii="Cambria Math" w:hAnsi="Cambria Math"/>
        </w:rPr>
        <w:t xml:space="preserve">. </w:t>
      </w:r>
    </w:p>
  </w:footnote>
  <w:footnote w:id="9">
    <w:p w14:paraId="18C9E2F6" w14:textId="124792CC" w:rsidR="00D83FA8" w:rsidRDefault="00D83FA8">
      <w:pPr>
        <w:pStyle w:val="FootnoteText"/>
      </w:pPr>
      <w:r>
        <w:rPr>
          <w:rStyle w:val="FootnoteReference"/>
        </w:rPr>
        <w:footnoteRef/>
      </w:r>
      <w:r>
        <w:t xml:space="preserve"> See </w:t>
      </w:r>
      <w:hyperlink r:id="rId6" w:history="1">
        <w:r w:rsidRPr="00564687">
          <w:rPr>
            <w:rStyle w:val="Hyperlink"/>
          </w:rPr>
          <w:t>https://www.standardandpoors.com/en_US/web/guest/article/-/view/type/HTML/id/2075495</w:t>
        </w:r>
      </w:hyperlink>
      <w:r>
        <w:t>.</w:t>
      </w:r>
    </w:p>
  </w:footnote>
  <w:footnote w:id="10">
    <w:p w14:paraId="77E55CCD" w14:textId="410DBE5B" w:rsidR="00D83FA8" w:rsidRPr="0076192F" w:rsidRDefault="00D83FA8" w:rsidP="00A1691F">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Something that triggered the reaction of Five Star leader Di Maio who wrote that “governments are decided by the credit rating agencies”. See </w:t>
      </w:r>
      <w:hyperlink r:id="rId7" w:history="1">
        <w:r w:rsidRPr="0076192F">
          <w:rPr>
            <w:rStyle w:val="Hyperlink"/>
            <w:rFonts w:ascii="Cambria Math" w:hAnsi="Cambria Math"/>
          </w:rPr>
          <w:t>https://www.bloomberg.com/news/articles/2018-05-27/italy-s-president-vetoes-candidacy-of-euroskeptic-savona</w:t>
        </w:r>
      </w:hyperlink>
      <w:r w:rsidRPr="0076192F">
        <w:rPr>
          <w:rFonts w:ascii="Cambria Math" w:hAnsi="Cambria Math"/>
        </w:rPr>
        <w:t xml:space="preserve">. </w:t>
      </w:r>
    </w:p>
  </w:footnote>
  <w:footnote w:id="11">
    <w:p w14:paraId="2ACF982E" w14:textId="5C8FC818" w:rsidR="00D83FA8" w:rsidRPr="0076192F" w:rsidRDefault="00D83FA8" w:rsidP="00D106D6">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The countries included are: United Arab Emirates, Argentina, Armenia, Australia, Austria, Belgium, Bulgaria, Bolivia, Brazil, Canada, Switzerland, Chile, China, Colombia, Costa Rica, Cyprus, Czech Republic, Germany, Denmark, Dominican Republic, Ecuador, Spain, Estonia, Finland, France, Gabon, The United Kingdom, Georgia, Ghana, Greece, Hong Kong, Croatia, Hungary, Indonesia, India, Ireland, Iceland, Israel, Italy, Japan, Korea Republic, Lithuania, Luxembourg, Latvia, Morocco, Moldova, Mexico, F.Y.R.O.M., Malta, Malaysia, The Netherlands, Norway, New Zealand, Pakistan,  Philippines, Poland, Portugal, Paraguay, Romania, Russian Federation, Saudi Arabia, Singapore, Slovak Republic, Slovenia, Sweden, Thailand, Tunisia, Turkey, Ukraine, Uruguay, The United States and South Africa. Due to missing observations, our dataset includes 1226 observations for Moody’s, 1253 observations for S&amp;P’s and 1190 observations for Fitch.</w:t>
      </w:r>
    </w:p>
  </w:footnote>
  <w:footnote w:id="12">
    <w:p w14:paraId="7B80DDBE" w14:textId="75E69210" w:rsidR="00D83FA8" w:rsidRDefault="00D83FA8" w:rsidP="00C771BE">
      <w:pPr>
        <w:pStyle w:val="FootnoteText"/>
        <w:jc w:val="both"/>
      </w:pPr>
      <w:r>
        <w:rPr>
          <w:rStyle w:val="FootnoteReference"/>
        </w:rPr>
        <w:footnoteRef/>
      </w:r>
      <w:r>
        <w:t xml:space="preserve"> </w:t>
      </w:r>
      <w:r w:rsidRPr="0076192F">
        <w:rPr>
          <w:rFonts w:ascii="Cambria Math" w:hAnsi="Cambria Math" w:cs="Times New Roman"/>
        </w:rPr>
        <w:t>Volatility of stock price index is the 360-day standard deviation of the return on the national stock market index. (Bloomberg). This is available from the Federal Reserve Bank of St Louis database.</w:t>
      </w:r>
    </w:p>
  </w:footnote>
  <w:footnote w:id="13">
    <w:p w14:paraId="1EE35940" w14:textId="77777777" w:rsidR="00D83FA8" w:rsidRPr="0076192F" w:rsidRDefault="00D83FA8" w:rsidP="00C771BE">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See </w:t>
      </w:r>
      <w:hyperlink r:id="rId8" w:history="1">
        <w:r w:rsidRPr="0076192F">
          <w:rPr>
            <w:rStyle w:val="Hyperlink"/>
            <w:rFonts w:ascii="Cambria Math" w:hAnsi="Cambria Math"/>
          </w:rPr>
          <w:t>https://www.reuters.com/article/us-usa-sp-downgrade-text/sp-lowers-united-states-credit-rating-to-aa-idUSTRE7750D320110806</w:t>
        </w:r>
      </w:hyperlink>
      <w:r w:rsidRPr="0076192F">
        <w:rPr>
          <w:rFonts w:ascii="Cambria Math" w:hAnsi="Cambria Math"/>
        </w:rPr>
        <w:t xml:space="preserve">. </w:t>
      </w:r>
    </w:p>
  </w:footnote>
  <w:footnote w:id="14">
    <w:p w14:paraId="1A6E1EAD" w14:textId="047B8F9D" w:rsidR="00D83FA8" w:rsidRPr="0076192F" w:rsidRDefault="00D83FA8" w:rsidP="00EE3115">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Duygun et al. (2016) find that a rating upgrade is likely to increase sovereign debt because of sovereign ratings’ procyclicality and path dependence. Nevertheless, they also find that the impact of sovereign rating decisions on debt varies with the degree of the country’s institutional quality; in particular, rating upgrades in countries with higher institutional quality are followed by debt reductions and an improvement in the fiscal balance. </w:t>
      </w:r>
    </w:p>
  </w:footnote>
  <w:footnote w:id="15">
    <w:p w14:paraId="0C5AD5CF" w14:textId="0F848792" w:rsidR="00D83FA8" w:rsidRPr="0076192F" w:rsidRDefault="00D83FA8" w:rsidP="004510FD">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w:t>
      </w:r>
      <w:r w:rsidRPr="004510FD">
        <w:rPr>
          <w:rFonts w:ascii="Cambria Math" w:hAnsi="Cambria Math"/>
        </w:rPr>
        <w:t xml:space="preserve">The first difference transformation exists for </w:t>
      </w:r>
      <w:r w:rsidRPr="004510FD">
        <w:rPr>
          <w:rFonts w:ascii="Cambria Math" w:hAnsi="Cambria Math"/>
          <w:i/>
        </w:rPr>
        <w:t xml:space="preserve">t </w:t>
      </w:r>
      <w:r w:rsidRPr="004510FD">
        <w:rPr>
          <w:rFonts w:ascii="Cambria Math" w:hAnsi="Cambria Math"/>
        </w:rPr>
        <w:t xml:space="preserve"> </w:t>
      </w:r>
      <w:r w:rsidRPr="004510FD">
        <w:rPr>
          <w:rFonts w:ascii="Cambria Math" w:hAnsi="Cambria Math" w:cs="Cambria Math"/>
        </w:rPr>
        <w:t>∊</w:t>
      </w:r>
      <w:r w:rsidRPr="004510FD">
        <w:rPr>
          <w:rFonts w:ascii="Cambria Math" w:hAnsi="Cambria Math"/>
        </w:rPr>
        <w:t xml:space="preserve"> {</w:t>
      </w:r>
      <w:r w:rsidRPr="004510FD">
        <w:rPr>
          <w:rFonts w:ascii="Cambria Math" w:hAnsi="Cambria Math"/>
          <w:i/>
        </w:rPr>
        <w:t xml:space="preserve">p </w:t>
      </w:r>
      <w:r w:rsidRPr="004510FD">
        <w:rPr>
          <w:rFonts w:ascii="Cambria Math" w:hAnsi="Cambria Math"/>
        </w:rPr>
        <w:t>+ 2,…,</w:t>
      </w:r>
      <w:r w:rsidRPr="004510FD">
        <w:rPr>
          <w:rFonts w:ascii="Cambria Math" w:hAnsi="Cambria Math"/>
          <w:i/>
        </w:rPr>
        <w:t>T</w:t>
      </w:r>
      <w:r w:rsidRPr="004510FD">
        <w:rPr>
          <w:rFonts w:ascii="Cambria Math" w:hAnsi="Cambria Math"/>
        </w:rPr>
        <w:t>}</w:t>
      </w:r>
      <w:r>
        <w:rPr>
          <w:rFonts w:ascii="Cambria Math" w:hAnsi="Cambria Math"/>
        </w:rPr>
        <w:t xml:space="preserve">. </w:t>
      </w:r>
      <w:r w:rsidRPr="004510FD">
        <w:rPr>
          <w:rFonts w:ascii="Cambria Math" w:hAnsi="Cambria Math"/>
        </w:rPr>
        <w:t xml:space="preserve">We denote the set of indexes </w:t>
      </w:r>
      <w:r w:rsidRPr="004510FD">
        <w:rPr>
          <w:rFonts w:ascii="Cambria Math" w:hAnsi="Cambria Math"/>
          <w:i/>
        </w:rPr>
        <w:t>t</w:t>
      </w:r>
      <w:r w:rsidRPr="004510FD">
        <w:rPr>
          <w:rFonts w:ascii="Cambria Math" w:hAnsi="Cambria Math"/>
        </w:rPr>
        <w:t xml:space="preserve">, for which the transformation exists by </w:t>
      </w:r>
      <w:r w:rsidRPr="004510FD">
        <w:rPr>
          <w:rFonts w:ascii="Cambria Math" w:hAnsi="Cambria Math" w:cs="Cambria Math"/>
        </w:rPr>
        <w:t>𝕋</w:t>
      </w:r>
      <w:r w:rsidRPr="004510FD">
        <w:rPr>
          <w:rFonts w:ascii="Cambria Math" w:hAnsi="Cambria Math" w:cs="Cambria Math"/>
          <w:vertAlign w:val="subscript"/>
          <w:lang w:val="el-GR"/>
        </w:rPr>
        <w:t>Δ</w:t>
      </w:r>
      <w:r w:rsidRPr="004510FD">
        <w:rPr>
          <w:rFonts w:ascii="Cambria Math" w:hAnsi="Cambria Math" w:cs="Cambria Math"/>
        </w:rPr>
        <w:t>.</w:t>
      </w:r>
      <w:r>
        <w:rPr>
          <w:rFonts w:ascii="Cambria Math" w:hAnsi="Cambria Math" w:cs="Cambria Math"/>
        </w:rPr>
        <w:t xml:space="preserve"> </w:t>
      </w:r>
      <w:r w:rsidRPr="004510FD">
        <w:rPr>
          <w:rFonts w:ascii="Cambria Math" w:hAnsi="Cambria Math"/>
        </w:rPr>
        <w:t>Using the forward orthogonal transformation of Arellano and Bover (1995) produced qualitatively similar re</w:t>
      </w:r>
      <w:r>
        <w:rPr>
          <w:rFonts w:ascii="Cambria Math" w:hAnsi="Cambria Math"/>
        </w:rPr>
        <w:t>sults to what we report below (these results are available on request).</w:t>
      </w:r>
    </w:p>
  </w:footnote>
  <w:footnote w:id="16">
    <w:p w14:paraId="41A19D99" w14:textId="77777777" w:rsidR="00D83FA8" w:rsidRPr="0076192F" w:rsidRDefault="00D83FA8" w:rsidP="00493EC3">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The literature on sovereign ratings (see e.g. Afonso et al., 2011) often models ratings as a function of GDP growth and the unemployment rate. To keep the dimensionality of the PVAR model as manageable as possible, we use GDP growth in our model. In any case, the impact of the unemployment rate on sovereign ratings is indirectly captured by the impact of GDP growth through an Okun’s-law type of approximation (in which case there is an inverse relationship between unemployment and GDP growth).</w:t>
      </w:r>
    </w:p>
  </w:footnote>
  <w:footnote w:id="17">
    <w:p w14:paraId="39C4357F" w14:textId="1DC3F9A8" w:rsidR="00D83FA8" w:rsidRPr="0076192F" w:rsidRDefault="00D83FA8" w:rsidP="00212D9C">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For instance, using Moody’s model and implementing the first difference transformation, the MMSC-HQIC (Hannan-Quinn Information Criterion) is equal to </w:t>
      </w:r>
      <w:r>
        <w:rPr>
          <w:rFonts w:ascii="Cambria Math" w:hAnsi="Cambria Math"/>
          <w:color w:val="000000" w:themeColor="text1"/>
        </w:rPr>
        <w:t>54875.93</w:t>
      </w:r>
      <w:r w:rsidRPr="00FC74BB">
        <w:rPr>
          <w:rFonts w:ascii="Cambria Math" w:hAnsi="Cambria Math"/>
          <w:b/>
          <w:color w:val="000000" w:themeColor="text1"/>
        </w:rPr>
        <w:t xml:space="preserve"> </w:t>
      </w:r>
      <w:r w:rsidRPr="0076192F">
        <w:rPr>
          <w:rFonts w:ascii="Cambria Math" w:hAnsi="Cambria Math"/>
        </w:rPr>
        <w:t xml:space="preserve">using 2 lags and equal to </w:t>
      </w:r>
      <w:r w:rsidRPr="00C16A0A">
        <w:rPr>
          <w:rFonts w:ascii="Cambria Math" w:hAnsi="Cambria Math"/>
        </w:rPr>
        <w:t xml:space="preserve">71125.55 </w:t>
      </w:r>
      <w:r w:rsidRPr="0076192F">
        <w:rPr>
          <w:rFonts w:ascii="Cambria Math" w:hAnsi="Cambria Math"/>
        </w:rPr>
        <w:t>using 1 lag. All MMSC-HQIC, MMSC-BIC (Bayesian Information Criterion) and MMSC-AIC (Akaike Information Criterion) selection criteria suggest 2 lags for all PVAR models employed in our paper.</w:t>
      </w:r>
    </w:p>
  </w:footnote>
  <w:footnote w:id="18">
    <w:p w14:paraId="2D119A68" w14:textId="70EEE043" w:rsidR="00D83FA8" w:rsidRPr="0076192F" w:rsidRDefault="00D83FA8" w:rsidP="00694EB7">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See Holden at al. (2018) for an equilibrium theory that allows for the possibility that ratings affect the performance of the rated objects.</w:t>
      </w:r>
    </w:p>
  </w:footnote>
  <w:footnote w:id="19">
    <w:p w14:paraId="370B58CC" w14:textId="11536DF2" w:rsidR="00D83FA8" w:rsidRPr="0076192F" w:rsidRDefault="00D83FA8" w:rsidP="00694EB7">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b/>
          <w:color w:val="FF0000"/>
        </w:rPr>
        <w:t xml:space="preserve"> </w:t>
      </w:r>
      <w:r w:rsidRPr="0076192F">
        <w:rPr>
          <w:rFonts w:ascii="Cambria Math" w:hAnsi="Cambria Math"/>
        </w:rPr>
        <w:t xml:space="preserve">Granger causality tests within our PVAR model (available on request) do not provide clear guidance on the ordering of the variables as they indicate </w:t>
      </w:r>
      <w:r>
        <w:rPr>
          <w:rFonts w:ascii="Cambria Math" w:hAnsi="Cambria Math"/>
        </w:rPr>
        <w:t xml:space="preserve">bidirectional </w:t>
      </w:r>
      <w:r w:rsidRPr="0076192F">
        <w:rPr>
          <w:rFonts w:ascii="Cambria Math" w:hAnsi="Cambria Math"/>
        </w:rPr>
        <w:t>causality.</w:t>
      </w:r>
    </w:p>
  </w:footnote>
  <w:footnote w:id="20">
    <w:p w14:paraId="2318FA3F" w14:textId="15AF7138" w:rsidR="00D83FA8" w:rsidRPr="0076192F" w:rsidRDefault="00D83FA8" w:rsidP="00694EB7">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We use 500 bootstrap replications in all calculations.</w:t>
      </w:r>
    </w:p>
  </w:footnote>
  <w:footnote w:id="21">
    <w:p w14:paraId="718F6820" w14:textId="77777777" w:rsidR="00D83FA8" w:rsidRPr="0076192F" w:rsidRDefault="00D83FA8" w:rsidP="005B03E5">
      <w:pPr>
        <w:spacing w:line="240" w:lineRule="auto"/>
        <w:jc w:val="both"/>
        <w:rPr>
          <w:rFonts w:ascii="Cambria Math" w:hAnsi="Cambria Math"/>
          <w:sz w:val="20"/>
          <w:szCs w:val="20"/>
        </w:rPr>
      </w:pPr>
      <w:r w:rsidRPr="0076192F">
        <w:rPr>
          <w:rStyle w:val="FootnoteReference"/>
          <w:rFonts w:ascii="Cambria Math" w:hAnsi="Cambria Math"/>
          <w:sz w:val="20"/>
          <w:szCs w:val="20"/>
        </w:rPr>
        <w:footnoteRef/>
      </w:r>
      <w:r w:rsidRPr="0076192F">
        <w:rPr>
          <w:rFonts w:ascii="Cambria Math" w:hAnsi="Cambria Math"/>
          <w:sz w:val="20"/>
          <w:szCs w:val="20"/>
        </w:rPr>
        <w:t xml:space="preserve"> For more information see Baker et al. (2016) and </w:t>
      </w:r>
      <w:hyperlink r:id="rId9" w:history="1">
        <w:r w:rsidRPr="0076192F">
          <w:rPr>
            <w:rStyle w:val="Hyperlink"/>
            <w:rFonts w:ascii="Cambria Math" w:hAnsi="Cambria Math"/>
            <w:sz w:val="20"/>
            <w:szCs w:val="20"/>
          </w:rPr>
          <w:t>http://www.policyuncertainty.com/index.html</w:t>
        </w:r>
      </w:hyperlink>
      <w:r w:rsidRPr="0076192F">
        <w:rPr>
          <w:rFonts w:ascii="Cambria Math" w:hAnsi="Cambria Math"/>
          <w:sz w:val="20"/>
          <w:szCs w:val="20"/>
        </w:rPr>
        <w:t>. Because of data unavailability, a country specific index is only employed for 2</w:t>
      </w:r>
      <w:r>
        <w:rPr>
          <w:rFonts w:ascii="Cambria Math" w:hAnsi="Cambria Math"/>
          <w:sz w:val="20"/>
          <w:szCs w:val="20"/>
        </w:rPr>
        <w:t>2</w:t>
      </w:r>
      <w:r w:rsidRPr="0076192F">
        <w:rPr>
          <w:rFonts w:ascii="Cambria Math" w:hAnsi="Cambria Math"/>
          <w:sz w:val="20"/>
          <w:szCs w:val="20"/>
        </w:rPr>
        <w:t xml:space="preserve"> countries. For European countries without a country specific index, the aggregate European index is employed. In the case of non-European countries without a country specific index, the Global policy uncertainty index is employed.</w:t>
      </w:r>
    </w:p>
  </w:footnote>
  <w:footnote w:id="22">
    <w:p w14:paraId="5319D8DE" w14:textId="3667D5AB" w:rsidR="00D83FA8" w:rsidRPr="0076192F" w:rsidRDefault="00D83FA8" w:rsidP="005B22C5">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To ensure that an increase in the ‘banking risk’ factor indicates additional risk across countries, we have applied (at the country level) PCA to NPLs, bank credit to bank deposits, the inverse of bank capital to risk weighted assets and the inverse of bank Z-score.</w:t>
      </w:r>
    </w:p>
  </w:footnote>
  <w:footnote w:id="23">
    <w:p w14:paraId="12DC234D" w14:textId="5FA1C9F0" w:rsidR="00D83FA8" w:rsidRPr="0076192F" w:rsidRDefault="00D83FA8" w:rsidP="005B22C5">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An alternative to PCA would involve running a country-specific dynamic factor model which relies, for instance, on the 4-variable dataset mentioned above to derive a latent banking risk factor. The country-specific time series information set is too short to pursue this option.</w:t>
      </w:r>
    </w:p>
  </w:footnote>
  <w:footnote w:id="24">
    <w:p w14:paraId="0D4209C3" w14:textId="5895D131" w:rsidR="00D83FA8" w:rsidRPr="0076192F" w:rsidRDefault="00D83FA8" w:rsidP="00A46BB2">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For more details see  </w:t>
      </w:r>
      <w:hyperlink r:id="rId10" w:history="1">
        <w:r w:rsidRPr="0076192F">
          <w:rPr>
            <w:rStyle w:val="Hyperlink"/>
            <w:rFonts w:ascii="Cambria Math" w:hAnsi="Cambria Math"/>
          </w:rPr>
          <w:t>http://info.worldbank.org/governance/wgi/pdf/rq.pdf</w:t>
        </w:r>
      </w:hyperlink>
      <w:r w:rsidRPr="0076192F">
        <w:rPr>
          <w:rFonts w:ascii="Cambria Math" w:hAnsi="Cambria Math"/>
        </w:rPr>
        <w:t xml:space="preserve">. </w:t>
      </w:r>
    </w:p>
  </w:footnote>
  <w:footnote w:id="25">
    <w:p w14:paraId="7C53BD6A" w14:textId="1943270B" w:rsidR="00D83FA8" w:rsidRPr="0076192F" w:rsidRDefault="00D83FA8" w:rsidP="000237A6">
      <w:pPr>
        <w:pStyle w:val="FootnoteText"/>
        <w:jc w:val="both"/>
        <w:rPr>
          <w:rFonts w:ascii="Cambria Math" w:hAnsi="Cambria Math"/>
        </w:rPr>
      </w:pPr>
      <w:r w:rsidRPr="0076192F">
        <w:rPr>
          <w:rStyle w:val="FootnoteReference"/>
          <w:rFonts w:ascii="Cambria Math" w:hAnsi="Cambria Math"/>
        </w:rPr>
        <w:footnoteRef/>
      </w:r>
      <w:r w:rsidRPr="0076192F">
        <w:rPr>
          <w:rFonts w:ascii="Cambria Math" w:hAnsi="Cambria Math"/>
        </w:rPr>
        <w:t xml:space="preserve"> Jeanneret (2018) finds that government effectiveness as a measure of the ability of governments to collect and use fiscal revenues effectively leads to a reduction of sovereign credit spreads.</w:t>
      </w:r>
    </w:p>
  </w:footnote>
  <w:footnote w:id="26">
    <w:p w14:paraId="2C1D3E76" w14:textId="4E22B671" w:rsidR="00D83FA8" w:rsidRPr="00387AB7" w:rsidRDefault="00D83FA8" w:rsidP="00387AB7">
      <w:pPr>
        <w:pStyle w:val="FootnoteText"/>
        <w:jc w:val="both"/>
        <w:rPr>
          <w:rFonts w:ascii="Cambria Math" w:hAnsi="Cambria Math"/>
        </w:rPr>
      </w:pPr>
      <w:r w:rsidRPr="00387AB7">
        <w:rPr>
          <w:rStyle w:val="FootnoteReference"/>
          <w:rFonts w:ascii="Cambria Math" w:hAnsi="Cambria Math"/>
        </w:rPr>
        <w:footnoteRef/>
      </w:r>
      <w:r w:rsidRPr="00387AB7">
        <w:rPr>
          <w:rFonts w:ascii="Cambria Math" w:hAnsi="Cambria Math"/>
        </w:rPr>
        <w:t xml:space="preserve"> Berndt et al. (2018) show that CDS in the US corporate sector comove with macroeconomic indicators (namely the 5-year Treasury rate and the University of Michigan consumer sentiment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3A88"/>
    <w:multiLevelType w:val="hybridMultilevel"/>
    <w:tmpl w:val="9CDC4F54"/>
    <w:lvl w:ilvl="0" w:tplc="B6F4352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162B5"/>
    <w:multiLevelType w:val="hybridMultilevel"/>
    <w:tmpl w:val="38347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77DB4"/>
    <w:multiLevelType w:val="hybridMultilevel"/>
    <w:tmpl w:val="FA0E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628FD"/>
    <w:multiLevelType w:val="multilevel"/>
    <w:tmpl w:val="483EE80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B17919"/>
    <w:multiLevelType w:val="hybridMultilevel"/>
    <w:tmpl w:val="318E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xNzexNDU2tbS0MDNQ0lEKTi0uzszPAykwqQUAqEyZYiwAAAA="/>
  </w:docVars>
  <w:rsids>
    <w:rsidRoot w:val="001D6606"/>
    <w:rsid w:val="00000787"/>
    <w:rsid w:val="00001852"/>
    <w:rsid w:val="00001DB9"/>
    <w:rsid w:val="00001FAE"/>
    <w:rsid w:val="00002C02"/>
    <w:rsid w:val="00003144"/>
    <w:rsid w:val="000031C0"/>
    <w:rsid w:val="00003615"/>
    <w:rsid w:val="000037C5"/>
    <w:rsid w:val="00007986"/>
    <w:rsid w:val="00010571"/>
    <w:rsid w:val="00010792"/>
    <w:rsid w:val="00013787"/>
    <w:rsid w:val="00014FFC"/>
    <w:rsid w:val="000167FA"/>
    <w:rsid w:val="00017D33"/>
    <w:rsid w:val="000210A0"/>
    <w:rsid w:val="000211D8"/>
    <w:rsid w:val="000214D9"/>
    <w:rsid w:val="000229CD"/>
    <w:rsid w:val="000237A6"/>
    <w:rsid w:val="00023BB3"/>
    <w:rsid w:val="00025351"/>
    <w:rsid w:val="00025BA2"/>
    <w:rsid w:val="00027F1F"/>
    <w:rsid w:val="000345AF"/>
    <w:rsid w:val="00035326"/>
    <w:rsid w:val="00037BDE"/>
    <w:rsid w:val="00037E38"/>
    <w:rsid w:val="00037F9D"/>
    <w:rsid w:val="0004120A"/>
    <w:rsid w:val="0004238A"/>
    <w:rsid w:val="00042FEB"/>
    <w:rsid w:val="00044C9E"/>
    <w:rsid w:val="00047420"/>
    <w:rsid w:val="00047740"/>
    <w:rsid w:val="00050008"/>
    <w:rsid w:val="0005028B"/>
    <w:rsid w:val="0005041D"/>
    <w:rsid w:val="00050585"/>
    <w:rsid w:val="00050F1C"/>
    <w:rsid w:val="000518BB"/>
    <w:rsid w:val="00052D33"/>
    <w:rsid w:val="00053BBC"/>
    <w:rsid w:val="00053E51"/>
    <w:rsid w:val="0005441A"/>
    <w:rsid w:val="000545C5"/>
    <w:rsid w:val="00054F6C"/>
    <w:rsid w:val="00055355"/>
    <w:rsid w:val="00055417"/>
    <w:rsid w:val="00056126"/>
    <w:rsid w:val="000564F8"/>
    <w:rsid w:val="00056D9D"/>
    <w:rsid w:val="0006029B"/>
    <w:rsid w:val="00060D55"/>
    <w:rsid w:val="00060E08"/>
    <w:rsid w:val="00061198"/>
    <w:rsid w:val="00062B05"/>
    <w:rsid w:val="000665EA"/>
    <w:rsid w:val="00066747"/>
    <w:rsid w:val="00070459"/>
    <w:rsid w:val="00071AD6"/>
    <w:rsid w:val="00071FFC"/>
    <w:rsid w:val="0007208D"/>
    <w:rsid w:val="000723F9"/>
    <w:rsid w:val="00072ECC"/>
    <w:rsid w:val="00073F32"/>
    <w:rsid w:val="00073F98"/>
    <w:rsid w:val="000744B2"/>
    <w:rsid w:val="0007572D"/>
    <w:rsid w:val="00077B46"/>
    <w:rsid w:val="00080445"/>
    <w:rsid w:val="000820F2"/>
    <w:rsid w:val="00082310"/>
    <w:rsid w:val="000825ED"/>
    <w:rsid w:val="00082ADA"/>
    <w:rsid w:val="000830F9"/>
    <w:rsid w:val="00083E47"/>
    <w:rsid w:val="00084F1F"/>
    <w:rsid w:val="00085A51"/>
    <w:rsid w:val="00085EC1"/>
    <w:rsid w:val="00086AFE"/>
    <w:rsid w:val="0008751F"/>
    <w:rsid w:val="00087E37"/>
    <w:rsid w:val="0009117E"/>
    <w:rsid w:val="00091668"/>
    <w:rsid w:val="00093D6B"/>
    <w:rsid w:val="00093D99"/>
    <w:rsid w:val="00094C78"/>
    <w:rsid w:val="00094C97"/>
    <w:rsid w:val="0009577B"/>
    <w:rsid w:val="00095C2E"/>
    <w:rsid w:val="00095FFD"/>
    <w:rsid w:val="000A09E8"/>
    <w:rsid w:val="000A0E97"/>
    <w:rsid w:val="000A1707"/>
    <w:rsid w:val="000A1A9A"/>
    <w:rsid w:val="000A2E12"/>
    <w:rsid w:val="000A3962"/>
    <w:rsid w:val="000A4036"/>
    <w:rsid w:val="000A4EC3"/>
    <w:rsid w:val="000A57AB"/>
    <w:rsid w:val="000A5920"/>
    <w:rsid w:val="000A699E"/>
    <w:rsid w:val="000B03EE"/>
    <w:rsid w:val="000B0C41"/>
    <w:rsid w:val="000B196E"/>
    <w:rsid w:val="000B25A5"/>
    <w:rsid w:val="000B3101"/>
    <w:rsid w:val="000B52CC"/>
    <w:rsid w:val="000B559A"/>
    <w:rsid w:val="000B5D0D"/>
    <w:rsid w:val="000B5D85"/>
    <w:rsid w:val="000C1565"/>
    <w:rsid w:val="000C1C89"/>
    <w:rsid w:val="000C1EF5"/>
    <w:rsid w:val="000C53EF"/>
    <w:rsid w:val="000C5D13"/>
    <w:rsid w:val="000D2828"/>
    <w:rsid w:val="000D2AE6"/>
    <w:rsid w:val="000D34F5"/>
    <w:rsid w:val="000D3F1D"/>
    <w:rsid w:val="000D414C"/>
    <w:rsid w:val="000D4567"/>
    <w:rsid w:val="000D45AF"/>
    <w:rsid w:val="000D4CA7"/>
    <w:rsid w:val="000D5753"/>
    <w:rsid w:val="000D5F36"/>
    <w:rsid w:val="000D66BF"/>
    <w:rsid w:val="000D7956"/>
    <w:rsid w:val="000E02DB"/>
    <w:rsid w:val="000E0A27"/>
    <w:rsid w:val="000E0AE3"/>
    <w:rsid w:val="000E126B"/>
    <w:rsid w:val="000E6147"/>
    <w:rsid w:val="000E69CB"/>
    <w:rsid w:val="000E7BEC"/>
    <w:rsid w:val="000F01D9"/>
    <w:rsid w:val="000F0660"/>
    <w:rsid w:val="000F1A61"/>
    <w:rsid w:val="000F25DA"/>
    <w:rsid w:val="000F31EF"/>
    <w:rsid w:val="000F323D"/>
    <w:rsid w:val="000F3AC1"/>
    <w:rsid w:val="000F4041"/>
    <w:rsid w:val="000F52F9"/>
    <w:rsid w:val="000F692B"/>
    <w:rsid w:val="000F6973"/>
    <w:rsid w:val="000F6F5C"/>
    <w:rsid w:val="000F75D5"/>
    <w:rsid w:val="000F7C94"/>
    <w:rsid w:val="00103080"/>
    <w:rsid w:val="0010366D"/>
    <w:rsid w:val="0010401E"/>
    <w:rsid w:val="0010420D"/>
    <w:rsid w:val="001043AB"/>
    <w:rsid w:val="00104400"/>
    <w:rsid w:val="00105009"/>
    <w:rsid w:val="001062A8"/>
    <w:rsid w:val="00107072"/>
    <w:rsid w:val="00107BE1"/>
    <w:rsid w:val="00110DD9"/>
    <w:rsid w:val="001117BC"/>
    <w:rsid w:val="00111CD3"/>
    <w:rsid w:val="00112750"/>
    <w:rsid w:val="00112E66"/>
    <w:rsid w:val="0011357D"/>
    <w:rsid w:val="001152AC"/>
    <w:rsid w:val="00115B11"/>
    <w:rsid w:val="00115C77"/>
    <w:rsid w:val="00120737"/>
    <w:rsid w:val="00121039"/>
    <w:rsid w:val="00121398"/>
    <w:rsid w:val="0012147D"/>
    <w:rsid w:val="00122274"/>
    <w:rsid w:val="00124A98"/>
    <w:rsid w:val="001254F6"/>
    <w:rsid w:val="00127128"/>
    <w:rsid w:val="00127DB9"/>
    <w:rsid w:val="001316F9"/>
    <w:rsid w:val="001317D7"/>
    <w:rsid w:val="0013181A"/>
    <w:rsid w:val="00134153"/>
    <w:rsid w:val="00134BB8"/>
    <w:rsid w:val="00136904"/>
    <w:rsid w:val="00136D66"/>
    <w:rsid w:val="001379B4"/>
    <w:rsid w:val="00140377"/>
    <w:rsid w:val="001404A4"/>
    <w:rsid w:val="001426D5"/>
    <w:rsid w:val="00142C47"/>
    <w:rsid w:val="00143983"/>
    <w:rsid w:val="00145250"/>
    <w:rsid w:val="0014584F"/>
    <w:rsid w:val="00145BB6"/>
    <w:rsid w:val="00145D63"/>
    <w:rsid w:val="00145DA1"/>
    <w:rsid w:val="00147811"/>
    <w:rsid w:val="00150B6E"/>
    <w:rsid w:val="00150FFC"/>
    <w:rsid w:val="0015309B"/>
    <w:rsid w:val="001541A8"/>
    <w:rsid w:val="00155904"/>
    <w:rsid w:val="00155E40"/>
    <w:rsid w:val="00156567"/>
    <w:rsid w:val="0016033B"/>
    <w:rsid w:val="00161742"/>
    <w:rsid w:val="00161787"/>
    <w:rsid w:val="00162E40"/>
    <w:rsid w:val="0016406C"/>
    <w:rsid w:val="001648E6"/>
    <w:rsid w:val="001652CB"/>
    <w:rsid w:val="001660F8"/>
    <w:rsid w:val="001661DB"/>
    <w:rsid w:val="001708E9"/>
    <w:rsid w:val="0017276E"/>
    <w:rsid w:val="0017351C"/>
    <w:rsid w:val="00175962"/>
    <w:rsid w:val="00175AA5"/>
    <w:rsid w:val="00175F98"/>
    <w:rsid w:val="00176F31"/>
    <w:rsid w:val="00177F40"/>
    <w:rsid w:val="00180E62"/>
    <w:rsid w:val="00182922"/>
    <w:rsid w:val="00183B23"/>
    <w:rsid w:val="00183E90"/>
    <w:rsid w:val="00184BDE"/>
    <w:rsid w:val="00185114"/>
    <w:rsid w:val="00185116"/>
    <w:rsid w:val="00186D5C"/>
    <w:rsid w:val="00187436"/>
    <w:rsid w:val="00187F25"/>
    <w:rsid w:val="00190517"/>
    <w:rsid w:val="0019185B"/>
    <w:rsid w:val="0019188F"/>
    <w:rsid w:val="00193342"/>
    <w:rsid w:val="00195C30"/>
    <w:rsid w:val="00195CE1"/>
    <w:rsid w:val="00195EAE"/>
    <w:rsid w:val="00195F98"/>
    <w:rsid w:val="00196BAF"/>
    <w:rsid w:val="001A08A9"/>
    <w:rsid w:val="001A203C"/>
    <w:rsid w:val="001A2A42"/>
    <w:rsid w:val="001A3938"/>
    <w:rsid w:val="001A5CE8"/>
    <w:rsid w:val="001A5FBC"/>
    <w:rsid w:val="001A6DFC"/>
    <w:rsid w:val="001A7373"/>
    <w:rsid w:val="001A75DA"/>
    <w:rsid w:val="001A7E9F"/>
    <w:rsid w:val="001B2E67"/>
    <w:rsid w:val="001B2F78"/>
    <w:rsid w:val="001B3ED3"/>
    <w:rsid w:val="001B56B4"/>
    <w:rsid w:val="001B5B85"/>
    <w:rsid w:val="001B66DF"/>
    <w:rsid w:val="001B67DA"/>
    <w:rsid w:val="001B7035"/>
    <w:rsid w:val="001B7283"/>
    <w:rsid w:val="001B7C97"/>
    <w:rsid w:val="001B7CC1"/>
    <w:rsid w:val="001C18FF"/>
    <w:rsid w:val="001C1DDC"/>
    <w:rsid w:val="001C3379"/>
    <w:rsid w:val="001C465E"/>
    <w:rsid w:val="001C50E6"/>
    <w:rsid w:val="001C5770"/>
    <w:rsid w:val="001C5EBC"/>
    <w:rsid w:val="001C6192"/>
    <w:rsid w:val="001D29A4"/>
    <w:rsid w:val="001D2D2D"/>
    <w:rsid w:val="001D381E"/>
    <w:rsid w:val="001D40EF"/>
    <w:rsid w:val="001D435F"/>
    <w:rsid w:val="001D442D"/>
    <w:rsid w:val="001D4FEB"/>
    <w:rsid w:val="001D5352"/>
    <w:rsid w:val="001D58D0"/>
    <w:rsid w:val="001D65F6"/>
    <w:rsid w:val="001D6606"/>
    <w:rsid w:val="001E11D5"/>
    <w:rsid w:val="001E1D92"/>
    <w:rsid w:val="001E20E0"/>
    <w:rsid w:val="001E4930"/>
    <w:rsid w:val="001E5FC2"/>
    <w:rsid w:val="001E6555"/>
    <w:rsid w:val="001E687B"/>
    <w:rsid w:val="001E68C6"/>
    <w:rsid w:val="001E6E1D"/>
    <w:rsid w:val="001F0B25"/>
    <w:rsid w:val="001F137D"/>
    <w:rsid w:val="001F17FB"/>
    <w:rsid w:val="001F22AF"/>
    <w:rsid w:val="001F2359"/>
    <w:rsid w:val="001F36C0"/>
    <w:rsid w:val="001F3B25"/>
    <w:rsid w:val="001F3C67"/>
    <w:rsid w:val="001F4373"/>
    <w:rsid w:val="001F592D"/>
    <w:rsid w:val="001F5CFC"/>
    <w:rsid w:val="001F60A6"/>
    <w:rsid w:val="001F60E1"/>
    <w:rsid w:val="001F6521"/>
    <w:rsid w:val="002035EA"/>
    <w:rsid w:val="00203712"/>
    <w:rsid w:val="00204761"/>
    <w:rsid w:val="002050DA"/>
    <w:rsid w:val="00206589"/>
    <w:rsid w:val="002069B8"/>
    <w:rsid w:val="0021029B"/>
    <w:rsid w:val="00211A3F"/>
    <w:rsid w:val="00211AF7"/>
    <w:rsid w:val="00212D9C"/>
    <w:rsid w:val="00213909"/>
    <w:rsid w:val="00213E2D"/>
    <w:rsid w:val="00214048"/>
    <w:rsid w:val="002168E5"/>
    <w:rsid w:val="00217446"/>
    <w:rsid w:val="00221432"/>
    <w:rsid w:val="00221621"/>
    <w:rsid w:val="00221FA2"/>
    <w:rsid w:val="00224384"/>
    <w:rsid w:val="00225CAF"/>
    <w:rsid w:val="00230527"/>
    <w:rsid w:val="00230EB5"/>
    <w:rsid w:val="0023184A"/>
    <w:rsid w:val="00231C63"/>
    <w:rsid w:val="00231D07"/>
    <w:rsid w:val="00233AFC"/>
    <w:rsid w:val="0023425A"/>
    <w:rsid w:val="002348D1"/>
    <w:rsid w:val="00235D37"/>
    <w:rsid w:val="00236675"/>
    <w:rsid w:val="00236CFD"/>
    <w:rsid w:val="00236D16"/>
    <w:rsid w:val="00237D31"/>
    <w:rsid w:val="00244309"/>
    <w:rsid w:val="0024470F"/>
    <w:rsid w:val="002466CB"/>
    <w:rsid w:val="002469CB"/>
    <w:rsid w:val="00246FAC"/>
    <w:rsid w:val="002471D9"/>
    <w:rsid w:val="00250BC8"/>
    <w:rsid w:val="00250D52"/>
    <w:rsid w:val="00250E7C"/>
    <w:rsid w:val="002523FB"/>
    <w:rsid w:val="0025261C"/>
    <w:rsid w:val="0025299B"/>
    <w:rsid w:val="00254295"/>
    <w:rsid w:val="00254388"/>
    <w:rsid w:val="002554FE"/>
    <w:rsid w:val="00255931"/>
    <w:rsid w:val="00256BD4"/>
    <w:rsid w:val="002572EB"/>
    <w:rsid w:val="00257467"/>
    <w:rsid w:val="00260FB5"/>
    <w:rsid w:val="002622A1"/>
    <w:rsid w:val="00263973"/>
    <w:rsid w:val="00264803"/>
    <w:rsid w:val="00264BBF"/>
    <w:rsid w:val="00265C27"/>
    <w:rsid w:val="0026610E"/>
    <w:rsid w:val="00267DCE"/>
    <w:rsid w:val="00271006"/>
    <w:rsid w:val="002710C9"/>
    <w:rsid w:val="0027114C"/>
    <w:rsid w:val="002727E7"/>
    <w:rsid w:val="00273506"/>
    <w:rsid w:val="0027406C"/>
    <w:rsid w:val="00274C51"/>
    <w:rsid w:val="002755CC"/>
    <w:rsid w:val="0027562C"/>
    <w:rsid w:val="002776BD"/>
    <w:rsid w:val="002776E9"/>
    <w:rsid w:val="0028006F"/>
    <w:rsid w:val="002813E5"/>
    <w:rsid w:val="002814A3"/>
    <w:rsid w:val="002836D3"/>
    <w:rsid w:val="00283A9D"/>
    <w:rsid w:val="00284485"/>
    <w:rsid w:val="002847F3"/>
    <w:rsid w:val="002862AE"/>
    <w:rsid w:val="002907E8"/>
    <w:rsid w:val="002908E3"/>
    <w:rsid w:val="00291886"/>
    <w:rsid w:val="0029299D"/>
    <w:rsid w:val="00292BDD"/>
    <w:rsid w:val="00293186"/>
    <w:rsid w:val="002943EE"/>
    <w:rsid w:val="0029479E"/>
    <w:rsid w:val="002947A6"/>
    <w:rsid w:val="00294FED"/>
    <w:rsid w:val="0029768D"/>
    <w:rsid w:val="00297BFD"/>
    <w:rsid w:val="002A095E"/>
    <w:rsid w:val="002A0F81"/>
    <w:rsid w:val="002A1121"/>
    <w:rsid w:val="002A2CCD"/>
    <w:rsid w:val="002A3260"/>
    <w:rsid w:val="002A4168"/>
    <w:rsid w:val="002A4542"/>
    <w:rsid w:val="002A489A"/>
    <w:rsid w:val="002A5805"/>
    <w:rsid w:val="002A5995"/>
    <w:rsid w:val="002A6B2B"/>
    <w:rsid w:val="002A6EDC"/>
    <w:rsid w:val="002A714F"/>
    <w:rsid w:val="002A745C"/>
    <w:rsid w:val="002B1D8F"/>
    <w:rsid w:val="002B3584"/>
    <w:rsid w:val="002B3613"/>
    <w:rsid w:val="002B552B"/>
    <w:rsid w:val="002B5A8E"/>
    <w:rsid w:val="002C15A7"/>
    <w:rsid w:val="002C1F77"/>
    <w:rsid w:val="002C2B49"/>
    <w:rsid w:val="002C3FC3"/>
    <w:rsid w:val="002C4B8E"/>
    <w:rsid w:val="002C658E"/>
    <w:rsid w:val="002C6FDE"/>
    <w:rsid w:val="002C7A43"/>
    <w:rsid w:val="002D1770"/>
    <w:rsid w:val="002D199D"/>
    <w:rsid w:val="002D363A"/>
    <w:rsid w:val="002D4686"/>
    <w:rsid w:val="002D49FE"/>
    <w:rsid w:val="002D4E9E"/>
    <w:rsid w:val="002D5D53"/>
    <w:rsid w:val="002E05E4"/>
    <w:rsid w:val="002E1193"/>
    <w:rsid w:val="002E1B88"/>
    <w:rsid w:val="002E478E"/>
    <w:rsid w:val="002E6357"/>
    <w:rsid w:val="002E6396"/>
    <w:rsid w:val="002E6A9F"/>
    <w:rsid w:val="002E6C48"/>
    <w:rsid w:val="002F19EF"/>
    <w:rsid w:val="002F208C"/>
    <w:rsid w:val="002F223E"/>
    <w:rsid w:val="002F4CF0"/>
    <w:rsid w:val="002F530B"/>
    <w:rsid w:val="002F76E5"/>
    <w:rsid w:val="002F7CBF"/>
    <w:rsid w:val="003027B8"/>
    <w:rsid w:val="00303DBC"/>
    <w:rsid w:val="00304693"/>
    <w:rsid w:val="00306388"/>
    <w:rsid w:val="00306753"/>
    <w:rsid w:val="00307E06"/>
    <w:rsid w:val="00313415"/>
    <w:rsid w:val="00313B51"/>
    <w:rsid w:val="00315901"/>
    <w:rsid w:val="0031687E"/>
    <w:rsid w:val="00317165"/>
    <w:rsid w:val="00317568"/>
    <w:rsid w:val="00317B35"/>
    <w:rsid w:val="00320136"/>
    <w:rsid w:val="00322228"/>
    <w:rsid w:val="00322449"/>
    <w:rsid w:val="00323DA4"/>
    <w:rsid w:val="00323EC2"/>
    <w:rsid w:val="00324F09"/>
    <w:rsid w:val="00325F8B"/>
    <w:rsid w:val="003263B2"/>
    <w:rsid w:val="00326762"/>
    <w:rsid w:val="0032763B"/>
    <w:rsid w:val="00327B9E"/>
    <w:rsid w:val="00332002"/>
    <w:rsid w:val="00333060"/>
    <w:rsid w:val="00333980"/>
    <w:rsid w:val="00335836"/>
    <w:rsid w:val="003359FC"/>
    <w:rsid w:val="003361EB"/>
    <w:rsid w:val="00337CCA"/>
    <w:rsid w:val="00337D08"/>
    <w:rsid w:val="003401BC"/>
    <w:rsid w:val="00341DC0"/>
    <w:rsid w:val="00344224"/>
    <w:rsid w:val="003443E1"/>
    <w:rsid w:val="003456FC"/>
    <w:rsid w:val="00345924"/>
    <w:rsid w:val="00345B15"/>
    <w:rsid w:val="00346C54"/>
    <w:rsid w:val="00347E2C"/>
    <w:rsid w:val="00350D2B"/>
    <w:rsid w:val="0035111C"/>
    <w:rsid w:val="003548FE"/>
    <w:rsid w:val="00356A7E"/>
    <w:rsid w:val="00356ADF"/>
    <w:rsid w:val="003578DD"/>
    <w:rsid w:val="00361EB1"/>
    <w:rsid w:val="0036260D"/>
    <w:rsid w:val="00362B6C"/>
    <w:rsid w:val="00363128"/>
    <w:rsid w:val="003639D7"/>
    <w:rsid w:val="00364D81"/>
    <w:rsid w:val="00364EB6"/>
    <w:rsid w:val="003658FE"/>
    <w:rsid w:val="00365FCF"/>
    <w:rsid w:val="003661D8"/>
    <w:rsid w:val="003676AE"/>
    <w:rsid w:val="0037105C"/>
    <w:rsid w:val="003728FC"/>
    <w:rsid w:val="00373F2A"/>
    <w:rsid w:val="003743CD"/>
    <w:rsid w:val="00374F1F"/>
    <w:rsid w:val="003760F4"/>
    <w:rsid w:val="003766C5"/>
    <w:rsid w:val="003775E8"/>
    <w:rsid w:val="00377B64"/>
    <w:rsid w:val="003807B5"/>
    <w:rsid w:val="003825B2"/>
    <w:rsid w:val="00383152"/>
    <w:rsid w:val="00383686"/>
    <w:rsid w:val="0038404D"/>
    <w:rsid w:val="00384BB5"/>
    <w:rsid w:val="00384CB6"/>
    <w:rsid w:val="00384E3C"/>
    <w:rsid w:val="003850B6"/>
    <w:rsid w:val="00385EA6"/>
    <w:rsid w:val="00387AB7"/>
    <w:rsid w:val="00390576"/>
    <w:rsid w:val="00391BB7"/>
    <w:rsid w:val="00391CB4"/>
    <w:rsid w:val="003931B5"/>
    <w:rsid w:val="003934A2"/>
    <w:rsid w:val="00394EFC"/>
    <w:rsid w:val="0039612B"/>
    <w:rsid w:val="0039736A"/>
    <w:rsid w:val="003A0FAE"/>
    <w:rsid w:val="003A31F1"/>
    <w:rsid w:val="003A4251"/>
    <w:rsid w:val="003A77B8"/>
    <w:rsid w:val="003B054B"/>
    <w:rsid w:val="003B0693"/>
    <w:rsid w:val="003B1325"/>
    <w:rsid w:val="003B15E5"/>
    <w:rsid w:val="003B176E"/>
    <w:rsid w:val="003B2FAD"/>
    <w:rsid w:val="003B4C34"/>
    <w:rsid w:val="003B5014"/>
    <w:rsid w:val="003B5060"/>
    <w:rsid w:val="003B5323"/>
    <w:rsid w:val="003B5393"/>
    <w:rsid w:val="003B57A7"/>
    <w:rsid w:val="003B58CA"/>
    <w:rsid w:val="003B5C23"/>
    <w:rsid w:val="003B6D04"/>
    <w:rsid w:val="003B7DDC"/>
    <w:rsid w:val="003C00B4"/>
    <w:rsid w:val="003C14D9"/>
    <w:rsid w:val="003C1CB8"/>
    <w:rsid w:val="003C23C5"/>
    <w:rsid w:val="003C339E"/>
    <w:rsid w:val="003C3AB9"/>
    <w:rsid w:val="003C40E6"/>
    <w:rsid w:val="003C5091"/>
    <w:rsid w:val="003C66E2"/>
    <w:rsid w:val="003C6A94"/>
    <w:rsid w:val="003C7545"/>
    <w:rsid w:val="003C7969"/>
    <w:rsid w:val="003C7EFB"/>
    <w:rsid w:val="003D0908"/>
    <w:rsid w:val="003D1D85"/>
    <w:rsid w:val="003D30B1"/>
    <w:rsid w:val="003D485A"/>
    <w:rsid w:val="003D4EE4"/>
    <w:rsid w:val="003D645C"/>
    <w:rsid w:val="003D6670"/>
    <w:rsid w:val="003D7174"/>
    <w:rsid w:val="003D7ADE"/>
    <w:rsid w:val="003E0D92"/>
    <w:rsid w:val="003E22B8"/>
    <w:rsid w:val="003E48B5"/>
    <w:rsid w:val="003E522A"/>
    <w:rsid w:val="003E5885"/>
    <w:rsid w:val="003E67E5"/>
    <w:rsid w:val="003F1631"/>
    <w:rsid w:val="003F2E6B"/>
    <w:rsid w:val="003F2FCA"/>
    <w:rsid w:val="003F362A"/>
    <w:rsid w:val="003F3DE6"/>
    <w:rsid w:val="003F5061"/>
    <w:rsid w:val="003F6CCB"/>
    <w:rsid w:val="003F753E"/>
    <w:rsid w:val="003F7D4F"/>
    <w:rsid w:val="004000BD"/>
    <w:rsid w:val="004001C3"/>
    <w:rsid w:val="004008F4"/>
    <w:rsid w:val="00402D7D"/>
    <w:rsid w:val="004037D6"/>
    <w:rsid w:val="00404540"/>
    <w:rsid w:val="0040460A"/>
    <w:rsid w:val="00405466"/>
    <w:rsid w:val="0040631B"/>
    <w:rsid w:val="00407290"/>
    <w:rsid w:val="0040733A"/>
    <w:rsid w:val="00413764"/>
    <w:rsid w:val="00414324"/>
    <w:rsid w:val="00414AB3"/>
    <w:rsid w:val="004154C6"/>
    <w:rsid w:val="0041656C"/>
    <w:rsid w:val="0041726F"/>
    <w:rsid w:val="0041747A"/>
    <w:rsid w:val="00417BB3"/>
    <w:rsid w:val="004228C0"/>
    <w:rsid w:val="00424919"/>
    <w:rsid w:val="00425BCE"/>
    <w:rsid w:val="00426775"/>
    <w:rsid w:val="0042752B"/>
    <w:rsid w:val="00427696"/>
    <w:rsid w:val="00427E92"/>
    <w:rsid w:val="00430269"/>
    <w:rsid w:val="00430DDE"/>
    <w:rsid w:val="00430FA5"/>
    <w:rsid w:val="00430FC6"/>
    <w:rsid w:val="004317CB"/>
    <w:rsid w:val="0043517B"/>
    <w:rsid w:val="00435622"/>
    <w:rsid w:val="00435C65"/>
    <w:rsid w:val="00436C7C"/>
    <w:rsid w:val="00436EA2"/>
    <w:rsid w:val="004374CE"/>
    <w:rsid w:val="0043779C"/>
    <w:rsid w:val="00437E12"/>
    <w:rsid w:val="004407C4"/>
    <w:rsid w:val="004408E1"/>
    <w:rsid w:val="00440CDE"/>
    <w:rsid w:val="00441960"/>
    <w:rsid w:val="004425DB"/>
    <w:rsid w:val="00442771"/>
    <w:rsid w:val="00442CDB"/>
    <w:rsid w:val="004502B8"/>
    <w:rsid w:val="004510FD"/>
    <w:rsid w:val="0045237F"/>
    <w:rsid w:val="004524D6"/>
    <w:rsid w:val="00452BB5"/>
    <w:rsid w:val="004533DE"/>
    <w:rsid w:val="00453B37"/>
    <w:rsid w:val="004542D0"/>
    <w:rsid w:val="00454BB4"/>
    <w:rsid w:val="00456A90"/>
    <w:rsid w:val="00456F97"/>
    <w:rsid w:val="00457E4E"/>
    <w:rsid w:val="0046389D"/>
    <w:rsid w:val="00464B00"/>
    <w:rsid w:val="004655A7"/>
    <w:rsid w:val="004656C0"/>
    <w:rsid w:val="00466129"/>
    <w:rsid w:val="004667FB"/>
    <w:rsid w:val="00466D5A"/>
    <w:rsid w:val="00471179"/>
    <w:rsid w:val="004711AE"/>
    <w:rsid w:val="00472E6D"/>
    <w:rsid w:val="004748F7"/>
    <w:rsid w:val="0047537E"/>
    <w:rsid w:val="00475E55"/>
    <w:rsid w:val="004769C2"/>
    <w:rsid w:val="00476FC0"/>
    <w:rsid w:val="00477560"/>
    <w:rsid w:val="0047782E"/>
    <w:rsid w:val="004825CF"/>
    <w:rsid w:val="00482643"/>
    <w:rsid w:val="00483DE0"/>
    <w:rsid w:val="0048565F"/>
    <w:rsid w:val="00486E45"/>
    <w:rsid w:val="00486E5C"/>
    <w:rsid w:val="00487717"/>
    <w:rsid w:val="00490C4B"/>
    <w:rsid w:val="0049106F"/>
    <w:rsid w:val="004911F4"/>
    <w:rsid w:val="0049294F"/>
    <w:rsid w:val="00493EC3"/>
    <w:rsid w:val="00495132"/>
    <w:rsid w:val="00495BEA"/>
    <w:rsid w:val="00496469"/>
    <w:rsid w:val="00496711"/>
    <w:rsid w:val="0049697F"/>
    <w:rsid w:val="0049788E"/>
    <w:rsid w:val="00497A4F"/>
    <w:rsid w:val="004A01FD"/>
    <w:rsid w:val="004A1EFE"/>
    <w:rsid w:val="004A2D06"/>
    <w:rsid w:val="004A44A8"/>
    <w:rsid w:val="004A4ECD"/>
    <w:rsid w:val="004A52FF"/>
    <w:rsid w:val="004A538C"/>
    <w:rsid w:val="004A6161"/>
    <w:rsid w:val="004A7957"/>
    <w:rsid w:val="004A7CC2"/>
    <w:rsid w:val="004B032E"/>
    <w:rsid w:val="004B0551"/>
    <w:rsid w:val="004B0966"/>
    <w:rsid w:val="004B1997"/>
    <w:rsid w:val="004B5C0F"/>
    <w:rsid w:val="004B62EE"/>
    <w:rsid w:val="004B65F7"/>
    <w:rsid w:val="004B786E"/>
    <w:rsid w:val="004C055E"/>
    <w:rsid w:val="004C14E0"/>
    <w:rsid w:val="004C234D"/>
    <w:rsid w:val="004C3A59"/>
    <w:rsid w:val="004C45EC"/>
    <w:rsid w:val="004C5209"/>
    <w:rsid w:val="004C592A"/>
    <w:rsid w:val="004C5B05"/>
    <w:rsid w:val="004C63A6"/>
    <w:rsid w:val="004C7BA8"/>
    <w:rsid w:val="004D1076"/>
    <w:rsid w:val="004D1451"/>
    <w:rsid w:val="004D174B"/>
    <w:rsid w:val="004D199A"/>
    <w:rsid w:val="004D4064"/>
    <w:rsid w:val="004D440B"/>
    <w:rsid w:val="004D45BB"/>
    <w:rsid w:val="004D615A"/>
    <w:rsid w:val="004D631C"/>
    <w:rsid w:val="004D72E4"/>
    <w:rsid w:val="004D7D9E"/>
    <w:rsid w:val="004E04F4"/>
    <w:rsid w:val="004E2CC9"/>
    <w:rsid w:val="004E2D15"/>
    <w:rsid w:val="004E36CF"/>
    <w:rsid w:val="004E4ABB"/>
    <w:rsid w:val="004E6DC4"/>
    <w:rsid w:val="004E71FF"/>
    <w:rsid w:val="004E731E"/>
    <w:rsid w:val="004E79F7"/>
    <w:rsid w:val="004F1B25"/>
    <w:rsid w:val="004F1C87"/>
    <w:rsid w:val="004F210B"/>
    <w:rsid w:val="004F278F"/>
    <w:rsid w:val="004F3186"/>
    <w:rsid w:val="004F59E2"/>
    <w:rsid w:val="005005DB"/>
    <w:rsid w:val="00501347"/>
    <w:rsid w:val="0050202A"/>
    <w:rsid w:val="00502AAF"/>
    <w:rsid w:val="00503188"/>
    <w:rsid w:val="00503D60"/>
    <w:rsid w:val="00505BCD"/>
    <w:rsid w:val="005102A0"/>
    <w:rsid w:val="00510974"/>
    <w:rsid w:val="0051194C"/>
    <w:rsid w:val="00511D8C"/>
    <w:rsid w:val="005120DD"/>
    <w:rsid w:val="00512746"/>
    <w:rsid w:val="00512B58"/>
    <w:rsid w:val="005130DA"/>
    <w:rsid w:val="00513DEE"/>
    <w:rsid w:val="00514B08"/>
    <w:rsid w:val="00514E9D"/>
    <w:rsid w:val="00521008"/>
    <w:rsid w:val="0052178E"/>
    <w:rsid w:val="005234E6"/>
    <w:rsid w:val="00523574"/>
    <w:rsid w:val="00524213"/>
    <w:rsid w:val="00525CF7"/>
    <w:rsid w:val="00530EBF"/>
    <w:rsid w:val="00530F22"/>
    <w:rsid w:val="00531C3E"/>
    <w:rsid w:val="005326C7"/>
    <w:rsid w:val="00534188"/>
    <w:rsid w:val="00534EA9"/>
    <w:rsid w:val="00535191"/>
    <w:rsid w:val="00536F76"/>
    <w:rsid w:val="0053724D"/>
    <w:rsid w:val="00537757"/>
    <w:rsid w:val="00541100"/>
    <w:rsid w:val="00542082"/>
    <w:rsid w:val="00543E22"/>
    <w:rsid w:val="005440B3"/>
    <w:rsid w:val="00544F63"/>
    <w:rsid w:val="00545425"/>
    <w:rsid w:val="005464FB"/>
    <w:rsid w:val="00546DCE"/>
    <w:rsid w:val="0054720C"/>
    <w:rsid w:val="0054754C"/>
    <w:rsid w:val="00547DB0"/>
    <w:rsid w:val="0055027B"/>
    <w:rsid w:val="00550C82"/>
    <w:rsid w:val="005511F5"/>
    <w:rsid w:val="005512A6"/>
    <w:rsid w:val="0055183E"/>
    <w:rsid w:val="00551C58"/>
    <w:rsid w:val="00552557"/>
    <w:rsid w:val="00552CFE"/>
    <w:rsid w:val="00553A53"/>
    <w:rsid w:val="0055417E"/>
    <w:rsid w:val="00554187"/>
    <w:rsid w:val="00554BA7"/>
    <w:rsid w:val="00555810"/>
    <w:rsid w:val="005564D7"/>
    <w:rsid w:val="005565B4"/>
    <w:rsid w:val="00556B92"/>
    <w:rsid w:val="00561233"/>
    <w:rsid w:val="00561E7A"/>
    <w:rsid w:val="005625F3"/>
    <w:rsid w:val="00562D21"/>
    <w:rsid w:val="00562EFC"/>
    <w:rsid w:val="0056319F"/>
    <w:rsid w:val="00563717"/>
    <w:rsid w:val="00564A12"/>
    <w:rsid w:val="00566373"/>
    <w:rsid w:val="005665CF"/>
    <w:rsid w:val="00566EED"/>
    <w:rsid w:val="0056711E"/>
    <w:rsid w:val="00567281"/>
    <w:rsid w:val="0056743F"/>
    <w:rsid w:val="0056754F"/>
    <w:rsid w:val="005703CD"/>
    <w:rsid w:val="0057073D"/>
    <w:rsid w:val="00570D4B"/>
    <w:rsid w:val="005710F2"/>
    <w:rsid w:val="00571CFD"/>
    <w:rsid w:val="00572A02"/>
    <w:rsid w:val="00574D74"/>
    <w:rsid w:val="005759D5"/>
    <w:rsid w:val="00575DCB"/>
    <w:rsid w:val="00576672"/>
    <w:rsid w:val="005806F7"/>
    <w:rsid w:val="0058166A"/>
    <w:rsid w:val="0058216A"/>
    <w:rsid w:val="00582293"/>
    <w:rsid w:val="00582704"/>
    <w:rsid w:val="00582B00"/>
    <w:rsid w:val="005840DA"/>
    <w:rsid w:val="005847B8"/>
    <w:rsid w:val="0058637A"/>
    <w:rsid w:val="00587396"/>
    <w:rsid w:val="00590BF2"/>
    <w:rsid w:val="00592209"/>
    <w:rsid w:val="005925CE"/>
    <w:rsid w:val="00592CB4"/>
    <w:rsid w:val="005931C9"/>
    <w:rsid w:val="0059494A"/>
    <w:rsid w:val="00594D1C"/>
    <w:rsid w:val="00595897"/>
    <w:rsid w:val="00597B65"/>
    <w:rsid w:val="005A12A6"/>
    <w:rsid w:val="005A13D3"/>
    <w:rsid w:val="005A16D0"/>
    <w:rsid w:val="005A30C6"/>
    <w:rsid w:val="005A36A0"/>
    <w:rsid w:val="005A7EFD"/>
    <w:rsid w:val="005B03E5"/>
    <w:rsid w:val="005B0CC2"/>
    <w:rsid w:val="005B0E2F"/>
    <w:rsid w:val="005B0FB2"/>
    <w:rsid w:val="005B1DCE"/>
    <w:rsid w:val="005B22C5"/>
    <w:rsid w:val="005B24EB"/>
    <w:rsid w:val="005B2A9D"/>
    <w:rsid w:val="005B2E19"/>
    <w:rsid w:val="005B34EB"/>
    <w:rsid w:val="005B3535"/>
    <w:rsid w:val="005B409C"/>
    <w:rsid w:val="005B48A4"/>
    <w:rsid w:val="005B5945"/>
    <w:rsid w:val="005B60A3"/>
    <w:rsid w:val="005B6958"/>
    <w:rsid w:val="005B6E93"/>
    <w:rsid w:val="005B7113"/>
    <w:rsid w:val="005C10B7"/>
    <w:rsid w:val="005C1634"/>
    <w:rsid w:val="005C1738"/>
    <w:rsid w:val="005C1F9F"/>
    <w:rsid w:val="005C330F"/>
    <w:rsid w:val="005C3EF1"/>
    <w:rsid w:val="005C5C81"/>
    <w:rsid w:val="005C5F8E"/>
    <w:rsid w:val="005C7396"/>
    <w:rsid w:val="005C74BB"/>
    <w:rsid w:val="005D13C5"/>
    <w:rsid w:val="005D1AD8"/>
    <w:rsid w:val="005D28F5"/>
    <w:rsid w:val="005D339C"/>
    <w:rsid w:val="005D3E9C"/>
    <w:rsid w:val="005D4746"/>
    <w:rsid w:val="005D4DAF"/>
    <w:rsid w:val="005D5475"/>
    <w:rsid w:val="005D5DCD"/>
    <w:rsid w:val="005D77FC"/>
    <w:rsid w:val="005E0CBD"/>
    <w:rsid w:val="005E23B1"/>
    <w:rsid w:val="005E30E1"/>
    <w:rsid w:val="005E3523"/>
    <w:rsid w:val="005E518C"/>
    <w:rsid w:val="005E53A1"/>
    <w:rsid w:val="005E559D"/>
    <w:rsid w:val="005E68D8"/>
    <w:rsid w:val="005E7337"/>
    <w:rsid w:val="005F22CE"/>
    <w:rsid w:val="005F30EE"/>
    <w:rsid w:val="005F40FE"/>
    <w:rsid w:val="005F5EDC"/>
    <w:rsid w:val="00600475"/>
    <w:rsid w:val="00601715"/>
    <w:rsid w:val="006035D1"/>
    <w:rsid w:val="00604732"/>
    <w:rsid w:val="00605416"/>
    <w:rsid w:val="00606891"/>
    <w:rsid w:val="006077AA"/>
    <w:rsid w:val="00607C02"/>
    <w:rsid w:val="00611187"/>
    <w:rsid w:val="00612BCE"/>
    <w:rsid w:val="00613302"/>
    <w:rsid w:val="0061442D"/>
    <w:rsid w:val="006154B7"/>
    <w:rsid w:val="00616773"/>
    <w:rsid w:val="00617F55"/>
    <w:rsid w:val="00620E60"/>
    <w:rsid w:val="00622374"/>
    <w:rsid w:val="006234CA"/>
    <w:rsid w:val="006239F3"/>
    <w:rsid w:val="00623BCE"/>
    <w:rsid w:val="006242F3"/>
    <w:rsid w:val="00625BF8"/>
    <w:rsid w:val="00626252"/>
    <w:rsid w:val="0062719B"/>
    <w:rsid w:val="00630780"/>
    <w:rsid w:val="00632230"/>
    <w:rsid w:val="006336BB"/>
    <w:rsid w:val="00635BF6"/>
    <w:rsid w:val="00636CE0"/>
    <w:rsid w:val="00640308"/>
    <w:rsid w:val="0064046A"/>
    <w:rsid w:val="00641C46"/>
    <w:rsid w:val="00642D08"/>
    <w:rsid w:val="0064309A"/>
    <w:rsid w:val="006430A6"/>
    <w:rsid w:val="006455A1"/>
    <w:rsid w:val="00646AF2"/>
    <w:rsid w:val="00646C2F"/>
    <w:rsid w:val="0064777C"/>
    <w:rsid w:val="006500B0"/>
    <w:rsid w:val="0065058B"/>
    <w:rsid w:val="006515BC"/>
    <w:rsid w:val="00651E9A"/>
    <w:rsid w:val="00652450"/>
    <w:rsid w:val="00652885"/>
    <w:rsid w:val="00652B1A"/>
    <w:rsid w:val="00653EC7"/>
    <w:rsid w:val="00654384"/>
    <w:rsid w:val="00655E6A"/>
    <w:rsid w:val="00657C8A"/>
    <w:rsid w:val="00657E4A"/>
    <w:rsid w:val="006609BE"/>
    <w:rsid w:val="006615FA"/>
    <w:rsid w:val="006628B5"/>
    <w:rsid w:val="006631A8"/>
    <w:rsid w:val="00663634"/>
    <w:rsid w:val="00663FEE"/>
    <w:rsid w:val="00664499"/>
    <w:rsid w:val="00664820"/>
    <w:rsid w:val="006728DA"/>
    <w:rsid w:val="00673310"/>
    <w:rsid w:val="006755F4"/>
    <w:rsid w:val="006757E8"/>
    <w:rsid w:val="00675BA1"/>
    <w:rsid w:val="00675F37"/>
    <w:rsid w:val="0067671D"/>
    <w:rsid w:val="0067708E"/>
    <w:rsid w:val="006811B7"/>
    <w:rsid w:val="006819C4"/>
    <w:rsid w:val="006848EB"/>
    <w:rsid w:val="00684A8B"/>
    <w:rsid w:val="00686CE4"/>
    <w:rsid w:val="0069157C"/>
    <w:rsid w:val="00692718"/>
    <w:rsid w:val="0069272C"/>
    <w:rsid w:val="00692C5C"/>
    <w:rsid w:val="006930B4"/>
    <w:rsid w:val="00694370"/>
    <w:rsid w:val="00694EB7"/>
    <w:rsid w:val="00695194"/>
    <w:rsid w:val="00695A5F"/>
    <w:rsid w:val="00696FF1"/>
    <w:rsid w:val="00697A3A"/>
    <w:rsid w:val="00697F82"/>
    <w:rsid w:val="006A0402"/>
    <w:rsid w:val="006A179C"/>
    <w:rsid w:val="006A2FF3"/>
    <w:rsid w:val="006A32F8"/>
    <w:rsid w:val="006A39D2"/>
    <w:rsid w:val="006A43AC"/>
    <w:rsid w:val="006A6705"/>
    <w:rsid w:val="006A71B7"/>
    <w:rsid w:val="006A7CB6"/>
    <w:rsid w:val="006B1351"/>
    <w:rsid w:val="006B1464"/>
    <w:rsid w:val="006B1F0F"/>
    <w:rsid w:val="006B272F"/>
    <w:rsid w:val="006B2CD4"/>
    <w:rsid w:val="006B2F22"/>
    <w:rsid w:val="006B3087"/>
    <w:rsid w:val="006B33EF"/>
    <w:rsid w:val="006B3B55"/>
    <w:rsid w:val="006B56F2"/>
    <w:rsid w:val="006B5B94"/>
    <w:rsid w:val="006B6B9A"/>
    <w:rsid w:val="006C28C6"/>
    <w:rsid w:val="006C37AE"/>
    <w:rsid w:val="006C3847"/>
    <w:rsid w:val="006C3C4E"/>
    <w:rsid w:val="006C58D9"/>
    <w:rsid w:val="006C5F6A"/>
    <w:rsid w:val="006C74D1"/>
    <w:rsid w:val="006D1DE6"/>
    <w:rsid w:val="006D37E6"/>
    <w:rsid w:val="006D3EE0"/>
    <w:rsid w:val="006D4B54"/>
    <w:rsid w:val="006D5122"/>
    <w:rsid w:val="006E03AD"/>
    <w:rsid w:val="006E2097"/>
    <w:rsid w:val="006E454F"/>
    <w:rsid w:val="006E4821"/>
    <w:rsid w:val="006E5C0B"/>
    <w:rsid w:val="006E73BD"/>
    <w:rsid w:val="006E76E9"/>
    <w:rsid w:val="006F014E"/>
    <w:rsid w:val="006F0601"/>
    <w:rsid w:val="006F3875"/>
    <w:rsid w:val="006F4351"/>
    <w:rsid w:val="006F47DA"/>
    <w:rsid w:val="006F5A8F"/>
    <w:rsid w:val="006F70D1"/>
    <w:rsid w:val="00700456"/>
    <w:rsid w:val="007014B3"/>
    <w:rsid w:val="00701C65"/>
    <w:rsid w:val="007033DE"/>
    <w:rsid w:val="0070468D"/>
    <w:rsid w:val="00705CBE"/>
    <w:rsid w:val="00705D47"/>
    <w:rsid w:val="00710444"/>
    <w:rsid w:val="00710D06"/>
    <w:rsid w:val="00710FA9"/>
    <w:rsid w:val="00711328"/>
    <w:rsid w:val="00712945"/>
    <w:rsid w:val="00712F42"/>
    <w:rsid w:val="007137B8"/>
    <w:rsid w:val="00713B7E"/>
    <w:rsid w:val="00715306"/>
    <w:rsid w:val="00720794"/>
    <w:rsid w:val="00720854"/>
    <w:rsid w:val="00720B71"/>
    <w:rsid w:val="00720E92"/>
    <w:rsid w:val="00723BEF"/>
    <w:rsid w:val="00723C9D"/>
    <w:rsid w:val="00725161"/>
    <w:rsid w:val="00725CA9"/>
    <w:rsid w:val="00725F86"/>
    <w:rsid w:val="00726454"/>
    <w:rsid w:val="00727346"/>
    <w:rsid w:val="007316AA"/>
    <w:rsid w:val="007338B5"/>
    <w:rsid w:val="00734F77"/>
    <w:rsid w:val="007353B7"/>
    <w:rsid w:val="00735D7C"/>
    <w:rsid w:val="00736523"/>
    <w:rsid w:val="00736C65"/>
    <w:rsid w:val="00736CF2"/>
    <w:rsid w:val="00741638"/>
    <w:rsid w:val="00742E6E"/>
    <w:rsid w:val="00743620"/>
    <w:rsid w:val="00744825"/>
    <w:rsid w:val="00746402"/>
    <w:rsid w:val="00750A9B"/>
    <w:rsid w:val="007527B8"/>
    <w:rsid w:val="007568C7"/>
    <w:rsid w:val="0076058A"/>
    <w:rsid w:val="007613AD"/>
    <w:rsid w:val="0076141B"/>
    <w:rsid w:val="0076192F"/>
    <w:rsid w:val="007635C7"/>
    <w:rsid w:val="00763872"/>
    <w:rsid w:val="00763FD9"/>
    <w:rsid w:val="007652CF"/>
    <w:rsid w:val="007659AB"/>
    <w:rsid w:val="00765DC0"/>
    <w:rsid w:val="00767C10"/>
    <w:rsid w:val="00770475"/>
    <w:rsid w:val="007709E3"/>
    <w:rsid w:val="00770F9A"/>
    <w:rsid w:val="0077108B"/>
    <w:rsid w:val="007737BF"/>
    <w:rsid w:val="007757FB"/>
    <w:rsid w:val="00776DB5"/>
    <w:rsid w:val="00777EF5"/>
    <w:rsid w:val="0078087C"/>
    <w:rsid w:val="00781255"/>
    <w:rsid w:val="0078149A"/>
    <w:rsid w:val="00784717"/>
    <w:rsid w:val="00784BAE"/>
    <w:rsid w:val="00784E0D"/>
    <w:rsid w:val="007852B4"/>
    <w:rsid w:val="007852D1"/>
    <w:rsid w:val="00785508"/>
    <w:rsid w:val="007919ED"/>
    <w:rsid w:val="00792041"/>
    <w:rsid w:val="00792606"/>
    <w:rsid w:val="0079390D"/>
    <w:rsid w:val="00793BE1"/>
    <w:rsid w:val="00794B74"/>
    <w:rsid w:val="00794DAA"/>
    <w:rsid w:val="00794DF1"/>
    <w:rsid w:val="007957EC"/>
    <w:rsid w:val="0079620E"/>
    <w:rsid w:val="007964C0"/>
    <w:rsid w:val="0079668E"/>
    <w:rsid w:val="007A07C1"/>
    <w:rsid w:val="007A1331"/>
    <w:rsid w:val="007A1E70"/>
    <w:rsid w:val="007A3E70"/>
    <w:rsid w:val="007A4E74"/>
    <w:rsid w:val="007A52BC"/>
    <w:rsid w:val="007A5805"/>
    <w:rsid w:val="007A63F3"/>
    <w:rsid w:val="007A6A92"/>
    <w:rsid w:val="007A6C0E"/>
    <w:rsid w:val="007B00D0"/>
    <w:rsid w:val="007B081A"/>
    <w:rsid w:val="007B0D7C"/>
    <w:rsid w:val="007B0DB0"/>
    <w:rsid w:val="007B2C2B"/>
    <w:rsid w:val="007B3834"/>
    <w:rsid w:val="007B3F05"/>
    <w:rsid w:val="007B43AE"/>
    <w:rsid w:val="007B5535"/>
    <w:rsid w:val="007B79A4"/>
    <w:rsid w:val="007B7A31"/>
    <w:rsid w:val="007C03F9"/>
    <w:rsid w:val="007C05B0"/>
    <w:rsid w:val="007C298A"/>
    <w:rsid w:val="007C34BE"/>
    <w:rsid w:val="007C35D7"/>
    <w:rsid w:val="007C53AC"/>
    <w:rsid w:val="007C54FF"/>
    <w:rsid w:val="007C64CA"/>
    <w:rsid w:val="007C6766"/>
    <w:rsid w:val="007C6A4F"/>
    <w:rsid w:val="007C70B7"/>
    <w:rsid w:val="007C7794"/>
    <w:rsid w:val="007C79F2"/>
    <w:rsid w:val="007D0FF3"/>
    <w:rsid w:val="007D116F"/>
    <w:rsid w:val="007D193C"/>
    <w:rsid w:val="007D2A38"/>
    <w:rsid w:val="007D3BFB"/>
    <w:rsid w:val="007D6274"/>
    <w:rsid w:val="007D6F7B"/>
    <w:rsid w:val="007E150C"/>
    <w:rsid w:val="007E2AD6"/>
    <w:rsid w:val="007E2FC5"/>
    <w:rsid w:val="007E31EF"/>
    <w:rsid w:val="007E38C7"/>
    <w:rsid w:val="007E4B34"/>
    <w:rsid w:val="007E5071"/>
    <w:rsid w:val="007E5F32"/>
    <w:rsid w:val="007E72D3"/>
    <w:rsid w:val="007F057B"/>
    <w:rsid w:val="007F0AEB"/>
    <w:rsid w:val="007F1F44"/>
    <w:rsid w:val="007F1FE3"/>
    <w:rsid w:val="007F2389"/>
    <w:rsid w:val="007F33F4"/>
    <w:rsid w:val="007F41EF"/>
    <w:rsid w:val="007F5A4C"/>
    <w:rsid w:val="007F61FB"/>
    <w:rsid w:val="007F63DF"/>
    <w:rsid w:val="00800AD8"/>
    <w:rsid w:val="00800BDC"/>
    <w:rsid w:val="00801415"/>
    <w:rsid w:val="00802A4B"/>
    <w:rsid w:val="00803014"/>
    <w:rsid w:val="00803224"/>
    <w:rsid w:val="0080424F"/>
    <w:rsid w:val="0080449A"/>
    <w:rsid w:val="00804D9F"/>
    <w:rsid w:val="008051B4"/>
    <w:rsid w:val="008051B7"/>
    <w:rsid w:val="0080581C"/>
    <w:rsid w:val="00806619"/>
    <w:rsid w:val="0081323E"/>
    <w:rsid w:val="00813424"/>
    <w:rsid w:val="00814BC4"/>
    <w:rsid w:val="00814F81"/>
    <w:rsid w:val="0081687F"/>
    <w:rsid w:val="0081769A"/>
    <w:rsid w:val="00820602"/>
    <w:rsid w:val="008209CC"/>
    <w:rsid w:val="00823A3A"/>
    <w:rsid w:val="00824324"/>
    <w:rsid w:val="00825461"/>
    <w:rsid w:val="00825E14"/>
    <w:rsid w:val="0082624B"/>
    <w:rsid w:val="00827489"/>
    <w:rsid w:val="00827DAC"/>
    <w:rsid w:val="0083144B"/>
    <w:rsid w:val="00832113"/>
    <w:rsid w:val="008331F0"/>
    <w:rsid w:val="00833346"/>
    <w:rsid w:val="008346D7"/>
    <w:rsid w:val="008350F7"/>
    <w:rsid w:val="00835795"/>
    <w:rsid w:val="0083636A"/>
    <w:rsid w:val="00836A35"/>
    <w:rsid w:val="00836C14"/>
    <w:rsid w:val="00843A40"/>
    <w:rsid w:val="00843D8C"/>
    <w:rsid w:val="00844EDD"/>
    <w:rsid w:val="00845035"/>
    <w:rsid w:val="00845B60"/>
    <w:rsid w:val="00846C86"/>
    <w:rsid w:val="00847E8F"/>
    <w:rsid w:val="0085102E"/>
    <w:rsid w:val="00851BE2"/>
    <w:rsid w:val="0085328C"/>
    <w:rsid w:val="00854C17"/>
    <w:rsid w:val="00855392"/>
    <w:rsid w:val="00855729"/>
    <w:rsid w:val="008608A6"/>
    <w:rsid w:val="00860970"/>
    <w:rsid w:val="008609CD"/>
    <w:rsid w:val="00863571"/>
    <w:rsid w:val="008640CF"/>
    <w:rsid w:val="00864EA2"/>
    <w:rsid w:val="00867E1C"/>
    <w:rsid w:val="00867FFC"/>
    <w:rsid w:val="008759BA"/>
    <w:rsid w:val="00875E76"/>
    <w:rsid w:val="00877038"/>
    <w:rsid w:val="00877ED7"/>
    <w:rsid w:val="00883ADD"/>
    <w:rsid w:val="0088673D"/>
    <w:rsid w:val="008870B6"/>
    <w:rsid w:val="0089049D"/>
    <w:rsid w:val="00890743"/>
    <w:rsid w:val="0089163E"/>
    <w:rsid w:val="00893D3E"/>
    <w:rsid w:val="00894784"/>
    <w:rsid w:val="008948ED"/>
    <w:rsid w:val="00894B04"/>
    <w:rsid w:val="00895163"/>
    <w:rsid w:val="008954BA"/>
    <w:rsid w:val="00895AD7"/>
    <w:rsid w:val="00895B26"/>
    <w:rsid w:val="00896277"/>
    <w:rsid w:val="00896876"/>
    <w:rsid w:val="00896C46"/>
    <w:rsid w:val="008A105A"/>
    <w:rsid w:val="008A3245"/>
    <w:rsid w:val="008A39E0"/>
    <w:rsid w:val="008A3E88"/>
    <w:rsid w:val="008A43B2"/>
    <w:rsid w:val="008A466F"/>
    <w:rsid w:val="008A4D93"/>
    <w:rsid w:val="008A5319"/>
    <w:rsid w:val="008A5CF7"/>
    <w:rsid w:val="008A712C"/>
    <w:rsid w:val="008A7518"/>
    <w:rsid w:val="008A7590"/>
    <w:rsid w:val="008A7C1D"/>
    <w:rsid w:val="008B195F"/>
    <w:rsid w:val="008B2F17"/>
    <w:rsid w:val="008B3AD5"/>
    <w:rsid w:val="008B3AD7"/>
    <w:rsid w:val="008B3EC6"/>
    <w:rsid w:val="008B5CAE"/>
    <w:rsid w:val="008B686E"/>
    <w:rsid w:val="008B7BBC"/>
    <w:rsid w:val="008C082D"/>
    <w:rsid w:val="008C17E0"/>
    <w:rsid w:val="008C2563"/>
    <w:rsid w:val="008C29C6"/>
    <w:rsid w:val="008C44E0"/>
    <w:rsid w:val="008C5883"/>
    <w:rsid w:val="008C5C8C"/>
    <w:rsid w:val="008C6151"/>
    <w:rsid w:val="008C6DEB"/>
    <w:rsid w:val="008C7344"/>
    <w:rsid w:val="008D041A"/>
    <w:rsid w:val="008D0572"/>
    <w:rsid w:val="008D2261"/>
    <w:rsid w:val="008D27C2"/>
    <w:rsid w:val="008D2D5B"/>
    <w:rsid w:val="008D3714"/>
    <w:rsid w:val="008D3A80"/>
    <w:rsid w:val="008D4529"/>
    <w:rsid w:val="008D61F1"/>
    <w:rsid w:val="008D6649"/>
    <w:rsid w:val="008D73DC"/>
    <w:rsid w:val="008D77BA"/>
    <w:rsid w:val="008E12FA"/>
    <w:rsid w:val="008E15FE"/>
    <w:rsid w:val="008E16B6"/>
    <w:rsid w:val="008E4640"/>
    <w:rsid w:val="008E5E02"/>
    <w:rsid w:val="008E7C8E"/>
    <w:rsid w:val="008F0F08"/>
    <w:rsid w:val="008F3226"/>
    <w:rsid w:val="008F34C8"/>
    <w:rsid w:val="008F627B"/>
    <w:rsid w:val="008F647A"/>
    <w:rsid w:val="008F747A"/>
    <w:rsid w:val="00900D2C"/>
    <w:rsid w:val="00902E42"/>
    <w:rsid w:val="009048E1"/>
    <w:rsid w:val="00904A81"/>
    <w:rsid w:val="00905072"/>
    <w:rsid w:val="00905663"/>
    <w:rsid w:val="00905784"/>
    <w:rsid w:val="009070CF"/>
    <w:rsid w:val="00907E36"/>
    <w:rsid w:val="009102E6"/>
    <w:rsid w:val="009119E4"/>
    <w:rsid w:val="009122FC"/>
    <w:rsid w:val="00912376"/>
    <w:rsid w:val="00912A68"/>
    <w:rsid w:val="00912F05"/>
    <w:rsid w:val="00913980"/>
    <w:rsid w:val="0091465F"/>
    <w:rsid w:val="00916274"/>
    <w:rsid w:val="00916882"/>
    <w:rsid w:val="00916BC0"/>
    <w:rsid w:val="00920460"/>
    <w:rsid w:val="00920D49"/>
    <w:rsid w:val="009210A7"/>
    <w:rsid w:val="00921B38"/>
    <w:rsid w:val="00925634"/>
    <w:rsid w:val="009269B7"/>
    <w:rsid w:val="00926AA3"/>
    <w:rsid w:val="00926C34"/>
    <w:rsid w:val="0092737F"/>
    <w:rsid w:val="00930162"/>
    <w:rsid w:val="00931CDA"/>
    <w:rsid w:val="00932BE4"/>
    <w:rsid w:val="00934849"/>
    <w:rsid w:val="00935926"/>
    <w:rsid w:val="0093648A"/>
    <w:rsid w:val="00936770"/>
    <w:rsid w:val="009375FF"/>
    <w:rsid w:val="00940DF9"/>
    <w:rsid w:val="00941494"/>
    <w:rsid w:val="009414CE"/>
    <w:rsid w:val="00941B29"/>
    <w:rsid w:val="00941BE3"/>
    <w:rsid w:val="00943D29"/>
    <w:rsid w:val="00944043"/>
    <w:rsid w:val="009440DE"/>
    <w:rsid w:val="00945CAF"/>
    <w:rsid w:val="00945D34"/>
    <w:rsid w:val="0095062C"/>
    <w:rsid w:val="00950FB5"/>
    <w:rsid w:val="00952344"/>
    <w:rsid w:val="00952E06"/>
    <w:rsid w:val="00953408"/>
    <w:rsid w:val="00953C02"/>
    <w:rsid w:val="00954B43"/>
    <w:rsid w:val="009551C2"/>
    <w:rsid w:val="009552D4"/>
    <w:rsid w:val="0095531F"/>
    <w:rsid w:val="0095557E"/>
    <w:rsid w:val="00956246"/>
    <w:rsid w:val="00956408"/>
    <w:rsid w:val="00956D97"/>
    <w:rsid w:val="0095705A"/>
    <w:rsid w:val="00957C04"/>
    <w:rsid w:val="00957F9E"/>
    <w:rsid w:val="009620BC"/>
    <w:rsid w:val="00963364"/>
    <w:rsid w:val="00964866"/>
    <w:rsid w:val="00965F87"/>
    <w:rsid w:val="009663FD"/>
    <w:rsid w:val="009668B2"/>
    <w:rsid w:val="00970174"/>
    <w:rsid w:val="009705E6"/>
    <w:rsid w:val="00970829"/>
    <w:rsid w:val="009715B7"/>
    <w:rsid w:val="009719F7"/>
    <w:rsid w:val="0097243F"/>
    <w:rsid w:val="0097348F"/>
    <w:rsid w:val="0097525C"/>
    <w:rsid w:val="00975A43"/>
    <w:rsid w:val="00975E4E"/>
    <w:rsid w:val="009763C2"/>
    <w:rsid w:val="00980678"/>
    <w:rsid w:val="00980B0C"/>
    <w:rsid w:val="009819B8"/>
    <w:rsid w:val="00981DB7"/>
    <w:rsid w:val="0098303C"/>
    <w:rsid w:val="00983054"/>
    <w:rsid w:val="00984A05"/>
    <w:rsid w:val="00984CDB"/>
    <w:rsid w:val="00987384"/>
    <w:rsid w:val="0099065F"/>
    <w:rsid w:val="00990BF6"/>
    <w:rsid w:val="0099162D"/>
    <w:rsid w:val="0099215A"/>
    <w:rsid w:val="00992C8F"/>
    <w:rsid w:val="00992F95"/>
    <w:rsid w:val="00993C39"/>
    <w:rsid w:val="00993EC1"/>
    <w:rsid w:val="00995038"/>
    <w:rsid w:val="00996142"/>
    <w:rsid w:val="009A0374"/>
    <w:rsid w:val="009A1F5B"/>
    <w:rsid w:val="009A3BC8"/>
    <w:rsid w:val="009A51B0"/>
    <w:rsid w:val="009A55D9"/>
    <w:rsid w:val="009A5BCF"/>
    <w:rsid w:val="009A70B8"/>
    <w:rsid w:val="009A787C"/>
    <w:rsid w:val="009B0730"/>
    <w:rsid w:val="009B0D0D"/>
    <w:rsid w:val="009B134A"/>
    <w:rsid w:val="009B1A27"/>
    <w:rsid w:val="009B1ED2"/>
    <w:rsid w:val="009B24CD"/>
    <w:rsid w:val="009B25DD"/>
    <w:rsid w:val="009B2692"/>
    <w:rsid w:val="009B3263"/>
    <w:rsid w:val="009B3B99"/>
    <w:rsid w:val="009B3E0B"/>
    <w:rsid w:val="009B56D3"/>
    <w:rsid w:val="009B6A81"/>
    <w:rsid w:val="009B6AA7"/>
    <w:rsid w:val="009B6CAD"/>
    <w:rsid w:val="009B744F"/>
    <w:rsid w:val="009B7834"/>
    <w:rsid w:val="009C00AE"/>
    <w:rsid w:val="009C154B"/>
    <w:rsid w:val="009C1B00"/>
    <w:rsid w:val="009C2253"/>
    <w:rsid w:val="009C43E9"/>
    <w:rsid w:val="009C4F15"/>
    <w:rsid w:val="009C4FC2"/>
    <w:rsid w:val="009C5271"/>
    <w:rsid w:val="009C68BD"/>
    <w:rsid w:val="009C6C5C"/>
    <w:rsid w:val="009C6F22"/>
    <w:rsid w:val="009D090A"/>
    <w:rsid w:val="009D0D47"/>
    <w:rsid w:val="009D1EB9"/>
    <w:rsid w:val="009D25EA"/>
    <w:rsid w:val="009D2682"/>
    <w:rsid w:val="009D2B18"/>
    <w:rsid w:val="009D3E6D"/>
    <w:rsid w:val="009D56DF"/>
    <w:rsid w:val="009E02EF"/>
    <w:rsid w:val="009E06C6"/>
    <w:rsid w:val="009E21F8"/>
    <w:rsid w:val="009E3A21"/>
    <w:rsid w:val="009E5793"/>
    <w:rsid w:val="009E5CF3"/>
    <w:rsid w:val="009E5FDA"/>
    <w:rsid w:val="009E79DD"/>
    <w:rsid w:val="009E7B44"/>
    <w:rsid w:val="009F07A8"/>
    <w:rsid w:val="009F3183"/>
    <w:rsid w:val="009F3B80"/>
    <w:rsid w:val="009F3BC0"/>
    <w:rsid w:val="009F4089"/>
    <w:rsid w:val="009F4107"/>
    <w:rsid w:val="009F55C4"/>
    <w:rsid w:val="009F5680"/>
    <w:rsid w:val="009F5C3E"/>
    <w:rsid w:val="009F6826"/>
    <w:rsid w:val="009F6BA4"/>
    <w:rsid w:val="009F745B"/>
    <w:rsid w:val="00A000B4"/>
    <w:rsid w:val="00A0131A"/>
    <w:rsid w:val="00A02A19"/>
    <w:rsid w:val="00A061CD"/>
    <w:rsid w:val="00A062A2"/>
    <w:rsid w:val="00A11365"/>
    <w:rsid w:val="00A11DE9"/>
    <w:rsid w:val="00A12CAB"/>
    <w:rsid w:val="00A13413"/>
    <w:rsid w:val="00A136A4"/>
    <w:rsid w:val="00A13D1A"/>
    <w:rsid w:val="00A14D4F"/>
    <w:rsid w:val="00A14E05"/>
    <w:rsid w:val="00A14F52"/>
    <w:rsid w:val="00A15565"/>
    <w:rsid w:val="00A157CB"/>
    <w:rsid w:val="00A1691F"/>
    <w:rsid w:val="00A175D9"/>
    <w:rsid w:val="00A17FCA"/>
    <w:rsid w:val="00A2039A"/>
    <w:rsid w:val="00A20696"/>
    <w:rsid w:val="00A232DF"/>
    <w:rsid w:val="00A24F16"/>
    <w:rsid w:val="00A24F81"/>
    <w:rsid w:val="00A252BC"/>
    <w:rsid w:val="00A25623"/>
    <w:rsid w:val="00A268D9"/>
    <w:rsid w:val="00A2796E"/>
    <w:rsid w:val="00A30CCB"/>
    <w:rsid w:val="00A30FC9"/>
    <w:rsid w:val="00A31E29"/>
    <w:rsid w:val="00A32742"/>
    <w:rsid w:val="00A3320F"/>
    <w:rsid w:val="00A342AC"/>
    <w:rsid w:val="00A34BB4"/>
    <w:rsid w:val="00A356EA"/>
    <w:rsid w:val="00A43B53"/>
    <w:rsid w:val="00A45388"/>
    <w:rsid w:val="00A46A4B"/>
    <w:rsid w:val="00A46BB2"/>
    <w:rsid w:val="00A4716F"/>
    <w:rsid w:val="00A54144"/>
    <w:rsid w:val="00A54E64"/>
    <w:rsid w:val="00A57AFB"/>
    <w:rsid w:val="00A622B4"/>
    <w:rsid w:val="00A62EB9"/>
    <w:rsid w:val="00A6381D"/>
    <w:rsid w:val="00A638C0"/>
    <w:rsid w:val="00A6483F"/>
    <w:rsid w:val="00A66279"/>
    <w:rsid w:val="00A673D2"/>
    <w:rsid w:val="00A674AD"/>
    <w:rsid w:val="00A67CF7"/>
    <w:rsid w:val="00A7063F"/>
    <w:rsid w:val="00A71F49"/>
    <w:rsid w:val="00A721FB"/>
    <w:rsid w:val="00A7240D"/>
    <w:rsid w:val="00A725BA"/>
    <w:rsid w:val="00A72D32"/>
    <w:rsid w:val="00A72F36"/>
    <w:rsid w:val="00A72FEC"/>
    <w:rsid w:val="00A738CF"/>
    <w:rsid w:val="00A743E8"/>
    <w:rsid w:val="00A7485F"/>
    <w:rsid w:val="00A74EAE"/>
    <w:rsid w:val="00A75FBB"/>
    <w:rsid w:val="00A76C27"/>
    <w:rsid w:val="00A775DA"/>
    <w:rsid w:val="00A801FD"/>
    <w:rsid w:val="00A83A41"/>
    <w:rsid w:val="00A862C3"/>
    <w:rsid w:val="00A901D8"/>
    <w:rsid w:val="00A92399"/>
    <w:rsid w:val="00A93FE1"/>
    <w:rsid w:val="00A948AE"/>
    <w:rsid w:val="00A95137"/>
    <w:rsid w:val="00A954D4"/>
    <w:rsid w:val="00A95A9A"/>
    <w:rsid w:val="00A97625"/>
    <w:rsid w:val="00AA0EF7"/>
    <w:rsid w:val="00AA1DDF"/>
    <w:rsid w:val="00AA4405"/>
    <w:rsid w:val="00AA6C76"/>
    <w:rsid w:val="00AA6E2E"/>
    <w:rsid w:val="00AA6F5D"/>
    <w:rsid w:val="00AA73C8"/>
    <w:rsid w:val="00AA783C"/>
    <w:rsid w:val="00AA7926"/>
    <w:rsid w:val="00AB1060"/>
    <w:rsid w:val="00AB106A"/>
    <w:rsid w:val="00AB2282"/>
    <w:rsid w:val="00AB52E6"/>
    <w:rsid w:val="00AB55C5"/>
    <w:rsid w:val="00AB56FB"/>
    <w:rsid w:val="00AB5D10"/>
    <w:rsid w:val="00AB5D5D"/>
    <w:rsid w:val="00AB706B"/>
    <w:rsid w:val="00AB7376"/>
    <w:rsid w:val="00AC02D4"/>
    <w:rsid w:val="00AC0565"/>
    <w:rsid w:val="00AC13AB"/>
    <w:rsid w:val="00AC236A"/>
    <w:rsid w:val="00AC28F5"/>
    <w:rsid w:val="00AC2E3A"/>
    <w:rsid w:val="00AC55BB"/>
    <w:rsid w:val="00AC5891"/>
    <w:rsid w:val="00AD0446"/>
    <w:rsid w:val="00AD14A4"/>
    <w:rsid w:val="00AD231E"/>
    <w:rsid w:val="00AD2AB5"/>
    <w:rsid w:val="00AD313E"/>
    <w:rsid w:val="00AD3D44"/>
    <w:rsid w:val="00AD4D6E"/>
    <w:rsid w:val="00AD64E1"/>
    <w:rsid w:val="00AD735C"/>
    <w:rsid w:val="00AE134E"/>
    <w:rsid w:val="00AE1E8A"/>
    <w:rsid w:val="00AE25E4"/>
    <w:rsid w:val="00AE2685"/>
    <w:rsid w:val="00AE3CA0"/>
    <w:rsid w:val="00AE423F"/>
    <w:rsid w:val="00AE4601"/>
    <w:rsid w:val="00AE4E13"/>
    <w:rsid w:val="00AE5402"/>
    <w:rsid w:val="00AE6D17"/>
    <w:rsid w:val="00AF0EBD"/>
    <w:rsid w:val="00AF2D84"/>
    <w:rsid w:val="00AF3420"/>
    <w:rsid w:val="00AF467B"/>
    <w:rsid w:val="00AF7DFF"/>
    <w:rsid w:val="00B0318F"/>
    <w:rsid w:val="00B04023"/>
    <w:rsid w:val="00B05E03"/>
    <w:rsid w:val="00B06440"/>
    <w:rsid w:val="00B0649F"/>
    <w:rsid w:val="00B077C6"/>
    <w:rsid w:val="00B10E64"/>
    <w:rsid w:val="00B11801"/>
    <w:rsid w:val="00B138C1"/>
    <w:rsid w:val="00B13A62"/>
    <w:rsid w:val="00B1493B"/>
    <w:rsid w:val="00B14CB6"/>
    <w:rsid w:val="00B15680"/>
    <w:rsid w:val="00B159B1"/>
    <w:rsid w:val="00B16386"/>
    <w:rsid w:val="00B17B04"/>
    <w:rsid w:val="00B21634"/>
    <w:rsid w:val="00B21933"/>
    <w:rsid w:val="00B226DD"/>
    <w:rsid w:val="00B2399D"/>
    <w:rsid w:val="00B2465F"/>
    <w:rsid w:val="00B24C5B"/>
    <w:rsid w:val="00B252B8"/>
    <w:rsid w:val="00B2615D"/>
    <w:rsid w:val="00B276D9"/>
    <w:rsid w:val="00B32365"/>
    <w:rsid w:val="00B3289C"/>
    <w:rsid w:val="00B3355C"/>
    <w:rsid w:val="00B35AAE"/>
    <w:rsid w:val="00B35FFF"/>
    <w:rsid w:val="00B40591"/>
    <w:rsid w:val="00B40632"/>
    <w:rsid w:val="00B40E6A"/>
    <w:rsid w:val="00B414E9"/>
    <w:rsid w:val="00B41693"/>
    <w:rsid w:val="00B42632"/>
    <w:rsid w:val="00B42C05"/>
    <w:rsid w:val="00B4395F"/>
    <w:rsid w:val="00B43E2A"/>
    <w:rsid w:val="00B4529B"/>
    <w:rsid w:val="00B47053"/>
    <w:rsid w:val="00B47404"/>
    <w:rsid w:val="00B51E8C"/>
    <w:rsid w:val="00B51EA8"/>
    <w:rsid w:val="00B5241D"/>
    <w:rsid w:val="00B54A9C"/>
    <w:rsid w:val="00B55037"/>
    <w:rsid w:val="00B55E6C"/>
    <w:rsid w:val="00B568F5"/>
    <w:rsid w:val="00B57FEF"/>
    <w:rsid w:val="00B61056"/>
    <w:rsid w:val="00B6254E"/>
    <w:rsid w:val="00B640CE"/>
    <w:rsid w:val="00B65564"/>
    <w:rsid w:val="00B65E66"/>
    <w:rsid w:val="00B66C75"/>
    <w:rsid w:val="00B70E88"/>
    <w:rsid w:val="00B71026"/>
    <w:rsid w:val="00B7234B"/>
    <w:rsid w:val="00B72E3B"/>
    <w:rsid w:val="00B73463"/>
    <w:rsid w:val="00B7494A"/>
    <w:rsid w:val="00B75779"/>
    <w:rsid w:val="00B75A46"/>
    <w:rsid w:val="00B7686E"/>
    <w:rsid w:val="00B768C2"/>
    <w:rsid w:val="00B771B2"/>
    <w:rsid w:val="00B80BCE"/>
    <w:rsid w:val="00B80FB9"/>
    <w:rsid w:val="00B82126"/>
    <w:rsid w:val="00B826FE"/>
    <w:rsid w:val="00B865B8"/>
    <w:rsid w:val="00B86E6F"/>
    <w:rsid w:val="00B87D39"/>
    <w:rsid w:val="00B906CD"/>
    <w:rsid w:val="00B920CE"/>
    <w:rsid w:val="00B92E77"/>
    <w:rsid w:val="00B939E5"/>
    <w:rsid w:val="00B93BC9"/>
    <w:rsid w:val="00B96B7C"/>
    <w:rsid w:val="00BA02F6"/>
    <w:rsid w:val="00BA0307"/>
    <w:rsid w:val="00BA0C1F"/>
    <w:rsid w:val="00BA2E29"/>
    <w:rsid w:val="00BA2F03"/>
    <w:rsid w:val="00BA3895"/>
    <w:rsid w:val="00BA4287"/>
    <w:rsid w:val="00BA4BF0"/>
    <w:rsid w:val="00BA62F9"/>
    <w:rsid w:val="00BA6423"/>
    <w:rsid w:val="00BA6C29"/>
    <w:rsid w:val="00BA6C59"/>
    <w:rsid w:val="00BA6EF1"/>
    <w:rsid w:val="00BA7574"/>
    <w:rsid w:val="00BB0A81"/>
    <w:rsid w:val="00BB15B3"/>
    <w:rsid w:val="00BB1F4F"/>
    <w:rsid w:val="00BB2512"/>
    <w:rsid w:val="00BB3A52"/>
    <w:rsid w:val="00BB40C3"/>
    <w:rsid w:val="00BB4DEB"/>
    <w:rsid w:val="00BB6023"/>
    <w:rsid w:val="00BC2629"/>
    <w:rsid w:val="00BC2770"/>
    <w:rsid w:val="00BC32FC"/>
    <w:rsid w:val="00BC377B"/>
    <w:rsid w:val="00BC6170"/>
    <w:rsid w:val="00BC71E5"/>
    <w:rsid w:val="00BD0F1D"/>
    <w:rsid w:val="00BD13F8"/>
    <w:rsid w:val="00BD1D20"/>
    <w:rsid w:val="00BD1E23"/>
    <w:rsid w:val="00BD4621"/>
    <w:rsid w:val="00BD49AB"/>
    <w:rsid w:val="00BD5285"/>
    <w:rsid w:val="00BD59E0"/>
    <w:rsid w:val="00BD65E4"/>
    <w:rsid w:val="00BD7A31"/>
    <w:rsid w:val="00BD7E74"/>
    <w:rsid w:val="00BE0176"/>
    <w:rsid w:val="00BE0887"/>
    <w:rsid w:val="00BE17DF"/>
    <w:rsid w:val="00BE2242"/>
    <w:rsid w:val="00BE2E3A"/>
    <w:rsid w:val="00BF06A7"/>
    <w:rsid w:val="00BF07F6"/>
    <w:rsid w:val="00BF1491"/>
    <w:rsid w:val="00BF15F9"/>
    <w:rsid w:val="00BF1C9D"/>
    <w:rsid w:val="00BF1F10"/>
    <w:rsid w:val="00BF454E"/>
    <w:rsid w:val="00BF5244"/>
    <w:rsid w:val="00BF5332"/>
    <w:rsid w:val="00BF59DE"/>
    <w:rsid w:val="00BF5A92"/>
    <w:rsid w:val="00BF5C63"/>
    <w:rsid w:val="00BF65F0"/>
    <w:rsid w:val="00BF6642"/>
    <w:rsid w:val="00C009B4"/>
    <w:rsid w:val="00C01BDE"/>
    <w:rsid w:val="00C021B3"/>
    <w:rsid w:val="00C02E0A"/>
    <w:rsid w:val="00C03C35"/>
    <w:rsid w:val="00C04A5C"/>
    <w:rsid w:val="00C04C94"/>
    <w:rsid w:val="00C059C7"/>
    <w:rsid w:val="00C067CB"/>
    <w:rsid w:val="00C069AB"/>
    <w:rsid w:val="00C06AF4"/>
    <w:rsid w:val="00C07159"/>
    <w:rsid w:val="00C07607"/>
    <w:rsid w:val="00C108EF"/>
    <w:rsid w:val="00C10E24"/>
    <w:rsid w:val="00C112C9"/>
    <w:rsid w:val="00C11E43"/>
    <w:rsid w:val="00C12266"/>
    <w:rsid w:val="00C13B09"/>
    <w:rsid w:val="00C13D87"/>
    <w:rsid w:val="00C13E85"/>
    <w:rsid w:val="00C14742"/>
    <w:rsid w:val="00C14823"/>
    <w:rsid w:val="00C15C70"/>
    <w:rsid w:val="00C16A0A"/>
    <w:rsid w:val="00C17296"/>
    <w:rsid w:val="00C17961"/>
    <w:rsid w:val="00C17AB1"/>
    <w:rsid w:val="00C21E5E"/>
    <w:rsid w:val="00C22882"/>
    <w:rsid w:val="00C23033"/>
    <w:rsid w:val="00C232CD"/>
    <w:rsid w:val="00C24212"/>
    <w:rsid w:val="00C24600"/>
    <w:rsid w:val="00C2666E"/>
    <w:rsid w:val="00C267E5"/>
    <w:rsid w:val="00C27435"/>
    <w:rsid w:val="00C27899"/>
    <w:rsid w:val="00C32140"/>
    <w:rsid w:val="00C32C85"/>
    <w:rsid w:val="00C32FEA"/>
    <w:rsid w:val="00C33264"/>
    <w:rsid w:val="00C34381"/>
    <w:rsid w:val="00C35765"/>
    <w:rsid w:val="00C37CB9"/>
    <w:rsid w:val="00C414AB"/>
    <w:rsid w:val="00C42CAF"/>
    <w:rsid w:val="00C42D03"/>
    <w:rsid w:val="00C43B85"/>
    <w:rsid w:val="00C459B3"/>
    <w:rsid w:val="00C45D3B"/>
    <w:rsid w:val="00C4727D"/>
    <w:rsid w:val="00C47B9A"/>
    <w:rsid w:val="00C50B7F"/>
    <w:rsid w:val="00C52006"/>
    <w:rsid w:val="00C525D3"/>
    <w:rsid w:val="00C5296B"/>
    <w:rsid w:val="00C5299B"/>
    <w:rsid w:val="00C540ED"/>
    <w:rsid w:val="00C5441E"/>
    <w:rsid w:val="00C546D6"/>
    <w:rsid w:val="00C54F36"/>
    <w:rsid w:val="00C55806"/>
    <w:rsid w:val="00C572F5"/>
    <w:rsid w:val="00C57B13"/>
    <w:rsid w:val="00C60468"/>
    <w:rsid w:val="00C605C2"/>
    <w:rsid w:val="00C633C9"/>
    <w:rsid w:val="00C635AC"/>
    <w:rsid w:val="00C638A9"/>
    <w:rsid w:val="00C63A81"/>
    <w:rsid w:val="00C63F08"/>
    <w:rsid w:val="00C65354"/>
    <w:rsid w:val="00C65F39"/>
    <w:rsid w:val="00C66D4E"/>
    <w:rsid w:val="00C7229D"/>
    <w:rsid w:val="00C732FB"/>
    <w:rsid w:val="00C73433"/>
    <w:rsid w:val="00C738FB"/>
    <w:rsid w:val="00C73EE8"/>
    <w:rsid w:val="00C74043"/>
    <w:rsid w:val="00C76C41"/>
    <w:rsid w:val="00C771BE"/>
    <w:rsid w:val="00C8340B"/>
    <w:rsid w:val="00C8354B"/>
    <w:rsid w:val="00C843B8"/>
    <w:rsid w:val="00C848BE"/>
    <w:rsid w:val="00C84F2E"/>
    <w:rsid w:val="00C851ED"/>
    <w:rsid w:val="00C85F32"/>
    <w:rsid w:val="00C860AD"/>
    <w:rsid w:val="00C86526"/>
    <w:rsid w:val="00C86D80"/>
    <w:rsid w:val="00C9034D"/>
    <w:rsid w:val="00C9184F"/>
    <w:rsid w:val="00C926F2"/>
    <w:rsid w:val="00C9486D"/>
    <w:rsid w:val="00C95B57"/>
    <w:rsid w:val="00C97425"/>
    <w:rsid w:val="00CA0B59"/>
    <w:rsid w:val="00CA0FA6"/>
    <w:rsid w:val="00CA4ADD"/>
    <w:rsid w:val="00CA5FEF"/>
    <w:rsid w:val="00CA71E9"/>
    <w:rsid w:val="00CA7E91"/>
    <w:rsid w:val="00CA7EFD"/>
    <w:rsid w:val="00CB0269"/>
    <w:rsid w:val="00CB20F0"/>
    <w:rsid w:val="00CB3FB1"/>
    <w:rsid w:val="00CB4CDC"/>
    <w:rsid w:val="00CB4D33"/>
    <w:rsid w:val="00CB6F29"/>
    <w:rsid w:val="00CB7296"/>
    <w:rsid w:val="00CB7E7F"/>
    <w:rsid w:val="00CC0156"/>
    <w:rsid w:val="00CC22D7"/>
    <w:rsid w:val="00CC2D15"/>
    <w:rsid w:val="00CC340B"/>
    <w:rsid w:val="00CC3D9C"/>
    <w:rsid w:val="00CC414D"/>
    <w:rsid w:val="00CC432A"/>
    <w:rsid w:val="00CC5559"/>
    <w:rsid w:val="00CC76EE"/>
    <w:rsid w:val="00CC7F88"/>
    <w:rsid w:val="00CD0E7C"/>
    <w:rsid w:val="00CD0FFE"/>
    <w:rsid w:val="00CD1474"/>
    <w:rsid w:val="00CD36A8"/>
    <w:rsid w:val="00CD3CB3"/>
    <w:rsid w:val="00CD52C2"/>
    <w:rsid w:val="00CD5409"/>
    <w:rsid w:val="00CD5835"/>
    <w:rsid w:val="00CD5BA9"/>
    <w:rsid w:val="00CD631E"/>
    <w:rsid w:val="00CD660A"/>
    <w:rsid w:val="00CD6615"/>
    <w:rsid w:val="00CD6D4F"/>
    <w:rsid w:val="00CD6F2A"/>
    <w:rsid w:val="00CD70A8"/>
    <w:rsid w:val="00CD73A1"/>
    <w:rsid w:val="00CD7D2D"/>
    <w:rsid w:val="00CD7DC8"/>
    <w:rsid w:val="00CE2A3E"/>
    <w:rsid w:val="00CE4867"/>
    <w:rsid w:val="00CE4ADA"/>
    <w:rsid w:val="00CE4E2F"/>
    <w:rsid w:val="00CE5E1E"/>
    <w:rsid w:val="00CE6605"/>
    <w:rsid w:val="00CE7033"/>
    <w:rsid w:val="00CE7565"/>
    <w:rsid w:val="00CF012B"/>
    <w:rsid w:val="00CF0339"/>
    <w:rsid w:val="00CF0400"/>
    <w:rsid w:val="00CF0DA7"/>
    <w:rsid w:val="00CF1522"/>
    <w:rsid w:val="00CF1643"/>
    <w:rsid w:val="00CF21A8"/>
    <w:rsid w:val="00CF28EC"/>
    <w:rsid w:val="00CF3ADF"/>
    <w:rsid w:val="00CF3E43"/>
    <w:rsid w:val="00CF41E6"/>
    <w:rsid w:val="00CF52CD"/>
    <w:rsid w:val="00CF5785"/>
    <w:rsid w:val="00CF58B4"/>
    <w:rsid w:val="00CF6F80"/>
    <w:rsid w:val="00CF70CC"/>
    <w:rsid w:val="00D00A79"/>
    <w:rsid w:val="00D01BDB"/>
    <w:rsid w:val="00D01C56"/>
    <w:rsid w:val="00D01F25"/>
    <w:rsid w:val="00D04B59"/>
    <w:rsid w:val="00D06168"/>
    <w:rsid w:val="00D06C0A"/>
    <w:rsid w:val="00D07DA4"/>
    <w:rsid w:val="00D106D6"/>
    <w:rsid w:val="00D10873"/>
    <w:rsid w:val="00D10B8E"/>
    <w:rsid w:val="00D122A8"/>
    <w:rsid w:val="00D1440C"/>
    <w:rsid w:val="00D14847"/>
    <w:rsid w:val="00D14EBE"/>
    <w:rsid w:val="00D1522D"/>
    <w:rsid w:val="00D2097B"/>
    <w:rsid w:val="00D22AE6"/>
    <w:rsid w:val="00D22D6C"/>
    <w:rsid w:val="00D235B4"/>
    <w:rsid w:val="00D23780"/>
    <w:rsid w:val="00D23D69"/>
    <w:rsid w:val="00D2511E"/>
    <w:rsid w:val="00D26823"/>
    <w:rsid w:val="00D2705F"/>
    <w:rsid w:val="00D32C28"/>
    <w:rsid w:val="00D334EE"/>
    <w:rsid w:val="00D336C3"/>
    <w:rsid w:val="00D33BB1"/>
    <w:rsid w:val="00D34905"/>
    <w:rsid w:val="00D35310"/>
    <w:rsid w:val="00D354B9"/>
    <w:rsid w:val="00D35E72"/>
    <w:rsid w:val="00D368EF"/>
    <w:rsid w:val="00D37937"/>
    <w:rsid w:val="00D42872"/>
    <w:rsid w:val="00D44E6E"/>
    <w:rsid w:val="00D45201"/>
    <w:rsid w:val="00D45482"/>
    <w:rsid w:val="00D45967"/>
    <w:rsid w:val="00D45A11"/>
    <w:rsid w:val="00D47410"/>
    <w:rsid w:val="00D47853"/>
    <w:rsid w:val="00D50148"/>
    <w:rsid w:val="00D506BA"/>
    <w:rsid w:val="00D5327B"/>
    <w:rsid w:val="00D57293"/>
    <w:rsid w:val="00D578A2"/>
    <w:rsid w:val="00D607E9"/>
    <w:rsid w:val="00D6150B"/>
    <w:rsid w:val="00D61984"/>
    <w:rsid w:val="00D623D3"/>
    <w:rsid w:val="00D64342"/>
    <w:rsid w:val="00D660A9"/>
    <w:rsid w:val="00D708F6"/>
    <w:rsid w:val="00D709AA"/>
    <w:rsid w:val="00D71A71"/>
    <w:rsid w:val="00D72EB7"/>
    <w:rsid w:val="00D7315E"/>
    <w:rsid w:val="00D74241"/>
    <w:rsid w:val="00D7425A"/>
    <w:rsid w:val="00D75587"/>
    <w:rsid w:val="00D76B52"/>
    <w:rsid w:val="00D77462"/>
    <w:rsid w:val="00D77A7E"/>
    <w:rsid w:val="00D80A8C"/>
    <w:rsid w:val="00D80AAE"/>
    <w:rsid w:val="00D80F56"/>
    <w:rsid w:val="00D80FD7"/>
    <w:rsid w:val="00D82BF6"/>
    <w:rsid w:val="00D83FA8"/>
    <w:rsid w:val="00D840BE"/>
    <w:rsid w:val="00D86510"/>
    <w:rsid w:val="00D868EF"/>
    <w:rsid w:val="00D94985"/>
    <w:rsid w:val="00D96FD2"/>
    <w:rsid w:val="00DA054D"/>
    <w:rsid w:val="00DA346B"/>
    <w:rsid w:val="00DA38DE"/>
    <w:rsid w:val="00DA3C8C"/>
    <w:rsid w:val="00DA4870"/>
    <w:rsid w:val="00DB241B"/>
    <w:rsid w:val="00DB275F"/>
    <w:rsid w:val="00DB28D7"/>
    <w:rsid w:val="00DB3D6F"/>
    <w:rsid w:val="00DB46E0"/>
    <w:rsid w:val="00DB543B"/>
    <w:rsid w:val="00DB6C7B"/>
    <w:rsid w:val="00DB7FBE"/>
    <w:rsid w:val="00DC0364"/>
    <w:rsid w:val="00DC1D64"/>
    <w:rsid w:val="00DC2824"/>
    <w:rsid w:val="00DC3121"/>
    <w:rsid w:val="00DC3762"/>
    <w:rsid w:val="00DC64A6"/>
    <w:rsid w:val="00DC718B"/>
    <w:rsid w:val="00DC78A4"/>
    <w:rsid w:val="00DD01A4"/>
    <w:rsid w:val="00DD1403"/>
    <w:rsid w:val="00DD3EB3"/>
    <w:rsid w:val="00DD5BF6"/>
    <w:rsid w:val="00DD65C0"/>
    <w:rsid w:val="00DD7699"/>
    <w:rsid w:val="00DE0BB1"/>
    <w:rsid w:val="00DE0C75"/>
    <w:rsid w:val="00DE1162"/>
    <w:rsid w:val="00DE12DE"/>
    <w:rsid w:val="00DE13A5"/>
    <w:rsid w:val="00DE2D7A"/>
    <w:rsid w:val="00DE318C"/>
    <w:rsid w:val="00DE400B"/>
    <w:rsid w:val="00DE6319"/>
    <w:rsid w:val="00DE67AE"/>
    <w:rsid w:val="00DE7AD7"/>
    <w:rsid w:val="00DF0D0A"/>
    <w:rsid w:val="00DF0D43"/>
    <w:rsid w:val="00DF0D70"/>
    <w:rsid w:val="00DF0FAD"/>
    <w:rsid w:val="00DF2ABE"/>
    <w:rsid w:val="00DF526F"/>
    <w:rsid w:val="00E012CE"/>
    <w:rsid w:val="00E018D5"/>
    <w:rsid w:val="00E01D16"/>
    <w:rsid w:val="00E02C79"/>
    <w:rsid w:val="00E07798"/>
    <w:rsid w:val="00E1033A"/>
    <w:rsid w:val="00E104C4"/>
    <w:rsid w:val="00E120C5"/>
    <w:rsid w:val="00E133A6"/>
    <w:rsid w:val="00E13421"/>
    <w:rsid w:val="00E135F9"/>
    <w:rsid w:val="00E15BB6"/>
    <w:rsid w:val="00E16B7D"/>
    <w:rsid w:val="00E16C95"/>
    <w:rsid w:val="00E171E4"/>
    <w:rsid w:val="00E2155C"/>
    <w:rsid w:val="00E2228D"/>
    <w:rsid w:val="00E23730"/>
    <w:rsid w:val="00E24DB8"/>
    <w:rsid w:val="00E25D27"/>
    <w:rsid w:val="00E26817"/>
    <w:rsid w:val="00E270AD"/>
    <w:rsid w:val="00E3322F"/>
    <w:rsid w:val="00E338AF"/>
    <w:rsid w:val="00E33E09"/>
    <w:rsid w:val="00E33E42"/>
    <w:rsid w:val="00E33FA5"/>
    <w:rsid w:val="00E34170"/>
    <w:rsid w:val="00E347A0"/>
    <w:rsid w:val="00E36139"/>
    <w:rsid w:val="00E36C1F"/>
    <w:rsid w:val="00E37430"/>
    <w:rsid w:val="00E374CA"/>
    <w:rsid w:val="00E4160A"/>
    <w:rsid w:val="00E41A63"/>
    <w:rsid w:val="00E41ABD"/>
    <w:rsid w:val="00E42327"/>
    <w:rsid w:val="00E427DC"/>
    <w:rsid w:val="00E42E93"/>
    <w:rsid w:val="00E43578"/>
    <w:rsid w:val="00E437AE"/>
    <w:rsid w:val="00E45E65"/>
    <w:rsid w:val="00E461F3"/>
    <w:rsid w:val="00E47787"/>
    <w:rsid w:val="00E50C3F"/>
    <w:rsid w:val="00E516AE"/>
    <w:rsid w:val="00E521FD"/>
    <w:rsid w:val="00E5223D"/>
    <w:rsid w:val="00E526C0"/>
    <w:rsid w:val="00E54579"/>
    <w:rsid w:val="00E55552"/>
    <w:rsid w:val="00E55784"/>
    <w:rsid w:val="00E5625F"/>
    <w:rsid w:val="00E56400"/>
    <w:rsid w:val="00E56F4F"/>
    <w:rsid w:val="00E604D6"/>
    <w:rsid w:val="00E629EB"/>
    <w:rsid w:val="00E62A03"/>
    <w:rsid w:val="00E62B3D"/>
    <w:rsid w:val="00E63C74"/>
    <w:rsid w:val="00E64920"/>
    <w:rsid w:val="00E65B6C"/>
    <w:rsid w:val="00E65EA2"/>
    <w:rsid w:val="00E67A7F"/>
    <w:rsid w:val="00E704B9"/>
    <w:rsid w:val="00E70B7A"/>
    <w:rsid w:val="00E71332"/>
    <w:rsid w:val="00E73A3A"/>
    <w:rsid w:val="00E740A6"/>
    <w:rsid w:val="00E74593"/>
    <w:rsid w:val="00E7493A"/>
    <w:rsid w:val="00E754E6"/>
    <w:rsid w:val="00E760A5"/>
    <w:rsid w:val="00E7692B"/>
    <w:rsid w:val="00E76A65"/>
    <w:rsid w:val="00E77541"/>
    <w:rsid w:val="00E8018A"/>
    <w:rsid w:val="00E80482"/>
    <w:rsid w:val="00E82ED4"/>
    <w:rsid w:val="00E83C49"/>
    <w:rsid w:val="00E852B3"/>
    <w:rsid w:val="00E87534"/>
    <w:rsid w:val="00E877D4"/>
    <w:rsid w:val="00E87AED"/>
    <w:rsid w:val="00E87ED4"/>
    <w:rsid w:val="00E90730"/>
    <w:rsid w:val="00E91B1E"/>
    <w:rsid w:val="00E94FFD"/>
    <w:rsid w:val="00E960E9"/>
    <w:rsid w:val="00E962C5"/>
    <w:rsid w:val="00E975EC"/>
    <w:rsid w:val="00EA009A"/>
    <w:rsid w:val="00EA26EB"/>
    <w:rsid w:val="00EA37C0"/>
    <w:rsid w:val="00EA38D5"/>
    <w:rsid w:val="00EA39D6"/>
    <w:rsid w:val="00EA4F48"/>
    <w:rsid w:val="00EA629A"/>
    <w:rsid w:val="00EA7502"/>
    <w:rsid w:val="00EB014B"/>
    <w:rsid w:val="00EB082A"/>
    <w:rsid w:val="00EB0B24"/>
    <w:rsid w:val="00EB1C72"/>
    <w:rsid w:val="00EB3DA8"/>
    <w:rsid w:val="00EB4626"/>
    <w:rsid w:val="00EB4959"/>
    <w:rsid w:val="00EB4BCE"/>
    <w:rsid w:val="00EB665F"/>
    <w:rsid w:val="00EB7692"/>
    <w:rsid w:val="00EB7F53"/>
    <w:rsid w:val="00EC4652"/>
    <w:rsid w:val="00EC5B53"/>
    <w:rsid w:val="00EC7ABC"/>
    <w:rsid w:val="00EC7C73"/>
    <w:rsid w:val="00EC7C8F"/>
    <w:rsid w:val="00EC7ECC"/>
    <w:rsid w:val="00ED0A87"/>
    <w:rsid w:val="00ED0F20"/>
    <w:rsid w:val="00ED1C16"/>
    <w:rsid w:val="00ED21BF"/>
    <w:rsid w:val="00ED2AF5"/>
    <w:rsid w:val="00ED3FC8"/>
    <w:rsid w:val="00ED48E4"/>
    <w:rsid w:val="00ED506D"/>
    <w:rsid w:val="00ED6388"/>
    <w:rsid w:val="00EE012E"/>
    <w:rsid w:val="00EE021B"/>
    <w:rsid w:val="00EE3115"/>
    <w:rsid w:val="00EE7E21"/>
    <w:rsid w:val="00EF0B21"/>
    <w:rsid w:val="00EF0BD5"/>
    <w:rsid w:val="00EF17AD"/>
    <w:rsid w:val="00EF1C4D"/>
    <w:rsid w:val="00EF54C7"/>
    <w:rsid w:val="00EF6020"/>
    <w:rsid w:val="00EF6D11"/>
    <w:rsid w:val="00EF6F08"/>
    <w:rsid w:val="00F00619"/>
    <w:rsid w:val="00F03239"/>
    <w:rsid w:val="00F03B66"/>
    <w:rsid w:val="00F04C5D"/>
    <w:rsid w:val="00F05398"/>
    <w:rsid w:val="00F060D7"/>
    <w:rsid w:val="00F06370"/>
    <w:rsid w:val="00F071E0"/>
    <w:rsid w:val="00F078D6"/>
    <w:rsid w:val="00F07900"/>
    <w:rsid w:val="00F109ED"/>
    <w:rsid w:val="00F10ECB"/>
    <w:rsid w:val="00F11E56"/>
    <w:rsid w:val="00F12AC9"/>
    <w:rsid w:val="00F13577"/>
    <w:rsid w:val="00F148D4"/>
    <w:rsid w:val="00F15480"/>
    <w:rsid w:val="00F156E0"/>
    <w:rsid w:val="00F15806"/>
    <w:rsid w:val="00F1686A"/>
    <w:rsid w:val="00F16E61"/>
    <w:rsid w:val="00F22EE1"/>
    <w:rsid w:val="00F23566"/>
    <w:rsid w:val="00F235AE"/>
    <w:rsid w:val="00F23EF8"/>
    <w:rsid w:val="00F242A4"/>
    <w:rsid w:val="00F24357"/>
    <w:rsid w:val="00F313E0"/>
    <w:rsid w:val="00F3266B"/>
    <w:rsid w:val="00F33CF2"/>
    <w:rsid w:val="00F34BE6"/>
    <w:rsid w:val="00F359F0"/>
    <w:rsid w:val="00F35BBE"/>
    <w:rsid w:val="00F36F16"/>
    <w:rsid w:val="00F40D3E"/>
    <w:rsid w:val="00F40FDC"/>
    <w:rsid w:val="00F41BC5"/>
    <w:rsid w:val="00F4251D"/>
    <w:rsid w:val="00F4281F"/>
    <w:rsid w:val="00F436B8"/>
    <w:rsid w:val="00F43BFE"/>
    <w:rsid w:val="00F43DBD"/>
    <w:rsid w:val="00F446AB"/>
    <w:rsid w:val="00F447BD"/>
    <w:rsid w:val="00F463AA"/>
    <w:rsid w:val="00F46DB5"/>
    <w:rsid w:val="00F47A04"/>
    <w:rsid w:val="00F47E1A"/>
    <w:rsid w:val="00F5165E"/>
    <w:rsid w:val="00F5177C"/>
    <w:rsid w:val="00F52575"/>
    <w:rsid w:val="00F525DB"/>
    <w:rsid w:val="00F52D4D"/>
    <w:rsid w:val="00F53510"/>
    <w:rsid w:val="00F53BC6"/>
    <w:rsid w:val="00F5416F"/>
    <w:rsid w:val="00F553EB"/>
    <w:rsid w:val="00F55878"/>
    <w:rsid w:val="00F561A3"/>
    <w:rsid w:val="00F57EAF"/>
    <w:rsid w:val="00F60817"/>
    <w:rsid w:val="00F6095A"/>
    <w:rsid w:val="00F61402"/>
    <w:rsid w:val="00F62982"/>
    <w:rsid w:val="00F63E86"/>
    <w:rsid w:val="00F6662C"/>
    <w:rsid w:val="00F679B9"/>
    <w:rsid w:val="00F67B86"/>
    <w:rsid w:val="00F67D08"/>
    <w:rsid w:val="00F70B9D"/>
    <w:rsid w:val="00F70C01"/>
    <w:rsid w:val="00F716CF"/>
    <w:rsid w:val="00F71F73"/>
    <w:rsid w:val="00F72CD9"/>
    <w:rsid w:val="00F736AF"/>
    <w:rsid w:val="00F736ED"/>
    <w:rsid w:val="00F73BDB"/>
    <w:rsid w:val="00F74E4A"/>
    <w:rsid w:val="00F7573D"/>
    <w:rsid w:val="00F75FC1"/>
    <w:rsid w:val="00F764CC"/>
    <w:rsid w:val="00F76D7B"/>
    <w:rsid w:val="00F77F63"/>
    <w:rsid w:val="00F80210"/>
    <w:rsid w:val="00F803D0"/>
    <w:rsid w:val="00F8080A"/>
    <w:rsid w:val="00F809C2"/>
    <w:rsid w:val="00F8162A"/>
    <w:rsid w:val="00F83F63"/>
    <w:rsid w:val="00F85CEA"/>
    <w:rsid w:val="00F86F96"/>
    <w:rsid w:val="00F900A1"/>
    <w:rsid w:val="00F90AE9"/>
    <w:rsid w:val="00F9145C"/>
    <w:rsid w:val="00F91C8A"/>
    <w:rsid w:val="00F92696"/>
    <w:rsid w:val="00F93A17"/>
    <w:rsid w:val="00F941A3"/>
    <w:rsid w:val="00F946AF"/>
    <w:rsid w:val="00F95EBC"/>
    <w:rsid w:val="00FA0A31"/>
    <w:rsid w:val="00FA1674"/>
    <w:rsid w:val="00FA286C"/>
    <w:rsid w:val="00FA384E"/>
    <w:rsid w:val="00FA3E84"/>
    <w:rsid w:val="00FA493E"/>
    <w:rsid w:val="00FA63E9"/>
    <w:rsid w:val="00FA66FE"/>
    <w:rsid w:val="00FA7882"/>
    <w:rsid w:val="00FB0896"/>
    <w:rsid w:val="00FB16E8"/>
    <w:rsid w:val="00FB1F7D"/>
    <w:rsid w:val="00FB44BB"/>
    <w:rsid w:val="00FB57D8"/>
    <w:rsid w:val="00FB7372"/>
    <w:rsid w:val="00FC0491"/>
    <w:rsid w:val="00FC173D"/>
    <w:rsid w:val="00FC1B78"/>
    <w:rsid w:val="00FC5298"/>
    <w:rsid w:val="00FC6A2D"/>
    <w:rsid w:val="00FC74BB"/>
    <w:rsid w:val="00FD063C"/>
    <w:rsid w:val="00FD0B56"/>
    <w:rsid w:val="00FD206C"/>
    <w:rsid w:val="00FD277C"/>
    <w:rsid w:val="00FD27FA"/>
    <w:rsid w:val="00FD37C1"/>
    <w:rsid w:val="00FD389B"/>
    <w:rsid w:val="00FD41F0"/>
    <w:rsid w:val="00FD4EC6"/>
    <w:rsid w:val="00FD59F4"/>
    <w:rsid w:val="00FD5C40"/>
    <w:rsid w:val="00FD7A72"/>
    <w:rsid w:val="00FE1D11"/>
    <w:rsid w:val="00FE31EC"/>
    <w:rsid w:val="00FE49A4"/>
    <w:rsid w:val="00FE5C7F"/>
    <w:rsid w:val="00FE668B"/>
    <w:rsid w:val="00FE6E70"/>
    <w:rsid w:val="00FF02FA"/>
    <w:rsid w:val="00FF1B42"/>
    <w:rsid w:val="00FF1C1C"/>
    <w:rsid w:val="00FF1CC5"/>
    <w:rsid w:val="00FF20E6"/>
    <w:rsid w:val="00FF585C"/>
    <w:rsid w:val="00FF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4DE0"/>
  <w15:chartTrackingRefBased/>
  <w15:docId w15:val="{3B4EC8DF-C905-415B-A203-DCBA729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D9"/>
  </w:style>
  <w:style w:type="paragraph" w:styleId="Heading1">
    <w:name w:val="heading 1"/>
    <w:basedOn w:val="Normal"/>
    <w:next w:val="Normal"/>
    <w:link w:val="Heading1Char"/>
    <w:uiPriority w:val="9"/>
    <w:qFormat/>
    <w:rsid w:val="005D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06"/>
    <w:rPr>
      <w:color w:val="0563C1" w:themeColor="hyperlink"/>
      <w:u w:val="single"/>
    </w:rPr>
  </w:style>
  <w:style w:type="paragraph" w:styleId="ListParagraph">
    <w:name w:val="List Paragraph"/>
    <w:basedOn w:val="Normal"/>
    <w:uiPriority w:val="34"/>
    <w:qFormat/>
    <w:rsid w:val="00F447BD"/>
    <w:pPr>
      <w:ind w:left="720"/>
      <w:contextualSpacing/>
    </w:pPr>
  </w:style>
  <w:style w:type="paragraph" w:styleId="FootnoteText">
    <w:name w:val="footnote text"/>
    <w:basedOn w:val="Normal"/>
    <w:link w:val="FootnoteTextChar"/>
    <w:uiPriority w:val="99"/>
    <w:unhideWhenUsed/>
    <w:rsid w:val="00F447BD"/>
    <w:pPr>
      <w:spacing w:after="0" w:line="240" w:lineRule="auto"/>
    </w:pPr>
    <w:rPr>
      <w:sz w:val="20"/>
      <w:szCs w:val="20"/>
    </w:rPr>
  </w:style>
  <w:style w:type="character" w:customStyle="1" w:styleId="FootnoteTextChar">
    <w:name w:val="Footnote Text Char"/>
    <w:basedOn w:val="DefaultParagraphFont"/>
    <w:link w:val="FootnoteText"/>
    <w:uiPriority w:val="99"/>
    <w:rsid w:val="00F447BD"/>
    <w:rPr>
      <w:sz w:val="20"/>
      <w:szCs w:val="20"/>
    </w:rPr>
  </w:style>
  <w:style w:type="character" w:styleId="FootnoteReference">
    <w:name w:val="footnote reference"/>
    <w:basedOn w:val="DefaultParagraphFont"/>
    <w:uiPriority w:val="99"/>
    <w:semiHidden/>
    <w:unhideWhenUsed/>
    <w:rsid w:val="00F447BD"/>
    <w:rPr>
      <w:vertAlign w:val="superscript"/>
    </w:rPr>
  </w:style>
  <w:style w:type="paragraph" w:styleId="Header">
    <w:name w:val="header"/>
    <w:basedOn w:val="Normal"/>
    <w:link w:val="HeaderChar"/>
    <w:uiPriority w:val="99"/>
    <w:unhideWhenUsed/>
    <w:rsid w:val="00A7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63F"/>
  </w:style>
  <w:style w:type="paragraph" w:styleId="Footer">
    <w:name w:val="footer"/>
    <w:basedOn w:val="Normal"/>
    <w:link w:val="FooterChar"/>
    <w:uiPriority w:val="99"/>
    <w:unhideWhenUsed/>
    <w:rsid w:val="00A7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63F"/>
  </w:style>
  <w:style w:type="character" w:customStyle="1" w:styleId="UnresolvedMention1">
    <w:name w:val="Unresolved Mention1"/>
    <w:basedOn w:val="DefaultParagraphFont"/>
    <w:uiPriority w:val="99"/>
    <w:semiHidden/>
    <w:unhideWhenUsed/>
    <w:rsid w:val="003B6D04"/>
    <w:rPr>
      <w:color w:val="808080"/>
      <w:shd w:val="clear" w:color="auto" w:fill="E6E6E6"/>
    </w:rPr>
  </w:style>
  <w:style w:type="character" w:styleId="FollowedHyperlink">
    <w:name w:val="FollowedHyperlink"/>
    <w:basedOn w:val="DefaultParagraphFont"/>
    <w:uiPriority w:val="99"/>
    <w:semiHidden/>
    <w:unhideWhenUsed/>
    <w:rsid w:val="00C86526"/>
    <w:rPr>
      <w:color w:val="954F72" w:themeColor="followedHyperlink"/>
      <w:u w:val="single"/>
    </w:rPr>
  </w:style>
  <w:style w:type="paragraph" w:styleId="BalloonText">
    <w:name w:val="Balloon Text"/>
    <w:basedOn w:val="Normal"/>
    <w:link w:val="BalloonTextChar"/>
    <w:uiPriority w:val="99"/>
    <w:semiHidden/>
    <w:unhideWhenUsed/>
    <w:rsid w:val="007F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EB"/>
    <w:rPr>
      <w:rFonts w:ascii="Segoe UI" w:hAnsi="Segoe UI" w:cs="Segoe UI"/>
      <w:sz w:val="18"/>
      <w:szCs w:val="18"/>
    </w:rPr>
  </w:style>
  <w:style w:type="character" w:styleId="PlaceholderText">
    <w:name w:val="Placeholder Text"/>
    <w:basedOn w:val="DefaultParagraphFont"/>
    <w:uiPriority w:val="99"/>
    <w:semiHidden/>
    <w:rsid w:val="007D6274"/>
    <w:rPr>
      <w:color w:val="808080"/>
    </w:rPr>
  </w:style>
  <w:style w:type="character" w:customStyle="1" w:styleId="UnresolvedMention2">
    <w:name w:val="Unresolved Mention2"/>
    <w:basedOn w:val="DefaultParagraphFont"/>
    <w:uiPriority w:val="99"/>
    <w:semiHidden/>
    <w:unhideWhenUsed/>
    <w:rsid w:val="00AC02D4"/>
    <w:rPr>
      <w:color w:val="808080"/>
      <w:shd w:val="clear" w:color="auto" w:fill="E6E6E6"/>
    </w:rPr>
  </w:style>
  <w:style w:type="paragraph" w:styleId="EndnoteText">
    <w:name w:val="endnote text"/>
    <w:basedOn w:val="Normal"/>
    <w:link w:val="EndnoteTextChar"/>
    <w:uiPriority w:val="99"/>
    <w:semiHidden/>
    <w:unhideWhenUsed/>
    <w:rsid w:val="004D1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1451"/>
    <w:rPr>
      <w:sz w:val="20"/>
      <w:szCs w:val="20"/>
    </w:rPr>
  </w:style>
  <w:style w:type="character" w:styleId="EndnoteReference">
    <w:name w:val="endnote reference"/>
    <w:basedOn w:val="DefaultParagraphFont"/>
    <w:uiPriority w:val="99"/>
    <w:semiHidden/>
    <w:unhideWhenUsed/>
    <w:rsid w:val="004D1451"/>
    <w:rPr>
      <w:vertAlign w:val="superscript"/>
    </w:rPr>
  </w:style>
  <w:style w:type="character" w:customStyle="1" w:styleId="UnresolvedMention3">
    <w:name w:val="Unresolved Mention3"/>
    <w:basedOn w:val="DefaultParagraphFont"/>
    <w:uiPriority w:val="99"/>
    <w:semiHidden/>
    <w:unhideWhenUsed/>
    <w:rsid w:val="00B4395F"/>
    <w:rPr>
      <w:color w:val="808080"/>
      <w:shd w:val="clear" w:color="auto" w:fill="E6E6E6"/>
    </w:rPr>
  </w:style>
  <w:style w:type="character" w:customStyle="1" w:styleId="UnresolvedMention4">
    <w:name w:val="Unresolved Mention4"/>
    <w:basedOn w:val="DefaultParagraphFont"/>
    <w:uiPriority w:val="99"/>
    <w:semiHidden/>
    <w:unhideWhenUsed/>
    <w:rsid w:val="0012147D"/>
    <w:rPr>
      <w:color w:val="808080"/>
      <w:shd w:val="clear" w:color="auto" w:fill="E6E6E6"/>
    </w:rPr>
  </w:style>
  <w:style w:type="paragraph" w:customStyle="1" w:styleId="xmsonormal">
    <w:name w:val="x_msonormal"/>
    <w:basedOn w:val="Normal"/>
    <w:rsid w:val="00A57A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E50C3F"/>
    <w:rPr>
      <w:color w:val="605E5C"/>
      <w:shd w:val="clear" w:color="auto" w:fill="E1DFDD"/>
    </w:rPr>
  </w:style>
  <w:style w:type="character" w:customStyle="1" w:styleId="UnresolvedMention6">
    <w:name w:val="Unresolved Mention6"/>
    <w:basedOn w:val="DefaultParagraphFont"/>
    <w:uiPriority w:val="99"/>
    <w:semiHidden/>
    <w:unhideWhenUsed/>
    <w:rsid w:val="003B2FAD"/>
    <w:rPr>
      <w:color w:val="605E5C"/>
      <w:shd w:val="clear" w:color="auto" w:fill="E1DFDD"/>
    </w:rPr>
  </w:style>
  <w:style w:type="character" w:customStyle="1" w:styleId="text">
    <w:name w:val="text"/>
    <w:basedOn w:val="DefaultParagraphFont"/>
    <w:rsid w:val="001D442D"/>
  </w:style>
  <w:style w:type="character" w:customStyle="1" w:styleId="UnresolvedMention7">
    <w:name w:val="Unresolved Mention7"/>
    <w:basedOn w:val="DefaultParagraphFont"/>
    <w:uiPriority w:val="99"/>
    <w:semiHidden/>
    <w:unhideWhenUsed/>
    <w:rsid w:val="00A72F36"/>
    <w:rPr>
      <w:color w:val="605E5C"/>
      <w:shd w:val="clear" w:color="auto" w:fill="E1DFDD"/>
    </w:rPr>
  </w:style>
  <w:style w:type="paragraph" w:styleId="NoSpacing">
    <w:name w:val="No Spacing"/>
    <w:uiPriority w:val="1"/>
    <w:qFormat/>
    <w:rsid w:val="0011357D"/>
    <w:pPr>
      <w:spacing w:after="0" w:line="240" w:lineRule="auto"/>
    </w:pPr>
  </w:style>
  <w:style w:type="character" w:styleId="UnresolvedMention">
    <w:name w:val="Unresolved Mention"/>
    <w:basedOn w:val="DefaultParagraphFont"/>
    <w:uiPriority w:val="99"/>
    <w:semiHidden/>
    <w:unhideWhenUsed/>
    <w:rsid w:val="000545C5"/>
    <w:rPr>
      <w:color w:val="605E5C"/>
      <w:shd w:val="clear" w:color="auto" w:fill="E1DFDD"/>
    </w:rPr>
  </w:style>
  <w:style w:type="character" w:customStyle="1" w:styleId="Heading1Char">
    <w:name w:val="Heading 1 Char"/>
    <w:basedOn w:val="DefaultParagraphFont"/>
    <w:link w:val="Heading1"/>
    <w:uiPriority w:val="9"/>
    <w:rsid w:val="005D28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7542">
      <w:bodyDiv w:val="1"/>
      <w:marLeft w:val="0"/>
      <w:marRight w:val="0"/>
      <w:marTop w:val="0"/>
      <w:marBottom w:val="0"/>
      <w:divBdr>
        <w:top w:val="none" w:sz="0" w:space="0" w:color="auto"/>
        <w:left w:val="none" w:sz="0" w:space="0" w:color="auto"/>
        <w:bottom w:val="none" w:sz="0" w:space="0" w:color="auto"/>
        <w:right w:val="none" w:sz="0" w:space="0" w:color="auto"/>
      </w:divBdr>
    </w:div>
    <w:div w:id="248077875">
      <w:bodyDiv w:val="1"/>
      <w:marLeft w:val="0"/>
      <w:marRight w:val="0"/>
      <w:marTop w:val="0"/>
      <w:marBottom w:val="0"/>
      <w:divBdr>
        <w:top w:val="none" w:sz="0" w:space="0" w:color="auto"/>
        <w:left w:val="none" w:sz="0" w:space="0" w:color="auto"/>
        <w:bottom w:val="none" w:sz="0" w:space="0" w:color="auto"/>
        <w:right w:val="none" w:sz="0" w:space="0" w:color="auto"/>
      </w:divBdr>
    </w:div>
    <w:div w:id="287204302">
      <w:bodyDiv w:val="1"/>
      <w:marLeft w:val="0"/>
      <w:marRight w:val="0"/>
      <w:marTop w:val="0"/>
      <w:marBottom w:val="0"/>
      <w:divBdr>
        <w:top w:val="none" w:sz="0" w:space="0" w:color="auto"/>
        <w:left w:val="none" w:sz="0" w:space="0" w:color="auto"/>
        <w:bottom w:val="none" w:sz="0" w:space="0" w:color="auto"/>
        <w:right w:val="none" w:sz="0" w:space="0" w:color="auto"/>
      </w:divBdr>
    </w:div>
    <w:div w:id="399252611">
      <w:bodyDiv w:val="1"/>
      <w:marLeft w:val="0"/>
      <w:marRight w:val="0"/>
      <w:marTop w:val="0"/>
      <w:marBottom w:val="0"/>
      <w:divBdr>
        <w:top w:val="none" w:sz="0" w:space="0" w:color="auto"/>
        <w:left w:val="none" w:sz="0" w:space="0" w:color="auto"/>
        <w:bottom w:val="none" w:sz="0" w:space="0" w:color="auto"/>
        <w:right w:val="none" w:sz="0" w:space="0" w:color="auto"/>
      </w:divBdr>
    </w:div>
    <w:div w:id="707069907">
      <w:bodyDiv w:val="1"/>
      <w:marLeft w:val="0"/>
      <w:marRight w:val="0"/>
      <w:marTop w:val="0"/>
      <w:marBottom w:val="0"/>
      <w:divBdr>
        <w:top w:val="none" w:sz="0" w:space="0" w:color="auto"/>
        <w:left w:val="none" w:sz="0" w:space="0" w:color="auto"/>
        <w:bottom w:val="none" w:sz="0" w:space="0" w:color="auto"/>
        <w:right w:val="none" w:sz="0" w:space="0" w:color="auto"/>
      </w:divBdr>
    </w:div>
    <w:div w:id="855190372">
      <w:bodyDiv w:val="1"/>
      <w:marLeft w:val="0"/>
      <w:marRight w:val="0"/>
      <w:marTop w:val="0"/>
      <w:marBottom w:val="0"/>
      <w:divBdr>
        <w:top w:val="none" w:sz="0" w:space="0" w:color="auto"/>
        <w:left w:val="none" w:sz="0" w:space="0" w:color="auto"/>
        <w:bottom w:val="none" w:sz="0" w:space="0" w:color="auto"/>
        <w:right w:val="none" w:sz="0" w:space="0" w:color="auto"/>
      </w:divBdr>
    </w:div>
    <w:div w:id="905071825">
      <w:bodyDiv w:val="1"/>
      <w:marLeft w:val="0"/>
      <w:marRight w:val="0"/>
      <w:marTop w:val="0"/>
      <w:marBottom w:val="0"/>
      <w:divBdr>
        <w:top w:val="none" w:sz="0" w:space="0" w:color="auto"/>
        <w:left w:val="none" w:sz="0" w:space="0" w:color="auto"/>
        <w:bottom w:val="none" w:sz="0" w:space="0" w:color="auto"/>
        <w:right w:val="none" w:sz="0" w:space="0" w:color="auto"/>
      </w:divBdr>
    </w:div>
    <w:div w:id="1014499994">
      <w:bodyDiv w:val="1"/>
      <w:marLeft w:val="0"/>
      <w:marRight w:val="0"/>
      <w:marTop w:val="0"/>
      <w:marBottom w:val="0"/>
      <w:divBdr>
        <w:top w:val="none" w:sz="0" w:space="0" w:color="auto"/>
        <w:left w:val="none" w:sz="0" w:space="0" w:color="auto"/>
        <w:bottom w:val="none" w:sz="0" w:space="0" w:color="auto"/>
        <w:right w:val="none" w:sz="0" w:space="0" w:color="auto"/>
      </w:divBdr>
    </w:div>
    <w:div w:id="1068844832">
      <w:bodyDiv w:val="1"/>
      <w:marLeft w:val="0"/>
      <w:marRight w:val="0"/>
      <w:marTop w:val="0"/>
      <w:marBottom w:val="0"/>
      <w:divBdr>
        <w:top w:val="none" w:sz="0" w:space="0" w:color="auto"/>
        <w:left w:val="none" w:sz="0" w:space="0" w:color="auto"/>
        <w:bottom w:val="none" w:sz="0" w:space="0" w:color="auto"/>
        <w:right w:val="none" w:sz="0" w:space="0" w:color="auto"/>
      </w:divBdr>
    </w:div>
    <w:div w:id="1210991469">
      <w:bodyDiv w:val="1"/>
      <w:marLeft w:val="0"/>
      <w:marRight w:val="0"/>
      <w:marTop w:val="0"/>
      <w:marBottom w:val="0"/>
      <w:divBdr>
        <w:top w:val="none" w:sz="0" w:space="0" w:color="auto"/>
        <w:left w:val="none" w:sz="0" w:space="0" w:color="auto"/>
        <w:bottom w:val="none" w:sz="0" w:space="0" w:color="auto"/>
        <w:right w:val="none" w:sz="0" w:space="0" w:color="auto"/>
      </w:divBdr>
    </w:div>
    <w:div w:id="1255357534">
      <w:bodyDiv w:val="1"/>
      <w:marLeft w:val="0"/>
      <w:marRight w:val="0"/>
      <w:marTop w:val="0"/>
      <w:marBottom w:val="0"/>
      <w:divBdr>
        <w:top w:val="none" w:sz="0" w:space="0" w:color="auto"/>
        <w:left w:val="none" w:sz="0" w:space="0" w:color="auto"/>
        <w:bottom w:val="none" w:sz="0" w:space="0" w:color="auto"/>
        <w:right w:val="none" w:sz="0" w:space="0" w:color="auto"/>
      </w:divBdr>
    </w:div>
    <w:div w:id="1332761042">
      <w:bodyDiv w:val="1"/>
      <w:marLeft w:val="0"/>
      <w:marRight w:val="0"/>
      <w:marTop w:val="0"/>
      <w:marBottom w:val="0"/>
      <w:divBdr>
        <w:top w:val="none" w:sz="0" w:space="0" w:color="auto"/>
        <w:left w:val="none" w:sz="0" w:space="0" w:color="auto"/>
        <w:bottom w:val="none" w:sz="0" w:space="0" w:color="auto"/>
        <w:right w:val="none" w:sz="0" w:space="0" w:color="auto"/>
      </w:divBdr>
    </w:div>
    <w:div w:id="1696031736">
      <w:bodyDiv w:val="1"/>
      <w:marLeft w:val="0"/>
      <w:marRight w:val="0"/>
      <w:marTop w:val="0"/>
      <w:marBottom w:val="0"/>
      <w:divBdr>
        <w:top w:val="none" w:sz="0" w:space="0" w:color="auto"/>
        <w:left w:val="none" w:sz="0" w:space="0" w:color="auto"/>
        <w:bottom w:val="none" w:sz="0" w:space="0" w:color="auto"/>
        <w:right w:val="none" w:sz="0" w:space="0" w:color="auto"/>
      </w:divBdr>
    </w:div>
    <w:div w:id="1725907290">
      <w:bodyDiv w:val="1"/>
      <w:marLeft w:val="0"/>
      <w:marRight w:val="0"/>
      <w:marTop w:val="0"/>
      <w:marBottom w:val="0"/>
      <w:divBdr>
        <w:top w:val="none" w:sz="0" w:space="0" w:color="auto"/>
        <w:left w:val="none" w:sz="0" w:space="0" w:color="auto"/>
        <w:bottom w:val="none" w:sz="0" w:space="0" w:color="auto"/>
        <w:right w:val="none" w:sz="0" w:space="0" w:color="auto"/>
      </w:divBdr>
    </w:div>
    <w:div w:id="1839686305">
      <w:bodyDiv w:val="1"/>
      <w:marLeft w:val="0"/>
      <w:marRight w:val="0"/>
      <w:marTop w:val="0"/>
      <w:marBottom w:val="0"/>
      <w:divBdr>
        <w:top w:val="none" w:sz="0" w:space="0" w:color="auto"/>
        <w:left w:val="none" w:sz="0" w:space="0" w:color="auto"/>
        <w:bottom w:val="none" w:sz="0" w:space="0" w:color="auto"/>
        <w:right w:val="none" w:sz="0" w:space="0" w:color="auto"/>
      </w:divBdr>
    </w:div>
    <w:div w:id="1876695521">
      <w:bodyDiv w:val="1"/>
      <w:marLeft w:val="0"/>
      <w:marRight w:val="0"/>
      <w:marTop w:val="0"/>
      <w:marBottom w:val="0"/>
      <w:divBdr>
        <w:top w:val="none" w:sz="0" w:space="0" w:color="auto"/>
        <w:left w:val="none" w:sz="0" w:space="0" w:color="auto"/>
        <w:bottom w:val="none" w:sz="0" w:space="0" w:color="auto"/>
        <w:right w:val="none" w:sz="0" w:space="0" w:color="auto"/>
      </w:divBdr>
    </w:div>
    <w:div w:id="1920482881">
      <w:bodyDiv w:val="1"/>
      <w:marLeft w:val="0"/>
      <w:marRight w:val="0"/>
      <w:marTop w:val="0"/>
      <w:marBottom w:val="0"/>
      <w:divBdr>
        <w:top w:val="none" w:sz="0" w:space="0" w:color="auto"/>
        <w:left w:val="none" w:sz="0" w:space="0" w:color="auto"/>
        <w:bottom w:val="none" w:sz="0" w:space="0" w:color="auto"/>
        <w:right w:val="none" w:sz="0" w:space="0" w:color="auto"/>
      </w:divBdr>
    </w:div>
    <w:div w:id="2055885009">
      <w:bodyDiv w:val="1"/>
      <w:marLeft w:val="0"/>
      <w:marRight w:val="0"/>
      <w:marTop w:val="0"/>
      <w:marBottom w:val="0"/>
      <w:divBdr>
        <w:top w:val="none" w:sz="0" w:space="0" w:color="auto"/>
        <w:left w:val="none" w:sz="0" w:space="0" w:color="auto"/>
        <w:bottom w:val="none" w:sz="0" w:space="0" w:color="auto"/>
        <w:right w:val="none" w:sz="0" w:space="0" w:color="auto"/>
      </w:divBdr>
    </w:div>
    <w:div w:id="21427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hyperlink" Target="http://npl.vienna-initiative.com/wp-content/uploads/sites/2/2017/02/EBRD-The-Economic-Impact-of-Reducing-NPLs-WP_193.pdf" TargetMode="External"/><Relationship Id="rId63" Type="http://schemas.openxmlformats.org/officeDocument/2006/relationships/image" Target="media/image27.png"/><Relationship Id="rId68" Type="http://schemas.openxmlformats.org/officeDocument/2006/relationships/image" Target="media/image32.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hyperlink" Target="mailto:costas.milas@liverpool.ac.uk"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image" Target="media/image18.png"/><Relationship Id="rId58" Type="http://schemas.openxmlformats.org/officeDocument/2006/relationships/image" Target="media/image23.png"/><Relationship Id="rId66"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chart" Target="charts/chart1.xml"/><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hyperlink" Target="https://www.esma.europa.eu/sites/default/files/library/supervision_annual_report_2016_and_work_program_2017_0.pdf" TargetMode="External"/><Relationship Id="rId56" Type="http://schemas.openxmlformats.org/officeDocument/2006/relationships/image" Target="media/image21.png"/><Relationship Id="rId64" Type="http://schemas.openxmlformats.org/officeDocument/2006/relationships/image" Target="media/image28.png"/><Relationship Id="rId69" Type="http://schemas.openxmlformats.org/officeDocument/2006/relationships/footer" Target="footer1.xml"/><Relationship Id="rId8" Type="http://schemas.openxmlformats.org/officeDocument/2006/relationships/hyperlink" Target="mailto:P.Boumparis@liverpool.ac.uk" TargetMode="External"/><Relationship Id="rId51" Type="http://schemas.openxmlformats.org/officeDocument/2006/relationships/hyperlink" Target="https://www.spratings.com/documents/20184/4432051/Sovereign+Rating+Methodology/5f8c852c-108d-46d2-add1-4c20c3304725" TargetMode="External"/><Relationship Id="rId3" Type="http://schemas.openxmlformats.org/officeDocument/2006/relationships/styles" Target="styles.xml"/><Relationship Id="rId12" Type="http://schemas.openxmlformats.org/officeDocument/2006/relationships/hyperlink" Target="https://cran.r-project.org/web/packages/panelvar/index.html"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hyperlink" Target="https://www.aeaweb.org/conference/2018/preliminary/3224?q=eNqrVipOLS7OzM8LqSxIVbKqhnGVrJQMlWp1lBKLi_OTgRwlHaWS1KJcXAgrJbESKpSZmwphlWWmloO0FxUUXDAFTA1AegsS00Gyxkq1XDBupR4W" TargetMode="External"/><Relationship Id="rId59" Type="http://schemas.openxmlformats.org/officeDocument/2006/relationships/image" Target="media/image24.png"/><Relationship Id="rId67" Type="http://schemas.openxmlformats.org/officeDocument/2006/relationships/image" Target="media/image31.png"/><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19.png"/><Relationship Id="rId62" Type="http://schemas.openxmlformats.org/officeDocument/2006/relationships/image" Target="media/image26.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yperlink" Target="https://papers.ssrn.com/sol3/papers.cfm?abstract_id=2925823" TargetMode="External"/><Relationship Id="rId57" Type="http://schemas.openxmlformats.org/officeDocument/2006/relationships/image" Target="media/image22.png"/><Relationship Id="rId10" Type="http://schemas.openxmlformats.org/officeDocument/2006/relationships/hyperlink" Target="mailto:tpanag@uom.gr" TargetMode="Externa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17.png"/><Relationship Id="rId60" Type="http://schemas.openxmlformats.org/officeDocument/2006/relationships/image" Target="media/image25.png"/><Relationship Id="rId65"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hyperlink" Target="mailto:costas.milas@liverpool.ac.uk" TargetMode="External"/><Relationship Id="rId13" Type="http://schemas.openxmlformats.org/officeDocument/2006/relationships/hyperlink" Target="https://www.nytimes.com/1995/02/22/opinion/foreign-affairs-don-t-mess-with-moody-s.html" TargetMode="External"/><Relationship Id="rId18" Type="http://schemas.openxmlformats.org/officeDocument/2006/relationships/image" Target="media/image3.wmf"/><Relationship Id="rId39" Type="http://schemas.openxmlformats.org/officeDocument/2006/relationships/oleObject" Target="embeddings/oleObject13.bin"/><Relationship Id="rId34" Type="http://schemas.openxmlformats.org/officeDocument/2006/relationships/image" Target="media/image11.wmf"/><Relationship Id="rId50" Type="http://schemas.openxmlformats.org/officeDocument/2006/relationships/hyperlink" Target="https://blogs.imf.org/2018/01/22/the-current-economic-sweet-spot-is-not-the-new-normal/" TargetMode="External"/><Relationship Id="rId55" Type="http://schemas.openxmlformats.org/officeDocument/2006/relationships/image" Target="media/image20.png"/></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usa-sp-downgrade-text/sp-lowers-united-states-credit-rating-to-aa-idUSTRE7750D320110806" TargetMode="External"/><Relationship Id="rId3" Type="http://schemas.openxmlformats.org/officeDocument/2006/relationships/hyperlink" Target="http://www.bbc.co.uk/news/business-36629099" TargetMode="External"/><Relationship Id="rId7" Type="http://schemas.openxmlformats.org/officeDocument/2006/relationships/hyperlink" Target="https://www.bloomberg.com/news/articles/2018-05-27/italy-s-president-vetoes-candidacy-of-euroskeptic-savona" TargetMode="External"/><Relationship Id="rId2" Type="http://schemas.openxmlformats.org/officeDocument/2006/relationships/hyperlink" Target="http://www.nytimes.com/2012/01/18/business/global/european-central-bankers-criticize-role-of-rating-agencies.html" TargetMode="External"/><Relationship Id="rId1" Type="http://schemas.openxmlformats.org/officeDocument/2006/relationships/hyperlink" Target="https://blogs.imf.org/2019/01/21/a-weakening-global-expansion-amid-growing-risks/" TargetMode="External"/><Relationship Id="rId6" Type="http://schemas.openxmlformats.org/officeDocument/2006/relationships/hyperlink" Target="https://www.standardandpoors.com/en_US/web/guest/article/-/view/type/HTML/id/2075495" TargetMode="External"/><Relationship Id="rId5" Type="http://schemas.openxmlformats.org/officeDocument/2006/relationships/hyperlink" Target="https://www.bankingsupervision.europa.eu/ecb/pub/pdf/guidance_on_npl.en.pdf" TargetMode="External"/><Relationship Id="rId10" Type="http://schemas.openxmlformats.org/officeDocument/2006/relationships/hyperlink" Target="http://info.worldbank.org/governance/wgi/pdf/rq.pdf" TargetMode="External"/><Relationship Id="rId4" Type="http://schemas.openxmlformats.org/officeDocument/2006/relationships/hyperlink" Target="https://www.eba.europa.eu/documents/10180/1315397/EBA+Risk+Assessment+Report_December+2016.pdf" TargetMode="External"/><Relationship Id="rId9" Type="http://schemas.openxmlformats.org/officeDocument/2006/relationships/hyperlink" Target="http://www.policyuncertainty.com/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Sheet1!$G$4:$G$62</c:f>
              <c:strCache>
                <c:ptCount val="59"/>
                <c:pt idx="0">
                  <c:v>C</c:v>
                </c:pt>
                <c:pt idx="1">
                  <c:v>Ca</c:v>
                </c:pt>
                <c:pt idx="4">
                  <c:v>Caa3</c:v>
                </c:pt>
                <c:pt idx="7">
                  <c:v>Caa2</c:v>
                </c:pt>
                <c:pt idx="10">
                  <c:v>Caa1</c:v>
                </c:pt>
                <c:pt idx="13">
                  <c:v>B3</c:v>
                </c:pt>
                <c:pt idx="16">
                  <c:v>B2</c:v>
                </c:pt>
                <c:pt idx="19">
                  <c:v>B1</c:v>
                </c:pt>
                <c:pt idx="22">
                  <c:v>Ba3</c:v>
                </c:pt>
                <c:pt idx="25">
                  <c:v>Ba2</c:v>
                </c:pt>
                <c:pt idx="28">
                  <c:v>Ba1</c:v>
                </c:pt>
                <c:pt idx="31">
                  <c:v>Baa3</c:v>
                </c:pt>
                <c:pt idx="34">
                  <c:v>Baa2</c:v>
                </c:pt>
                <c:pt idx="37">
                  <c:v>Baa1</c:v>
                </c:pt>
                <c:pt idx="40">
                  <c:v>A3</c:v>
                </c:pt>
                <c:pt idx="43">
                  <c:v>A2</c:v>
                </c:pt>
                <c:pt idx="46">
                  <c:v>A1</c:v>
                </c:pt>
                <c:pt idx="49">
                  <c:v>Aa3</c:v>
                </c:pt>
                <c:pt idx="52">
                  <c:v>Aa2</c:v>
                </c:pt>
                <c:pt idx="55">
                  <c:v>Aa1</c:v>
                </c:pt>
                <c:pt idx="58">
                  <c:v>Aaa</c:v>
                </c:pt>
              </c:strCache>
            </c:strRef>
          </c:cat>
          <c:val>
            <c:numRef>
              <c:f>Sheet1!$H$4:$H$62</c:f>
              <c:numCache>
                <c:formatCode>General</c:formatCode>
                <c:ptCount val="59"/>
                <c:pt idx="0">
                  <c:v>1</c:v>
                </c:pt>
                <c:pt idx="1">
                  <c:v>2</c:v>
                </c:pt>
                <c:pt idx="2">
                  <c:v>2.3299999999999992</c:v>
                </c:pt>
                <c:pt idx="3">
                  <c:v>2.66</c:v>
                </c:pt>
                <c:pt idx="4">
                  <c:v>3</c:v>
                </c:pt>
                <c:pt idx="5">
                  <c:v>3.3299999999999992</c:v>
                </c:pt>
                <c:pt idx="6">
                  <c:v>3.67</c:v>
                </c:pt>
                <c:pt idx="7">
                  <c:v>4</c:v>
                </c:pt>
                <c:pt idx="8">
                  <c:v>4.33</c:v>
                </c:pt>
                <c:pt idx="9">
                  <c:v>4.67</c:v>
                </c:pt>
                <c:pt idx="10">
                  <c:v>5</c:v>
                </c:pt>
                <c:pt idx="11">
                  <c:v>5.33</c:v>
                </c:pt>
                <c:pt idx="12">
                  <c:v>5.67</c:v>
                </c:pt>
                <c:pt idx="13">
                  <c:v>6</c:v>
                </c:pt>
                <c:pt idx="14">
                  <c:v>6.33</c:v>
                </c:pt>
                <c:pt idx="15">
                  <c:v>6.67</c:v>
                </c:pt>
                <c:pt idx="16">
                  <c:v>7</c:v>
                </c:pt>
                <c:pt idx="17">
                  <c:v>7.33</c:v>
                </c:pt>
                <c:pt idx="18">
                  <c:v>7.67</c:v>
                </c:pt>
                <c:pt idx="19">
                  <c:v>8</c:v>
                </c:pt>
                <c:pt idx="20">
                  <c:v>8.33</c:v>
                </c:pt>
                <c:pt idx="21">
                  <c:v>8.67</c:v>
                </c:pt>
                <c:pt idx="22">
                  <c:v>9</c:v>
                </c:pt>
                <c:pt idx="23">
                  <c:v>9.33</c:v>
                </c:pt>
                <c:pt idx="24">
                  <c:v>9.67</c:v>
                </c:pt>
                <c:pt idx="25">
                  <c:v>10</c:v>
                </c:pt>
                <c:pt idx="26">
                  <c:v>10.33</c:v>
                </c:pt>
                <c:pt idx="27">
                  <c:v>10.67</c:v>
                </c:pt>
                <c:pt idx="28">
                  <c:v>11</c:v>
                </c:pt>
                <c:pt idx="29">
                  <c:v>11.33</c:v>
                </c:pt>
                <c:pt idx="30">
                  <c:v>11.67</c:v>
                </c:pt>
                <c:pt idx="31">
                  <c:v>12</c:v>
                </c:pt>
                <c:pt idx="32">
                  <c:v>12.33</c:v>
                </c:pt>
                <c:pt idx="33">
                  <c:v>12.67</c:v>
                </c:pt>
                <c:pt idx="34">
                  <c:v>13</c:v>
                </c:pt>
                <c:pt idx="35">
                  <c:v>13.33</c:v>
                </c:pt>
                <c:pt idx="36">
                  <c:v>13.67</c:v>
                </c:pt>
                <c:pt idx="37">
                  <c:v>14</c:v>
                </c:pt>
                <c:pt idx="38">
                  <c:v>14.33</c:v>
                </c:pt>
                <c:pt idx="39">
                  <c:v>14.67</c:v>
                </c:pt>
                <c:pt idx="40">
                  <c:v>15</c:v>
                </c:pt>
                <c:pt idx="41">
                  <c:v>15.33</c:v>
                </c:pt>
                <c:pt idx="42">
                  <c:v>15.67</c:v>
                </c:pt>
                <c:pt idx="43">
                  <c:v>16</c:v>
                </c:pt>
                <c:pt idx="44">
                  <c:v>16.329999999999991</c:v>
                </c:pt>
                <c:pt idx="45">
                  <c:v>16.670000000000005</c:v>
                </c:pt>
                <c:pt idx="46">
                  <c:v>17</c:v>
                </c:pt>
                <c:pt idx="47">
                  <c:v>17.329999999999991</c:v>
                </c:pt>
                <c:pt idx="48">
                  <c:v>17.670000000000005</c:v>
                </c:pt>
                <c:pt idx="49">
                  <c:v>18</c:v>
                </c:pt>
                <c:pt idx="50">
                  <c:v>18.329999999999991</c:v>
                </c:pt>
                <c:pt idx="51">
                  <c:v>18.670000000000005</c:v>
                </c:pt>
                <c:pt idx="52">
                  <c:v>19</c:v>
                </c:pt>
                <c:pt idx="53">
                  <c:v>19.329999999999991</c:v>
                </c:pt>
                <c:pt idx="54">
                  <c:v>19.670000000000005</c:v>
                </c:pt>
                <c:pt idx="55">
                  <c:v>20</c:v>
                </c:pt>
                <c:pt idx="56">
                  <c:v>20.329999999999991</c:v>
                </c:pt>
                <c:pt idx="57">
                  <c:v>20.67</c:v>
                </c:pt>
                <c:pt idx="58">
                  <c:v>21</c:v>
                </c:pt>
              </c:numCache>
            </c:numRef>
          </c:val>
          <c:smooth val="0"/>
          <c:extLst>
            <c:ext xmlns:c16="http://schemas.microsoft.com/office/drawing/2014/chart" uri="{C3380CC4-5D6E-409C-BE32-E72D297353CC}">
              <c16:uniqueId val="{00000000-8E43-48DE-B2FE-ADC510CC3888}"/>
            </c:ext>
          </c:extLst>
        </c:ser>
        <c:dLbls>
          <c:showLegendKey val="0"/>
          <c:showVal val="0"/>
          <c:showCatName val="0"/>
          <c:showSerName val="0"/>
          <c:showPercent val="0"/>
          <c:showBubbleSize val="0"/>
        </c:dLbls>
        <c:marker val="1"/>
        <c:smooth val="0"/>
        <c:axId val="-756369264"/>
        <c:axId val="-756368176"/>
      </c:lineChart>
      <c:lineChart>
        <c:grouping val="standard"/>
        <c:varyColors val="0"/>
        <c:ser>
          <c:idx val="1"/>
          <c:order val="1"/>
          <c:spPr>
            <a:ln w="28575" cap="rnd">
              <a:solidFill>
                <a:schemeClr val="accent2"/>
              </a:solidFill>
              <a:round/>
            </a:ln>
            <a:effectLst/>
          </c:spPr>
          <c:marker>
            <c:symbol val="none"/>
          </c:marker>
          <c:cat>
            <c:strRef>
              <c:f>Sheet1!$G$4:$G$62</c:f>
              <c:strCache>
                <c:ptCount val="59"/>
                <c:pt idx="0">
                  <c:v>C</c:v>
                </c:pt>
                <c:pt idx="1">
                  <c:v>Ca</c:v>
                </c:pt>
                <c:pt idx="4">
                  <c:v>Caa3</c:v>
                </c:pt>
                <c:pt idx="7">
                  <c:v>Caa2</c:v>
                </c:pt>
                <c:pt idx="10">
                  <c:v>Caa1</c:v>
                </c:pt>
                <c:pt idx="13">
                  <c:v>B3</c:v>
                </c:pt>
                <c:pt idx="16">
                  <c:v>B2</c:v>
                </c:pt>
                <c:pt idx="19">
                  <c:v>B1</c:v>
                </c:pt>
                <c:pt idx="22">
                  <c:v>Ba3</c:v>
                </c:pt>
                <c:pt idx="25">
                  <c:v>Ba2</c:v>
                </c:pt>
                <c:pt idx="28">
                  <c:v>Ba1</c:v>
                </c:pt>
                <c:pt idx="31">
                  <c:v>Baa3</c:v>
                </c:pt>
                <c:pt idx="34">
                  <c:v>Baa2</c:v>
                </c:pt>
                <c:pt idx="37">
                  <c:v>Baa1</c:v>
                </c:pt>
                <c:pt idx="40">
                  <c:v>A3</c:v>
                </c:pt>
                <c:pt idx="43">
                  <c:v>A2</c:v>
                </c:pt>
                <c:pt idx="46">
                  <c:v>A1</c:v>
                </c:pt>
                <c:pt idx="49">
                  <c:v>Aa3</c:v>
                </c:pt>
                <c:pt idx="52">
                  <c:v>Aa2</c:v>
                </c:pt>
                <c:pt idx="55">
                  <c:v>Aa1</c:v>
                </c:pt>
                <c:pt idx="58">
                  <c:v>Aaa</c:v>
                </c:pt>
              </c:strCache>
            </c:strRef>
          </c:cat>
          <c:val>
            <c:numRef>
              <c:f>Sheet1!$I$4:$I$62</c:f>
              <c:numCache>
                <c:formatCode>General</c:formatCode>
                <c:ptCount val="59"/>
                <c:pt idx="0">
                  <c:v>-3.7135720667043088</c:v>
                </c:pt>
                <c:pt idx="1">
                  <c:v>-2.5649493574615381</c:v>
                </c:pt>
                <c:pt idx="2">
                  <c:v>-2.3490305902042237</c:v>
                </c:pt>
                <c:pt idx="3">
                  <c:v>-2.1658740474521441</c:v>
                </c:pt>
                <c:pt idx="4">
                  <c:v>-2.0014800002101238</c:v>
                </c:pt>
                <c:pt idx="5">
                  <c:v>-1.8594951707529335</c:v>
                </c:pt>
                <c:pt idx="6">
                  <c:v>-1.7271508439858601</c:v>
                </c:pt>
                <c:pt idx="7">
                  <c:v>-1.6094379124341001</c:v>
                </c:pt>
                <c:pt idx="8">
                  <c:v>-1.50029887171683</c:v>
                </c:pt>
                <c:pt idx="9">
                  <c:v>-1.3952469723920045</c:v>
                </c:pt>
                <c:pt idx="10">
                  <c:v>-1.2992829841302613</c:v>
                </c:pt>
                <c:pt idx="11">
                  <c:v>-1.2083112059245338</c:v>
                </c:pt>
                <c:pt idx="12">
                  <c:v>-1.1190341853725827</c:v>
                </c:pt>
                <c:pt idx="13">
                  <c:v>-1.0360919316867763</c:v>
                </c:pt>
                <c:pt idx="14">
                  <c:v>-0.95630279299803977</c:v>
                </c:pt>
                <c:pt idx="15">
                  <c:v>-0.87695331823254452</c:v>
                </c:pt>
                <c:pt idx="16">
                  <c:v>-0.80234647252493752</c:v>
                </c:pt>
                <c:pt idx="17">
                  <c:v>-0.72980238011989063</c:v>
                </c:pt>
                <c:pt idx="18">
                  <c:v>-0.65693449106513802</c:v>
                </c:pt>
                <c:pt idx="19">
                  <c:v>-0.58778666490211851</c:v>
                </c:pt>
                <c:pt idx="20">
                  <c:v>-0.5199790057524778</c:v>
                </c:pt>
                <c:pt idx="21">
                  <c:v>-0.45131726975563374</c:v>
                </c:pt>
                <c:pt idx="22">
                  <c:v>-0.38566248081198473</c:v>
                </c:pt>
                <c:pt idx="23">
                  <c:v>-0.32081889238356742</c:v>
                </c:pt>
                <c:pt idx="24">
                  <c:v>-0.25470139172192185</c:v>
                </c:pt>
                <c:pt idx="25">
                  <c:v>-0.19105523676270941</c:v>
                </c:pt>
                <c:pt idx="26">
                  <c:v>-0.127792678922034</c:v>
                </c:pt>
                <c:pt idx="27">
                  <c:v>-6.2877850952430897E-2</c:v>
                </c:pt>
                <c:pt idx="28">
                  <c:v>0</c:v>
                </c:pt>
                <c:pt idx="29">
                  <c:v>6.2877850952430508E-2</c:v>
                </c:pt>
                <c:pt idx="30">
                  <c:v>0.12779267892203408</c:v>
                </c:pt>
                <c:pt idx="31">
                  <c:v>0.19105523676270941</c:v>
                </c:pt>
                <c:pt idx="32">
                  <c:v>0.25470139172192185</c:v>
                </c:pt>
                <c:pt idx="33">
                  <c:v>0.32081889238356753</c:v>
                </c:pt>
                <c:pt idx="34">
                  <c:v>0.38566248081198468</c:v>
                </c:pt>
                <c:pt idx="35">
                  <c:v>0.45131726975563352</c:v>
                </c:pt>
                <c:pt idx="36">
                  <c:v>0.5199790057524778</c:v>
                </c:pt>
                <c:pt idx="37">
                  <c:v>0.58778666490211895</c:v>
                </c:pt>
                <c:pt idx="38">
                  <c:v>0.65693449106513813</c:v>
                </c:pt>
                <c:pt idx="39">
                  <c:v>0.72980238011989063</c:v>
                </c:pt>
                <c:pt idx="40">
                  <c:v>0.80234647252493752</c:v>
                </c:pt>
                <c:pt idx="41">
                  <c:v>0.8769533182325443</c:v>
                </c:pt>
                <c:pt idx="42">
                  <c:v>0.95630279299803977</c:v>
                </c:pt>
                <c:pt idx="43">
                  <c:v>1.0360919316867765</c:v>
                </c:pt>
                <c:pt idx="44">
                  <c:v>1.119034185372582</c:v>
                </c:pt>
                <c:pt idx="45">
                  <c:v>1.2083112059245344</c:v>
                </c:pt>
                <c:pt idx="46">
                  <c:v>1.2992829841302613</c:v>
                </c:pt>
                <c:pt idx="47">
                  <c:v>1.3952469723920042</c:v>
                </c:pt>
                <c:pt idx="48">
                  <c:v>1.5002988717168304</c:v>
                </c:pt>
                <c:pt idx="49">
                  <c:v>1.6094379124341003</c:v>
                </c:pt>
                <c:pt idx="50">
                  <c:v>1.7271508439858589</c:v>
                </c:pt>
                <c:pt idx="51">
                  <c:v>1.8594951707529346</c:v>
                </c:pt>
                <c:pt idx="52">
                  <c:v>2.0014800002101238</c:v>
                </c:pt>
                <c:pt idx="53">
                  <c:v>2.1607241751166937</c:v>
                </c:pt>
                <c:pt idx="54">
                  <c:v>2.3490305902042237</c:v>
                </c:pt>
                <c:pt idx="55">
                  <c:v>2.5649493574615381</c:v>
                </c:pt>
                <c:pt idx="56">
                  <c:v>2.8301921937220378</c:v>
                </c:pt>
                <c:pt idx="57">
                  <c:v>3.1905259301576172</c:v>
                </c:pt>
                <c:pt idx="58">
                  <c:v>3.7135720667043075</c:v>
                </c:pt>
              </c:numCache>
            </c:numRef>
          </c:val>
          <c:smooth val="0"/>
          <c:extLst>
            <c:ext xmlns:c16="http://schemas.microsoft.com/office/drawing/2014/chart" uri="{C3380CC4-5D6E-409C-BE32-E72D297353CC}">
              <c16:uniqueId val="{00000001-8E43-48DE-B2FE-ADC510CC3888}"/>
            </c:ext>
          </c:extLst>
        </c:ser>
        <c:dLbls>
          <c:showLegendKey val="0"/>
          <c:showVal val="0"/>
          <c:showCatName val="0"/>
          <c:showSerName val="0"/>
          <c:showPercent val="0"/>
          <c:showBubbleSize val="0"/>
        </c:dLbls>
        <c:marker val="1"/>
        <c:smooth val="0"/>
        <c:axId val="-756368720"/>
        <c:axId val="-756371984"/>
      </c:lineChart>
      <c:catAx>
        <c:axId val="-756369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a:t>Ratings of Moody's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368176"/>
        <c:crossesAt val="1"/>
        <c:auto val="1"/>
        <c:lblAlgn val="ctr"/>
        <c:lblOffset val="100"/>
        <c:noMultiLvlLbl val="0"/>
      </c:catAx>
      <c:valAx>
        <c:axId val="-756368176"/>
        <c:scaling>
          <c:orientation val="minMax"/>
          <c:max val="21"/>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a:t>Linear</a:t>
                </a:r>
              </a:p>
            </c:rich>
          </c:tx>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369264"/>
        <c:crosses val="autoZero"/>
        <c:crossBetween val="between"/>
        <c:majorUnit val="1"/>
      </c:valAx>
      <c:valAx>
        <c:axId val="-756371984"/>
        <c:scaling>
          <c:orientation val="minMax"/>
          <c:max val="3.7"/>
          <c:min val="-3.7"/>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a:t>Logistic</a:t>
                </a:r>
              </a:p>
            </c:rich>
          </c:tx>
          <c:overlay val="0"/>
          <c:spPr>
            <a:noFill/>
            <a:ln>
              <a:noFill/>
            </a:ln>
            <a:effectLst/>
          </c:spPr>
        </c:title>
        <c:numFmt formatCode="General" sourceLinked="1"/>
        <c:majorTickMark val="in"/>
        <c:minorTickMark val="none"/>
        <c:tickLblPos val="nextTo"/>
        <c:spPr>
          <a:noFill/>
          <a:ln w="12700">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368720"/>
        <c:crosses val="max"/>
        <c:crossBetween val="between"/>
        <c:majorUnit val="0.2"/>
      </c:valAx>
      <c:catAx>
        <c:axId val="-756368720"/>
        <c:scaling>
          <c:orientation val="minMax"/>
        </c:scaling>
        <c:delete val="1"/>
        <c:axPos val="t"/>
        <c:numFmt formatCode="General" sourceLinked="1"/>
        <c:majorTickMark val="out"/>
        <c:minorTickMark val="none"/>
        <c:tickLblPos val="none"/>
        <c:crossAx val="-756371984"/>
        <c:crosses val="max"/>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08EB-E077-4759-ABC5-9A737990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Boumparis, Periklis</dc:creator>
  <cp:keywords/>
  <dc:description/>
  <cp:lastModifiedBy>Costas Milas</cp:lastModifiedBy>
  <cp:revision>2</cp:revision>
  <cp:lastPrinted>2019-05-20T10:58:00Z</cp:lastPrinted>
  <dcterms:created xsi:type="dcterms:W3CDTF">2019-06-04T12:12:00Z</dcterms:created>
  <dcterms:modified xsi:type="dcterms:W3CDTF">2019-06-04T12:12:00Z</dcterms:modified>
</cp:coreProperties>
</file>